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November 10,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333-286645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POST-EFFECTIVE AMENDMENT NO. 1 TO</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jc w:val="center"/>
        <w:spacing w:after="0" w:line="238" w:lineRule="auto"/>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225" w:right="439" w:bottom="662"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41-2324812</w:t>
      </w:r>
    </w:p>
    <w:p>
      <w:pPr>
        <w:spacing w:after="0" w:line="12" w:lineRule="exact"/>
        <w:rPr>
          <w:sz w:val="24"/>
          <w:szCs w:val="24"/>
          <w:color w:val="auto"/>
        </w:rPr>
      </w:pPr>
    </w:p>
    <w:p>
      <w:pPr>
        <w:sectPr>
          <w:pgSz w:w="11900" w:h="16838" w:orient="portrait"/>
          <w:cols w:equalWidth="0" w:num="2">
            <w:col w:w="7180" w:space="720"/>
            <w:col w:w="3120"/>
          </w:cols>
          <w:pgMar w:left="440" w:top="225" w:right="439" w:bottom="662" w:gutter="0" w:footer="0" w:header="0"/>
          <w:type w:val="continuous"/>
        </w:sectPr>
      </w:pPr>
    </w:p>
    <w:p>
      <w:pPr>
        <w:ind w:left="184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9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9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188" w:lineRule="exact"/>
        <w:rPr>
          <w:sz w:val="24"/>
          <w:szCs w:val="24"/>
          <w:color w:val="auto"/>
        </w:rPr>
      </w:pPr>
    </w:p>
    <w:p>
      <w:pPr>
        <w:sectPr>
          <w:pgSz w:w="11900" w:h="16838" w:orient="portrait"/>
          <w:cols w:equalWidth="0" w:num="2">
            <w:col w:w="6900" w:space="720"/>
            <w:col w:w="3400"/>
          </w:cols>
          <w:pgMar w:left="440" w:top="225" w:right="439" w:bottom="662"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One Liberty Plaza, One Liberty St., Ste. 305-306,</w:t>
      </w:r>
    </w:p>
    <w:p>
      <w:pPr>
        <w:spacing w:after="0" w:line="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New York, New York 10006</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ectPr>
          <w:pgSz w:w="11900" w:h="16838" w:orient="portrait"/>
          <w:cols w:equalWidth="0" w:num="1">
            <w:col w:w="11020"/>
          </w:cols>
          <w:pgMar w:left="440" w:top="225" w:right="439" w:bottom="662" w:gutter="0" w:footer="0" w:header="0"/>
          <w:type w:val="continuous"/>
        </w:sectPr>
      </w:pP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Stand-Alone Inducement Performance Unit Agreement</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Stand-Alone Inducement Restricted Stock Unit Agreement</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(Full Title of Plan)</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Akshay Naheta</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One Liberty Plaza, One Liberty St., Ste. 305-306,</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New York, New York 10006</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(678) 534-5849</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tbl>
      <w:tblPr>
        <w:tblLayout w:type="fixed"/>
        <w:tblInd w:w="1760" w:type="dxa"/>
        <w:tblCellMar>
          <w:top w:w="0" w:type="dxa"/>
          <w:left w:w="0" w:type="dxa"/>
          <w:bottom w:w="0" w:type="dxa"/>
          <w:right w:w="0" w:type="dxa"/>
        </w:tblCellMar>
      </w:tblPr>
      <w:tr>
        <w:trPr>
          <w:trHeight w:val="238"/>
        </w:trPr>
        <w:tc>
          <w:tcPr>
            <w:tcW w:w="2700" w:type="dxa"/>
            <w:vAlign w:val="bottom"/>
          </w:tcPr>
          <w:p>
            <w:pPr>
              <w:spacing w:after="0"/>
              <w:rPr>
                <w:sz w:val="20"/>
                <w:szCs w:val="20"/>
                <w:color w:val="auto"/>
              </w:rPr>
            </w:pPr>
          </w:p>
        </w:tc>
        <w:tc>
          <w:tcPr>
            <w:tcW w:w="5760" w:type="dxa"/>
            <w:vAlign w:val="bottom"/>
          </w:tcPr>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315"/>
        </w:trPr>
        <w:tc>
          <w:tcPr>
            <w:tcW w:w="270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Jared M. Fishman</w:t>
            </w:r>
          </w:p>
        </w:tc>
        <w:tc>
          <w:tcPr>
            <w:tcW w:w="5760" w:type="dxa"/>
            <w:vAlign w:val="bottom"/>
          </w:tcPr>
          <w:p>
            <w:pPr>
              <w:jc w:val="center"/>
              <w:ind w:left="1910"/>
              <w:spacing w:after="0"/>
              <w:rPr>
                <w:sz w:val="20"/>
                <w:szCs w:val="20"/>
                <w:color w:val="auto"/>
              </w:rPr>
            </w:pPr>
            <w:r>
              <w:rPr>
                <w:rFonts w:ascii="Times New Roman" w:cs="Times New Roman" w:eastAsia="Times New Roman" w:hAnsi="Times New Roman"/>
                <w:sz w:val="18"/>
                <w:szCs w:val="18"/>
                <w:b w:val="1"/>
                <w:bCs w:val="1"/>
                <w:color w:val="auto"/>
                <w:w w:val="99"/>
              </w:rPr>
              <w:t>Marc D’Annunzio</w:t>
            </w:r>
          </w:p>
        </w:tc>
      </w:tr>
      <w:tr>
        <w:trPr>
          <w:trHeight w:val="216"/>
        </w:trPr>
        <w:tc>
          <w:tcPr>
            <w:tcW w:w="270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rPr>
              <w:t>Matthew Goodman</w:t>
            </w:r>
          </w:p>
        </w:tc>
        <w:tc>
          <w:tcPr>
            <w:tcW w:w="5760" w:type="dxa"/>
            <w:vAlign w:val="bottom"/>
          </w:tcPr>
          <w:p>
            <w:pPr>
              <w:jc w:val="center"/>
              <w:ind w:left="1910"/>
              <w:spacing w:after="0"/>
              <w:rPr>
                <w:sz w:val="20"/>
                <w:szCs w:val="20"/>
                <w:color w:val="auto"/>
              </w:rPr>
            </w:pPr>
            <w:r>
              <w:rPr>
                <w:rFonts w:ascii="Times New Roman" w:cs="Times New Roman" w:eastAsia="Times New Roman" w:hAnsi="Times New Roman"/>
                <w:sz w:val="18"/>
                <w:szCs w:val="18"/>
                <w:b w:val="1"/>
                <w:bCs w:val="1"/>
                <w:color w:val="auto"/>
                <w:w w:val="99"/>
              </w:rPr>
              <w:t>General Counsel</w:t>
            </w:r>
          </w:p>
        </w:tc>
      </w:tr>
      <w:tr>
        <w:trPr>
          <w:trHeight w:val="216"/>
        </w:trPr>
        <w:tc>
          <w:tcPr>
            <w:tcW w:w="270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Mario Schollmeyer</w:t>
            </w:r>
          </w:p>
        </w:tc>
        <w:tc>
          <w:tcPr>
            <w:tcW w:w="5760" w:type="dxa"/>
            <w:vAlign w:val="bottom"/>
          </w:tcPr>
          <w:p>
            <w:pPr>
              <w:jc w:val="center"/>
              <w:ind w:left="1910"/>
              <w:spacing w:after="0"/>
              <w:rPr>
                <w:sz w:val="20"/>
                <w:szCs w:val="20"/>
                <w:color w:val="auto"/>
              </w:rPr>
            </w:pPr>
            <w:r>
              <w:rPr>
                <w:rFonts w:ascii="Times New Roman" w:cs="Times New Roman" w:eastAsia="Times New Roman" w:hAnsi="Times New Roman"/>
                <w:sz w:val="18"/>
                <w:szCs w:val="18"/>
                <w:b w:val="1"/>
                <w:bCs w:val="1"/>
                <w:color w:val="auto"/>
                <w:w w:val="99"/>
              </w:rPr>
              <w:t>One Liberty Plaza, One Liberty St., Ste. 305-306,</w:t>
            </w:r>
          </w:p>
        </w:tc>
      </w:tr>
      <w:tr>
        <w:trPr>
          <w:trHeight w:val="216"/>
        </w:trPr>
        <w:tc>
          <w:tcPr>
            <w:tcW w:w="270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Sullivan &amp; Cromwell LLP</w:t>
            </w:r>
          </w:p>
        </w:tc>
        <w:tc>
          <w:tcPr>
            <w:tcW w:w="5760" w:type="dxa"/>
            <w:vAlign w:val="bottom"/>
          </w:tcPr>
          <w:p>
            <w:pPr>
              <w:jc w:val="center"/>
              <w:ind w:left="1910"/>
              <w:spacing w:after="0"/>
              <w:rPr>
                <w:sz w:val="20"/>
                <w:szCs w:val="20"/>
                <w:color w:val="auto"/>
              </w:rPr>
            </w:pPr>
            <w:r>
              <w:rPr>
                <w:rFonts w:ascii="Times New Roman" w:cs="Times New Roman" w:eastAsia="Times New Roman" w:hAnsi="Times New Roman"/>
                <w:sz w:val="18"/>
                <w:szCs w:val="18"/>
                <w:b w:val="1"/>
                <w:bCs w:val="1"/>
                <w:color w:val="auto"/>
                <w:w w:val="98"/>
              </w:rPr>
              <w:t>New York, New York 10006</w:t>
            </w:r>
          </w:p>
        </w:tc>
      </w:tr>
      <w:tr>
        <w:trPr>
          <w:trHeight w:val="216"/>
        </w:trPr>
        <w:tc>
          <w:tcPr>
            <w:tcW w:w="270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125 Broad Street</w:t>
            </w:r>
          </w:p>
        </w:tc>
        <w:tc>
          <w:tcPr>
            <w:tcW w:w="5760" w:type="dxa"/>
            <w:vAlign w:val="bottom"/>
          </w:tcPr>
          <w:p>
            <w:pPr>
              <w:jc w:val="center"/>
              <w:ind w:left="1910"/>
              <w:spacing w:after="0"/>
              <w:rPr>
                <w:sz w:val="20"/>
                <w:szCs w:val="20"/>
                <w:color w:val="auto"/>
              </w:rPr>
            </w:pPr>
            <w:r>
              <w:rPr>
                <w:rFonts w:ascii="Times New Roman" w:cs="Times New Roman" w:eastAsia="Times New Roman" w:hAnsi="Times New Roman"/>
                <w:sz w:val="18"/>
                <w:szCs w:val="18"/>
                <w:b w:val="1"/>
                <w:bCs w:val="1"/>
                <w:color w:val="auto"/>
                <w:w w:val="99"/>
              </w:rPr>
              <w:t>(678) 534-5849</w:t>
            </w:r>
          </w:p>
        </w:tc>
      </w:tr>
      <w:tr>
        <w:trPr>
          <w:trHeight w:val="216"/>
        </w:trPr>
        <w:tc>
          <w:tcPr>
            <w:tcW w:w="270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New York, NY 10004</w:t>
            </w:r>
          </w:p>
        </w:tc>
        <w:tc>
          <w:tcPr>
            <w:tcW w:w="5760" w:type="dxa"/>
            <w:vAlign w:val="bottom"/>
          </w:tcPr>
          <w:p>
            <w:pPr>
              <w:spacing w:after="0"/>
              <w:rPr>
                <w:sz w:val="18"/>
                <w:szCs w:val="18"/>
                <w:color w:val="auto"/>
              </w:rPr>
            </w:pPr>
          </w:p>
        </w:tc>
      </w:tr>
      <w:tr>
        <w:trPr>
          <w:trHeight w:val="238"/>
        </w:trPr>
        <w:tc>
          <w:tcPr>
            <w:tcW w:w="270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(212) 558-4000</w:t>
            </w:r>
          </w:p>
        </w:tc>
        <w:tc>
          <w:tcPr>
            <w:tcW w:w="57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231140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205105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25" w:right="439" w:bottom="662" w:gutter="0" w:footer="0" w:header="0"/>
          <w:type w:val="continuous"/>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This Post-Effective Amendment No. 1 (the “Amendment”) is being filed pursuant to Rule 414 under the Securities Act of 1933, as amended (the “Securities Act”), to notify the Securities and Exchange Commission (the “Commission”) that effective as of November 3, 2025, Bakkt Intermediate Holdings, Inc. (formerly “Bakkt Holdings, Inc.”), a Delaware corporation (the “Predecessor Registrant”), merged (the “Merger”) with and into Bakkt Merger Sub 1, Inc., a Delaware corporation (“Merger Sub”) and a direct wholly-owned subsidiary of Bakkt Holdings, Inc. (formerly “Bakkt NewCo Holdings, Inc.”), a Delaware corporation (the “Successor Registrant”), pursuant to which the Predecessor Registrant became a direct wholly-owned subsidiary of the Successor Registrant, in accordance with the Agreement and Plan of Merger, dated November 3, 2025, among the Predecessor Registrant, the Successor Registrant and Merger Sub. For the purposes of this Amendment and the Registration Statement (as defined below), (i) as of any time prior to the effective time of the Merger, references to the “Company,” “we,” “us,” “our” and similar terms mean the Predecessor Registrant and references to “Class A Common Stock” mean the Class A Common Stock, par value $0.0001 per share, of the Predecessor Registrant and (ii) as of the effective time of the Merger and thereafter, references to the “Company,” “we,” “us,” “our” and similar terms mean the Successor Registrant and references to “Class A Common Stock” mean the Class A Common Stock, par value $0.0001 per share, of the Successor Registrant. This Amendment does not reflect any increase in the number of shares issuable pursuant to the Company’s equity compensation plans.</w:t>
      </w:r>
    </w:p>
    <w:p>
      <w:pPr>
        <w:spacing w:after="0" w:line="190" w:lineRule="exact"/>
        <w:rPr>
          <w:sz w:val="20"/>
          <w:szCs w:val="20"/>
          <w:color w:val="auto"/>
        </w:rPr>
      </w:pPr>
    </w:p>
    <w:p>
      <w:pPr>
        <w:spacing w:after="0" w:line="27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Amendment relates to the Registration Statement (the “Registration Statement”) of the Predecessor Registrant on Form S-8 (</w:t>
      </w:r>
      <w:hyperlink r:id="rId19">
        <w:r>
          <w:rPr>
            <w:rFonts w:ascii="Times New Roman" w:cs="Times New Roman" w:eastAsia="Times New Roman" w:hAnsi="Times New Roman"/>
            <w:sz w:val="17"/>
            <w:szCs w:val="17"/>
            <w:u w:val="single" w:color="auto"/>
            <w:color w:val="0000EE"/>
          </w:rPr>
          <w:t>File No. 333-286645</w:t>
        </w:r>
      </w:hyperlink>
      <w:r>
        <w:rPr>
          <w:rFonts w:ascii="Times New Roman" w:cs="Times New Roman" w:eastAsia="Times New Roman" w:hAnsi="Times New Roman"/>
          <w:sz w:val="17"/>
          <w:szCs w:val="17"/>
          <w:color w:val="auto"/>
        </w:rPr>
        <w:t>), filed with the Commission on April 18, 2025, registering 1,619,143 shares of Class A Common Stock issuable upon the vesting and settlement of performance-based restricted stock units (the “Inducement PSUs”) and service-based restricted stock units (“Inducement RSUs” and together with the Inducement PSUs, the “Inducement Grant”) to be granted to Akshay Naheta as inducement for acceptance of employment with the Company</w:t>
      </w:r>
    </w:p>
    <w:p>
      <w:pPr>
        <w:spacing w:after="0" w:line="3" w:lineRule="exact"/>
        <w:rPr>
          <w:sz w:val="20"/>
          <w:szCs w:val="20"/>
          <w:color w:val="auto"/>
        </w:rPr>
      </w:pPr>
    </w:p>
    <w:p>
      <w:pPr>
        <w:ind w:right="780"/>
        <w:spacing w:after="0" w:line="260" w:lineRule="auto"/>
        <w:rPr>
          <w:sz w:val="20"/>
          <w:szCs w:val="20"/>
          <w:color w:val="auto"/>
        </w:rPr>
      </w:pPr>
      <w:r>
        <w:rPr>
          <w:rFonts w:ascii="Times New Roman" w:cs="Times New Roman" w:eastAsia="Times New Roman" w:hAnsi="Times New Roman"/>
          <w:sz w:val="18"/>
          <w:szCs w:val="18"/>
          <w:color w:val="auto"/>
        </w:rPr>
        <w:t>as Co-Chief Executive Officer pursuant to the Stand-Alone Performance Unit Agreement and Stand-Alone Inducement Restricted Stock Unit Agreement, respectively.</w:t>
      </w:r>
    </w:p>
    <w:p>
      <w:pPr>
        <w:spacing w:after="0" w:line="18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Merger, all of the outstanding capital stock of the Predecessor Registrant (including any options or other rights to acquire the same) was converted automatically, on a share-for-share basis, into equivalent capital stock of the Successor Registrant (and rights to acquire the same). As a result of the Merger, each stockholder of the Predecessor Registrant became a stockholder of the Successor Registrant. In connection with the Merger, the Successor Registrant assumed the Predecessor Registrant’s existing obligations in connection with the Inducement Grant.</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accordance with Rule 414 under the Securities Act, the Successor Registrant hereby expressly adopts the Registration Statement as its own registration statement except as amended by this Amendment, for all purposes of the Securities Act and under the Securities Exchange Act of 1934, as amended (the “Exchange Act”). All registration fees were paid at the time of filing of the original Registration Statement.</w:t>
      </w: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incorporates by reference the following documents that the Company has previously filed with the Commission:</w:t>
      </w:r>
    </w:p>
    <w:p>
      <w:pPr>
        <w:spacing w:after="0" w:line="131" w:lineRule="exact"/>
        <w:rPr>
          <w:sz w:val="20"/>
          <w:szCs w:val="20"/>
          <w:color w:val="auto"/>
        </w:rPr>
      </w:pPr>
    </w:p>
    <w:p>
      <w:pPr>
        <w:ind w:left="96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Annual Report on </w:t>
      </w:r>
      <w:hyperlink r:id="rId2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 filed with the Commission on March 20, 2025 (the “Annual Report”);</w:t>
      </w:r>
    </w:p>
    <w:p>
      <w:pPr>
        <w:spacing w:after="0" w:line="67" w:lineRule="exact"/>
        <w:rPr>
          <w:rFonts w:ascii="Times New Roman" w:cs="Times New Roman" w:eastAsia="Times New Roman" w:hAnsi="Times New Roman"/>
          <w:sz w:val="18"/>
          <w:szCs w:val="18"/>
          <w:color w:val="auto"/>
        </w:rPr>
      </w:pPr>
    </w:p>
    <w:p>
      <w:pPr>
        <w:ind w:left="960" w:right="18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the Company’s </w:t>
      </w:r>
      <w:hyperlink r:id="rId21">
        <w:r>
          <w:rPr>
            <w:rFonts w:ascii="Times New Roman" w:cs="Times New Roman" w:eastAsia="Times New Roman" w:hAnsi="Times New Roman"/>
            <w:sz w:val="18"/>
            <w:szCs w:val="18"/>
            <w:u w:val="single" w:color="auto"/>
            <w:color w:val="0000EE"/>
          </w:rPr>
          <w:t>Definitive Proxy Statement on 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(other than information furnished rather than filed) that are incorporated by reference into the Annual Report, filed with the Commission on April 28, 2025;</w:t>
      </w:r>
    </w:p>
    <w:p>
      <w:pPr>
        <w:sectPr>
          <w:pgSz w:w="11900" w:h="16838" w:orient="portrait"/>
          <w:cols w:equalWidth="0" w:num="1">
            <w:col w:w="10960"/>
          </w:cols>
          <w:pgMar w:left="440" w:top="266" w:right="499" w:bottom="1440" w:gutter="0" w:footer="0" w:header="0"/>
        </w:sectPr>
      </w:pPr>
    </w:p>
    <w:bookmarkStart w:id="2" w:name="page3"/>
    <w:bookmarkEnd w:id="2"/>
    <w:p>
      <w:pPr>
        <w:ind w:left="960" w:right="240" w:hanging="532"/>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Company’s Quarterly Reports on Form 10-Q for the quarters ended </w:t>
      </w:r>
      <w:hyperlink r:id="rId23">
        <w:r>
          <w:rPr>
            <w:rFonts w:ascii="Times New Roman" w:cs="Times New Roman" w:eastAsia="Times New Roman" w:hAnsi="Times New Roman"/>
            <w:sz w:val="18"/>
            <w:szCs w:val="18"/>
            <w:u w:val="single" w:color="auto"/>
            <w:color w:val="0000EE"/>
          </w:rPr>
          <w:t>March 31, 2025</w:t>
        </w:r>
      </w:hyperlink>
      <w:r>
        <w:rPr>
          <w:rFonts w:ascii="Times New Roman" w:cs="Times New Roman" w:eastAsia="Times New Roman" w:hAnsi="Times New Roman"/>
          <w:sz w:val="18"/>
          <w:szCs w:val="18"/>
          <w:color w:val="auto"/>
        </w:rPr>
        <w:t xml:space="preserve">, filed with the Commission on </w:t>
      </w:r>
      <w:hyperlink r:id="rId24">
        <w:r>
          <w:rPr>
            <w:rFonts w:ascii="Times New Roman" w:cs="Times New Roman" w:eastAsia="Times New Roman" w:hAnsi="Times New Roman"/>
            <w:sz w:val="18"/>
            <w:szCs w:val="18"/>
            <w:u w:val="single" w:color="auto"/>
            <w:color w:val="0000EE"/>
          </w:rPr>
          <w:t>May 12, 2025</w:t>
        </w:r>
      </w:hyperlink>
      <w:r>
        <w:rPr>
          <w:rFonts w:ascii="Times New Roman" w:cs="Times New Roman" w:eastAsia="Times New Roman" w:hAnsi="Times New Roman"/>
          <w:sz w:val="18"/>
          <w:szCs w:val="18"/>
          <w:color w:val="auto"/>
        </w:rPr>
        <w:t xml:space="preserve">, and </w:t>
      </w:r>
      <w:hyperlink r:id="rId25">
        <w:r>
          <w:rPr>
            <w:rFonts w:ascii="Times New Roman" w:cs="Times New Roman" w:eastAsia="Times New Roman" w:hAnsi="Times New Roman"/>
            <w:sz w:val="18"/>
            <w:szCs w:val="18"/>
            <w:u w:val="single" w:color="auto"/>
            <w:color w:val="0000EE"/>
          </w:rPr>
          <w:t>June 30, 2025</w:t>
        </w:r>
      </w:hyperlink>
      <w:r>
        <w:rPr>
          <w:rFonts w:ascii="Times New Roman" w:cs="Times New Roman" w:eastAsia="Times New Roman" w:hAnsi="Times New Roman"/>
          <w:sz w:val="18"/>
          <w:szCs w:val="18"/>
          <w:color w:val="auto"/>
        </w:rPr>
        <w:t xml:space="preserve">, filed with the Commission on </w:t>
      </w:r>
      <w:hyperlink r:id="rId26">
        <w:r>
          <w:rPr>
            <w:rFonts w:ascii="Times New Roman" w:cs="Times New Roman" w:eastAsia="Times New Roman" w:hAnsi="Times New Roman"/>
            <w:sz w:val="18"/>
            <w:szCs w:val="18"/>
            <w:u w:val="single" w:color="auto"/>
            <w:color w:val="0000EE"/>
          </w:rPr>
          <w:t>August 11, 2025</w:t>
        </w:r>
      </w:hyperlink>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60" w:right="40" w:hanging="532"/>
        <w:spacing w:after="0" w:line="254" w:lineRule="auto"/>
        <w:tabs>
          <w:tab w:leader="none" w:pos="960" w:val="left"/>
        </w:tabs>
        <w:numPr>
          <w:ilvl w:val="0"/>
          <w:numId w:val="2"/>
        </w:numPr>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auto"/>
          </w:rPr>
          <w:t xml:space="preserve">The Company’s Current Reports on Form 8-K filed with the Commission on </w:t>
        </w:r>
        <w:r>
          <w:rPr>
            <w:rFonts w:ascii="Times New Roman" w:cs="Times New Roman" w:eastAsia="Times New Roman" w:hAnsi="Times New Roman"/>
            <w:sz w:val="18"/>
            <w:szCs w:val="18"/>
            <w:u w:val="single" w:color="auto"/>
            <w:color w:val="0000EE"/>
          </w:rPr>
          <w:t>March 17,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20,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31,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22,</w:t>
        </w:r>
      </w:hyperlink>
      <w:r>
        <w:rPr>
          <w:rFonts w:ascii="Times New Roman" w:cs="Times New Roman" w:eastAsia="Times New Roman" w:hAnsi="Times New Roman"/>
          <w:sz w:val="18"/>
          <w:szCs w:val="18"/>
          <w:color w:val="auto"/>
        </w:rPr>
        <w:t xml:space="preserve"> </w:t>
      </w:r>
      <w:hyperlink r:id="rId27">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8">
        <w:r>
          <w:rPr>
            <w:rFonts w:ascii="Times New Roman" w:cs="Times New Roman" w:eastAsia="Times New Roman" w:hAnsi="Times New Roman"/>
            <w:sz w:val="18"/>
            <w:szCs w:val="18"/>
            <w:u w:val="single" w:color="auto"/>
            <w:color w:val="0000EE"/>
          </w:rPr>
          <w:t xml:space="preserve">June 10, 2025 </w:t>
        </w:r>
      </w:hyperlink>
      <w:hyperlink r:id="rId27">
        <w:r>
          <w:rPr>
            <w:rFonts w:ascii="Times New Roman" w:cs="Times New Roman" w:eastAsia="Times New Roman" w:hAnsi="Times New Roman"/>
            <w:sz w:val="18"/>
            <w:szCs w:val="18"/>
            <w:color w:val="000000"/>
          </w:rPr>
          <w:t>(other than information furnished rather than filed),</w:t>
        </w:r>
        <w:r>
          <w:rPr>
            <w:rFonts w:ascii="Times New Roman" w:cs="Times New Roman" w:eastAsia="Times New Roman" w:hAnsi="Times New Roman"/>
            <w:sz w:val="18"/>
            <w:szCs w:val="18"/>
            <w:color w:val="0000EE"/>
          </w:rPr>
          <w:t xml:space="preserve"> </w:t>
        </w:r>
      </w:hyperlink>
      <w:hyperlink r:id="rId29">
        <w:r>
          <w:rPr>
            <w:rFonts w:ascii="Times New Roman" w:cs="Times New Roman" w:eastAsia="Times New Roman" w:hAnsi="Times New Roman"/>
            <w:sz w:val="18"/>
            <w:szCs w:val="18"/>
            <w:u w:val="single" w:color="auto"/>
            <w:color w:val="0000EE"/>
          </w:rPr>
          <w:t>June 10, 2025</w:t>
        </w:r>
      </w:hyperlink>
      <w:hyperlink r:id="rId2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0">
        <w:r>
          <w:rPr>
            <w:rFonts w:ascii="Times New Roman" w:cs="Times New Roman" w:eastAsia="Times New Roman" w:hAnsi="Times New Roman"/>
            <w:sz w:val="18"/>
            <w:szCs w:val="18"/>
            <w:u w:val="single" w:color="auto"/>
            <w:color w:val="0000EE"/>
          </w:rPr>
          <w:t>June 13, 2025</w:t>
        </w:r>
      </w:hyperlink>
      <w:hyperlink r:id="rId2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1">
        <w:r>
          <w:rPr>
            <w:rFonts w:ascii="Times New Roman" w:cs="Times New Roman" w:eastAsia="Times New Roman" w:hAnsi="Times New Roman"/>
            <w:sz w:val="18"/>
            <w:szCs w:val="18"/>
            <w:u w:val="single" w:color="auto"/>
            <w:color w:val="0000EE"/>
          </w:rPr>
          <w:t>June 20, 2025</w:t>
        </w:r>
      </w:hyperlink>
      <w:hyperlink r:id="rId2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2">
        <w:r>
          <w:rPr>
            <w:rFonts w:ascii="Times New Roman" w:cs="Times New Roman" w:eastAsia="Times New Roman" w:hAnsi="Times New Roman"/>
            <w:sz w:val="18"/>
            <w:szCs w:val="18"/>
            <w:u w:val="single" w:color="auto"/>
            <w:color w:val="0000EE"/>
          </w:rPr>
          <w:t xml:space="preserve">July 28, 2025 </w:t>
        </w:r>
      </w:hyperlink>
      <w:hyperlink r:id="rId27">
        <w:r>
          <w:rPr>
            <w:rFonts w:ascii="Times New Roman" w:cs="Times New Roman" w:eastAsia="Times New Roman" w:hAnsi="Times New Roman"/>
            <w:sz w:val="18"/>
            <w:szCs w:val="18"/>
            <w:color w:val="000000"/>
          </w:rPr>
          <w:t>(other</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than information furnished rather than filed), </w:t>
      </w:r>
      <w:hyperlink r:id="rId33">
        <w:r>
          <w:rPr>
            <w:rFonts w:ascii="Times New Roman" w:cs="Times New Roman" w:eastAsia="Times New Roman" w:hAnsi="Times New Roman"/>
            <w:sz w:val="18"/>
            <w:szCs w:val="18"/>
            <w:u w:val="single" w:color="auto"/>
            <w:color w:val="0000EE"/>
          </w:rPr>
          <w:t>July 30, 2025</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(other than information furnished rather than filed), </w:t>
      </w:r>
      <w:hyperlink r:id="rId34">
        <w:r>
          <w:rPr>
            <w:rFonts w:ascii="Times New Roman" w:cs="Times New Roman" w:eastAsia="Times New Roman" w:hAnsi="Times New Roman"/>
            <w:sz w:val="18"/>
            <w:szCs w:val="18"/>
            <w:u w:val="single" w:color="auto"/>
            <w:color w:val="0000EE"/>
          </w:rPr>
          <w:t>August 6, 2025</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(other than information furnished rather than filed), </w:t>
      </w:r>
      <w:hyperlink r:id="rId35">
        <w:r>
          <w:rPr>
            <w:rFonts w:ascii="Times New Roman" w:cs="Times New Roman" w:eastAsia="Times New Roman" w:hAnsi="Times New Roman"/>
            <w:sz w:val="18"/>
            <w:szCs w:val="18"/>
            <w:u w:val="single" w:color="auto"/>
            <w:color w:val="0000EE"/>
          </w:rPr>
          <w:t>August 8, 2025</w:t>
        </w:r>
      </w:hyperlink>
      <w:r>
        <w:rPr>
          <w:rFonts w:ascii="Times New Roman" w:cs="Times New Roman" w:eastAsia="Times New Roman" w:hAnsi="Times New Roman"/>
          <w:sz w:val="18"/>
          <w:szCs w:val="18"/>
          <w:color w:val="000000"/>
        </w:rPr>
        <w:t xml:space="preserve">, </w:t>
      </w:r>
      <w:hyperlink r:id="rId36">
        <w:r>
          <w:rPr>
            <w:rFonts w:ascii="Times New Roman" w:cs="Times New Roman" w:eastAsia="Times New Roman" w:hAnsi="Times New Roman"/>
            <w:sz w:val="18"/>
            <w:szCs w:val="18"/>
            <w:u w:val="single" w:color="auto"/>
            <w:color w:val="0000EE"/>
          </w:rPr>
          <w:t>August 12, 2025</w:t>
        </w:r>
      </w:hyperlink>
      <w:r>
        <w:rPr>
          <w:rFonts w:ascii="Times New Roman" w:cs="Times New Roman" w:eastAsia="Times New Roman" w:hAnsi="Times New Roman"/>
          <w:sz w:val="18"/>
          <w:szCs w:val="18"/>
          <w:color w:val="000000"/>
        </w:rPr>
        <w:t xml:space="preserve">, </w:t>
      </w:r>
      <w:hyperlink r:id="rId37">
        <w:r>
          <w:rPr>
            <w:rFonts w:ascii="Times New Roman" w:cs="Times New Roman" w:eastAsia="Times New Roman" w:hAnsi="Times New Roman"/>
            <w:sz w:val="18"/>
            <w:szCs w:val="18"/>
            <w:u w:val="single" w:color="auto"/>
            <w:color w:val="0000EE"/>
          </w:rPr>
          <w:t>August 29, 2025</w:t>
        </w:r>
      </w:hyperlink>
      <w:r>
        <w:rPr>
          <w:rFonts w:ascii="Times New Roman" w:cs="Times New Roman" w:eastAsia="Times New Roman" w:hAnsi="Times New Roman"/>
          <w:sz w:val="18"/>
          <w:szCs w:val="18"/>
          <w:color w:val="000000"/>
        </w:rPr>
        <w:t xml:space="preserve">, </w:t>
      </w:r>
      <w:hyperlink r:id="rId38">
        <w:r>
          <w:rPr>
            <w:rFonts w:ascii="Times New Roman" w:cs="Times New Roman" w:eastAsia="Times New Roman" w:hAnsi="Times New Roman"/>
            <w:sz w:val="18"/>
            <w:szCs w:val="18"/>
            <w:u w:val="single" w:color="auto"/>
            <w:color w:val="0000EE"/>
          </w:rPr>
          <w:t>September 15, 2025</w:t>
        </w:r>
      </w:hyperlink>
      <w:r>
        <w:rPr>
          <w:rFonts w:ascii="Times New Roman" w:cs="Times New Roman" w:eastAsia="Times New Roman" w:hAnsi="Times New Roman"/>
          <w:sz w:val="18"/>
          <w:szCs w:val="18"/>
          <w:color w:val="000000"/>
        </w:rPr>
        <w:t xml:space="preserve">, </w:t>
      </w:r>
      <w:hyperlink r:id="rId39">
        <w:r>
          <w:rPr>
            <w:rFonts w:ascii="Times New Roman" w:cs="Times New Roman" w:eastAsia="Times New Roman" w:hAnsi="Times New Roman"/>
            <w:sz w:val="18"/>
            <w:szCs w:val="18"/>
            <w:u w:val="single" w:color="auto"/>
            <w:color w:val="0000EE"/>
          </w:rPr>
          <w:t>September 22, 2025</w:t>
        </w:r>
      </w:hyperlink>
      <w:r>
        <w:rPr>
          <w:rFonts w:ascii="Times New Roman" w:cs="Times New Roman" w:eastAsia="Times New Roman" w:hAnsi="Times New Roman"/>
          <w:sz w:val="18"/>
          <w:szCs w:val="18"/>
          <w:color w:val="000000"/>
        </w:rPr>
        <w:t xml:space="preserve">, </w:t>
      </w:r>
      <w:hyperlink r:id="rId40">
        <w:r>
          <w:rPr>
            <w:rFonts w:ascii="Times New Roman" w:cs="Times New Roman" w:eastAsia="Times New Roman" w:hAnsi="Times New Roman"/>
            <w:sz w:val="18"/>
            <w:szCs w:val="18"/>
            <w:u w:val="single" w:color="auto"/>
            <w:color w:val="0000EE"/>
          </w:rPr>
          <w:t>October 1, 2025</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(other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than information furnished rather than filed),</w:t>
      </w:r>
      <w:r>
        <w:rPr>
          <w:rFonts w:ascii="Times New Roman" w:cs="Times New Roman" w:eastAsia="Times New Roman" w:hAnsi="Times New Roman"/>
          <w:sz w:val="18"/>
          <w:szCs w:val="18"/>
          <w:color w:val="0000EE"/>
        </w:rPr>
        <w:t xml:space="preserve"> </w:t>
      </w:r>
      <w:hyperlink r:id="rId41">
        <w:r>
          <w:rPr>
            <w:rFonts w:ascii="Times New Roman" w:cs="Times New Roman" w:eastAsia="Times New Roman" w:hAnsi="Times New Roman"/>
            <w:sz w:val="18"/>
            <w:szCs w:val="18"/>
            <w:u w:val="single" w:color="auto"/>
            <w:color w:val="0000EE"/>
          </w:rPr>
          <w:t>October 8,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2">
        <w:r>
          <w:rPr>
            <w:rFonts w:ascii="Times New Roman" w:cs="Times New Roman" w:eastAsia="Times New Roman" w:hAnsi="Times New Roman"/>
            <w:sz w:val="18"/>
            <w:szCs w:val="18"/>
            <w:u w:val="single" w:color="auto"/>
            <w:color w:val="0000EE"/>
          </w:rPr>
          <w:t>October 14,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3">
        <w:r>
          <w:rPr>
            <w:rFonts w:ascii="Times New Roman" w:cs="Times New Roman" w:eastAsia="Times New Roman" w:hAnsi="Times New Roman"/>
            <w:sz w:val="18"/>
            <w:szCs w:val="18"/>
            <w:u w:val="single" w:color="auto"/>
            <w:color w:val="0000EE"/>
          </w:rPr>
          <w:t xml:space="preserve">October 20, 2025 </w:t>
        </w:r>
      </w:hyperlink>
      <w:r>
        <w:rPr>
          <w:rFonts w:ascii="Times New Roman" w:cs="Times New Roman" w:eastAsia="Times New Roman" w:hAnsi="Times New Roman"/>
          <w:sz w:val="18"/>
          <w:szCs w:val="18"/>
          <w:color w:val="000000"/>
        </w:rPr>
        <w:t>(other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than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information furnished rather than filed), </w:t>
      </w:r>
      <w:hyperlink r:id="rId44">
        <w:r>
          <w:rPr>
            <w:rFonts w:ascii="Times New Roman" w:cs="Times New Roman" w:eastAsia="Times New Roman" w:hAnsi="Times New Roman"/>
            <w:sz w:val="18"/>
            <w:szCs w:val="18"/>
            <w:u w:val="single" w:color="auto"/>
            <w:color w:val="0000EE"/>
          </w:rPr>
          <w:t>October 21, 2025</w:t>
        </w:r>
      </w:hyperlink>
      <w:r>
        <w:rPr>
          <w:rFonts w:ascii="Times New Roman" w:cs="Times New Roman" w:eastAsia="Times New Roman" w:hAnsi="Times New Roman"/>
          <w:sz w:val="18"/>
          <w:szCs w:val="18"/>
          <w:color w:val="000000"/>
        </w:rPr>
        <w:t xml:space="preserve">, </w:t>
      </w:r>
      <w:hyperlink r:id="rId45">
        <w:r>
          <w:rPr>
            <w:rFonts w:ascii="Times New Roman" w:cs="Times New Roman" w:eastAsia="Times New Roman" w:hAnsi="Times New Roman"/>
            <w:sz w:val="18"/>
            <w:szCs w:val="18"/>
            <w:u w:val="single" w:color="auto"/>
            <w:color w:val="0000EE"/>
          </w:rPr>
          <w:t>October 22, 2025</w:t>
        </w:r>
      </w:hyperlink>
      <w:r>
        <w:rPr>
          <w:rFonts w:ascii="Times New Roman" w:cs="Times New Roman" w:eastAsia="Times New Roman" w:hAnsi="Times New Roman"/>
          <w:sz w:val="18"/>
          <w:szCs w:val="18"/>
          <w:color w:val="000000"/>
        </w:rPr>
        <w:t xml:space="preserve">, </w:t>
      </w:r>
      <w:hyperlink r:id="rId46">
        <w:r>
          <w:rPr>
            <w:rFonts w:ascii="Times New Roman" w:cs="Times New Roman" w:eastAsia="Times New Roman" w:hAnsi="Times New Roman"/>
            <w:sz w:val="18"/>
            <w:szCs w:val="18"/>
            <w:u w:val="single" w:color="auto"/>
            <w:color w:val="0000EE"/>
          </w:rPr>
          <w:t>October 31, 2025 (</w:t>
        </w:r>
      </w:hyperlink>
      <w:r>
        <w:rPr>
          <w:rFonts w:ascii="Times New Roman" w:cs="Times New Roman" w:eastAsia="Times New Roman" w:hAnsi="Times New Roman"/>
          <w:sz w:val="18"/>
          <w:szCs w:val="18"/>
          <w:color w:val="000000"/>
        </w:rPr>
        <w:t xml:space="preserve">other than information furnished rather than filed), </w:t>
      </w:r>
      <w:hyperlink r:id="rId47">
        <w:r>
          <w:rPr>
            <w:rFonts w:ascii="Times New Roman" w:cs="Times New Roman" w:eastAsia="Times New Roman" w:hAnsi="Times New Roman"/>
            <w:sz w:val="18"/>
            <w:szCs w:val="18"/>
            <w:u w:val="single" w:color="auto"/>
            <w:color w:val="0000EE"/>
          </w:rPr>
          <w:t>November 3, 2025</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and </w:t>
      </w:r>
      <w:hyperlink r:id="rId47">
        <w:r>
          <w:rPr>
            <w:rFonts w:ascii="Times New Roman" w:cs="Times New Roman" w:eastAsia="Times New Roman" w:hAnsi="Times New Roman"/>
            <w:sz w:val="18"/>
            <w:szCs w:val="18"/>
            <w:u w:val="single" w:color="auto"/>
            <w:color w:val="0000EE"/>
          </w:rPr>
          <w:t>November 3, 2025</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and the Company’s Current Report on Form 8-K/A filed with the Commission on </w:t>
      </w:r>
      <w:hyperlink r:id="rId48">
        <w:r>
          <w:rPr>
            <w:rFonts w:ascii="Times New Roman" w:cs="Times New Roman" w:eastAsia="Times New Roman" w:hAnsi="Times New Roman"/>
            <w:sz w:val="18"/>
            <w:szCs w:val="18"/>
            <w:u w:val="single" w:color="auto"/>
            <w:color w:val="0000EE"/>
          </w:rPr>
          <w:t>November 7,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97" w:lineRule="exact"/>
        <w:rPr>
          <w:rFonts w:ascii="Times New Roman" w:cs="Times New Roman" w:eastAsia="Times New Roman" w:hAnsi="Times New Roman"/>
          <w:sz w:val="18"/>
          <w:szCs w:val="18"/>
          <w:color w:val="0000EE"/>
        </w:rPr>
      </w:pPr>
    </w:p>
    <w:p>
      <w:pPr>
        <w:ind w:left="960" w:right="80" w:hanging="532"/>
        <w:spacing w:after="0" w:line="261"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Company’s common stock contained in </w:t>
      </w:r>
      <w:hyperlink r:id="rId49">
        <w:r>
          <w:rPr>
            <w:rFonts w:ascii="Times New Roman" w:cs="Times New Roman" w:eastAsia="Times New Roman" w:hAnsi="Times New Roman"/>
            <w:sz w:val="18"/>
            <w:szCs w:val="18"/>
            <w:u w:val="single" w:color="auto"/>
            <w:color w:val="0000EE"/>
          </w:rPr>
          <w:t>Exhibit 99.1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the Company’s Current Report on Form 8-K filed on November 3, 2025, which updates the description of the Company’s Class A Common Stock contained in the Company’s Registration Statement on </w:t>
      </w:r>
      <w:hyperlink r:id="rId50">
        <w:r>
          <w:rPr>
            <w:rFonts w:ascii="Times New Roman" w:cs="Times New Roman" w:eastAsia="Times New Roman" w:hAnsi="Times New Roman"/>
            <w:sz w:val="18"/>
            <w:szCs w:val="18"/>
            <w:u w:val="single" w:color="auto"/>
            <w:color w:val="0000EE"/>
          </w:rPr>
          <w:t>Form 8-A (File No. 001-39544)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Commission on October 15, 2021, pursuant to Section 12(b) of the Exchange Act, including any amendment or report filed for the purpose of updating such description, including </w:t>
      </w:r>
      <w:hyperlink r:id="rId51">
        <w:r>
          <w:rPr>
            <w:rFonts w:ascii="Times New Roman" w:cs="Times New Roman" w:eastAsia="Times New Roman" w:hAnsi="Times New Roman"/>
            <w:sz w:val="18"/>
            <w:szCs w:val="18"/>
            <w:u w:val="single" w:color="auto"/>
            <w:color w:val="0000EE"/>
          </w:rPr>
          <w:t>Exhibit 4.9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the Annual Report.</w:t>
      </w:r>
    </w:p>
    <w:p>
      <w:pPr>
        <w:spacing w:after="0" w:line="180" w:lineRule="exact"/>
        <w:rPr>
          <w:rFonts w:ascii="Times New Roman" w:cs="Times New Roman" w:eastAsia="Times New Roman" w:hAnsi="Times New Roman"/>
          <w:sz w:val="18"/>
          <w:szCs w:val="18"/>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All documents filed by the Company with the Commission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documents or information deemed to have been furnished and not filed in accordance with the rules of the Commission (including, without limitation, information furnished under Item 2.02 or Item 7.01 of Current Reports on Form 8-K and the exhibits related to such items furnished under Item 9.01) shall not be deemed incorporated by reference into this Registration Statement.</w:t>
      </w:r>
    </w:p>
    <w:p>
      <w:pPr>
        <w:spacing w:after="0" w:line="189" w:lineRule="exact"/>
        <w:rPr>
          <w:rFonts w:ascii="Times New Roman" w:cs="Times New Roman" w:eastAsia="Times New Roman" w:hAnsi="Times New Roman"/>
          <w:sz w:val="18"/>
          <w:szCs w:val="18"/>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Any statement contained in this Registration Statement, or in a document incorporated or deemed to be incorporated by reference herein, shall be deemed to be modified or superseded for purposes of this Registration Statement to the extent that a statement contained herein or in any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w:t>
      </w:r>
    </w:p>
    <w:p>
      <w:pPr>
        <w:spacing w:after="0" w:line="180" w:lineRule="exact"/>
        <w:rPr>
          <w:rFonts w:ascii="Times New Roman" w:cs="Times New Roman" w:eastAsia="Times New Roman" w:hAnsi="Times New Roman"/>
          <w:sz w:val="18"/>
          <w:szCs w:val="18"/>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 the extent that any information contained in any Current Report on Form 8-K, or any exhibit thereto, is or was furnished to, rather than filed with, the Commission, such information or exhibit is specifically not incorporated by reference.</w:t>
      </w:r>
    </w:p>
    <w:p>
      <w:pPr>
        <w:spacing w:after="0" w:line="26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21" w:lineRule="exact"/>
        <w:rPr>
          <w:rFonts w:ascii="Times New Roman" w:cs="Times New Roman" w:eastAsia="Times New Roman" w:hAnsi="Times New Roman"/>
          <w:sz w:val="18"/>
          <w:szCs w:val="18"/>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Section 145 of the Delaware General Corporate Law (“DGCL”) authorizes a corporation’s board of directors to grant, and authorizes a court to award, indemnity to officers, directors and other corporate agents.</w:t>
      </w:r>
    </w:p>
    <w:p>
      <w:pPr>
        <w:spacing w:after="0" w:line="162" w:lineRule="exact"/>
        <w:rPr>
          <w:rFonts w:ascii="Times New Roman" w:cs="Times New Roman" w:eastAsia="Times New Roman" w:hAnsi="Times New Roman"/>
          <w:sz w:val="18"/>
          <w:szCs w:val="18"/>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The Company’s Amended and Restated Certificate of Incorporation (“Certificate of Incorporation”) contains provisions that limit the liability of the Company’s directors for monetary damages to the fullest extent permitted by the DGCL. Consequently, the Company’s directors will not be personally liable to the Company or its stockholders for monetary damages for any breach of fiduciary duties as directors, except liability for the following:</w:t>
      </w:r>
    </w:p>
    <w:p>
      <w:pPr>
        <w:spacing w:after="0" w:line="63" w:lineRule="exact"/>
        <w:rPr>
          <w:rFonts w:ascii="Times New Roman" w:cs="Times New Roman" w:eastAsia="Times New Roman" w:hAnsi="Times New Roman"/>
          <w:sz w:val="18"/>
          <w:szCs w:val="18"/>
          <w:color w:val="auto"/>
        </w:rPr>
      </w:pPr>
    </w:p>
    <w:p>
      <w:pPr>
        <w:ind w:left="5460" w:right="4940" w:hanging="4924"/>
        <w:spacing w:after="0" w:line="454" w:lineRule="auto"/>
        <w:tabs>
          <w:tab w:leader="none" w:pos="96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their duty of loyalty to the Company or its stockholders; 2</w:t>
      </w:r>
    </w:p>
    <w:p>
      <w:pPr>
        <w:sectPr>
          <w:pgSz w:w="11900" w:h="16838" w:orient="portrait"/>
          <w:cols w:equalWidth="0" w:num="1">
            <w:col w:w="10980"/>
          </w:cols>
          <w:pgMar w:left="440" w:top="270" w:right="479" w:bottom="1440" w:gutter="0" w:footer="0" w:header="0"/>
        </w:sectPr>
      </w:pPr>
    </w:p>
    <w:bookmarkStart w:id="3" w:name="page4"/>
    <w:bookmarkEnd w:id="3"/>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act or omission not in good faith or that involves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DGCL; or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they derived an improper personal benefit.</w:t>
      </w:r>
    </w:p>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Any amendment, repeal or elimination of these provisions will not eliminate or reduce the effect of these provisions in respect of any act, omission or claim that occurred or arose prior to that amendment, repeal or elimination. If the DGCL is amended to provide for further limitations on the personal liability of directors of corporations, then the personal liability of the Company’s directors will be further limited to the greatest extent permitted by the DGCL.</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the Company’s Amended and Restated Bylaws (“By-Laws”) provide that the Company will indemnify its directors and officers, and may indemnify its employees, agents and any other persons, to the fullest extent permitted by the DGCL. The Company’s By-Laws also provide that the Company must advance expenses incurred by or on behalf of a director or officer in advance of the final disposition of any action or proceeding, subject to limited exceptions.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Further, the Company has entered into or will enter into indemnification agreements with each of its directors and executive officers that may be broader than the specific indemnification provisions contained in the DGCL. These indemnification agreements require the Company, among other things, to indemnify its directors and executive officers against liabilities that may arise by reason of their status or service. These indemnification agreements also require the Company to advance all expenses reasonably and actually incurred by the directors and executive officers in investigating or defending any such action, suit or proceeding. The Company believes that these agreements are necessary to attract and retain qualified individuals to serve as directors and executive officers.</w:t>
      </w:r>
    </w:p>
    <w:p>
      <w:pPr>
        <w:spacing w:after="0" w:line="18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included in the Company’s Certificate of Incorporation, By-Laws and the indemnification agreements that the Company has entered into or will enter into with its directors and executive officers may discourage stockholders from bringing a lawsuit against the Company’s directors and executive officers for breach of their fiduciary duties. They may also reduce the likelihood of derivative litigation against the Company’s directors and executive officers, even though an action, if successful, might benefit the Company and its stockholders. Further, a stockholder’s investment may be adversely affected to the extent that the Company pays the costs of settlement and damage awards against directors and executive officers as required by these indemnification provisions.</w:t>
      </w:r>
    </w:p>
    <w:p>
      <w:pPr>
        <w:spacing w:after="0" w:line="18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has obtained insurance policies under which, subject to the limitations of the policies, coverage is provided to the Company’s directors and executive officers against loss arising from claims made by reason of breach of fiduciary duty or other wrongful acts as a director or executive officer, including claims relating to public securities matters, and to the Company with respect to payments that may be made by the Company to these directors and executive officers pursuant to the Company’s indemnification obligations or otherwise as a matter of law.</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Certain of the Company’s non-employee directors may, through their relationships with their employers, be insured and/or indemnified against certain liabilities incurred in their capacity as members of the board of directors.</w:t>
      </w:r>
    </w:p>
    <w:p>
      <w:pPr>
        <w:spacing w:after="0" w:line="162"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the Company pursuant to the foregoing provisions, the Company has been informed that, in the opinion of the Commission, such indemnification is against public policy as expressed in the Securities Act and is therefore unenforceable.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8. Exhibits.</w:t>
      </w:r>
    </w:p>
    <w:p>
      <w:pPr>
        <w:spacing w:after="0" w:line="225"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140" w:type="dxa"/>
            <w:vAlign w:val="bottom"/>
          </w:tcPr>
          <w:p>
            <w:pPr>
              <w:ind w:left="39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8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140" w:type="dxa"/>
            <w:vAlign w:val="bottom"/>
            <w:vMerge w:val="restart"/>
          </w:tcPr>
          <w:p>
            <w:pPr>
              <w:ind w:left="47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101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884" w:right="320" w:hanging="884"/>
        <w:spacing w:after="0" w:line="282" w:lineRule="auto"/>
        <w:tabs>
          <w:tab w:leader="none" w:pos="97" w:val="left"/>
        </w:tabs>
        <w:numPr>
          <w:ilvl w:val="0"/>
          <w:numId w:val="5"/>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hyperlink r:id="rId54">
        <w:r>
          <w:rPr>
            <w:rFonts w:ascii="Times New Roman" w:cs="Times New Roman" w:eastAsia="Times New Roman" w:hAnsi="Times New Roman"/>
            <w:sz w:val="18"/>
            <w:szCs w:val="18"/>
            <w:u w:val="single" w:color="auto"/>
            <w:color w:val="0000EE"/>
          </w:rPr>
          <w:t>Amended and Restated Certificate of Incorporation of Bakkt Holdings, Inc. (incorporated by reference to Exhibit 3.1 to Bakkt Holdings,</w:t>
        </w:r>
      </w:hyperlink>
      <w:r>
        <w:rPr>
          <w:rFonts w:ascii="Times New Roman" w:cs="Times New Roman" w:eastAsia="Times New Roman" w:hAnsi="Times New Roman"/>
          <w:sz w:val="18"/>
          <w:szCs w:val="18"/>
          <w:u w:val="single" w:color="auto"/>
          <w:color w:val="0000EE"/>
        </w:rPr>
        <w:t xml:space="preserve"> </w:t>
      </w:r>
      <w:hyperlink r:id="rId54">
        <w:r>
          <w:rPr>
            <w:rFonts w:ascii="Times New Roman" w:cs="Times New Roman" w:eastAsia="Times New Roman" w:hAnsi="Times New Roman"/>
            <w:sz w:val="18"/>
            <w:szCs w:val="18"/>
            <w:u w:val="single" w:color="auto"/>
            <w:color w:val="0000EE"/>
          </w:rPr>
          <w:t>Inc.’s Current Report on Form 8-K (File No. 001-39544) filed with the SEC on November 3, 2025).</w:t>
        </w:r>
      </w:hyperlink>
    </w:p>
    <w:p>
      <w:pPr>
        <w:spacing w:after="0" w:line="53" w:lineRule="exact"/>
        <w:rPr>
          <w:rFonts w:ascii="Times New Roman" w:cs="Times New Roman" w:eastAsia="Times New Roman" w:hAnsi="Times New Roman"/>
          <w:sz w:val="18"/>
          <w:szCs w:val="18"/>
          <w:u w:val="single" w:color="auto"/>
          <w:color w:val="0000EE"/>
        </w:rPr>
      </w:pPr>
    </w:p>
    <w:p>
      <w:pPr>
        <w:ind w:left="884" w:right="200" w:hanging="884"/>
        <w:spacing w:after="0" w:line="282" w:lineRule="auto"/>
        <w:tabs>
          <w:tab w:leader="none" w:pos="97" w:val="left"/>
        </w:tabs>
        <w:numPr>
          <w:ilvl w:val="0"/>
          <w:numId w:val="5"/>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hyperlink r:id="rId55">
        <w:r>
          <w:rPr>
            <w:rFonts w:ascii="Times New Roman" w:cs="Times New Roman" w:eastAsia="Times New Roman" w:hAnsi="Times New Roman"/>
            <w:sz w:val="18"/>
            <w:szCs w:val="18"/>
            <w:u w:val="single" w:color="auto"/>
            <w:color w:val="0000EE"/>
          </w:rPr>
          <w:t>Amended and Restated Bylaws of Bakkt Holdings, Inc. (incorporated by reference to Exhibit 3.2 to Bakkt Holdings, Inc.’s Current Report</w:t>
        </w:r>
      </w:hyperlink>
      <w:r>
        <w:rPr>
          <w:rFonts w:ascii="Times New Roman" w:cs="Times New Roman" w:eastAsia="Times New Roman" w:hAnsi="Times New Roman"/>
          <w:sz w:val="18"/>
          <w:szCs w:val="18"/>
          <w:u w:val="single" w:color="auto"/>
          <w:color w:val="0000EE"/>
        </w:rPr>
        <w:t xml:space="preserve"> </w:t>
      </w:r>
      <w:hyperlink r:id="rId55">
        <w:r>
          <w:rPr>
            <w:rFonts w:ascii="Times New Roman" w:cs="Times New Roman" w:eastAsia="Times New Roman" w:hAnsi="Times New Roman"/>
            <w:sz w:val="18"/>
            <w:szCs w:val="18"/>
            <w:u w:val="single" w:color="auto"/>
            <w:color w:val="0000EE"/>
          </w:rPr>
          <w:t>on Form 8-K (File No. 001-39544) filed with the SEC on November 3, 2025).</w:t>
        </w:r>
      </w:hyperlink>
    </w:p>
    <w:p>
      <w:pPr>
        <w:spacing w:after="0" w:line="40" w:lineRule="exact"/>
        <w:rPr>
          <w:rFonts w:ascii="Times New Roman" w:cs="Times New Roman" w:eastAsia="Times New Roman" w:hAnsi="Times New Roman"/>
          <w:sz w:val="18"/>
          <w:szCs w:val="18"/>
          <w:color w:val="auto"/>
        </w:rPr>
      </w:pPr>
    </w:p>
    <w:tbl>
      <w:tblPr>
        <w:tblLayout w:type="fixed"/>
        <w:tblInd w:w="4"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99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Specimen Class A Common Stock Certificate of the Company (incorporated by reference to Exhibit 4.1 to the Company’s Form 8-K filed</w:t>
              </w:r>
            </w:hyperlink>
          </w:p>
        </w:tc>
      </w:tr>
      <w:tr>
        <w:trPr>
          <w:trHeight w:val="196"/>
        </w:trPr>
        <w:tc>
          <w:tcPr>
            <w:tcW w:w="880" w:type="dxa"/>
            <w:vAlign w:val="bottom"/>
          </w:tcPr>
          <w:p>
            <w:pPr>
              <w:spacing w:after="0"/>
              <w:rPr>
                <w:sz w:val="17"/>
                <w:szCs w:val="17"/>
                <w:color w:val="auto"/>
              </w:rPr>
            </w:pPr>
          </w:p>
        </w:tc>
        <w:tc>
          <w:tcPr>
            <w:tcW w:w="9920" w:type="dxa"/>
            <w:vAlign w:val="bottom"/>
            <w:gridSpan w:val="2"/>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with the Commission on October 21, 2021).</w:t>
              </w:r>
            </w:hyperlink>
          </w:p>
        </w:tc>
      </w:tr>
      <w:tr>
        <w:trPr>
          <w:trHeight w:val="20"/>
        </w:trPr>
        <w:tc>
          <w:tcPr>
            <w:tcW w:w="88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bl>
    <w:p>
      <w:pPr>
        <w:spacing w:after="0" w:line="117" w:lineRule="exact"/>
        <w:rPr>
          <w:sz w:val="20"/>
          <w:szCs w:val="20"/>
          <w:color w:val="auto"/>
        </w:rPr>
      </w:pPr>
    </w:p>
    <w:p>
      <w:pPr>
        <w:ind w:left="884" w:right="120" w:hanging="884"/>
        <w:spacing w:after="0" w:line="282" w:lineRule="auto"/>
        <w:tabs>
          <w:tab w:leader="none" w:pos="97" w:val="left"/>
        </w:tabs>
        <w:numPr>
          <w:ilvl w:val="0"/>
          <w:numId w:val="6"/>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w:t>
      </w:r>
      <w:hyperlink r:id="rId57">
        <w:r>
          <w:rPr>
            <w:rFonts w:ascii="Times New Roman" w:cs="Times New Roman" w:eastAsia="Times New Roman" w:hAnsi="Times New Roman"/>
            <w:sz w:val="18"/>
            <w:szCs w:val="18"/>
            <w:u w:val="single" w:color="auto"/>
            <w:color w:val="0000EE"/>
          </w:rPr>
          <w:t>Form of Performance Stock Unit Agreement by and between the Company and Akshay Naheta (incorporated by reference to Exhibit 4.4 to</w:t>
        </w:r>
      </w:hyperlink>
      <w:r>
        <w:rPr>
          <w:rFonts w:ascii="Times New Roman" w:cs="Times New Roman" w:eastAsia="Times New Roman" w:hAnsi="Times New Roman"/>
          <w:sz w:val="18"/>
          <w:szCs w:val="18"/>
          <w:u w:val="single" w:color="auto"/>
          <w:color w:val="0000EE"/>
        </w:rPr>
        <w:t xml:space="preserve"> </w:t>
      </w:r>
      <w:hyperlink r:id="rId57">
        <w:r>
          <w:rPr>
            <w:rFonts w:ascii="Times New Roman" w:cs="Times New Roman" w:eastAsia="Times New Roman" w:hAnsi="Times New Roman"/>
            <w:sz w:val="18"/>
            <w:szCs w:val="18"/>
            <w:u w:val="single" w:color="auto"/>
            <w:color w:val="0000EE"/>
          </w:rPr>
          <w:t>the Company’s Registration Statement on Form S-8 filed with the SEC on April 18, 2025).</w:t>
        </w:r>
      </w:hyperlink>
    </w:p>
    <w:p>
      <w:pPr>
        <w:spacing w:after="0" w:line="53" w:lineRule="exact"/>
        <w:rPr>
          <w:rFonts w:ascii="Times New Roman" w:cs="Times New Roman" w:eastAsia="Times New Roman" w:hAnsi="Times New Roman"/>
          <w:sz w:val="18"/>
          <w:szCs w:val="18"/>
          <w:u w:val="single" w:color="auto"/>
          <w:color w:val="0000EE"/>
        </w:rPr>
      </w:pPr>
    </w:p>
    <w:p>
      <w:pPr>
        <w:ind w:left="884" w:right="60" w:hanging="884"/>
        <w:spacing w:after="0" w:line="282" w:lineRule="auto"/>
        <w:tabs>
          <w:tab w:leader="none" w:pos="97" w:val="left"/>
        </w:tabs>
        <w:numPr>
          <w:ilvl w:val="0"/>
          <w:numId w:val="6"/>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4.3</w:t>
      </w:r>
      <w:hyperlink r:id="rId58">
        <w:r>
          <w:rPr>
            <w:rFonts w:ascii="Times New Roman" w:cs="Times New Roman" w:eastAsia="Times New Roman" w:hAnsi="Times New Roman"/>
            <w:sz w:val="18"/>
            <w:szCs w:val="18"/>
            <w:u w:val="single" w:color="auto"/>
            <w:color w:val="0000EE"/>
          </w:rPr>
          <w:t>Form of Restricted Stock Unit Agreement by and between the Company and Akshay Naheta (incorporated by reference to Exhibit 4.5 to the</w:t>
        </w:r>
      </w:hyperlink>
      <w:r>
        <w:rPr>
          <w:rFonts w:ascii="Times New Roman" w:cs="Times New Roman" w:eastAsia="Times New Roman" w:hAnsi="Times New Roman"/>
          <w:sz w:val="18"/>
          <w:szCs w:val="18"/>
          <w:u w:val="single" w:color="auto"/>
          <w:color w:val="0000EE"/>
        </w:rPr>
        <w:t xml:space="preserve"> </w:t>
      </w:r>
      <w:hyperlink r:id="rId58">
        <w:r>
          <w:rPr>
            <w:rFonts w:ascii="Times New Roman" w:cs="Times New Roman" w:eastAsia="Times New Roman" w:hAnsi="Times New Roman"/>
            <w:sz w:val="18"/>
            <w:szCs w:val="18"/>
            <w:u w:val="single" w:color="auto"/>
            <w:color w:val="0000EE"/>
          </w:rPr>
          <w:t>Company’s Registration Statement on Form S-8 filed with the SEC on April 18, 2025).</w:t>
        </w:r>
      </w:hyperlink>
    </w:p>
    <w:p>
      <w:pPr>
        <w:spacing w:after="0" w:line="53" w:lineRule="exact"/>
        <w:rPr>
          <w:rFonts w:ascii="Times New Roman" w:cs="Times New Roman" w:eastAsia="Times New Roman" w:hAnsi="Times New Roman"/>
          <w:sz w:val="18"/>
          <w:szCs w:val="18"/>
          <w:u w:val="single" w:color="auto"/>
          <w:color w:val="0000EE"/>
        </w:rPr>
      </w:pPr>
    </w:p>
    <w:p>
      <w:pPr>
        <w:ind w:left="84" w:hanging="84"/>
        <w:spacing w:after="0"/>
        <w:tabs>
          <w:tab w:leader="none" w:pos="84"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5.1</w:t>
      </w:r>
      <w:r>
        <w:rPr>
          <w:rFonts w:ascii="Times New Roman" w:cs="Times New Roman" w:eastAsia="Times New Roman" w:hAnsi="Times New Roman"/>
          <w:sz w:val="17"/>
          <w:szCs w:val="17"/>
          <w:u w:val="single" w:color="auto"/>
          <w:color w:val="0000EE"/>
        </w:rPr>
        <w:t>Opinion of Sullivan &amp; Cromwell LLP.</w:t>
      </w:r>
    </w:p>
    <w:p>
      <w:pPr>
        <w:spacing w:after="0" w:line="129" w:lineRule="exact"/>
        <w:rPr>
          <w:rFonts w:ascii="Times New Roman" w:cs="Times New Roman" w:eastAsia="Times New Roman" w:hAnsi="Times New Roman"/>
          <w:sz w:val="18"/>
          <w:szCs w:val="18"/>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Ernst &amp; Young LLP, independent registered public accounting firm of the Company.</w:t>
      </w:r>
    </w:p>
    <w:p>
      <w:pPr>
        <w:spacing w:after="0" w:line="117" w:lineRule="exact"/>
        <w:rPr>
          <w:rFonts w:ascii="Times New Roman" w:cs="Times New Roman" w:eastAsia="Times New Roman" w:hAnsi="Times New Roman"/>
          <w:sz w:val="18"/>
          <w:szCs w:val="18"/>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u w:val="single" w:color="auto"/>
          <w:color w:val="0000EE"/>
        </w:rPr>
        <w:t>Consent of KPMG LLP, independent registered public accounting firm of the Company.</w:t>
      </w:r>
    </w:p>
    <w:p>
      <w:pPr>
        <w:spacing w:after="0" w:line="117" w:lineRule="exact"/>
        <w:rPr>
          <w:rFonts w:ascii="Times New Roman" w:cs="Times New Roman" w:eastAsia="Times New Roman" w:hAnsi="Times New Roman"/>
          <w:sz w:val="18"/>
          <w:szCs w:val="18"/>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23.3</w:t>
      </w:r>
      <w:r>
        <w:rPr>
          <w:sz w:val="20"/>
          <w:szCs w:val="20"/>
          <w:color w:val="auto"/>
        </w:rPr>
        <w:tab/>
      </w:r>
      <w:r>
        <w:rPr>
          <w:rFonts w:ascii="Times New Roman" w:cs="Times New Roman" w:eastAsia="Times New Roman" w:hAnsi="Times New Roman"/>
          <w:sz w:val="17"/>
          <w:szCs w:val="17"/>
          <w:u w:val="single" w:color="auto"/>
          <w:color w:val="0000EE"/>
        </w:rPr>
        <w:t>Consent of Sullivan &amp; Cromwell LLP (included in Exhibit 5.1).</w:t>
      </w:r>
    </w:p>
    <w:p>
      <w:pPr>
        <w:spacing w:after="0" w:line="117" w:lineRule="exact"/>
        <w:rPr>
          <w:rFonts w:ascii="Times New Roman" w:cs="Times New Roman" w:eastAsia="Times New Roman" w:hAnsi="Times New Roman"/>
          <w:sz w:val="18"/>
          <w:szCs w:val="18"/>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7"/>
          <w:szCs w:val="17"/>
          <w:u w:val="single" w:color="auto"/>
          <w:color w:val="0000EE"/>
        </w:rPr>
        <w:t>Power of Attorney (included on signature page).</w:t>
      </w:r>
    </w:p>
    <w:p>
      <w:pPr>
        <w:spacing w:after="0" w:line="370" w:lineRule="exact"/>
        <w:rPr>
          <w:rFonts w:ascii="Times New Roman" w:cs="Times New Roman" w:eastAsia="Times New Roman" w:hAnsi="Times New Roman"/>
          <w:sz w:val="18"/>
          <w:szCs w:val="18"/>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35"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1084" w:hanging="221"/>
        <w:spacing w:after="0"/>
        <w:tabs>
          <w:tab w:leader="none" w:pos="1084"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17" w:lineRule="exact"/>
        <w:rPr>
          <w:rFonts w:ascii="Times New Roman" w:cs="Times New Roman" w:eastAsia="Times New Roman" w:hAnsi="Times New Roman"/>
          <w:sz w:val="18"/>
          <w:szCs w:val="18"/>
          <w:color w:val="auto"/>
        </w:rPr>
      </w:pPr>
    </w:p>
    <w:p>
      <w:pPr>
        <w:ind w:left="444" w:right="20" w:firstLine="419"/>
        <w:spacing w:after="0" w:line="255" w:lineRule="auto"/>
        <w:tabs>
          <w:tab w:leader="none" w:pos="1132"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or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80" w:lineRule="exact"/>
        <w:rPr>
          <w:rFonts w:ascii="Times New Roman" w:cs="Times New Roman" w:eastAsia="Times New Roman" w:hAnsi="Times New Roman"/>
          <w:sz w:val="18"/>
          <w:szCs w:val="18"/>
          <w:color w:val="auto"/>
        </w:rPr>
      </w:pPr>
    </w:p>
    <w:p>
      <w:pPr>
        <w:ind w:left="444" w:right="120" w:firstLine="419"/>
        <w:spacing w:after="0" w:line="256" w:lineRule="auto"/>
        <w:tabs>
          <w:tab w:leader="none" w:pos="1182"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include any material information with respect to the plan of distribution not previously disclosed in the registration statement or any material change to such information in the registration statement;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paragraphs (1)(i), (1)(ii) and (1)(iii) do not apply if the information required to be included in a post-effective amendment by those paragraphs is contained in reports filed with or furnished to the Commission by the registrant pursuant to Section 13 or Section 15(d) of the Securities Exchange Act of 1934, as amended, or the Exchange Act, that are incorporated by reference in the registration statement, or is contained in a form of prospectus filed pursuant to Rule 424(b) that is part of the registration statement.</w:t>
      </w:r>
    </w:p>
    <w:p>
      <w:pPr>
        <w:spacing w:after="0" w:line="92" w:lineRule="exact"/>
        <w:rPr>
          <w:rFonts w:ascii="Times New Roman" w:cs="Times New Roman" w:eastAsia="Times New Roman" w:hAnsi="Times New Roman"/>
          <w:sz w:val="18"/>
          <w:szCs w:val="18"/>
          <w:color w:val="auto"/>
        </w:rPr>
      </w:pPr>
    </w:p>
    <w:p>
      <w:pPr>
        <w:ind w:left="964" w:right="20" w:hanging="532"/>
        <w:spacing w:after="0" w:line="266" w:lineRule="auto"/>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81" w:lineRule="exact"/>
        <w:rPr>
          <w:rFonts w:ascii="Times New Roman" w:cs="Times New Roman" w:eastAsia="Times New Roman" w:hAnsi="Times New Roman"/>
          <w:sz w:val="18"/>
          <w:szCs w:val="18"/>
          <w:color w:val="auto"/>
        </w:rPr>
      </w:pPr>
    </w:p>
    <w:p>
      <w:pPr>
        <w:ind w:left="964" w:right="420" w:hanging="532"/>
        <w:spacing w:after="0" w:line="282" w:lineRule="auto"/>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94" w:lineRule="exact"/>
        <w:rPr>
          <w:rFonts w:ascii="Times New Roman" w:cs="Times New Roman" w:eastAsia="Times New Roman" w:hAnsi="Times New Roman"/>
          <w:sz w:val="18"/>
          <w:szCs w:val="18"/>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4"/>
          </w:cols>
          <w:pgMar w:left="436" w:top="266" w:right="439" w:bottom="1440" w:gutter="0" w:footer="0" w:header="0"/>
        </w:sectPr>
      </w:pPr>
    </w:p>
    <w:bookmarkStart w:id="5" w:name="page6"/>
    <w:bookmarkEnd w:id="5"/>
    <w:p>
      <w:pPr>
        <w:ind w:left="964" w:hanging="532"/>
        <w:spacing w:after="0"/>
        <w:tabs>
          <w:tab w:leader="none" w:pos="9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for the purpose of determining liability under the Securities Act to any purchaser:</w:t>
      </w:r>
    </w:p>
    <w:p>
      <w:pPr>
        <w:spacing w:after="0" w:line="117" w:lineRule="exact"/>
        <w:rPr>
          <w:rFonts w:ascii="Times New Roman" w:cs="Times New Roman" w:eastAsia="Times New Roman" w:hAnsi="Times New Roman"/>
          <w:sz w:val="18"/>
          <w:szCs w:val="18"/>
          <w:color w:val="auto"/>
        </w:rPr>
      </w:pPr>
    </w:p>
    <w:p>
      <w:pPr>
        <w:ind w:left="444" w:right="240" w:firstLine="419"/>
        <w:spacing w:after="0" w:line="282" w:lineRule="auto"/>
        <w:tabs>
          <w:tab w:leader="none" w:pos="1082"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3" w:lineRule="exact"/>
        <w:rPr>
          <w:rFonts w:ascii="Times New Roman" w:cs="Times New Roman" w:eastAsia="Times New Roman" w:hAnsi="Times New Roman"/>
          <w:sz w:val="18"/>
          <w:szCs w:val="18"/>
          <w:color w:val="auto"/>
        </w:rPr>
      </w:pPr>
    </w:p>
    <w:p>
      <w:pPr>
        <w:ind w:left="444" w:right="40" w:firstLine="419"/>
        <w:spacing w:after="0" w:line="253" w:lineRule="auto"/>
        <w:tabs>
          <w:tab w:leader="none" w:pos="1132"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97" w:lineRule="exact"/>
        <w:rPr>
          <w:rFonts w:ascii="Times New Roman" w:cs="Times New Roman" w:eastAsia="Times New Roman" w:hAnsi="Times New Roman"/>
          <w:sz w:val="18"/>
          <w:szCs w:val="18"/>
          <w:color w:val="auto"/>
        </w:rPr>
      </w:pPr>
    </w:p>
    <w:p>
      <w:pPr>
        <w:ind w:left="964" w:hanging="532"/>
        <w:spacing w:after="0" w:line="258" w:lineRule="auto"/>
        <w:tabs>
          <w:tab w:leader="none" w:pos="9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a registrant under the Securities Act to any purchaser in the initial distribution of the securities, the undersigned registrant undertakes that in a primary offering of securities of such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5" w:lineRule="exact"/>
        <w:rPr>
          <w:rFonts w:ascii="Times New Roman" w:cs="Times New Roman" w:eastAsia="Times New Roman" w:hAnsi="Times New Roman"/>
          <w:sz w:val="18"/>
          <w:szCs w:val="18"/>
          <w:color w:val="auto"/>
        </w:rPr>
      </w:pPr>
    </w:p>
    <w:p>
      <w:pPr>
        <w:ind w:left="1084" w:hanging="221"/>
        <w:spacing w:after="0"/>
        <w:tabs>
          <w:tab w:leader="none" w:pos="108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117" w:lineRule="exact"/>
        <w:rPr>
          <w:rFonts w:ascii="Times New Roman" w:cs="Times New Roman" w:eastAsia="Times New Roman" w:hAnsi="Times New Roman"/>
          <w:sz w:val="18"/>
          <w:szCs w:val="18"/>
          <w:color w:val="auto"/>
        </w:rPr>
      </w:pPr>
    </w:p>
    <w:p>
      <w:pPr>
        <w:ind w:left="444" w:right="280" w:firstLine="419"/>
        <w:spacing w:after="0" w:line="282" w:lineRule="auto"/>
        <w:tabs>
          <w:tab w:leader="none" w:pos="1132"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53" w:lineRule="exact"/>
        <w:rPr>
          <w:rFonts w:ascii="Times New Roman" w:cs="Times New Roman" w:eastAsia="Times New Roman" w:hAnsi="Times New Roman"/>
          <w:sz w:val="18"/>
          <w:szCs w:val="18"/>
          <w:color w:val="auto"/>
        </w:rPr>
      </w:pPr>
    </w:p>
    <w:p>
      <w:pPr>
        <w:ind w:left="444" w:right="60" w:firstLine="419"/>
        <w:spacing w:after="0" w:line="282" w:lineRule="auto"/>
        <w:tabs>
          <w:tab w:leader="none" w:pos="1182"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53" w:lineRule="exact"/>
        <w:rPr>
          <w:rFonts w:ascii="Times New Roman" w:cs="Times New Roman" w:eastAsia="Times New Roman" w:hAnsi="Times New Roman"/>
          <w:sz w:val="18"/>
          <w:szCs w:val="18"/>
          <w:color w:val="auto"/>
        </w:rPr>
      </w:pPr>
    </w:p>
    <w:p>
      <w:pPr>
        <w:ind w:left="1164" w:hanging="301"/>
        <w:spacing w:after="0"/>
        <w:tabs>
          <w:tab w:leader="none" w:pos="116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30" w:lineRule="exact"/>
        <w:rPr>
          <w:rFonts w:ascii="Times New Roman" w:cs="Times New Roman" w:eastAsia="Times New Roman" w:hAnsi="Times New Roman"/>
          <w:sz w:val="18"/>
          <w:szCs w:val="18"/>
          <w:color w:val="auto"/>
        </w:rPr>
      </w:pPr>
    </w:p>
    <w:p>
      <w:pPr>
        <w:ind w:left="964" w:right="40" w:hanging="532"/>
        <w:spacing w:after="0" w:line="258" w:lineRule="auto"/>
        <w:tabs>
          <w:tab w:leader="none" w:pos="9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210" w:lineRule="exact"/>
        <w:rPr>
          <w:rFonts w:ascii="Times New Roman" w:cs="Times New Roman" w:eastAsia="Times New Roman" w:hAnsi="Times New Roman"/>
          <w:sz w:val="18"/>
          <w:szCs w:val="18"/>
          <w:color w:val="auto"/>
        </w:rPr>
      </w:pPr>
    </w:p>
    <w:p>
      <w:pPr>
        <w:ind w:left="424" w:right="60" w:hanging="424"/>
        <w:spacing w:after="0" w:line="254"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S-8 and has duly caused this Post-Effective Amendment No. 1 to the Registration Statement to be signed on its behalf by the undersigned, thereunto duly authorized, in the City of New York, State of New York, on November 10, 2025.</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Akshay Naheta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Akshay Naheta</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 AND SIGNATURES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KNOW ALL BY THESE PRESENT, that each individual whose signature appears below hereby constitutes and appoints each of Akshay Naheta, Marc D’Annunzio and Karen Alexander, and each or any one of them, as such person’s true and lawful attorney-in-fact and agent with full power of substitution and resubstitution, for such person in such person’s name, place and stead, in any and all capacities, to sign any and all amendments (including any further post-effective amendments) to this Registration Statement on Form S-8, and to file the same, with all exhibits thereto, and all documents in connection therewith, with the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spacing w:after="0" w:line="19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Post-Effective Amendment No. 1 to the Registration Statement has been signed by the following persons in the capacities and on the 10th day of November, 2025.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80" w:type="dxa"/>
            <w:vAlign w:val="bottom"/>
            <w:tcBorders>
              <w:bottom w:val="single" w:sz="8" w:color="auto"/>
            </w:tcBorders>
          </w:tcPr>
          <w:p>
            <w:pPr>
              <w:ind w:left="25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280" w:type="dxa"/>
            <w:vAlign w:val="bottom"/>
            <w:tcBorders>
              <w:bottom w:val="single" w:sz="8" w:color="auto"/>
            </w:tcBorders>
          </w:tcPr>
          <w:p>
            <w:pPr>
              <w:ind w:left="250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412"/>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Akshay Naheta</w:t>
            </w:r>
          </w:p>
        </w:tc>
        <w:tc>
          <w:tcPr>
            <w:tcW w:w="1340" w:type="dxa"/>
            <w:vAlign w:val="bottom"/>
            <w:tcBorders>
              <w:bottom w:val="single" w:sz="8" w:color="auto"/>
            </w:tcBorders>
          </w:tcPr>
          <w:p>
            <w:pPr>
              <w:spacing w:after="0"/>
              <w:rPr>
                <w:sz w:val="24"/>
                <w:szCs w:val="24"/>
                <w:color w:val="auto"/>
              </w:rPr>
            </w:pP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28"/>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Akshay Naheta</w:t>
            </w:r>
          </w:p>
        </w:tc>
        <w:tc>
          <w:tcPr>
            <w:tcW w:w="1340" w:type="dxa"/>
            <w:vAlign w:val="bottom"/>
          </w:tcPr>
          <w:p>
            <w:pPr>
              <w:spacing w:after="0"/>
              <w:rPr>
                <w:sz w:val="19"/>
                <w:szCs w:val="19"/>
                <w:color w:val="auto"/>
              </w:rPr>
            </w:pP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Karen Alexander</w:t>
            </w:r>
          </w:p>
        </w:tc>
        <w:tc>
          <w:tcPr>
            <w:tcW w:w="1340" w:type="dxa"/>
            <w:vAlign w:val="bottom"/>
            <w:tcBorders>
              <w:bottom w:val="single" w:sz="8" w:color="auto"/>
            </w:tcBorders>
          </w:tcPr>
          <w:p>
            <w:pPr>
              <w:spacing w:after="0"/>
              <w:rPr>
                <w:sz w:val="24"/>
                <w:szCs w:val="24"/>
                <w:color w:val="auto"/>
              </w:rPr>
            </w:pP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8"/>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Karen Alexander</w:t>
            </w:r>
          </w:p>
        </w:tc>
        <w:tc>
          <w:tcPr>
            <w:tcW w:w="1340" w:type="dxa"/>
            <w:vAlign w:val="bottom"/>
          </w:tcPr>
          <w:p>
            <w:pPr>
              <w:spacing w:after="0"/>
              <w:rPr>
                <w:sz w:val="19"/>
                <w:szCs w:val="19"/>
                <w:color w:val="auto"/>
              </w:rPr>
            </w:pP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27"/>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Henderson</w:t>
            </w:r>
          </w:p>
        </w:tc>
        <w:tc>
          <w:tcPr>
            <w:tcW w:w="1340" w:type="dxa"/>
            <w:vAlign w:val="bottom"/>
            <w:tcBorders>
              <w:bottom w:val="single" w:sz="8" w:color="auto"/>
            </w:tcBorders>
          </w:tcPr>
          <w:p>
            <w:pPr>
              <w:spacing w:after="0"/>
              <w:rPr>
                <w:sz w:val="24"/>
                <w:szCs w:val="24"/>
                <w:color w:val="auto"/>
              </w:rPr>
            </w:pP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28"/>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Joseph Henderson</w:t>
            </w:r>
          </w:p>
        </w:tc>
        <w:tc>
          <w:tcPr>
            <w:tcW w:w="1340" w:type="dxa"/>
            <w:vAlign w:val="bottom"/>
          </w:tcPr>
          <w:p>
            <w:pPr>
              <w:spacing w:after="0"/>
              <w:rPr>
                <w:sz w:val="19"/>
                <w:szCs w:val="19"/>
                <w:color w:val="auto"/>
              </w:rPr>
            </w:pP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427"/>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Sean Collins</w:t>
            </w:r>
          </w:p>
        </w:tc>
        <w:tc>
          <w:tcPr>
            <w:tcW w:w="1340" w:type="dxa"/>
            <w:vAlign w:val="bottom"/>
            <w:tcBorders>
              <w:bottom w:val="single" w:sz="8" w:color="auto"/>
            </w:tcBorders>
          </w:tcPr>
          <w:p>
            <w:pPr>
              <w:spacing w:after="0"/>
              <w:rPr>
                <w:sz w:val="24"/>
                <w:szCs w:val="24"/>
                <w:color w:val="auto"/>
              </w:rPr>
            </w:pP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Chair of the Board of Directors</w:t>
            </w:r>
          </w:p>
        </w:tc>
      </w:tr>
      <w:tr>
        <w:trPr>
          <w:trHeight w:val="228"/>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Sean Collins</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80" w:type="dxa"/>
            <w:vAlign w:val="bottom"/>
          </w:tcPr>
          <w:p>
            <w:pPr>
              <w:spacing w:after="0"/>
              <w:rPr>
                <w:sz w:val="19"/>
                <w:szCs w:val="19"/>
                <w:color w:val="auto"/>
              </w:rPr>
            </w:pPr>
          </w:p>
        </w:tc>
      </w:tr>
      <w:tr>
        <w:trPr>
          <w:trHeight w:val="427"/>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Madelyn Alden Schwartzer</w:t>
            </w:r>
          </w:p>
        </w:tc>
        <w:tc>
          <w:tcPr>
            <w:tcW w:w="1340" w:type="dxa"/>
            <w:vAlign w:val="bottom"/>
            <w:tcBorders>
              <w:bottom w:val="single" w:sz="8" w:color="auto"/>
            </w:tcBorders>
          </w:tcPr>
          <w:p>
            <w:pPr>
              <w:spacing w:after="0"/>
              <w:rPr>
                <w:sz w:val="24"/>
                <w:szCs w:val="24"/>
                <w:color w:val="auto"/>
              </w:rPr>
            </w:pP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Madelyn Alden Schwartzer</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80" w:type="dxa"/>
            <w:vAlign w:val="bottom"/>
          </w:tcPr>
          <w:p>
            <w:pPr>
              <w:spacing w:after="0"/>
              <w:rPr>
                <w:sz w:val="19"/>
                <w:szCs w:val="19"/>
                <w:color w:val="auto"/>
              </w:rPr>
            </w:pPr>
          </w:p>
        </w:tc>
      </w:tr>
      <w:tr>
        <w:trPr>
          <w:trHeight w:val="427"/>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Alfred</w:t>
            </w:r>
          </w:p>
        </w:tc>
        <w:tc>
          <w:tcPr>
            <w:tcW w:w="1340" w:type="dxa"/>
            <w:vAlign w:val="bottom"/>
            <w:tcBorders>
              <w:bottom w:val="single" w:sz="8" w:color="auto"/>
            </w:tcBorders>
          </w:tcPr>
          <w:p>
            <w:pPr>
              <w:spacing w:after="0"/>
              <w:rPr>
                <w:sz w:val="24"/>
                <w:szCs w:val="24"/>
                <w:color w:val="auto"/>
              </w:rPr>
            </w:pP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Michael Alfred</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80" w:type="dxa"/>
            <w:vAlign w:val="bottom"/>
          </w:tcPr>
          <w:p>
            <w:pPr>
              <w:spacing w:after="0"/>
              <w:rPr>
                <w:sz w:val="19"/>
                <w:szCs w:val="19"/>
                <w:color w:val="auto"/>
              </w:rPr>
            </w:pPr>
          </w:p>
        </w:tc>
      </w:tr>
      <w:tr>
        <w:trPr>
          <w:trHeight w:val="427"/>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Colleen Brown</w:t>
            </w:r>
          </w:p>
        </w:tc>
        <w:tc>
          <w:tcPr>
            <w:tcW w:w="1340" w:type="dxa"/>
            <w:vAlign w:val="bottom"/>
            <w:tcBorders>
              <w:bottom w:val="single" w:sz="8" w:color="auto"/>
            </w:tcBorders>
          </w:tcPr>
          <w:p>
            <w:pPr>
              <w:spacing w:after="0"/>
              <w:rPr>
                <w:sz w:val="24"/>
                <w:szCs w:val="24"/>
                <w:color w:val="auto"/>
              </w:rPr>
            </w:pP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Colleen Brown</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80" w:type="dxa"/>
            <w:vAlign w:val="bottom"/>
          </w:tcPr>
          <w:p>
            <w:pPr>
              <w:spacing w:after="0"/>
              <w:rPr>
                <w:sz w:val="19"/>
                <w:szCs w:val="19"/>
                <w:color w:val="auto"/>
              </w:rPr>
            </w:pPr>
          </w:p>
        </w:tc>
      </w:tr>
      <w:tr>
        <w:trPr>
          <w:trHeight w:val="360"/>
        </w:trPr>
        <w:tc>
          <w:tcPr>
            <w:tcW w:w="42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4"/>
                <w:szCs w:val="24"/>
                <w:color w:val="auto"/>
              </w:rPr>
            </w:pPr>
          </w:p>
        </w:tc>
        <w:tc>
          <w:tcPr>
            <w:tcW w:w="528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730885</wp:posOffset>
            </wp:positionH>
            <wp:positionV relativeFrom="page">
              <wp:posOffset>380365</wp:posOffset>
            </wp:positionV>
            <wp:extent cx="266573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266573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7"/>
          <w:szCs w:val="17"/>
          <w:color w:val="auto"/>
        </w:rPr>
        <w:t>TELEPHONE: 1-212-558-4000</w:t>
      </w:r>
    </w:p>
    <w:p>
      <w:pPr>
        <w:spacing w:after="0" w:line="39"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8"/>
          <w:szCs w:val="18"/>
          <w:color w:val="auto"/>
        </w:rPr>
        <w:t>FACSIMILE: 1-212-558-3588</w:t>
      </w:r>
    </w:p>
    <w:p>
      <w:pPr>
        <w:spacing w:after="0" w:line="9"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8"/>
          <w:szCs w:val="18"/>
          <w:color w:val="auto"/>
        </w:rPr>
        <w:t>WWW.SULLCROM.COM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ind w:right="4060"/>
        <w:spacing w:after="0"/>
        <w:rPr>
          <w:sz w:val="20"/>
          <w:szCs w:val="20"/>
          <w:color w:val="auto"/>
        </w:rPr>
      </w:pPr>
      <w:r>
        <w:rPr>
          <w:rFonts w:ascii="Times New Roman" w:cs="Times New Roman" w:eastAsia="Times New Roman" w:hAnsi="Times New Roman"/>
          <w:sz w:val="17"/>
          <w:szCs w:val="17"/>
          <w:color w:val="auto"/>
        </w:rPr>
        <w:t>Bakkt Holdings, Inc.,</w:t>
      </w:r>
    </w:p>
    <w:p>
      <w:pPr>
        <w:spacing w:after="0" w:line="39" w:lineRule="exact"/>
        <w:rPr>
          <w:sz w:val="20"/>
          <w:szCs w:val="20"/>
          <w:color w:val="auto"/>
        </w:rPr>
      </w:pPr>
    </w:p>
    <w:p>
      <w:pPr>
        <w:jc w:val="right"/>
        <w:ind w:right="3920"/>
        <w:spacing w:after="0"/>
        <w:rPr>
          <w:sz w:val="20"/>
          <w:szCs w:val="20"/>
          <w:color w:val="auto"/>
        </w:rPr>
      </w:pPr>
      <w:r>
        <w:rPr>
          <w:rFonts w:ascii="Times New Roman" w:cs="Times New Roman" w:eastAsia="Times New Roman" w:hAnsi="Times New Roman"/>
          <w:sz w:val="18"/>
          <w:szCs w:val="18"/>
          <w:color w:val="auto"/>
        </w:rPr>
        <w:t>One Liberty Plaza,</w:t>
      </w:r>
    </w:p>
    <w:p>
      <w:pPr>
        <w:spacing w:after="0" w:line="9" w:lineRule="exact"/>
        <w:rPr>
          <w:sz w:val="20"/>
          <w:szCs w:val="20"/>
          <w:color w:val="auto"/>
        </w:rPr>
      </w:pPr>
    </w:p>
    <w:p>
      <w:pPr>
        <w:jc w:val="right"/>
        <w:ind w:right="2460"/>
        <w:spacing w:after="0"/>
        <w:rPr>
          <w:sz w:val="20"/>
          <w:szCs w:val="20"/>
          <w:color w:val="auto"/>
        </w:rPr>
      </w:pPr>
      <w:r>
        <w:rPr>
          <w:rFonts w:ascii="Times New Roman" w:cs="Times New Roman" w:eastAsia="Times New Roman" w:hAnsi="Times New Roman"/>
          <w:sz w:val="18"/>
          <w:szCs w:val="18"/>
          <w:color w:val="auto"/>
        </w:rPr>
        <w:t>One Liberty Street, Suite 305-306,</w:t>
      </w:r>
    </w:p>
    <w:p>
      <w:pPr>
        <w:spacing w:after="0" w:line="9" w:lineRule="exact"/>
        <w:rPr>
          <w:sz w:val="20"/>
          <w:szCs w:val="20"/>
          <w:color w:val="auto"/>
        </w:rPr>
      </w:pPr>
    </w:p>
    <w:p>
      <w:pPr>
        <w:jc w:val="right"/>
        <w:ind w:right="2460"/>
        <w:spacing w:after="0"/>
        <w:rPr>
          <w:sz w:val="20"/>
          <w:szCs w:val="20"/>
          <w:color w:val="auto"/>
        </w:rPr>
      </w:pPr>
      <w:r>
        <w:rPr>
          <w:rFonts w:ascii="Times New Roman" w:cs="Times New Roman" w:eastAsia="Times New Roman" w:hAnsi="Times New Roman"/>
          <w:sz w:val="18"/>
          <w:szCs w:val="18"/>
          <w:color w:val="auto"/>
        </w:rPr>
        <w:t>New York, New York, 10006.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b w:val="1"/>
          <w:bCs w:val="1"/>
          <w:color w:val="auto"/>
        </w:rPr>
        <w:t>125 Broad Street</w:t>
      </w:r>
    </w:p>
    <w:p>
      <w:pPr>
        <w:spacing w:after="0" w:line="3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New York, New York 10004-2498</w:t>
      </w:r>
    </w:p>
    <w:p>
      <w:pPr>
        <w:spacing w:after="0" w:line="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960755</wp:posOffset>
            </wp:positionH>
            <wp:positionV relativeFrom="paragraph">
              <wp:posOffset>-19050</wp:posOffset>
            </wp:positionV>
            <wp:extent cx="6858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3">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92" w:lineRule="exact"/>
        <w:rPr>
          <w:sz w:val="20"/>
          <w:szCs w:val="20"/>
          <w:color w:val="auto"/>
        </w:rPr>
      </w:pPr>
    </w:p>
    <w:p>
      <w:pPr>
        <w:jc w:val="center"/>
        <w:ind w:right="600"/>
        <w:spacing w:after="0" w:line="401" w:lineRule="auto"/>
        <w:rPr>
          <w:sz w:val="20"/>
          <w:szCs w:val="20"/>
          <w:color w:val="auto"/>
        </w:rPr>
      </w:pPr>
      <w:r>
        <w:rPr>
          <w:rFonts w:ascii="Times New Roman" w:cs="Times New Roman" w:eastAsia="Times New Roman" w:hAnsi="Times New Roman"/>
          <w:sz w:val="18"/>
          <w:szCs w:val="18"/>
          <w:color w:val="auto"/>
        </w:rPr>
        <w:t>LOS ANGELES • PALO ALTO • WASHINGTON, D.C. BRUSSELS • FRANKFURT • LONDON • PARIS BEIJING • HONG KONG • TOKYO MELBOURNE • SYDNEY</w:t>
      </w:r>
    </w:p>
    <w:p>
      <w:pPr>
        <w:spacing w:after="0" w:line="7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November 10, 2025</w:t>
      </w:r>
    </w:p>
    <w:p>
      <w:pPr>
        <w:spacing w:after="0" w:line="1628" w:lineRule="exact"/>
        <w:rPr>
          <w:sz w:val="20"/>
          <w:szCs w:val="20"/>
          <w:color w:val="auto"/>
        </w:rPr>
      </w:pPr>
    </w:p>
    <w:p>
      <w:pPr>
        <w:sectPr>
          <w:pgSz w:w="11900" w:h="16838" w:orient="portrait"/>
          <w:cols w:equalWidth="0" w:num="2">
            <w:col w:w="5600" w:space="720"/>
            <w:col w:w="4700"/>
          </w:cols>
          <w:pgMar w:left="440" w:top="117" w:right="439" w:bottom="1440" w:gutter="0" w:footer="0" w:header="0"/>
        </w:sectPr>
      </w:pPr>
    </w:p>
    <w:p>
      <w:pPr>
        <w:ind w:right="220" w:firstLine="991"/>
        <w:spacing w:after="0" w:line="270" w:lineRule="auto"/>
        <w:rPr>
          <w:sz w:val="20"/>
          <w:szCs w:val="20"/>
          <w:color w:val="auto"/>
        </w:rPr>
      </w:pPr>
      <w:r>
        <w:rPr>
          <w:rFonts w:ascii="Times New Roman" w:cs="Times New Roman" w:eastAsia="Times New Roman" w:hAnsi="Times New Roman"/>
          <w:sz w:val="17"/>
          <w:szCs w:val="17"/>
          <w:color w:val="auto"/>
        </w:rPr>
        <w:t>In connection with the registration under the Securities Act of 1933 (the “Act”) of 1,619,143 shares of Class A common stock, par value $0.0001 per share (the “Securities”), of Bakkt Holdings, Inc., a Delaware corporation (the “Company”), issuable upon the vesting and settlement of performance-based restricted stock units (the “Inducement PSUs”) and service-based restricted stock units (“Inducement RSUs” and together with the Inducement PSUs, the “Inducement Grant”) to be granted to Akshay Naheta as inducement for acceptance of employment with the Company</w:t>
      </w:r>
    </w:p>
    <w:p>
      <w:pPr>
        <w:spacing w:after="0" w:line="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Co-Chief Executive Officer pursuant to the Stand-Alone Performance Unit Agreement, dated as of April 21, 2025, by and between the Company and Akshay Naheta, and the Stand-Alone Inducement Restricted Stock Unit Agreement, dated as of April 21, 2025, by and between the Company and Akshay Naheta, respectively, we, as your counsel, have examined such corporate records, certificates and other documents, and such questions of law, as we have considered necessary or appropriate for the purposes of this opinion.</w:t>
      </w:r>
    </w:p>
    <w:p>
      <w:pPr>
        <w:spacing w:after="0" w:line="189" w:lineRule="exact"/>
        <w:rPr>
          <w:sz w:val="20"/>
          <w:szCs w:val="20"/>
          <w:color w:val="auto"/>
        </w:rPr>
      </w:pPr>
    </w:p>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t>Upon the basis of such examination, it is our opinion that when the registration statement relating to the Securities (the “Registration Statement”) has become effective under the Act and the Securities have been duly issued in accordance with the Inducement Grant, the Securities will be validly issued, fully paid and nonassessable.</w:t>
      </w:r>
    </w:p>
    <w:p>
      <w:pPr>
        <w:spacing w:after="0" w:line="176"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In rendering the foregoing opinion, we are not passing upon, and assume no responsibility for, any disclosure in any registration statement or any related prospectus or other offering material relating to the offer and sale of the Securities.</w:t>
      </w:r>
    </w:p>
    <w:p>
      <w:pPr>
        <w:spacing w:after="0" w:line="162"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The foregoing opinion is limited to the Federal laws of the United States and the General Corporation Law of the State of Delaware, and we are expressing no opinion as to the effect of the laws of any other jurisdiction.</w:t>
      </w:r>
    </w:p>
    <w:p>
      <w:pPr>
        <w:sectPr>
          <w:pgSz w:w="11900" w:h="16838" w:orient="portrait"/>
          <w:cols w:equalWidth="0" w:num="1">
            <w:col w:w="11020"/>
          </w:cols>
          <w:pgMar w:left="440" w:top="117" w:right="4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Bakkt Holdings, Inc.</w:t>
            </w: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We have relied as to certain factual matters on information obtained from public officials, officers of the Company and other sources believed by us to be responsible.</w:t>
      </w:r>
    </w:p>
    <w:p>
      <w:pPr>
        <w:spacing w:after="0" w:line="162"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In giving such consent, we do not thereby admit that we are in the category of persons whose consent is required under Section 7 of the Act.</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11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SULLIVAN &amp; CROMWELL LLP</w:t>
      </w:r>
    </w:p>
    <w:p>
      <w:pPr>
        <w:sectPr>
          <w:pgSz w:w="11900" w:h="16838" w:orient="portrait"/>
          <w:cols w:equalWidth="0" w:num="1">
            <w:col w:w="11020"/>
          </w:cols>
          <w:pgMar w:left="440" w:top="270" w:right="4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consent to the incorporation by reference in the Post Effective Amendment No. 1 to the Registration Statement (Form S-8 333-286645) pertaining to the registration of an aggregate of 1,619,143 shares of Class A Common Stock to be granted in relation to the Inducement Grant of Bakkt Holdings, Inc. of our report dated March 25, 2024, except for the effects of Staff Accounting Bulletin 122 Accounting for Obligations to Safeguard Crypto-Assets an Entity Holds for its Platform Users, Accounting Standards Update 2023-07, Segment Reporting (Topic 280): Improvements to Reportable Segment Disclosures, and the Reverse Stock Split completed by the Company on April 29, 2024, all as disclosed in Note 2 as to which the date is March 19, 2025, with respect to the consolidated financial statements of Bakkt Holdings, Inc. for the fiscal year ended December 31, 2023, filed with the Securities and Exchange Commission.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10, 2025</w:t>
      </w:r>
    </w:p>
    <w:p>
      <w:pPr>
        <w:sectPr>
          <w:pgSz w:w="11900" w:h="16838" w:orient="portrait"/>
          <w:cols w:equalWidth="0" w:num="1">
            <w:col w:w="11020"/>
          </w:cols>
          <w:pgMar w:left="440" w:top="117" w:right="4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We consent to the use of our reports dated March 19, 2025, with respect to the consolidated financial statements of Bakkt Holdings, Inc., and the effectiveness of internal control over financial reporting, appearing in the Company’s Annual Report (Form 10-K) as of and for the year ended December 31, 2024 incorporated herein by reference.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10, 2025</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Letter"/>
      <w:start w:val="1"/>
    </w:lvl>
  </w:abstractNum>
  <w:abstractNum w:abstractNumId="1">
    <w:nsid w:val="3D1B58BA"/>
    <w:multiLevelType w:val="hybridMultilevel"/>
    <w:lvl w:ilvl="0">
      <w:lvlJc w:val="left"/>
      <w:lvlText w:val="(%1)"/>
      <w:numFmt w:val="lowerLetter"/>
      <w:start w:val="3"/>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
      <w:numFmt w:val="bullet"/>
      <w:start w:val="1"/>
    </w:lvl>
  </w:abstractNum>
  <w:abstractNum w:abstractNumId="5">
    <w:nsid w:val="79E2A9E3"/>
    <w:multiLevelType w:val="hybridMultilevel"/>
    <w:lvl w:ilvl="0">
      <w:lvlJc w:val="left"/>
      <w:lvlText w:val=" "/>
      <w:numFmt w:val="bullet"/>
      <w:start w:val="1"/>
    </w:lvl>
  </w:abstractNum>
  <w:abstractNum w:abstractNumId="6">
    <w:nsid w:val="7545E14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7">
    <w:nsid w:val="515F007C"/>
    <w:multiLevelType w:val="hybridMultilevel"/>
    <w:lvl w:ilvl="0">
      <w:lvlJc w:val="left"/>
      <w:lvlText w:val="%1"/>
      <w:numFmt w:val="lowerLetter"/>
      <w:start w:val="1"/>
    </w:lvl>
    <w:lvl w:ilvl="1">
      <w:lvlJc w:val="left"/>
      <w:lvlText w:val="(%2)"/>
      <w:numFmt w:val="decimal"/>
      <w:start w:val="4"/>
    </w:lvl>
    <w:lvl w:ilvl="2">
      <w:lvlJc w:val="left"/>
      <w:lvlText w:val="(%3)"/>
      <w:numFmt w:val="lowerRoman"/>
      <w:start w:val="1"/>
    </w:lvl>
  </w:abstractNum>
  <w:abstractNum w:abstractNumId="8">
    <w:nsid w:val="5BD062C2"/>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2" Type="http://schemas.openxmlformats.org/officeDocument/2006/relationships/image" Target="media/image12.png"/><Relationship Id="rId52" Type="http://schemas.openxmlformats.org/officeDocument/2006/relationships/image" Target="media/image13.png"/><Relationship Id="rId53" Type="http://schemas.openxmlformats.org/officeDocument/2006/relationships/image" Target="media/image14.png"/><Relationship Id="rId59" Type="http://schemas.openxmlformats.org/officeDocument/2006/relationships/image" Target="media/image15.png"/><Relationship Id="rId60" Type="http://schemas.openxmlformats.org/officeDocument/2006/relationships/image" Target="media/image16.png"/><Relationship Id="rId61" Type="http://schemas.openxmlformats.org/officeDocument/2006/relationships/image" Target="media/image17.png"/><Relationship Id="rId62" Type="http://schemas.openxmlformats.org/officeDocument/2006/relationships/image" Target="media/image18.jpeg"/><Relationship Id="rId63" Type="http://schemas.openxmlformats.org/officeDocument/2006/relationships/image" Target="media/image19.png"/><Relationship Id="rId64" Type="http://schemas.openxmlformats.org/officeDocument/2006/relationships/image" Target="media/image20.png"/><Relationship Id="rId19" Type="http://schemas.openxmlformats.org/officeDocument/2006/relationships/hyperlink" Target="http://www.sec.gov/Archives/edgar/data/1820302/000119312525085820/d930118ds8.htm" TargetMode="External"/><Relationship Id="rId20" Type="http://schemas.openxmlformats.org/officeDocument/2006/relationships/hyperlink" Target="http://www.sec.gov/ix?doc=/Archives/edgar/data/1820302/000162828025013959/bakkt-20241231.htm" TargetMode="External"/><Relationship Id="rId21" Type="http://schemas.openxmlformats.org/officeDocument/2006/relationships/hyperlink" Target="http://www.sec.gov/ix?doc=/Archives/edgar/data/1820302/000162828025020274/bakkt-20250428.htm" TargetMode="External"/><Relationship Id="rId23" Type="http://schemas.openxmlformats.org/officeDocument/2006/relationships/hyperlink" Target="http://www.sec.gov/ix?doc=/Archives/edgar/data/1820302/000162828025024743/bakkt-20250331.htm" TargetMode="External"/><Relationship Id="rId24" Type="http://schemas.openxmlformats.org/officeDocument/2006/relationships/hyperlink" Target="http://www.sec.gov/ix?doc=/Archives/edgar/data/0001820302/000162828025024743/bakkt-20250331.htm" TargetMode="External"/><Relationship Id="rId25" Type="http://schemas.openxmlformats.org/officeDocument/2006/relationships/hyperlink" Target="http://www.sec.gov/ix?doc=/Archives/edgar/data/1820302/000162828025039625/bakkt-20250630.htm" TargetMode="External"/><Relationship Id="rId26" Type="http://schemas.openxmlformats.org/officeDocument/2006/relationships/hyperlink" Target="http://www.sec.gov/ix?doc=/Archives/edgar/data/0001820302/000162828025039625/bakkt-20250630.htm" TargetMode="External"/><Relationship Id="rId27" Type="http://schemas.openxmlformats.org/officeDocument/2006/relationships/hyperlink" Target="http://www.sec.gov/ix?doc=/Archives/edgar/data/1820302/000162828025018854/bakkt-20250421.htm" TargetMode="External"/><Relationship Id="rId28" Type="http://schemas.openxmlformats.org/officeDocument/2006/relationships/hyperlink" Target="http://www.sec.gov/ix?doc=/Archives/edgar/data/1820302/000119312525138191/d76438d8k.htm" TargetMode="External"/><Relationship Id="rId29" Type="http://schemas.openxmlformats.org/officeDocument/2006/relationships/hyperlink" Target="http://www.sec.gov/ix?doc=/Archives/edgar/data/1820302/000162828025030475/bakkt-20250610.htm" TargetMode="External"/><Relationship Id="rId30" Type="http://schemas.openxmlformats.org/officeDocument/2006/relationships/hyperlink" Target="http://www.sec.gov/ix?doc=/Archives/edgar/data/1820302/000162828025031314/bakkt-20250609.htm" TargetMode="External"/><Relationship Id="rId31" Type="http://schemas.openxmlformats.org/officeDocument/2006/relationships/hyperlink" Target="http://www.sec.gov/ix?doc=/Archives/edgar/data/1820302/000119312525142918/d80998d8k.htm" TargetMode="External"/><Relationship Id="rId32" Type="http://schemas.openxmlformats.org/officeDocument/2006/relationships/hyperlink" Target="http://www.sec.gov/ix?doc=/Archives/edgar/data/1820302/000162828025036239/bakkt-20250723.htm" TargetMode="External"/><Relationship Id="rId33" Type="http://schemas.openxmlformats.org/officeDocument/2006/relationships/hyperlink" Target="http://www.sec.gov/ix?doc=/Archives/edgar/data/1820302/000119312525169353/d37228d8k.htm" TargetMode="External"/><Relationship Id="rId34" Type="http://schemas.openxmlformats.org/officeDocument/2006/relationships/hyperlink" Target="http://www.sec.gov/ix?doc=/Archives/edgar/data/1820302/000162828025038417/bakkt-20250806.htm" TargetMode="External"/><Relationship Id="rId35" Type="http://schemas.openxmlformats.org/officeDocument/2006/relationships/hyperlink" Target="http://www.sec.gov/ix?doc=/Archives/edgar/data/1820302/000162828025039333/bakkt-20250806.htm" TargetMode="External"/><Relationship Id="rId36" Type="http://schemas.openxmlformats.org/officeDocument/2006/relationships/hyperlink" Target="http://www.sec.gov/ix?doc=/Archives/edgar/data/1820302/000119312525178246/d18816d8k.htm" TargetMode="External"/><Relationship Id="rId37" Type="http://schemas.openxmlformats.org/officeDocument/2006/relationships/hyperlink" Target="http://www.sec.gov/ix?doc=/Archives/edgar/data/1820302/000182030225000005/bakkt-20250826.htm" TargetMode="External"/><Relationship Id="rId38" Type="http://schemas.openxmlformats.org/officeDocument/2006/relationships/hyperlink" Target="http://www.sec.gov/ix?doc=/Archives/edgar/data/1820302/000119312525203599/d100139d8k.htm" TargetMode="External"/><Relationship Id="rId39" Type="http://schemas.openxmlformats.org/officeDocument/2006/relationships/hyperlink" Target="http://www.sec.gov/ix?doc=/Archives/edgar/data/1820302/000162828025042251/bakkt-20250917.htm" TargetMode="External"/><Relationship Id="rId40" Type="http://schemas.openxmlformats.org/officeDocument/2006/relationships/hyperlink" Target="http://www.sec.gov/ix?doc=/Archives/edgar/data/1820302/000162828025043317/bakkt-20250930.htm" TargetMode="External"/><Relationship Id="rId41" Type="http://schemas.openxmlformats.org/officeDocument/2006/relationships/hyperlink" Target="http://www.sec.gov/ix?doc=/Archives/edgar/data/1820302/000119312525234538/d87349d8k.htm" TargetMode="External"/><Relationship Id="rId42" Type="http://schemas.openxmlformats.org/officeDocument/2006/relationships/hyperlink" Target="http://www.sec.gov/ix?doc=/Archives/edgar/data/1820302/000119312525237364/d32118d8k.htm" TargetMode="External"/><Relationship Id="rId43" Type="http://schemas.openxmlformats.org/officeDocument/2006/relationships/hyperlink" Target="http://www.sec.gov/ix?doc=/Archives/edgar/data/1820302/000119312525242750/d74254d8k.htm" TargetMode="External"/><Relationship Id="rId44" Type="http://schemas.openxmlformats.org/officeDocument/2006/relationships/hyperlink" Target="http://www.sec.gov/ix?doc=/Archives/edgar/data/1820302/000162828025045560/bakkt-20251019.htm" TargetMode="External"/><Relationship Id="rId45" Type="http://schemas.openxmlformats.org/officeDocument/2006/relationships/hyperlink" Target="http://www.sec.gov/ix?doc=/Archives/edgar/data/1820302/000119312525245822/d36779d8k.htm" TargetMode="External"/><Relationship Id="rId46" Type="http://schemas.openxmlformats.org/officeDocument/2006/relationships/hyperlink" Target="http://www.sec.gov/ix?doc=/Archives/edgar/data/1820302/000162828025047840/bakkt-20251031.htm" TargetMode="External"/><Relationship Id="rId47" Type="http://schemas.openxmlformats.org/officeDocument/2006/relationships/hyperlink" Target="http://www.sec.gov/ix?doc=/Archives/edgar/data/1820302/000119312525262474/d98917d8k.htm" TargetMode="External"/><Relationship Id="rId48" Type="http://schemas.openxmlformats.org/officeDocument/2006/relationships/hyperlink" Target="http://www.sec.gov/ix?doc=/Archives/edgar/data/0001820302/000119312525272524/d70742d8ka.htm" TargetMode="External"/><Relationship Id="rId49" Type="http://schemas.openxmlformats.org/officeDocument/2006/relationships/hyperlink" Target="http://www.sec.gov/Archives/edgar/data/1820302/000119312525262732/d83327dex991.htm" TargetMode="External"/><Relationship Id="rId50" Type="http://schemas.openxmlformats.org/officeDocument/2006/relationships/hyperlink" Target="http://www.sec.gov/Archives/edgar/data/1820302/000119312521299620/d211377d8a12b.htm" TargetMode="External"/><Relationship Id="rId51" Type="http://schemas.openxmlformats.org/officeDocument/2006/relationships/hyperlink" Target="http://www.sec.gov/Archives/edgar/data/1820302/000182030222000005/a46-descriptionofsecurit.htm" TargetMode="External"/><Relationship Id="rId54" Type="http://schemas.openxmlformats.org/officeDocument/2006/relationships/hyperlink" Target="http://www.sec.gov/Archives/edgar/data/1820302/000119312525262732/d83327dex31.htm" TargetMode="External"/><Relationship Id="rId55" Type="http://schemas.openxmlformats.org/officeDocument/2006/relationships/hyperlink" Target="http://www.sec.gov/Archives/edgar/data/1820302/000119312525262732/d83327dex32.htm" TargetMode="External"/><Relationship Id="rId56" Type="http://schemas.openxmlformats.org/officeDocument/2006/relationships/hyperlink" Target="http://www.sec.gov/Archives/edgar/data/1820302/000119312521303985/d219325dex41.htm" TargetMode="External"/><Relationship Id="rId57" Type="http://schemas.openxmlformats.org/officeDocument/2006/relationships/hyperlink" Target="http://www.sec.gov/Archives/edgar/data/1820302/000119312525085820/d930118dex44.htm" TargetMode="External"/><Relationship Id="rId58" Type="http://schemas.openxmlformats.org/officeDocument/2006/relationships/hyperlink" Target="http://www.sec.gov/Archives/edgar/data/1820302/000119312525085820/d930118dex4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2025-11-10T13:52:45Z</dcterms:created>
  <dcterms:modified xsi:type="dcterms:W3CDTF">2025-11-10T13:52:45Z</dcterms:modified>
</cp:coreProperties>
</file>