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Main Andrew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117,713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127,713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14, 2023,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117,713 shares of Class A Common Stock subject to RSUs that remain subject to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Andrew</w:t>
        <w:tab/>
        <w:t>06/16/2022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Main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6731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2022-06-16T18:02:26Z</dcterms:created>
  <dcterms:modified xsi:type="dcterms:W3CDTF">2022-06-16T18:02:26Z</dcterms:modified>
</cp:coreProperties>
</file>