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20" w:lineRule="exact"/>
        <w:rPr>
          <w:sz w:val="24"/>
          <w:szCs w:val="24"/>
          <w:color w:val="auto"/>
        </w:rPr>
      </w:pPr>
    </w:p>
    <w:p>
      <w:pPr>
        <w:sectPr>
          <w:pgSz w:w="11900" w:h="16838" w:orient="portrait"/>
          <w:cols w:equalWidth="0" w:num="3">
            <w:col w:w="4484" w:space="720"/>
            <w:col w:w="2620" w:space="720"/>
            <w:col w:w="248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4"/>
          </w:cols>
          <w:pgMar w:left="436" w:top="443" w:right="439" w:bottom="1440" w:gutter="0" w:footer="0" w:header="0"/>
          <w:type w:val="continuous"/>
        </w:sectPr>
      </w:pPr>
    </w:p>
    <w:p>
      <w:pPr>
        <w:spacing w:after="0" w:line="13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w:t>
      </w:r>
    </w:p>
    <w:p>
      <w:pPr>
        <w:spacing w:after="0" w:line="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area code, or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0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Up-C Collapse</w:t>
      </w:r>
    </w:p>
    <w:p>
      <w:pPr>
        <w:spacing w:after="0" w:line="119"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On October 16, 2025, Bakkt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that a majority of the disinterested members of its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the participating members of the Audit and Risk Committee of the Board of Directors, each of whom is a disinterested director, unanimously approved streamlining the Company’s corporate structure by eliminating the Company’s umbrella partnership-C-corporation (“</w:t>
      </w:r>
      <w:r>
        <w:rPr>
          <w:rFonts w:ascii="Times New Roman" w:cs="Times New Roman" w:eastAsia="Times New Roman" w:hAnsi="Times New Roman"/>
          <w:sz w:val="18"/>
          <w:szCs w:val="18"/>
          <w:u w:val="single" w:color="auto"/>
          <w:color w:val="auto"/>
        </w:rPr>
        <w:t>Up-C</w:t>
      </w:r>
      <w:r>
        <w:rPr>
          <w:rFonts w:ascii="Times New Roman" w:cs="Times New Roman" w:eastAsia="Times New Roman" w:hAnsi="Times New Roman"/>
          <w:sz w:val="18"/>
          <w:szCs w:val="18"/>
          <w:color w:val="auto"/>
        </w:rPr>
        <w:t>”) structure. As a result, the Company plans to pursue a reorganization of certain entities (the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 w:right="220" w:firstLine="440"/>
        <w:spacing w:after="0" w:line="270" w:lineRule="auto"/>
        <w:rPr>
          <w:sz w:val="20"/>
          <w:szCs w:val="20"/>
          <w:color w:val="auto"/>
        </w:rPr>
      </w:pPr>
      <w:r>
        <w:rPr>
          <w:rFonts w:ascii="Times New Roman" w:cs="Times New Roman" w:eastAsia="Times New Roman" w:hAnsi="Times New Roman"/>
          <w:sz w:val="17"/>
          <w:szCs w:val="17"/>
          <w:color w:val="auto"/>
        </w:rPr>
        <w:t>As part of the Reorganization, the Company plans to form a new parent holding company (“</w:t>
      </w:r>
      <w:r>
        <w:rPr>
          <w:rFonts w:ascii="Times New Roman" w:cs="Times New Roman" w:eastAsia="Times New Roman" w:hAnsi="Times New Roman"/>
          <w:sz w:val="17"/>
          <w:szCs w:val="17"/>
          <w:u w:val="single" w:color="auto"/>
          <w:color w:val="auto"/>
        </w:rPr>
        <w:t>NewCo</w:t>
      </w:r>
      <w:r>
        <w:rPr>
          <w:rFonts w:ascii="Times New Roman" w:cs="Times New Roman" w:eastAsia="Times New Roman" w:hAnsi="Times New Roman"/>
          <w:sz w:val="17"/>
          <w:szCs w:val="17"/>
          <w:color w:val="auto"/>
        </w:rPr>
        <w:t>”) that will replace the Company as a listed parent company. In connection with the Reorganization, (i) holders of shares of Class A common stock, par value $0.0001 per share, of the Company (“</w:t>
      </w:r>
      <w:r>
        <w:rPr>
          <w:rFonts w:ascii="Times New Roman" w:cs="Times New Roman" w:eastAsia="Times New Roman" w:hAnsi="Times New Roman"/>
          <w:sz w:val="17"/>
          <w:szCs w:val="17"/>
          <w:u w:val="single" w:color="auto"/>
          <w:color w:val="auto"/>
        </w:rPr>
        <w:t>Bakkt Class A Common Stock</w:t>
      </w:r>
      <w:r>
        <w:rPr>
          <w:rFonts w:ascii="Times New Roman" w:cs="Times New Roman" w:eastAsia="Times New Roman" w:hAnsi="Times New Roman"/>
          <w:sz w:val="17"/>
          <w:szCs w:val="17"/>
          <w:color w:val="auto"/>
        </w:rPr>
        <w:t>”) will cease to hold such shares and will receive an equivalent number of shares of Class A common stock, par value $0.0001 per share, of NewCo (“</w:t>
      </w:r>
      <w:r>
        <w:rPr>
          <w:rFonts w:ascii="Times New Roman" w:cs="Times New Roman" w:eastAsia="Times New Roman" w:hAnsi="Times New Roman"/>
          <w:sz w:val="17"/>
          <w:szCs w:val="17"/>
          <w:u w:val="single" w:color="auto"/>
          <w:color w:val="auto"/>
        </w:rPr>
        <w:t>NewCo Class A Common Stock</w:t>
      </w:r>
      <w:r>
        <w:rPr>
          <w:rFonts w:ascii="Times New Roman" w:cs="Times New Roman" w:eastAsia="Times New Roman" w:hAnsi="Times New Roman"/>
          <w:sz w:val="17"/>
          <w:szCs w:val="17"/>
          <w:color w:val="auto"/>
        </w:rPr>
        <w:t>”) that have the same voting and economic rights as Bakkt Class A Common Stock,</w:t>
      </w:r>
    </w:p>
    <w:p>
      <w:pPr>
        <w:spacing w:after="0" w:line="3" w:lineRule="exact"/>
        <w:rPr>
          <w:sz w:val="20"/>
          <w:szCs w:val="20"/>
          <w:color w:val="auto"/>
        </w:rPr>
      </w:pPr>
    </w:p>
    <w:p>
      <w:pPr>
        <w:ind w:left="4" w:hanging="4"/>
        <w:spacing w:after="0" w:line="252"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shares of Class V common stock, par value $0.0001 per share, of the Company (“</w:t>
      </w:r>
      <w:r>
        <w:rPr>
          <w:rFonts w:ascii="Times New Roman" w:cs="Times New Roman" w:eastAsia="Times New Roman" w:hAnsi="Times New Roman"/>
          <w:sz w:val="18"/>
          <w:szCs w:val="18"/>
          <w:u w:val="single" w:color="auto"/>
          <w:color w:val="auto"/>
        </w:rPr>
        <w:t>Bakkt Class V Common Stock</w:t>
      </w:r>
      <w:r>
        <w:rPr>
          <w:rFonts w:ascii="Times New Roman" w:cs="Times New Roman" w:eastAsia="Times New Roman" w:hAnsi="Times New Roman"/>
          <w:sz w:val="18"/>
          <w:szCs w:val="18"/>
          <w:color w:val="auto"/>
        </w:rPr>
        <w:t>”) will cease to hold such shares and will receive an equivalent number of shares of Class V common stock, par value $0.0001 per share, of NewCo (“</w:t>
      </w:r>
      <w:r>
        <w:rPr>
          <w:rFonts w:ascii="Times New Roman" w:cs="Times New Roman" w:eastAsia="Times New Roman" w:hAnsi="Times New Roman"/>
          <w:sz w:val="18"/>
          <w:szCs w:val="18"/>
          <w:u w:val="single" w:color="auto"/>
          <w:color w:val="auto"/>
        </w:rPr>
        <w:t>NewCo Class V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that have the same voting and economic rights as the Bakkt Class V Common Stock, and (iii) holders of common units in Bakkt Opco Holdings, LLC, each coupled with one share of Bakkt Class V Common Stock (together, the “</w:t>
      </w:r>
      <w:r>
        <w:rPr>
          <w:rFonts w:ascii="Times New Roman" w:cs="Times New Roman" w:eastAsia="Times New Roman" w:hAnsi="Times New Roman"/>
          <w:sz w:val="18"/>
          <w:szCs w:val="18"/>
          <w:u w:val="single" w:color="auto"/>
          <w:color w:val="auto"/>
        </w:rPr>
        <w:t>Paired Interests</w:t>
      </w:r>
      <w:r>
        <w:rPr>
          <w:rFonts w:ascii="Times New Roman" w:cs="Times New Roman" w:eastAsia="Times New Roman" w:hAnsi="Times New Roman"/>
          <w:sz w:val="18"/>
          <w:szCs w:val="18"/>
          <w:color w:val="auto"/>
        </w:rPr>
        <w:t>”), will cease to hold such Paired Interests and will receive an equivalent number of shares of NewCo Class A Common Stock, resulting in the elimination of shares of NewCo Class V Common Stock and NewCo having only one class of outstanding common stock.</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expects the Reorganization to be completed on or about November 3, 2025.</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Amendment to Tax Receivable Agreement &amp; Contribution Agreement</w:t>
      </w:r>
    </w:p>
    <w:p>
      <w:pPr>
        <w:spacing w:after="0" w:line="119"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the Company, Intercontinental Exchange Holdings, Inc.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and Akshay Naheta, the Company’s Chief Executive Officer, entered into an amendment (the “</w:t>
      </w:r>
      <w:r>
        <w:rPr>
          <w:rFonts w:ascii="Times New Roman" w:cs="Times New Roman" w:eastAsia="Times New Roman" w:hAnsi="Times New Roman"/>
          <w:sz w:val="18"/>
          <w:szCs w:val="18"/>
          <w:u w:val="single" w:color="auto"/>
          <w:color w:val="auto"/>
        </w:rPr>
        <w:t>TRA Amendment</w:t>
      </w:r>
      <w:r>
        <w:rPr>
          <w:rFonts w:ascii="Times New Roman" w:cs="Times New Roman" w:eastAsia="Times New Roman" w:hAnsi="Times New Roman"/>
          <w:sz w:val="18"/>
          <w:szCs w:val="18"/>
          <w:color w:val="auto"/>
        </w:rPr>
        <w:t>”) to the Tax Receivable Agreement, dated as of October 15, 2021, by and among the Company and the persons named therein (the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as well was a Contribution Agreement relating to their respective rights under the TRA (the “</w:t>
      </w:r>
      <w:r>
        <w:rPr>
          <w:rFonts w:ascii="Times New Roman" w:cs="Times New Roman" w:eastAsia="Times New Roman" w:hAnsi="Times New Roman"/>
          <w:sz w:val="18"/>
          <w:szCs w:val="18"/>
          <w:u w:val="single" w:color="auto"/>
          <w:color w:val="auto"/>
        </w:rPr>
        <w:t>Contribution Agreement</w:t>
      </w:r>
      <w:r>
        <w:rPr>
          <w:rFonts w:ascii="Times New Roman" w:cs="Times New Roman" w:eastAsia="Times New Roman" w:hAnsi="Times New Roman"/>
          <w:sz w:val="18"/>
          <w:szCs w:val="18"/>
          <w:color w:val="auto"/>
        </w:rPr>
        <w:t>”). Pursuant to the TRA Amendment and the Contribution Agreement, ICE and Mr. Naheta agreed that they would, at closing, (i) contribute their rights under the TRA to NewCo in exchange for a cash payment from NewCo equal to the respective amount to which ICE and Mr. Naheta would otherwise be entitled under the TRA (as amended), and (ii) contribute such cash to NewCo in exchange for NewCo Class A Common Stock, and further agreed that the respective obligations of ICE and Mr. Naheta, on the one hand, and NewCo, on the other hand, to transfer the foregoing cash amounts will be net-settled and offset against one another. In addition, the TRA Amendment sets the discount rate to be used in calculating TRA payments to TRA holders at 18%, calculated as of the date of consummation of the Reorganization, except that for ICE and Mr. Naheta only, the value of the TRA payment is capped at the value of such payment calculated as of the date of the TRA Amendment.</w:t>
      </w:r>
    </w:p>
    <w:p>
      <w:pPr>
        <w:sectPr>
          <w:pgSz w:w="11900" w:h="16838" w:orient="portrait"/>
          <w:cols w:equalWidth="0" w:num="1">
            <w:col w:w="11004"/>
          </w:cols>
          <w:pgMar w:left="436" w:top="293" w:right="459" w:bottom="1440" w:gutter="0" w:footer="0" w:header="0"/>
        </w:sectPr>
      </w:pPr>
    </w:p>
    <w:bookmarkStart w:id="2" w:name="page3"/>
    <w:bookmarkEnd w:id="2"/>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descriptions of the TRA Amendment and the Contribution Agreement do not purport to be complete and are qualified in their entirety by reference to the full text of such documents, copies of which are included as Exhibits 10.1 and 10.2 to this Current Report on Form 8-K and are incorporated by reference into this Item 1.01.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Warrants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Reorganization, the Company, ICE and each of the holders of Class 1 Warrants to purchase Bakkt Class A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Class 1 Warrants</w:t>
      </w:r>
      <w:r>
        <w:rPr>
          <w:rFonts w:ascii="Times New Roman" w:cs="Times New Roman" w:eastAsia="Times New Roman" w:hAnsi="Times New Roman"/>
          <w:sz w:val="18"/>
          <w:szCs w:val="18"/>
          <w:color w:val="auto"/>
        </w:rPr>
        <w:t>”) and Class 2 Warrants to purchase Bakkt Class A Common Stock and collectively with the Class 1 Warrants, the (“</w:t>
      </w:r>
      <w:r>
        <w:rPr>
          <w:rFonts w:ascii="Times New Roman" w:cs="Times New Roman" w:eastAsia="Times New Roman" w:hAnsi="Times New Roman"/>
          <w:sz w:val="18"/>
          <w:szCs w:val="18"/>
          <w:u w:val="single" w:color="auto"/>
          <w:color w:val="auto"/>
        </w:rPr>
        <w:t>RDO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which were initially issued in connection with the Company’s 2024 registered direct offering, entered into waivers, acknowledgments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consents pursuant to which such holders agreed to exchange their respective RDO Warrants for equivalent warrants to purchase shares of NewCo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upon consummation of the merger of a wholly owned subsidiary of NewCo with and into the Company, as contemplated as part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Reorganization. In addition, the RDO Warrant holders waived any right to treat the Reorganization as a Fundamental Change (as such term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under the RDO Warrants).</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(i) the Company’s publicly traded warrants to purchase Bakkt Class A Common Stock will, pursuant to their terms, be replaced with equivalent warrants to purchase shares of NewCo Class A Common Stock and (ii) all of the Company’s pre-funded warrants to purchase Bakkt Class A Common Stock issued in July 2025 will, pursuant to their terms, be deemed to have been exercised immediately prior to closing of the Reorganization and holders will be entitled to receive a number of shares of NewCo Class A Common Stock equivalent to the number of shares of Bakkt Class A Common Stock they would have been entitled to if exercised immediately prior to closing.</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disclosure set forth above in Item 1.01 of this Current Report on Form 8-K relating to the issuance of shares of NewCo Class A Common Stock to Mr. Naheta and ICE pursuant to the TRA Amendment and Contribution Agreement, is incorporated by reference herein in its entirety. The offer and sale of shares of NewCo Class A Common Stock pursuant to the TRA Amendment are being made in reliance upon the exemption from registration contained in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light of the nature of the purchasers and the manner in which the sale occurred. Pursuant to these arrangements, upon closing of the Reorganization, NewCo will issue NewCo Class A Common Stock to ICE and Mr. Naheta, at a price per share representing the “Minimum Price” as defined in NYSE Rule 312.04(h). The number of shares will be based on the respective amount of cash to which ICE and Mr. Naheta would otherwise be entitled under the TRA (as amended), which is based on the Company’s stock price at closing subject to a cap of the average “Official Closing Price” as defined in NYSE Rule 312.04(h) for the five trading days immediately preceding the date of the TRA Amendment. Assuming a stock price of $38 for valuing the payment to be made pursuant to the TRA and a purchase price of $39.34, representing the Minimum Price, the Company estimates that approximately 655,500 shares would be issued to ICE and 69,750 to Mr. Naheta, which such numbers of shares to be determined upon confirmation of the respective amount of cash to which ICE and Mr. Naheta would otherwise be entitled under the TRA (as amended) at closing of the Reorganization.</w:t>
      </w:r>
    </w:p>
    <w:p>
      <w:pPr>
        <w:spacing w:after="0" w:line="33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full text of the press release announcing the Reorganization of the Company is furnished as Exhibit 99.1 to this Current Report on Form 8-K and is incorporated herein by reference.</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the press release furnished as Exhibit 99.1 hereto, is being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incorporated by reference into any registration statement or other document filed under the Securities Act, as amended, or the Exchange Act, except as shall be expressly set forth by specific reference in such filing.</w:t>
      </w:r>
    </w:p>
    <w:p>
      <w:pPr>
        <w:sectPr>
          <w:pgSz w:w="11900" w:h="16838" w:orient="portrait"/>
          <w:cols w:equalWidth="0" w:num="1">
            <w:col w:w="11000"/>
          </w:cols>
          <w:pgMar w:left="440" w:top="297" w:right="45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are herewith furnished as exhibits to this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Exhibit</w:t>
            </w:r>
          </w:p>
        </w:tc>
        <w:tc>
          <w:tcPr>
            <w:tcW w:w="32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40" w:right="10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No.1 to Tax Receivable Agreement dated October 16, 2025, by and among the Company, Intercontinental Exchange Holdings, Inc. and Akshay Naheta</w:t>
      </w:r>
    </w:p>
    <w:p>
      <w:pPr>
        <w:spacing w:after="0" w:line="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Contribution Agreement dated October 16, 2025, by and among the Company, Intercontinental Exchange Holdings, Inc. and Akshay Naheta</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16, 2025</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the Reorganization.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grow and manage growth profitably; the possibility that the Company may be unable to close the Reorganization on the expected closing date; finalizing the terms of the Reorganization and entering into definitive documentation therefor, including whether the Reorganization will be completed on the expected timeline, and whether the Company will achieve the anticipated benefits therefrom; changes in the Company’s business strategy; the adoption of the Company’s Bitcoin treasury strategy, including the Company’s ability to successfully consummate acquisitions, integrate or manage investments in potential acquisition targets;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w:t>
      </w:r>
    </w:p>
    <w:p>
      <w:pPr>
        <w:sectPr>
          <w:pgSz w:w="11900" w:h="16838" w:orient="portrait"/>
          <w:cols w:equalWidth="0" w:num="1">
            <w:col w:w="11000"/>
          </w:cols>
          <w:pgMar w:left="440" w:top="293" w:right="45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as amended; competition by other Bitcoin treasury companies and the availability of spot-traded products for Bitcoin; enhanced regulatory oversight as a result of the Company’s Bitcoin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Bitcoin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its quarterly report on Form 10-Q for the quarter ended March 31, 2025, the risks regarding the Company’s adoption of its treasury strategy set forth in Exhibit 99.1 to the Current Report on Form 8-K filed with the SEC on June 10, 2025 and its quarterly report on Form 10-Q for the quarter ended June 30, 2025.</w:t>
      </w:r>
    </w:p>
    <w:p>
      <w:pPr>
        <w:spacing w:after="0" w:line="20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ectPr>
          <w:pgSz w:w="11900" w:h="16838" w:orient="portrait"/>
          <w:cols w:equalWidth="0" w:num="1">
            <w:col w:w="11000"/>
          </w:cols>
          <w:pgMar w:left="440" w:top="297"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Bakkt Holdings, Inc.</w:t>
            </w:r>
          </w:p>
        </w:tc>
      </w:tr>
      <w:tr>
        <w:trPr>
          <w:trHeight w:val="41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17, 2025</w:t>
            </w:r>
          </w:p>
        </w:tc>
        <w:tc>
          <w:tcPr>
            <w:tcW w:w="4860" w:type="dxa"/>
            <w:vAlign w:val="bottom"/>
          </w:tcPr>
          <w:p>
            <w:pPr>
              <w:spacing w:after="0"/>
              <w:rPr>
                <w:sz w:val="24"/>
                <w:szCs w:val="24"/>
                <w:color w:val="auto"/>
              </w:rPr>
            </w:pP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0"/>
          </w:cols>
          <w:pgMar w:left="440" w:top="293"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TAX RECEIVABLE AGREEMENT</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Amendment, dated as of October 16,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among Bakkt Holdings, Inc., a Delaware corporation (the “</w:t>
      </w:r>
      <w:r>
        <w:rPr>
          <w:rFonts w:ascii="Times New Roman" w:cs="Times New Roman" w:eastAsia="Times New Roman" w:hAnsi="Times New Roman"/>
          <w:sz w:val="18"/>
          <w:szCs w:val="18"/>
          <w:u w:val="single" w:color="auto"/>
          <w:color w:val="auto"/>
        </w:rPr>
        <w:t>Corporate Taxpayer</w:t>
      </w:r>
      <w:r>
        <w:rPr>
          <w:rFonts w:ascii="Times New Roman" w:cs="Times New Roman" w:eastAsia="Times New Roman" w:hAnsi="Times New Roman"/>
          <w:sz w:val="18"/>
          <w:szCs w:val="18"/>
          <w:color w:val="auto"/>
        </w:rPr>
        <w:t>”), and each of the other persons from time to time party hereto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to the Tax Receivable Agreement, dated as of October 15, 2021 (as amended or otherwise modified prior to the execution and delivery of this Amendment,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parties thereto agreed to the allocation of certain payments due in connection with Exchanges as provided in the Agreement. Capitalized terms used herein but not defined herein shall have the meanings assigned to such terms in the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WHEREAS, promptly following the execution and delivery of this Amendment, the Corporate Taxpayer will publicly announce a reorganization of certain of its entities that, if consummated, will result in the elimination of its umbrella partnership-C-corporation structure and the Corporate Taxpayer becoming a wholly owned subsidiary of a new holding company that will replace the Corporate Taxpayer as the public company trading on the New York Stock Exchange (the “</w:t>
      </w:r>
      <w:r>
        <w:rPr>
          <w:rFonts w:ascii="Times New Roman" w:cs="Times New Roman" w:eastAsia="Times New Roman" w:hAnsi="Times New Roman"/>
          <w:sz w:val="18"/>
          <w:szCs w:val="18"/>
          <w:u w:val="single" w:color="auto"/>
          <w:color w:val="auto"/>
        </w:rPr>
        <w:t>Up-C Collapse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6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acknowledge and agree that the Up-C Collapse will constitute a Change of Control under the Agreement, resulting in all obligations under the Agreement being accelerated and calculated in accordance with Section 4.1(c) of the Agreement;</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hereby desire to make certain amendments to the Agreement, in each case to be effective only immediately prior and subject to the consummation of the Up-C Collapse;</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WHEREAS, all of the participating members of the audit committee of the board of directors of the Corporate Taxpayer, which are disinterested, have approved the Up-C Collapse and the transactions contemplated thereby, including this Amendment, in accordance with the Corporate Taxpayer’s related person transactions policy; and</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a majority of the disinterested members of the board of directors of the Corporate Taxpayer has approved the Up-C Collapse and the transactions contemplated thereby, including this Amendment.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25"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Section 1.1 of the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right="240" w:hanging="544"/>
        <w:spacing w:after="0" w:line="407" w:lineRule="auto"/>
        <w:tabs>
          <w:tab w:leader="none" w:pos="6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“Early Termination Rate” in Section 1.1 of the Agreement is hereby deleted in its entirety and replaced with the following: “</w:t>
      </w:r>
      <w:r>
        <w:rPr>
          <w:rFonts w:ascii="Times New Roman" w:cs="Times New Roman" w:eastAsia="Times New Roman" w:hAnsi="Times New Roman"/>
          <w:sz w:val="18"/>
          <w:szCs w:val="18"/>
          <w:u w:val="single" w:color="auto"/>
          <w:color w:val="auto"/>
        </w:rPr>
        <w:t>Early Termination Rate</w:t>
      </w:r>
      <w:r>
        <w:rPr>
          <w:rFonts w:ascii="Times New Roman" w:cs="Times New Roman" w:eastAsia="Times New Roman" w:hAnsi="Times New Roman"/>
          <w:sz w:val="18"/>
          <w:szCs w:val="18"/>
          <w:color w:val="auto"/>
        </w:rPr>
        <w:t>” means 18% per annum, compounded annually.</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is hereby added to Section 1.1 of the Agreement in proper alphabetical order:</w:t>
      </w:r>
    </w:p>
    <w:p>
      <w:pPr>
        <w:sectPr>
          <w:pgSz w:w="11900" w:h="16838" w:orient="portrait"/>
          <w:cols w:equalWidth="0" w:num="1">
            <w:col w:w="11020"/>
          </w:cols>
          <w:pgMar w:left="440" w:top="117" w:right="439" w:bottom="1440" w:gutter="0" w:footer="0" w:header="0"/>
        </w:sectPr>
      </w:pPr>
    </w:p>
    <w:bookmarkStart w:id="7" w:name="page8"/>
    <w:bookmarkEnd w:id="7"/>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Majority TRA Parties</w:t>
      </w:r>
      <w:r>
        <w:rPr>
          <w:rFonts w:ascii="Times New Roman" w:cs="Times New Roman" w:eastAsia="Times New Roman" w:hAnsi="Times New Roman"/>
          <w:sz w:val="18"/>
          <w:szCs w:val="18"/>
          <w:color w:val="auto"/>
        </w:rPr>
        <w:t>” means Intercontinental Exchange Holdings, Inc.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and Akshay Sudhir Naheta.</w:t>
      </w:r>
    </w:p>
    <w:p>
      <w:pPr>
        <w:spacing w:after="0" w:line="225" w:lineRule="exact"/>
        <w:rPr>
          <w:sz w:val="20"/>
          <w:szCs w:val="20"/>
          <w:color w:val="auto"/>
        </w:rPr>
      </w:pPr>
    </w:p>
    <w:p>
      <w:pPr>
        <w:ind w:left="600" w:hanging="184"/>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Section 4.3 of the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Paragraph (b) of Section 4.3 of the Agreement shall be deleted in its entirety and replaced with the following:</w:t>
      </w:r>
    </w:p>
    <w:p>
      <w:pPr>
        <w:spacing w:after="0" w:line="117" w:lineRule="exact"/>
        <w:rPr>
          <w:sz w:val="20"/>
          <w:szCs w:val="20"/>
          <w:color w:val="auto"/>
        </w:rPr>
      </w:pPr>
    </w:p>
    <w:p>
      <w:pPr>
        <w:ind w:left="960" w:right="40"/>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Early Termination Payment</w:t>
      </w:r>
      <w:r>
        <w:rPr>
          <w:rFonts w:ascii="Times New Roman" w:cs="Times New Roman" w:eastAsia="Times New Roman" w:hAnsi="Times New Roman"/>
          <w:sz w:val="18"/>
          <w:szCs w:val="18"/>
          <w:color w:val="auto"/>
        </w:rPr>
        <w:t xml:space="preserve">” in respect of a TRA Party shall equal the present value, discounted at the Early Termination Rate as of the applicable Early Termination Date (which, for the avoidance of doubt, shall be the date on which the Change of Control is consummated in the event of a Change of Control), of all Tax Benefit Payments in respect of such TRA Party that would be required to be paid by the Corporate Taxpayer beginning from the Early Termination Date and assuming that (i) the Valuation Assumptions in respect of such TRA Party are applied and (ii) for each Taxable Year, the Tax Benefit Payment is paid on the due date (including extensions) under applicable law as of the Early Termination Date for filing of IRS Form 1120 (or any successor form) of the Corporate Taxpayer;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no event shall the amount of an Early Termination Payment made to a Majority TRA Party exceed the applicable Early Termination Payment Cap. For the avoidance of doubt, an Early Termination Payment shall be made to each applicable TRA Party regardless of whether such TRA Party has exchanged all of its Common Units as of the Early Termination Date.”</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 Paragraph (c) shall be added to Section 4.3 of the Agreement as follows:</w:t>
      </w:r>
    </w:p>
    <w:p>
      <w:pPr>
        <w:spacing w:after="0" w:line="117" w:lineRule="exact"/>
        <w:rPr>
          <w:sz w:val="20"/>
          <w:szCs w:val="20"/>
          <w:color w:val="auto"/>
        </w:rPr>
      </w:pPr>
    </w:p>
    <w:p>
      <w:pPr>
        <w:ind w:left="4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Early Termination Payment Cap</w:t>
      </w:r>
      <w:r>
        <w:rPr>
          <w:rFonts w:ascii="Times New Roman" w:cs="Times New Roman" w:eastAsia="Times New Roman" w:hAnsi="Times New Roman"/>
          <w:sz w:val="18"/>
          <w:szCs w:val="18"/>
          <w:color w:val="auto"/>
        </w:rPr>
        <w:t>” means, in respect of a Majority TRA Party, the amount of an applicable Early Termination Payment in respect of such Majority TRA Party, calculated as if the applicable Early Termination Date is the date hereof.</w:t>
      </w:r>
    </w:p>
    <w:p>
      <w:pPr>
        <w:spacing w:after="0" w:line="162" w:lineRule="exact"/>
        <w:rPr>
          <w:sz w:val="20"/>
          <w:szCs w:val="20"/>
          <w:color w:val="auto"/>
        </w:rPr>
      </w:pPr>
    </w:p>
    <w:p>
      <w:pPr>
        <w:ind w:left="-20" w:right="40" w:firstLine="436"/>
        <w:spacing w:after="0" w:line="266"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This Amendment shall only be effective immediately prior and subject to the consummation of the Up-C Collapse, in which case, except as contemplated hereby, all other terms and provisions of the Agreement shall remain in full force and effect. For the avoidance of doubt, if the Up-C Collapse is not consummated for any reason whatsoever, the Agreement shall remain unamended and in full force and effect.</w:t>
      </w:r>
    </w:p>
    <w:p>
      <w:pPr>
        <w:spacing w:after="0" w:line="175" w:lineRule="exact"/>
        <w:rPr>
          <w:rFonts w:ascii="Times New Roman" w:cs="Times New Roman" w:eastAsia="Times New Roman" w:hAnsi="Times New Roman"/>
          <w:sz w:val="18"/>
          <w:szCs w:val="18"/>
          <w:color w:val="auto"/>
        </w:rPr>
      </w:pPr>
    </w:p>
    <w:p>
      <w:pPr>
        <w:ind w:left="-20" w:firstLine="436"/>
        <w:spacing w:after="0" w:line="256"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Pursuant to Section 7.6(b) of the Agreement, each of ICE and Akshay Sudhir Naheta hereby provide their written consent to amend the Agreement in accordance with the terms hereof, in each case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Amendment. The Corporate Taxpayer and ICE further agree that the foregoing consent shall also constitute ICE’s written consent in respect of the Up-C Collapse (and not in respect of any Termination Transaction other than the Up-C Collapse) pursuant to Section 10.8 of the Third Amended and Restated Limited Liability Company Agreement of Opco dated as of October 15, 2021, as amended, restated and/or amended and restated prior to the execution and delivery of this Amendment, including as amended as of April 26, 2024.</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60" w:top="270" w:right="479" w:bottom="1440" w:gutter="0" w:footer="0" w:header="0"/>
        </w:sectPr>
      </w:pPr>
    </w:p>
    <w:bookmarkStart w:id="8" w:name="page9"/>
    <w:bookmarkEnd w:id="8"/>
    <w:p>
      <w:pPr>
        <w:ind w:left="-120" w:right="100" w:firstLine="436"/>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Assurances</w:t>
      </w:r>
      <w:r>
        <w:rPr>
          <w:rFonts w:ascii="Times New Roman" w:cs="Times New Roman" w:eastAsia="Times New Roman" w:hAnsi="Times New Roman"/>
          <w:sz w:val="18"/>
          <w:szCs w:val="18"/>
          <w:color w:val="auto"/>
        </w:rPr>
        <w:t>. Subject to the terms and conditions of this Amendment, each Party hereby agrees to promptly execute, acknowledge and deliver, or cause to be executed, acknowledged and delivered, such documents and other instruments, and to take, or cause to be taken, such further actions, in each case, as may be reasonably required to carry out the provisions of this Amendment.</w:t>
      </w:r>
    </w:p>
    <w:p>
      <w:pPr>
        <w:spacing w:after="0" w:line="173" w:lineRule="exact"/>
        <w:rPr>
          <w:rFonts w:ascii="Times New Roman" w:cs="Times New Roman" w:eastAsia="Times New Roman" w:hAnsi="Times New Roman"/>
          <w:sz w:val="18"/>
          <w:szCs w:val="18"/>
          <w:color w:val="auto"/>
        </w:rPr>
      </w:pPr>
    </w:p>
    <w:p>
      <w:pPr>
        <w:ind w:left="-120" w:firstLine="436"/>
        <w:spacing w:after="0" w:line="284"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7.2, 7.4 through 7.9, 7.12, 7.13, 7.14 and 7.15 of the Agreement 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No amendment to the Agreement shall be required to the extent any entity becomes a successor of any of the parties thereto.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560" w:top="270" w:right="5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Amendment has been duly executed and delivered by the undersigned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INTERCONTINENTAL EXCHANGE HOLDINGS,</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Surdykowski</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AKSHAY SUDHIR NAHETA</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Akshay Sudhir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Akshay Sudhir Naheta</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Amendment to Tax Receivable Agreement]</w:t>
      </w:r>
    </w:p>
    <w:p>
      <w:pPr>
        <w:sectPr>
          <w:pgSz w:w="11900" w:h="16838" w:orient="portrait"/>
          <w:cols w:equalWidth="0" w:num="1">
            <w:col w:w="10220"/>
          </w:cols>
          <w:pgMar w:left="880" w:top="270" w:right="7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CONTRIBUTION AGREEMENT</w:t>
      </w:r>
    </w:p>
    <w:p>
      <w:pPr>
        <w:spacing w:after="0" w:line="22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This Contribution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16, 2025, is by and among Bakkt Holdings, Inc.(the “</w:t>
      </w:r>
      <w:r>
        <w:rPr>
          <w:rFonts w:ascii="Times New Roman" w:cs="Times New Roman" w:eastAsia="Times New Roman" w:hAnsi="Times New Roman"/>
          <w:sz w:val="18"/>
          <w:szCs w:val="18"/>
          <w:u w:val="single" w:color="auto"/>
          <w:color w:val="auto"/>
        </w:rPr>
        <w:t>Corporate Taxpayer</w:t>
      </w:r>
      <w:r>
        <w:rPr>
          <w:rFonts w:ascii="Times New Roman" w:cs="Times New Roman" w:eastAsia="Times New Roman" w:hAnsi="Times New Roman"/>
          <w:sz w:val="18"/>
          <w:szCs w:val="18"/>
          <w:color w:val="auto"/>
        </w:rPr>
        <w:t>”), Akshay Sudhir Naheta (“</w:t>
      </w:r>
      <w:r>
        <w:rPr>
          <w:rFonts w:ascii="Times New Roman" w:cs="Times New Roman" w:eastAsia="Times New Roman" w:hAnsi="Times New Roman"/>
          <w:sz w:val="18"/>
          <w:szCs w:val="18"/>
          <w:u w:val="single" w:color="auto"/>
          <w:color w:val="auto"/>
        </w:rPr>
        <w:t>AN</w:t>
      </w:r>
      <w:r>
        <w:rPr>
          <w:rFonts w:ascii="Times New Roman" w:cs="Times New Roman" w:eastAsia="Times New Roman" w:hAnsi="Times New Roman"/>
          <w:sz w:val="18"/>
          <w:szCs w:val="18"/>
          <w:color w:val="auto"/>
        </w:rPr>
        <w:t>”) and Intercontinental Exchange Holdings, Inc.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and together with AN, the “</w:t>
      </w:r>
      <w:r>
        <w:rPr>
          <w:rFonts w:ascii="Times New Roman" w:cs="Times New Roman" w:eastAsia="Times New Roman" w:hAnsi="Times New Roman"/>
          <w:sz w:val="18"/>
          <w:szCs w:val="18"/>
          <w:u w:val="single" w:color="auto"/>
          <w:color w:val="auto"/>
        </w:rPr>
        <w:t>Contributors</w:t>
      </w:r>
      <w:r>
        <w:rPr>
          <w:rFonts w:ascii="Times New Roman" w:cs="Times New Roman" w:eastAsia="Times New Roman" w:hAnsi="Times New Roman"/>
          <w:sz w:val="18"/>
          <w:szCs w:val="18"/>
          <w:color w:val="auto"/>
        </w:rPr>
        <w:t>”). Unless context otherwise requires, capitalized terms used herein but not defined herein shall have the meanings assigned to such terms in the Tax Receivable Agreement, dated as of October 15, 2021 (as amended or otherwise modified prior to the execution and delivery of this Agreement, the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WHEREAS, promptly following the execution and delivery of this Agreement, the Corporate Taxpayer will publicly announce a reorganization of certain of its entities that, if consummated, will result in the elimination of its umbrella partnership-C-corporation structure and the Corporate Taxpayer becoming a wholly owned subsidiary of a new holding company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that will replace the Corporate Taxpayer as the public company trading on the New York Stock Exchange (the “</w:t>
      </w:r>
      <w:r>
        <w:rPr>
          <w:rFonts w:ascii="Times New Roman" w:cs="Times New Roman" w:eastAsia="Times New Roman" w:hAnsi="Times New Roman"/>
          <w:sz w:val="18"/>
          <w:szCs w:val="18"/>
          <w:u w:val="single" w:color="auto"/>
          <w:color w:val="auto"/>
        </w:rPr>
        <w:t>Up-C Collapse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Corporate Taxpayer intends that for U.S. federal income tax purposes the Up-C Collapse and the Contributions will qualify as a nonrecognition transaction under Section 351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the Corporate Taxpayer and the Contributors are agreeing to certain amendments to the TRA, in each case to be effective only immediately prior to and subject to the consummation of the Up-C Collapse (the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WHEREAS, the Contributors are TRA Parties and, along with the Corporate Taxpayer, desire to enter into this Agreement, pursuant to which the Contributors agree that immediately prior to the effectiveness of the TRA Amendment, the Contributors shall contribute the Contributed Rights to NewCo in exchange for cash and shall contribute such cash to NewCo in exchange for newly issued common shares of NewCo, in each case upon the terms described herein and on a net-settled basis (the “</w:t>
      </w: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9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terms and conditions set forth herein, and for other good and valuable consideration, the receipt and sufficiency of which are hereby acknowledged, the parties hereto agree as follows:</w:t>
      </w:r>
    </w:p>
    <w:p>
      <w:pPr>
        <w:spacing w:after="0" w:line="189" w:lineRule="exact"/>
        <w:rPr>
          <w:sz w:val="20"/>
          <w:szCs w:val="20"/>
          <w:color w:val="auto"/>
        </w:rPr>
      </w:pPr>
    </w:p>
    <w:p>
      <w:pPr>
        <w:ind w:left="424" w:right="100" w:hanging="424"/>
        <w:spacing w:after="0" w:line="258"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On the terms and subject to the conditions set forth in this Agreement, (i) each Contributor hereby agrees to transfer to NewCo, and NewCo agrees to acquire and accept from each Contributor, all of such Contributor’s respective rights, title, interests, and obligations under the TRA (the “</w:t>
      </w:r>
      <w:r>
        <w:rPr>
          <w:rFonts w:ascii="Times New Roman" w:cs="Times New Roman" w:eastAsia="Times New Roman" w:hAnsi="Times New Roman"/>
          <w:sz w:val="18"/>
          <w:szCs w:val="18"/>
          <w:u w:val="single" w:color="auto"/>
          <w:color w:val="auto"/>
        </w:rPr>
        <w:t>Contributed Rights</w:t>
      </w:r>
      <w:r>
        <w:rPr>
          <w:rFonts w:ascii="Times New Roman" w:cs="Times New Roman" w:eastAsia="Times New Roman" w:hAnsi="Times New Roman"/>
          <w:sz w:val="18"/>
          <w:szCs w:val="18"/>
          <w:color w:val="auto"/>
        </w:rPr>
        <w:t>”) in exchange for a payment to such Contributor by NewCo of cash in an amount equal to the Early Termination Payment to which such Contributor would otherwise be entitled under the TRA (provided, the amount of such Early Termination Payment shall not exceed the applicable Early Termination Payment</w:t>
      </w:r>
    </w:p>
    <w:p>
      <w:pPr>
        <w:sectPr>
          <w:pgSz w:w="11900" w:h="16838" w:orient="portrait"/>
          <w:cols w:equalWidth="0" w:num="1">
            <w:col w:w="11024"/>
          </w:cols>
          <w:pgMar w:left="436" w:top="117" w:right="439" w:bottom="1440" w:gutter="0" w:footer="0" w:header="0"/>
        </w:sectPr>
      </w:pPr>
    </w:p>
    <w:bookmarkStart w:id="11" w:name="page12"/>
    <w:bookmarkEnd w:id="11"/>
    <w:p>
      <w:pPr>
        <w:ind w:left="4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Cap), and (ii) each Contributor agrees to contribute such amount of cash to NewCo, and NewCo agrees to issue to such Contributor in exchange therefor, such number of shares of Class A Common Stock of NewCo as shall be equal to the quotient of (A) the Early Termination Payment to which such Contributor would otherwise be entitled under the TRA (provided, the amount of such Early Termination Payment shall not exceed the applicable Early Termination Payment Cap) divided by (B) the “Minimum Price” as defined in NYSE Rule 312.04(h);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purposes of determining the amount of the Early Termination Payment pursuant to this Section 1(a), the Early Termination Rate means 18% per annum, compounded annually;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parties hereto agree that the respective obligations of each Contributor and NewCo to transfer cash to each other in clauses (i) and (ii) above shall be net-settled and offset against one another. “</w:t>
      </w:r>
      <w:r>
        <w:rPr>
          <w:rFonts w:ascii="Times New Roman" w:cs="Times New Roman" w:eastAsia="Times New Roman" w:hAnsi="Times New Roman"/>
          <w:sz w:val="18"/>
          <w:szCs w:val="18"/>
          <w:u w:val="single" w:color="auto"/>
          <w:color w:val="auto"/>
        </w:rPr>
        <w:t>Early Termination Payment Cap</w:t>
      </w:r>
      <w:r>
        <w:rPr>
          <w:rFonts w:ascii="Times New Roman" w:cs="Times New Roman" w:eastAsia="Times New Roman" w:hAnsi="Times New Roman"/>
          <w:sz w:val="18"/>
          <w:szCs w:val="18"/>
          <w:color w:val="auto"/>
        </w:rPr>
        <w:t>” means, in respect of a Contributor, the amount of an applicable Early Termination Payment in respect of such Contributor, calculated as if the applicable Early Termination Date is the date of the TRA Amendment.</w:t>
      </w:r>
    </w:p>
    <w:p>
      <w:pPr>
        <w:spacing w:after="0" w:line="215" w:lineRule="exact"/>
        <w:rPr>
          <w:sz w:val="20"/>
          <w:szCs w:val="20"/>
          <w:color w:val="auto"/>
        </w:rPr>
      </w:pPr>
    </w:p>
    <w:p>
      <w:pPr>
        <w:ind w:left="424" w:right="40" w:hanging="424"/>
        <w:spacing w:after="0" w:line="266"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The Corporate Taxpayer and the Contributors intend that for U.S. federal income tax purposes the Contributions will qualify for nonrecognition treatment under Section 351 of the Code, and agree to file all tax returns and information returns consistently with such treatment except as otherwise required by applicable law or as otherwise agreed between the parties.</w:t>
      </w:r>
    </w:p>
    <w:p>
      <w:pPr>
        <w:spacing w:after="0" w:line="20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Contributions shall be effective immediately prior to the effectiveness of the TRA Amendment.</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Contributors</w:t>
      </w:r>
      <w:r>
        <w:rPr>
          <w:rFonts w:ascii="Times New Roman" w:cs="Times New Roman" w:eastAsia="Times New Roman" w:hAnsi="Times New Roman"/>
          <w:sz w:val="18"/>
          <w:szCs w:val="18"/>
          <w:color w:val="auto"/>
        </w:rPr>
        <w:t>. Each Contributor hereby represents and warrants to the Corporate Taxpayer as follows:</w:t>
      </w:r>
    </w:p>
    <w:p>
      <w:pPr>
        <w:spacing w:after="0" w:line="252"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Such Contributor has all requisite power and authority to execute and deliver this Agreement, to carry out its obligations hereunder, and to consummate the transactions contemplated hereby. This Agreement has been duly executed and delivered by such Contributor and (assuming due authorization, execution and delivery by the Corporate Taxpayer and the other Contributor) shall constitute such Contributor’s legal, valid and binding obligation, enforceable against it in accordance with its terms.</w:t>
      </w:r>
    </w:p>
    <w:p>
      <w:pPr>
        <w:spacing w:after="0" w:line="206" w:lineRule="exact"/>
        <w:rPr>
          <w:rFonts w:ascii="Times New Roman" w:cs="Times New Roman" w:eastAsia="Times New Roman" w:hAnsi="Times New Roman"/>
          <w:sz w:val="18"/>
          <w:szCs w:val="18"/>
          <w:color w:val="auto"/>
        </w:rPr>
      </w:pPr>
    </w:p>
    <w:p>
      <w:pPr>
        <w:ind w:left="424" w:right="60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Corporate Taxpayer</w:t>
      </w:r>
      <w:r>
        <w:rPr>
          <w:rFonts w:ascii="Times New Roman" w:cs="Times New Roman" w:eastAsia="Times New Roman" w:hAnsi="Times New Roman"/>
          <w:sz w:val="18"/>
          <w:szCs w:val="18"/>
          <w:color w:val="auto"/>
        </w:rPr>
        <w:t>. The Corporate Taxpayer hereby represents and warrants to each Contributor as follows:</w:t>
      </w:r>
    </w:p>
    <w:p>
      <w:pPr>
        <w:spacing w:after="0" w:line="188"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of the Corporate Taxpayer</w:t>
      </w:r>
      <w:r>
        <w:rPr>
          <w:rFonts w:ascii="Times New Roman" w:cs="Times New Roman" w:eastAsia="Times New Roman" w:hAnsi="Times New Roman"/>
          <w:sz w:val="18"/>
          <w:szCs w:val="18"/>
          <w:color w:val="auto"/>
        </w:rPr>
        <w:t>. The Corporate Taxpayer is a corporation duly organized, validly existing and in good standing under the laws of the State of Delaware.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2" w:name="page13"/>
    <w:bookmarkEnd w:id="12"/>
    <w:p>
      <w:pPr>
        <w:ind w:left="964" w:right="60" w:hanging="532"/>
        <w:spacing w:after="0" w:line="25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Authority</w:t>
      </w:r>
      <w:r>
        <w:rPr>
          <w:rFonts w:ascii="Times New Roman" w:cs="Times New Roman" w:eastAsia="Times New Roman" w:hAnsi="Times New Roman"/>
          <w:sz w:val="18"/>
          <w:szCs w:val="18"/>
          <w:color w:val="auto"/>
        </w:rPr>
        <w:t>. The Corporate Taxpayer has all requisite power and authority to execute and deliver this Agreement, to carry out its obligations hereunder, and to consummate the transactions contemplated hereby. The Corporate Taxpayer has obtained all necessary corporate approvals for the execution and delivery of this Agreement, the performance of its obligations hereunder, and the consummation of the transactions contemplated hereby. This Agreement has been duly executed and delivered by the Corporate Taxpayer and (assuming due authorization, execution and delivery by the Contributors) shall constitute the Corporate Taxpayer’s legal, valid and binding obligation, enforceable against it in accordance with its terms.</w:t>
      </w:r>
    </w:p>
    <w:p>
      <w:pPr>
        <w:spacing w:after="0" w:line="214"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Agreement, each party hereto hereby agrees to promptly execute, acknowledge and deliver, or cause to be executed, acknowledged and delivered, such documents and other instruments, and to take, or cause to be taken, such further actions, in each case, as may be reasonably required to carry out the provisions of this Agreement.</w:t>
      </w:r>
    </w:p>
    <w:p>
      <w:pPr>
        <w:spacing w:after="0" w:line="200" w:lineRule="exact"/>
        <w:rPr>
          <w:rFonts w:ascii="Times New Roman" w:cs="Times New Roman" w:eastAsia="Times New Roman" w:hAnsi="Times New Roman"/>
          <w:sz w:val="18"/>
          <w:szCs w:val="18"/>
          <w:color w:val="auto"/>
        </w:rPr>
      </w:pPr>
    </w:p>
    <w:p>
      <w:pPr>
        <w:ind w:left="424" w:right="160" w:hanging="424"/>
        <w:spacing w:after="0" w:line="284"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7.2, 7.4 through 7.9, 7.12, 7.13 and 7.15 of the TRA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No amendment to the TRA shall be required to the extent any entity becomes a successor of any of the parties thereto.</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duly executed and delivered by the undersigned as of the date first above written.</w:t>
      </w:r>
    </w:p>
    <w:p>
      <w:pPr>
        <w:spacing w:after="0" w:line="24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INTERCONTINENTAL EXCHANGE HOLDINGS,</w:t>
      </w:r>
    </w:p>
    <w:p>
      <w:pPr>
        <w:spacing w:after="0" w:line="4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Andrew Surdykowski</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AKSHAY SUDHIR NAHETA</w:t>
      </w:r>
    </w:p>
    <w:p>
      <w:pPr>
        <w:spacing w:after="0" w:line="2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Akshay Sudhir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Akshay Sudhir Naheta</w:t>
      </w:r>
    </w:p>
    <w:p>
      <w:pPr>
        <w:spacing w:after="0" w:line="22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Contribution Agreement</w:t>
      </w:r>
      <w:r>
        <w:rPr>
          <w:rFonts w:ascii="Times New Roman" w:cs="Times New Roman" w:eastAsia="Times New Roman" w:hAnsi="Times New Roman"/>
          <w:sz w:val="18"/>
          <w:szCs w:val="18"/>
          <w:color w:val="auto"/>
        </w:rPr>
        <w:t>]</w:t>
      </w:r>
    </w:p>
    <w:p>
      <w:pPr>
        <w:sectPr>
          <w:pgSz w:w="11900" w:h="16838" w:orient="portrait"/>
          <w:cols w:equalWidth="0" w:num="1">
            <w:col w:w="9800"/>
          </w:cols>
          <w:pgMar w:left="1300" w:top="270" w:right="7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Announces Plan to Simplify Capital Structure and Transition to a Single-Class Common Stock</w:t>
      </w:r>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NY </w:t>
      </w:r>
      <w:r>
        <w:rPr>
          <w:rFonts w:ascii="Times New Roman" w:cs="Times New Roman" w:eastAsia="Times New Roman" w:hAnsi="Times New Roman"/>
          <w:sz w:val="18"/>
          <w:szCs w:val="18"/>
          <w:color w:val="auto"/>
        </w:rPr>
        <w:t>– October 16, 2025 – Bakkt Holdings, Inc. (“Bakkt” or the “Company”) (NYSE:BKKT) announced today that it plans to eliminate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existing umbrella partnership-C corporation (“Up-C”) structure through a reorganization. If consummated, Bakkt will become a wholly owned subsidiary of a new holding company, which will be named Bakkt Holdings, Inc. (“NewCo”), will replace Bakkt as the listed public company, and will transition to a single class of common stock.</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completion of the reorganization, each share of Class A common stock of Bakkt will be exchanged for one share of common stock of NewCo. Under the proposed reorganization, ownership interests held by Bakkt’s pre-IPO investors will be collapsed into, and the shares of Class V common stock of Bakkt will be replaced with, shares of common stock of NewCo. Following completion, all Bakkt shareholders will hold common stock of NewCo, resulting in a unified share class with identical economic and voting rights for all shareholders and reflecting a streamlined capital structure. Bakkt expects to close the reorganization on or about November 3, 2025.</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“Simplifying our capital structure marks a pivotal step in positioning Bakkt for its next phase of growth,” said Akshay Naheta, Chief Executive Officer of Bakkt. “While the Up-C framework originally preserved pre-IPO tax attributes, we believe it has, over time, constrained Bakkt’s access to a broader universe of institutional investors. Transitioning to a single-class structure enhances transparency, investability, and scalability – aligning Bakkt’s governance with the long-term interests of all shareholders.”</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transition follows a series of recent and ongoing initiatives aimed at optimizing Bakkt’s operations and its capital base. Collectively, these initiatives underscore Bakkt’s commitment to institutional readiness, operational efficiency, product innovation, and shareholder alignment – as the Company works toward what it aims to be a full transformation by year-end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Founded in 2018, Bakkt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Bakkt is headquartered in New York, NY. For more information, visit: </w:t>
      </w:r>
      <w:r>
        <w:rPr>
          <w:rFonts w:ascii="Times New Roman" w:cs="Times New Roman" w:eastAsia="Times New Roman" w:hAnsi="Times New Roman"/>
          <w:sz w:val="18"/>
          <w:szCs w:val="18"/>
          <w:u w:val="single" w:color="auto"/>
          <w:color w:val="auto"/>
        </w:rPr>
        <w:t>https://www.bakkt.com/ |</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LinkedIn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Section 27A of the U.S. Securities Act of 1933, as amended, and Section 21E of the U.S. Securities and Exchange Act of 1934, as amended.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ectPr>
          <w:pgSz w:w="11900" w:h="16838" w:orient="portrait"/>
          <w:cols w:equalWidth="0" w:num="1">
            <w:col w:w="11020"/>
          </w:cols>
          <w:pgMar w:left="440" w:top="117" w:right="439" w:bottom="1440" w:gutter="0" w:footer="0" w:header="0"/>
        </w:sectPr>
      </w:pPr>
    </w:p>
    <w:bookmarkStart w:id="15" w:name="page16"/>
    <w:bookmarkEnd w:id="1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Actual results and the timing of events may differ materially from the results anticipated in such forward-looking statements as a result of the following factors, among others: the Company’s ability to grow and manage growth profitably; the possibility that the Company may be unable to close the reorganization on the expected closing date; finalizing the terms of the reorganization and entering into definitive documentation therefor, including whether the reorganization will be completed on the expected timeline, and whether the Company will achieve the anticipated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its quarterly report on Form 10-Q for the quarter ended March 31, 2025, its most recent quarterly report on Form 10-Q for the quarter ended June 30, 2025, and the risks regarding the Company’s adoption of its treasury strategy set forth on in Exhibit 99.1 to the Current Report on Form 8-K, dated as of June 10, 2025.</w:t>
      </w:r>
    </w:p>
    <w:p>
      <w:pPr>
        <w:sectPr>
          <w:pgSz w:w="11900" w:h="16838" w:orient="portrait"/>
          <w:cols w:equalWidth="0" w:num="1">
            <w:col w:w="11000"/>
          </w:cols>
          <w:pgMar w:left="440" w:top="270" w:right="45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are cautioned not to place undue reliance on such forward-looking statements. Such forward-looking statements relate only to events as of the date on which such statements are made and are based on information available to us as of the date of this release.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yujia@orangegroupadvisors.com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Luna PR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Gregor@lunapr.io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Laura@lunapr.io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Bakkt Holdings, Inc.</w:t>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Roman"/>
      <w:start w:val="2"/>
    </w:lvl>
  </w:abstractNum>
  <w:abstractNum w:abstractNumId="2">
    <w:nsid w:val="79E2A9E3"/>
    <w:multiLevelType w:val="hybridMultilevel"/>
    <w:lvl w:ilvl="0">
      <w:lvlJc w:val="left"/>
      <w:lvlText w:val="(%1)"/>
      <w:numFmt w:val="lowerLetter"/>
      <w:start w:val="4"/>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2"/>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2"/>
    </w:lvl>
  </w:abstractNum>
  <w:abstractNum w:abstractNumId="11">
    <w:nsid w:val="66EF438D"/>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2025-10-20T06:07:12Z</dcterms:created>
  <dcterms:modified xsi:type="dcterms:W3CDTF">2025-10-20T06:07:12Z</dcterms:modified>
</cp:coreProperties>
</file>