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2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17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17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Andrew J. Surdykowski</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Intercontinental Exchange, Inc.</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5660 New Northside Drive</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Atlanta, GA 30328</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770-857-4700</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With a Copy to:</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Rory B. O’Halloran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Cody Wright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Shearman &amp; Sterling LLP</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599 Lexington Avenue</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New York, NY 10022-6069</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212-848-4000</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Address and Telephone Number of Person Authorized</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to Receive Notices and Communications)</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182" w:lineRule="exact"/>
        <w:rPr>
          <w:sz w:val="24"/>
          <w:szCs w:val="24"/>
          <w:color w:val="auto"/>
        </w:rPr>
      </w:pPr>
    </w:p>
    <w:p>
      <w:pPr>
        <w:ind w:right="120"/>
        <w:spacing w:after="0" w:line="281" w:lineRule="exact"/>
        <w:rPr>
          <w:sz w:val="20"/>
          <w:szCs w:val="20"/>
          <w:color w:val="auto"/>
        </w:rPr>
      </w:pPr>
      <w:r>
        <w:rPr>
          <w:rFonts w:ascii="Times New Roman" w:cs="Times New Roman" w:eastAsia="Times New Roman" w:hAnsi="Times New Roman"/>
          <w:sz w:val="22"/>
          <w:szCs w:val="22"/>
          <w:color w:val="auto"/>
        </w:rPr>
        <w:t xml:space="preserve">If the filing person has previously filed a statement on Schedule 13G to report the acquisition that is the subject of this Schedule 13D, and is filing this schedule because §§240.13d-1(e), 240.13d-1(f) or 240.13d-1(g), check the following box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p>
      <w:pPr>
        <w:spacing w:after="0" w:line="151"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13d-7 for other parties to whom copies are to be sent.</w:t>
      </w:r>
    </w:p>
    <w:p>
      <w:pPr>
        <w:spacing w:after="0" w:line="154" w:lineRule="exact"/>
        <w:rPr>
          <w:sz w:val="24"/>
          <w:szCs w:val="24"/>
          <w:color w:val="auto"/>
        </w:rPr>
      </w:pPr>
    </w:p>
    <w:p>
      <w:pPr>
        <w:ind w:right="40" w:firstLine="8"/>
        <w:spacing w:after="0" w:line="24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6" w:right="3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13D</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-148590</wp:posOffset>
            </wp:positionV>
            <wp:extent cx="7132320" cy="8212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12455"/>
                    </a:xfrm>
                    <a:prstGeom prst="rect">
                      <a:avLst/>
                    </a:prstGeom>
                    <a:noFill/>
                  </pic:spPr>
                </pic:pic>
              </a:graphicData>
            </a:graphic>
          </wp:anchor>
        </w:drawing>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auto"/>
        </w:rPr>
        <w:t>CHECK THE APPROPRIATE BOX IF A MEMBER OF A GROUP</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(See Instructions)</w:t>
      </w:r>
    </w:p>
    <w:p>
      <w:pPr>
        <w:spacing w:after="0" w:line="175" w:lineRule="exact"/>
        <w:rPr>
          <w:sz w:val="20"/>
          <w:szCs w:val="20"/>
          <w:color w:val="auto"/>
        </w:rPr>
      </w:pPr>
    </w:p>
    <w:p>
      <w:pPr>
        <w:ind w:left="287" w:hanging="287"/>
        <w:spacing w:after="0" w:line="253" w:lineRule="exact"/>
        <w:tabs>
          <w:tab w:leader="none" w:pos="287" w:val="left"/>
        </w:tabs>
        <w:numPr>
          <w:ilvl w:val="0"/>
          <w:numId w:val="2"/>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61" w:lineRule="exact"/>
        <w:rPr>
          <w:rFonts w:ascii="Times New Roman" w:cs="Times New Roman" w:eastAsia="Times New Roman" w:hAnsi="Times New Roman"/>
          <w:sz w:val="22"/>
          <w:szCs w:val="22"/>
          <w:color w:val="auto"/>
        </w:rPr>
      </w:pPr>
    </w:p>
    <w:p>
      <w:pPr>
        <w:ind w:left="307" w:hanging="307"/>
        <w:spacing w:after="0" w:line="253" w:lineRule="exact"/>
        <w:tabs>
          <w:tab w:leader="none" w:pos="307" w:val="left"/>
        </w:tabs>
        <w:numPr>
          <w:ilvl w:val="0"/>
          <w:numId w:val="2"/>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 w:lineRule="exact"/>
        <w:rPr>
          <w:sz w:val="20"/>
          <w:szCs w:val="20"/>
          <w:color w:val="auto"/>
        </w:rPr>
      </w:pPr>
    </w:p>
    <w:p>
      <w:pPr>
        <w:sectPr>
          <w:pgSz w:w="11900" w:h="16838" w:orient="portrait"/>
          <w:cols w:equalWidth="0" w:num="2">
            <w:col w:w="660" w:space="593"/>
            <w:col w:w="9987"/>
          </w:cols>
          <w:pgMar w:left="320" w:top="567" w:right="339" w:bottom="0" w:gutter="0" w:footer="0" w:header="0"/>
          <w:type w:val="continuous"/>
        </w:sectPr>
      </w:pPr>
    </w:p>
    <w:p>
      <w:pPr>
        <w:ind w:left="1260" w:hanging="750"/>
        <w:spacing w:after="0" w:line="184" w:lineRule="auto"/>
        <w:tabs>
          <w:tab w:leader="none" w:pos="1260" w:val="left"/>
        </w:tabs>
        <w:numPr>
          <w:ilvl w:val="0"/>
          <w:numId w:val="3"/>
        </w:numPr>
        <w:rPr>
          <w:rFonts w:ascii="Times New Roman" w:cs="Times New Roman" w:eastAsia="Times New Roman" w:hAnsi="Times New Roman"/>
          <w:sz w:val="54"/>
          <w:szCs w:val="54"/>
          <w:color w:val="auto"/>
          <w:vertAlign w:val="subscript"/>
        </w:rPr>
      </w:pPr>
      <w:r>
        <w:rPr>
          <w:rFonts w:ascii="Times New Roman" w:cs="Times New Roman" w:eastAsia="Times New Roman" w:hAnsi="Times New Roman"/>
          <w:sz w:val="21"/>
          <w:szCs w:val="21"/>
          <w:b w:val="1"/>
          <w:bCs w:val="1"/>
          <w:color w:val="auto"/>
        </w:rPr>
        <w:t>SEC USE ONLY</w:t>
      </w:r>
    </w:p>
    <w:p>
      <w:pPr>
        <w:sectPr>
          <w:pgSz w:w="11900" w:h="16838" w:orient="portrait"/>
          <w:cols w:equalWidth="0" w:num="1">
            <w:col w:w="11240"/>
          </w:cols>
          <w:pgMar w:left="320" w:top="567" w:right="339" w:bottom="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SOURCE OF FUNDS </w:t>
      </w:r>
      <w:r>
        <w:rPr>
          <w:rFonts w:ascii="Times New Roman" w:cs="Times New Roman" w:eastAsia="Times New Roman" w:hAnsi="Times New Roman"/>
          <w:sz w:val="17"/>
          <w:szCs w:val="17"/>
          <w:b w:val="1"/>
          <w:bCs w:val="1"/>
          <w:color w:val="auto"/>
        </w:rPr>
        <w:t>(See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200" w:lineRule="exact"/>
        <w:rPr>
          <w:sz w:val="20"/>
          <w:szCs w:val="20"/>
          <w:color w:val="auto"/>
        </w:rPr>
      </w:pPr>
    </w:p>
    <w:p>
      <w:pPr>
        <w:sectPr>
          <w:pgSz w:w="11900" w:h="16838" w:orient="portrait"/>
          <w:cols w:equalWidth="0" w:num="2">
            <w:col w:w="660" w:space="600"/>
            <w:col w:w="9980"/>
          </w:cols>
          <w:pgMar w:left="320" w:top="567" w:right="339" w:bottom="0" w:gutter="0" w:footer="0" w:header="0"/>
          <w:type w:val="continuous"/>
        </w:sectPr>
      </w:pPr>
    </w:p>
    <w:p>
      <w:pPr>
        <w:spacing w:after="0" w:line="16" w:lineRule="exact"/>
        <w:rPr>
          <w:sz w:val="20"/>
          <w:szCs w:val="20"/>
          <w:color w:val="auto"/>
        </w:rPr>
      </w:pPr>
    </w:p>
    <w:p>
      <w:pPr>
        <w:ind w:left="1160" w:right="1180" w:hanging="650"/>
        <w:spacing w:after="0" w:line="282" w:lineRule="exact"/>
        <w:tabs>
          <w:tab w:leader="none" w:pos="1160" w:val="left"/>
        </w:tabs>
        <w:numPr>
          <w:ilvl w:val="0"/>
          <w:numId w:val="4"/>
        </w:numPr>
        <w:rPr>
          <w:rFonts w:ascii="Times New Roman" w:cs="Times New Roman" w:eastAsia="Times New Roman" w:hAnsi="Times New Roman"/>
          <w:sz w:val="46"/>
          <w:szCs w:val="46"/>
          <w:color w:val="auto"/>
          <w:vertAlign w:val="subscript"/>
        </w:rPr>
      </w:pPr>
      <w:r>
        <w:rPr>
          <w:rFonts w:ascii="Times New Roman" w:cs="Times New Roman" w:eastAsia="Times New Roman" w:hAnsi="Times New Roman"/>
          <w:sz w:val="19"/>
          <w:szCs w:val="19"/>
          <w:b w:val="1"/>
          <w:bCs w:val="1"/>
          <w:color w:val="auto"/>
        </w:rPr>
        <w:t xml:space="preserve">CHECK BOX IF DISCLOSURE OF LEGAL PROCEEDINGS IS REQUIRED PURSUANT TO ITEMS 2(d) or 2(e) </w:t>
      </w:r>
      <w:r>
        <w:rPr>
          <w:rFonts w:ascii="MS PGothic" w:cs="MS PGothic" w:eastAsia="MS PGothic" w:hAnsi="MS PGothic"/>
          <w:sz w:val="19"/>
          <w:szCs w:val="19"/>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40" w:type="dxa"/>
            <w:vAlign w:val="bottom"/>
            <w:tcBorders>
              <w:top w:val="single" w:sz="8" w:color="auto"/>
            </w:tcBorders>
            <w:vMerge w:val="restart"/>
          </w:tcPr>
          <w:p>
            <w:pPr>
              <w:jc w:val="center"/>
              <w:ind w:left="94"/>
              <w:spacing w:after="0"/>
              <w:rPr>
                <w:sz w:val="20"/>
                <w:szCs w:val="20"/>
                <w:color w:val="auto"/>
              </w:rPr>
            </w:pPr>
            <w:r>
              <w:rPr>
                <w:rFonts w:ascii="Times New Roman" w:cs="Times New Roman" w:eastAsia="Times New Roman" w:hAnsi="Times New Roman"/>
                <w:sz w:val="29"/>
                <w:szCs w:val="29"/>
                <w:color w:val="auto"/>
              </w:rPr>
              <w:t>6</w:t>
            </w:r>
          </w:p>
        </w:tc>
        <w:tc>
          <w:tcPr>
            <w:tcW w:w="1030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vMerge w:val="continue"/>
          </w:tcPr>
          <w:p>
            <w:pPr>
              <w:spacing w:after="0"/>
              <w:rPr>
                <w:sz w:val="20"/>
                <w:szCs w:val="20"/>
                <w:color w:val="auto"/>
              </w:rPr>
            </w:pPr>
          </w:p>
        </w:tc>
        <w:tc>
          <w:tcPr>
            <w:tcW w:w="21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Delaware</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7</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vMerge w:val="continue"/>
          </w:tcPr>
          <w:p>
            <w:pPr>
              <w:spacing w:after="0"/>
              <w:rPr>
                <w:sz w:val="20"/>
                <w:szCs w:val="20"/>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8</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61"/>
        </w:trPr>
        <w:tc>
          <w:tcPr>
            <w:tcW w:w="3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 SHARES</w:t>
            </w:r>
          </w:p>
        </w:tc>
        <w:tc>
          <w:tcPr>
            <w:tcW w:w="1240" w:type="dxa"/>
            <w:vAlign w:val="bottom"/>
            <w:tcBorders>
              <w:right w:val="single" w:sz="8" w:color="auto"/>
            </w:tcBorders>
            <w:vMerge w:val="continue"/>
          </w:tcPr>
          <w:p>
            <w:pPr>
              <w:spacing w:after="0"/>
              <w:rPr>
                <w:sz w:val="22"/>
                <w:szCs w:val="22"/>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174,793,798</w:t>
            </w:r>
          </w:p>
        </w:tc>
        <w:tc>
          <w:tcPr>
            <w:tcW w:w="5740" w:type="dxa"/>
            <w:vAlign w:val="bottom"/>
            <w:vMerge w:val="restart"/>
          </w:tcPr>
          <w:p>
            <w:pPr>
              <w:jc w:val="right"/>
              <w:ind w:right="5430"/>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47"/>
        </w:trPr>
        <w:tc>
          <w:tcPr>
            <w:tcW w:w="3060" w:type="dxa"/>
            <w:vAlign w:val="bottom"/>
            <w:tcBorders>
              <w:right w:val="single" w:sz="8" w:color="auto"/>
            </w:tcBorders>
            <w:gridSpan w:val="2"/>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200" w:type="dxa"/>
            <w:vAlign w:val="bottom"/>
            <w:vMerge w:val="continue"/>
          </w:tcPr>
          <w:p>
            <w:pPr>
              <w:spacing w:after="0"/>
              <w:rPr>
                <w:sz w:val="4"/>
                <w:szCs w:val="4"/>
                <w:color w:val="auto"/>
              </w:rPr>
            </w:pPr>
          </w:p>
        </w:tc>
        <w:tc>
          <w:tcPr>
            <w:tcW w:w="5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060" w:type="dxa"/>
            <w:vAlign w:val="bottom"/>
            <w:tcBorders>
              <w:right w:val="single" w:sz="8" w:color="auto"/>
            </w:tcBorders>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BENEFICIALLY OWNED BY</w:t>
            </w:r>
          </w:p>
        </w:tc>
        <w:tc>
          <w:tcPr>
            <w:tcW w:w="1240" w:type="dxa"/>
            <w:vAlign w:val="bottom"/>
            <w:tcBorders>
              <w:right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3060" w:type="dxa"/>
            <w:vAlign w:val="bottom"/>
            <w:tcBorders>
              <w:right w:val="single" w:sz="8" w:color="auto"/>
            </w:tcBorders>
            <w:gridSpan w:val="2"/>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EACH REPORTING PERSON</w:t>
            </w: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60" w:type="dxa"/>
            <w:vAlign w:val="bottom"/>
            <w:tcBorders>
              <w:right w:val="single" w:sz="8" w:color="auto"/>
            </w:tcBorders>
            <w:gridSpan w:val="2"/>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69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12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22"/>
                <w:szCs w:val="22"/>
                <w:color w:val="auto"/>
              </w:rPr>
              <w:t>WITH</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9</w:t>
            </w:r>
          </w:p>
        </w:tc>
        <w:tc>
          <w:tcPr>
            <w:tcW w:w="6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5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5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10</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261"/>
        </w:trPr>
        <w:tc>
          <w:tcPr>
            <w:tcW w:w="94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vMerge w:val="continue"/>
          </w:tcPr>
          <w:p>
            <w:pPr>
              <w:spacing w:after="0"/>
              <w:rPr>
                <w:sz w:val="22"/>
                <w:szCs w:val="22"/>
                <w:color w:val="auto"/>
              </w:rPr>
            </w:pPr>
          </w:p>
        </w:tc>
        <w:tc>
          <w:tcPr>
            <w:tcW w:w="69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174,793,798 </w:t>
            </w:r>
            <w:r>
              <w:rPr>
                <w:rFonts w:ascii="Times New Roman" w:cs="Times New Roman" w:eastAsia="Times New Roman" w:hAnsi="Times New Roman"/>
                <w:sz w:val="35"/>
                <w:szCs w:val="35"/>
                <w:color w:val="auto"/>
                <w:vertAlign w:val="superscript"/>
              </w:rPr>
              <w:t>(2)</w:t>
            </w: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940" w:type="dxa"/>
            <w:vAlign w:val="bottom"/>
            <w:vMerge w:val="restart"/>
          </w:tcPr>
          <w:p>
            <w:pPr>
              <w:jc w:val="center"/>
              <w:ind w:left="94"/>
              <w:spacing w:after="0"/>
              <w:rPr>
                <w:sz w:val="20"/>
                <w:szCs w:val="20"/>
                <w:color w:val="auto"/>
              </w:rPr>
            </w:pPr>
            <w:r>
              <w:rPr>
                <w:rFonts w:ascii="Times New Roman" w:cs="Times New Roman" w:eastAsia="Times New Roman" w:hAnsi="Times New Roman"/>
                <w:sz w:val="29"/>
                <w:szCs w:val="29"/>
                <w:color w:val="auto"/>
                <w:w w:val="96"/>
              </w:rPr>
              <w:t>11</w:t>
            </w:r>
          </w:p>
        </w:tc>
        <w:tc>
          <w:tcPr>
            <w:tcW w:w="10300" w:type="dxa"/>
            <w:vAlign w:val="bottom"/>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vMerge w:val="continue"/>
          </w:tcPr>
          <w:p>
            <w:pPr>
              <w:spacing w:after="0"/>
              <w:rPr>
                <w:sz w:val="20"/>
                <w:szCs w:val="20"/>
                <w:color w:val="auto"/>
              </w:rPr>
            </w:pPr>
          </w:p>
        </w:tc>
        <w:tc>
          <w:tcPr>
            <w:tcW w:w="21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174,793,798</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vMerge w:val="restart"/>
          </w:tcPr>
          <w:p>
            <w:pPr>
              <w:jc w:val="center"/>
              <w:ind w:left="94"/>
              <w:spacing w:after="0"/>
              <w:rPr>
                <w:sz w:val="20"/>
                <w:szCs w:val="20"/>
                <w:color w:val="auto"/>
              </w:rPr>
            </w:pPr>
            <w:r>
              <w:rPr>
                <w:rFonts w:ascii="Times New Roman" w:cs="Times New Roman" w:eastAsia="Times New Roman" w:hAnsi="Times New Roman"/>
                <w:sz w:val="29"/>
                <w:szCs w:val="29"/>
                <w:color w:val="auto"/>
                <w:w w:val="96"/>
              </w:rPr>
              <w:t>12</w:t>
            </w:r>
          </w:p>
        </w:tc>
        <w:tc>
          <w:tcPr>
            <w:tcW w:w="10300" w:type="dxa"/>
            <w:vAlign w:val="bottom"/>
            <w:gridSpan w:val="4"/>
          </w:tcPr>
          <w:p>
            <w:pPr>
              <w:ind w:left="220"/>
              <w:spacing w:after="0" w:line="189" w:lineRule="exact"/>
              <w:rPr>
                <w:sz w:val="20"/>
                <w:szCs w:val="20"/>
                <w:color w:val="auto"/>
              </w:rPr>
            </w:pPr>
            <w:r>
              <w:rPr>
                <w:rFonts w:ascii="Times New Roman" w:cs="Times New Roman" w:eastAsia="Times New Roman" w:hAnsi="Times New Roman"/>
                <w:sz w:val="21"/>
                <w:szCs w:val="21"/>
                <w:b w:val="1"/>
                <w:bCs w:val="1"/>
                <w:color w:val="auto"/>
              </w:rPr>
              <w:t xml:space="preserve">CHECK BOX IF THE AGGREGATE AMOUNT IN ROW (11) EXCLUDES CERTAIN SHARES </w:t>
            </w:r>
            <w:r>
              <w:rPr>
                <w:rFonts w:ascii="Times New Roman" w:cs="Times New Roman" w:eastAsia="Times New Roman" w:hAnsi="Times New Roman"/>
                <w:sz w:val="16"/>
                <w:szCs w:val="16"/>
                <w:b w:val="1"/>
                <w:bCs w:val="1"/>
                <w:color w:val="auto"/>
              </w:rPr>
              <w:t>(See</w:t>
            </w:r>
          </w:p>
        </w:tc>
        <w:tc>
          <w:tcPr>
            <w:tcW w:w="0" w:type="dxa"/>
            <w:vAlign w:val="bottom"/>
          </w:tcPr>
          <w:p>
            <w:pPr>
              <w:spacing w:after="0"/>
              <w:rPr>
                <w:sz w:val="1"/>
                <w:szCs w:val="1"/>
                <w:color w:val="auto"/>
              </w:rPr>
            </w:pPr>
          </w:p>
        </w:tc>
      </w:tr>
      <w:tr>
        <w:trPr>
          <w:trHeight w:val="230"/>
        </w:trPr>
        <w:tc>
          <w:tcPr>
            <w:tcW w:w="940" w:type="dxa"/>
            <w:vAlign w:val="bottom"/>
            <w:vMerge w:val="continue"/>
          </w:tcPr>
          <w:p>
            <w:pPr>
              <w:spacing w:after="0"/>
              <w:rPr>
                <w:sz w:val="20"/>
                <w:szCs w:val="20"/>
                <w:color w:val="auto"/>
              </w:rPr>
            </w:pPr>
          </w:p>
        </w:tc>
        <w:tc>
          <w:tcPr>
            <w:tcW w:w="2120" w:type="dxa"/>
            <w:vAlign w:val="bottom"/>
            <w:vMerge w:val="restart"/>
          </w:tcPr>
          <w:p>
            <w:pPr>
              <w:ind w:left="220"/>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MS PGothic" w:cs="MS PGothic" w:eastAsia="MS PGothic" w:hAnsi="MS PGothic"/>
                <w:sz w:val="21"/>
                <w:szCs w:val="21"/>
                <w:color w:val="auto"/>
              </w:rPr>
              <w:t>☒</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1">
            <w:col w:w="11240"/>
          </w:cols>
          <w:pgMar w:left="320" w:top="567" w:right="339" w:bottom="0" w:gutter="0" w:footer="0" w:header="0"/>
          <w:type w:val="continuous"/>
        </w:sect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PERCENT OF CLASS REPRESENTED BY AMOUNT IN ROW (11)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35"/>
          <w:szCs w:val="35"/>
          <w:color w:val="auto"/>
          <w:vertAlign w:val="superscript"/>
        </w:rPr>
        <w:t>(3)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17"/>
          <w:szCs w:val="17"/>
          <w:b w:val="1"/>
          <w:bCs w:val="1"/>
          <w:color w:val="auto"/>
        </w:rPr>
        <w:t>(See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367030</wp:posOffset>
            </wp:positionV>
            <wp:extent cx="238696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 w:space="540"/>
            <w:col w:w="9980"/>
          </w:cols>
          <w:pgMar w:left="320" w:top="567" w:right="339" w:bottom="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right="40" w:firstLine="8"/>
        <w:spacing w:after="0" w:line="308" w:lineRule="auto"/>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(i) 4,714,336 shares of Class A common stock, par value $0.0001 per share (“</w:t>
      </w:r>
      <w:r>
        <w:rPr>
          <w:rFonts w:ascii="Times New Roman" w:cs="Times New Roman" w:eastAsia="Times New Roman" w:hAnsi="Times New Roman"/>
          <w:sz w:val="16"/>
          <w:szCs w:val="16"/>
          <w:u w:val="single" w:color="auto"/>
          <w:color w:val="auto"/>
        </w:rPr>
        <w:t>Class A Common Stock</w:t>
      </w:r>
      <w:r>
        <w:rPr>
          <w:rFonts w:ascii="Times New Roman" w:cs="Times New Roman" w:eastAsia="Times New Roman" w:hAnsi="Times New Roman"/>
          <w:sz w:val="16"/>
          <w:szCs w:val="16"/>
          <w:color w:val="auto"/>
        </w:rPr>
        <w:t>”), of Bakkt Holdings, Inc.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and (ii) 170,079,462 shares of Class V common stock, par value $0.0001 per share (“</w:t>
      </w:r>
      <w:r>
        <w:rPr>
          <w:rFonts w:ascii="Times New Roman" w:cs="Times New Roman" w:eastAsia="Times New Roman" w:hAnsi="Times New Roman"/>
          <w:sz w:val="16"/>
          <w:szCs w:val="16"/>
          <w:u w:val="single" w:color="auto"/>
          <w:color w:val="auto"/>
        </w:rPr>
        <w:t>Class V Common Stock</w:t>
      </w:r>
      <w:r>
        <w:rPr>
          <w:rFonts w:ascii="Times New Roman" w:cs="Times New Roman" w:eastAsia="Times New Roman" w:hAnsi="Times New Roman"/>
          <w:sz w:val="16"/>
          <w:szCs w:val="16"/>
          <w:color w:val="auto"/>
        </w:rPr>
        <w:t>”, and together with the Class A Common Stock,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the Issuer beneficially owned by the Reporting Person as of the date hereof. As reported herein, the Reporting Persons beneficially own 66.3% of the Common Stock; however, the voting power of the Reporting Persons in respect of the Common Stock is reduced to 30% pursuant to the Voting Agreement between Intercontinental Exchange Holdings, Inc. (“</w:t>
      </w:r>
      <w:r>
        <w:rPr>
          <w:rFonts w:ascii="Times New Roman" w:cs="Times New Roman" w:eastAsia="Times New Roman" w:hAnsi="Times New Roman"/>
          <w:sz w:val="16"/>
          <w:szCs w:val="16"/>
          <w:u w:val="single" w:color="auto"/>
          <w:color w:val="auto"/>
        </w:rPr>
        <w:t>ICEH</w:t>
      </w:r>
      <w:r>
        <w:rPr>
          <w:rFonts w:ascii="Times New Roman" w:cs="Times New Roman" w:eastAsia="Times New Roman" w:hAnsi="Times New Roman"/>
          <w:sz w:val="16"/>
          <w:szCs w:val="16"/>
          <w:color w:val="auto"/>
        </w:rPr>
        <w:t>”), a wholly owned subsidiary of Intercontinental Exchange, Inc. (“</w:t>
      </w:r>
      <w:r>
        <w:rPr>
          <w:rFonts w:ascii="Times New Roman" w:cs="Times New Roman" w:eastAsia="Times New Roman" w:hAnsi="Times New Roman"/>
          <w:sz w:val="16"/>
          <w:szCs w:val="16"/>
          <w:u w:val="single" w:color="auto"/>
          <w:color w:val="auto"/>
        </w:rPr>
        <w:t>ICE</w:t>
      </w:r>
      <w:r>
        <w:rPr>
          <w:rFonts w:ascii="Times New Roman" w:cs="Times New Roman" w:eastAsia="Times New Roman" w:hAnsi="Times New Roman"/>
          <w:sz w:val="16"/>
          <w:szCs w:val="16"/>
          <w:color w:val="auto"/>
        </w:rPr>
        <w:t>”), and the Issuer, so long as ICEH and its affiliates own 50% or more of the total voting power of the Issuer, as described further in Item 6 of the Initial Schedule 13D.</w:t>
      </w:r>
    </w:p>
    <w:p>
      <w:pPr>
        <w:sectPr>
          <w:pgSz w:w="11900" w:h="16838" w:orient="portrait"/>
          <w:cols w:equalWidth="0" w:num="1">
            <w:col w:w="11240"/>
          </w:cols>
          <w:pgMar w:left="320" w:top="567" w:right="339" w:bottom="0" w:gutter="0" w:footer="0" w:header="0"/>
          <w:type w:val="continuous"/>
        </w:sectPr>
      </w:pPr>
    </w:p>
    <w:bookmarkStart w:id="2" w:name="page3"/>
    <w:bookmarkEnd w:id="2"/>
    <w:p>
      <w:pPr>
        <w:ind w:left="-8" w:right="220" w:firstLine="8"/>
        <w:spacing w:after="0" w:line="218" w:lineRule="auto"/>
        <w:tabs>
          <w:tab w:leader="none" w:pos="21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(i) 4,714,336 shares of Class A Common Stock and (ii) 170,079,462 shares of Class V Common Stock beneficially owned by the Reporting Person as of the date hereof.</w:t>
      </w:r>
    </w:p>
    <w:p>
      <w:pPr>
        <w:spacing w:after="0" w:line="198" w:lineRule="exact"/>
        <w:rPr>
          <w:rFonts w:ascii="Times New Roman" w:cs="Times New Roman" w:eastAsia="Times New Roman" w:hAnsi="Times New Roman"/>
          <w:sz w:val="27"/>
          <w:szCs w:val="27"/>
          <w:color w:val="auto"/>
          <w:vertAlign w:val="superscript"/>
        </w:rPr>
      </w:pPr>
    </w:p>
    <w:p>
      <w:pPr>
        <w:ind w:left="-8" w:firstLine="8"/>
        <w:spacing w:after="0" w:line="253" w:lineRule="auto"/>
        <w:tabs>
          <w:tab w:leader="none" w:pos="212"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a total of 263,732,355 shares of Common Stock, consisting of 70,439,996 shares of Class A Common Stock and 193,292,359 shares of Class V Common Stock, outstanding as of April 21, 2022. As described in note 1 above, the Reporting Persons beneficially own 66.3% of the Common Stock; however, the Reporting Persons’ voting power in respect of the Common Stock is reduced to 30% pursuant to the Voting Agreement between ICEH, a wholly owned subsidiary of ICE, and the Issuer, so long as ICEH and its affiliates own 50% or more of the total voting power of the Issuer, as described further in Item 6 of the Initial Schedule 13D. As of the date hereof, the Reporting Person beneficially owns 6.7% of the outstanding shares of Class A Common Stock (excluding any shares of Class V Common Stock).</w:t>
      </w:r>
    </w:p>
    <w:p>
      <w:pPr>
        <w:spacing w:after="0" w:line="38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62"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13D</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67" w:right="339" w:bottom="178" w:gutter="0" w:footer="0" w:header="0"/>
        </w:sect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-148590</wp:posOffset>
            </wp:positionV>
            <wp:extent cx="7132320" cy="8212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12455"/>
                    </a:xfrm>
                    <a:prstGeom prst="rect">
                      <a:avLst/>
                    </a:prstGeom>
                    <a:noFill/>
                  </pic:spPr>
                </pic:pic>
              </a:graphicData>
            </a:graphic>
          </wp:anchor>
        </w:drawing>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auto"/>
        </w:rPr>
        <w:t>CHECK THE APPROPRIATE BOX IF A MEMBER OF A GROUP</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(See Instructions)</w:t>
      </w:r>
    </w:p>
    <w:p>
      <w:pPr>
        <w:spacing w:after="0" w:line="175" w:lineRule="exact"/>
        <w:rPr>
          <w:sz w:val="20"/>
          <w:szCs w:val="20"/>
          <w:color w:val="auto"/>
        </w:rPr>
      </w:pPr>
    </w:p>
    <w:p>
      <w:pPr>
        <w:ind w:left="287" w:hanging="287"/>
        <w:spacing w:after="0" w:line="253" w:lineRule="exact"/>
        <w:tabs>
          <w:tab w:leader="none" w:pos="287"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61" w:lineRule="exact"/>
        <w:rPr>
          <w:rFonts w:ascii="Times New Roman" w:cs="Times New Roman" w:eastAsia="Times New Roman" w:hAnsi="Times New Roman"/>
          <w:sz w:val="22"/>
          <w:szCs w:val="22"/>
          <w:color w:val="auto"/>
        </w:rPr>
      </w:pPr>
    </w:p>
    <w:p>
      <w:pPr>
        <w:ind w:left="307" w:hanging="307"/>
        <w:spacing w:after="0" w:line="253" w:lineRule="exact"/>
        <w:tabs>
          <w:tab w:leader="none" w:pos="307"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 w:lineRule="exact"/>
        <w:rPr>
          <w:sz w:val="20"/>
          <w:szCs w:val="20"/>
          <w:color w:val="auto"/>
        </w:rPr>
      </w:pPr>
    </w:p>
    <w:p>
      <w:pPr>
        <w:sectPr>
          <w:pgSz w:w="11900" w:h="16838" w:orient="portrait"/>
          <w:cols w:equalWidth="0" w:num="2">
            <w:col w:w="660" w:space="593"/>
            <w:col w:w="9987"/>
          </w:cols>
          <w:pgMar w:left="320" w:top="567" w:right="339" w:bottom="178" w:gutter="0" w:footer="0" w:header="0"/>
          <w:type w:val="continuous"/>
        </w:sectPr>
      </w:pPr>
    </w:p>
    <w:p>
      <w:pPr>
        <w:ind w:left="1260" w:hanging="750"/>
        <w:spacing w:after="0" w:line="184" w:lineRule="auto"/>
        <w:tabs>
          <w:tab w:leader="none" w:pos="1260" w:val="left"/>
        </w:tabs>
        <w:numPr>
          <w:ilvl w:val="0"/>
          <w:numId w:val="8"/>
        </w:numPr>
        <w:rPr>
          <w:rFonts w:ascii="Times New Roman" w:cs="Times New Roman" w:eastAsia="Times New Roman" w:hAnsi="Times New Roman"/>
          <w:sz w:val="54"/>
          <w:szCs w:val="54"/>
          <w:color w:val="auto"/>
          <w:vertAlign w:val="subscript"/>
        </w:rPr>
      </w:pPr>
      <w:r>
        <w:rPr>
          <w:rFonts w:ascii="Times New Roman" w:cs="Times New Roman" w:eastAsia="Times New Roman" w:hAnsi="Times New Roman"/>
          <w:sz w:val="21"/>
          <w:szCs w:val="21"/>
          <w:b w:val="1"/>
          <w:bCs w:val="1"/>
          <w:color w:val="auto"/>
        </w:rPr>
        <w:t>SEC USE ONLY</w:t>
      </w:r>
    </w:p>
    <w:p>
      <w:pPr>
        <w:sectPr>
          <w:pgSz w:w="11900" w:h="16838" w:orient="portrait"/>
          <w:cols w:equalWidth="0" w:num="1">
            <w:col w:w="11240"/>
          </w:cols>
          <w:pgMar w:left="320" w:top="567" w:right="339" w:bottom="178"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SOURCE OF FUNDS </w:t>
      </w:r>
      <w:r>
        <w:rPr>
          <w:rFonts w:ascii="Times New Roman" w:cs="Times New Roman" w:eastAsia="Times New Roman" w:hAnsi="Times New Roman"/>
          <w:sz w:val="17"/>
          <w:szCs w:val="17"/>
          <w:b w:val="1"/>
          <w:bCs w:val="1"/>
          <w:color w:val="auto"/>
        </w:rPr>
        <w:t>(See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200" w:lineRule="exact"/>
        <w:rPr>
          <w:sz w:val="20"/>
          <w:szCs w:val="20"/>
          <w:color w:val="auto"/>
        </w:rPr>
      </w:pPr>
    </w:p>
    <w:p>
      <w:pPr>
        <w:sectPr>
          <w:pgSz w:w="11900" w:h="16838" w:orient="portrait"/>
          <w:cols w:equalWidth="0" w:num="2">
            <w:col w:w="660" w:space="600"/>
            <w:col w:w="9980"/>
          </w:cols>
          <w:pgMar w:left="320" w:top="567" w:right="339" w:bottom="178" w:gutter="0" w:footer="0" w:header="0"/>
          <w:type w:val="continuous"/>
        </w:sectPr>
      </w:pPr>
    </w:p>
    <w:p>
      <w:pPr>
        <w:spacing w:after="0" w:line="16" w:lineRule="exact"/>
        <w:rPr>
          <w:sz w:val="20"/>
          <w:szCs w:val="20"/>
          <w:color w:val="auto"/>
        </w:rPr>
      </w:pPr>
    </w:p>
    <w:p>
      <w:pPr>
        <w:ind w:left="1160" w:right="1180" w:hanging="650"/>
        <w:spacing w:after="0" w:line="282" w:lineRule="exact"/>
        <w:tabs>
          <w:tab w:leader="none" w:pos="1160" w:val="left"/>
        </w:tabs>
        <w:numPr>
          <w:ilvl w:val="0"/>
          <w:numId w:val="9"/>
        </w:numPr>
        <w:rPr>
          <w:rFonts w:ascii="Times New Roman" w:cs="Times New Roman" w:eastAsia="Times New Roman" w:hAnsi="Times New Roman"/>
          <w:sz w:val="46"/>
          <w:szCs w:val="46"/>
          <w:color w:val="auto"/>
          <w:vertAlign w:val="subscript"/>
        </w:rPr>
      </w:pPr>
      <w:r>
        <w:rPr>
          <w:rFonts w:ascii="Times New Roman" w:cs="Times New Roman" w:eastAsia="Times New Roman" w:hAnsi="Times New Roman"/>
          <w:sz w:val="19"/>
          <w:szCs w:val="19"/>
          <w:b w:val="1"/>
          <w:bCs w:val="1"/>
          <w:color w:val="auto"/>
        </w:rPr>
        <w:t xml:space="preserve">CHECK BOX IF DISCLOSURE OF LEGAL PROCEEDINGS IS REQUIRED PURSUANT TO ITEMS 2(d) or 2(e) </w:t>
      </w:r>
      <w:r>
        <w:rPr>
          <w:rFonts w:ascii="MS PGothic" w:cs="MS PGothic" w:eastAsia="MS PGothic" w:hAnsi="MS PGothic"/>
          <w:sz w:val="19"/>
          <w:szCs w:val="19"/>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40" w:type="dxa"/>
            <w:vAlign w:val="bottom"/>
            <w:tcBorders>
              <w:top w:val="single" w:sz="8" w:color="auto"/>
            </w:tcBorders>
            <w:vMerge w:val="restart"/>
          </w:tcPr>
          <w:p>
            <w:pPr>
              <w:jc w:val="center"/>
              <w:ind w:left="94"/>
              <w:spacing w:after="0"/>
              <w:rPr>
                <w:sz w:val="20"/>
                <w:szCs w:val="20"/>
                <w:color w:val="auto"/>
              </w:rPr>
            </w:pPr>
            <w:r>
              <w:rPr>
                <w:rFonts w:ascii="Times New Roman" w:cs="Times New Roman" w:eastAsia="Times New Roman" w:hAnsi="Times New Roman"/>
                <w:sz w:val="29"/>
                <w:szCs w:val="29"/>
                <w:color w:val="auto"/>
              </w:rPr>
              <w:t>6</w:t>
            </w:r>
          </w:p>
        </w:tc>
        <w:tc>
          <w:tcPr>
            <w:tcW w:w="1030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CITIZENSHIP OR PLACE OF ORGANIZATION</w:t>
            </w:r>
          </w:p>
        </w:tc>
        <w:tc>
          <w:tcPr>
            <w:tcW w:w="0" w:type="dxa"/>
            <w:vAlign w:val="bottom"/>
          </w:tcPr>
          <w:p>
            <w:pPr>
              <w:spacing w:after="0"/>
              <w:rPr>
                <w:sz w:val="1"/>
                <w:szCs w:val="1"/>
                <w:color w:val="auto"/>
              </w:rPr>
            </w:pPr>
          </w:p>
        </w:tc>
      </w:tr>
      <w:tr>
        <w:trPr>
          <w:trHeight w:val="234"/>
        </w:trPr>
        <w:tc>
          <w:tcPr>
            <w:tcW w:w="940" w:type="dxa"/>
            <w:vAlign w:val="bottom"/>
            <w:vMerge w:val="continue"/>
          </w:tcPr>
          <w:p>
            <w:pPr>
              <w:spacing w:after="0"/>
              <w:rPr>
                <w:sz w:val="20"/>
                <w:szCs w:val="20"/>
                <w:color w:val="auto"/>
              </w:rPr>
            </w:pPr>
          </w:p>
        </w:tc>
        <w:tc>
          <w:tcPr>
            <w:tcW w:w="21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Delaware</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7</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vMerge w:val="continue"/>
          </w:tcPr>
          <w:p>
            <w:pPr>
              <w:spacing w:after="0"/>
              <w:rPr>
                <w:sz w:val="20"/>
                <w:szCs w:val="20"/>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8</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61"/>
        </w:trPr>
        <w:tc>
          <w:tcPr>
            <w:tcW w:w="3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 SHARES</w:t>
            </w:r>
          </w:p>
        </w:tc>
        <w:tc>
          <w:tcPr>
            <w:tcW w:w="1240" w:type="dxa"/>
            <w:vAlign w:val="bottom"/>
            <w:tcBorders>
              <w:right w:val="single" w:sz="8" w:color="auto"/>
            </w:tcBorders>
            <w:vMerge w:val="continue"/>
          </w:tcPr>
          <w:p>
            <w:pPr>
              <w:spacing w:after="0"/>
              <w:rPr>
                <w:sz w:val="22"/>
                <w:szCs w:val="22"/>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174,793,798</w:t>
            </w:r>
          </w:p>
        </w:tc>
        <w:tc>
          <w:tcPr>
            <w:tcW w:w="5740" w:type="dxa"/>
            <w:vAlign w:val="bottom"/>
            <w:vMerge w:val="restart"/>
          </w:tcPr>
          <w:p>
            <w:pPr>
              <w:jc w:val="right"/>
              <w:ind w:right="5430"/>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47"/>
        </w:trPr>
        <w:tc>
          <w:tcPr>
            <w:tcW w:w="3060" w:type="dxa"/>
            <w:vAlign w:val="bottom"/>
            <w:tcBorders>
              <w:right w:val="single" w:sz="8" w:color="auto"/>
            </w:tcBorders>
            <w:gridSpan w:val="2"/>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200" w:type="dxa"/>
            <w:vAlign w:val="bottom"/>
            <w:vMerge w:val="continue"/>
          </w:tcPr>
          <w:p>
            <w:pPr>
              <w:spacing w:after="0"/>
              <w:rPr>
                <w:sz w:val="4"/>
                <w:szCs w:val="4"/>
                <w:color w:val="auto"/>
              </w:rPr>
            </w:pPr>
          </w:p>
        </w:tc>
        <w:tc>
          <w:tcPr>
            <w:tcW w:w="5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060" w:type="dxa"/>
            <w:vAlign w:val="bottom"/>
            <w:tcBorders>
              <w:right w:val="single" w:sz="8" w:color="auto"/>
            </w:tcBorders>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BENEFICIALLY OWNED BY</w:t>
            </w:r>
          </w:p>
        </w:tc>
        <w:tc>
          <w:tcPr>
            <w:tcW w:w="1240" w:type="dxa"/>
            <w:vAlign w:val="bottom"/>
            <w:tcBorders>
              <w:right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3060" w:type="dxa"/>
            <w:vAlign w:val="bottom"/>
            <w:tcBorders>
              <w:right w:val="single" w:sz="8" w:color="auto"/>
            </w:tcBorders>
            <w:gridSpan w:val="2"/>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EACH REPORTING PERSON</w:t>
            </w: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60" w:type="dxa"/>
            <w:vAlign w:val="bottom"/>
            <w:tcBorders>
              <w:right w:val="single" w:sz="8" w:color="auto"/>
            </w:tcBorders>
            <w:gridSpan w:val="2"/>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69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12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22"/>
                <w:szCs w:val="22"/>
                <w:color w:val="auto"/>
              </w:rPr>
              <w:t>WITH</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9</w:t>
            </w:r>
          </w:p>
        </w:tc>
        <w:tc>
          <w:tcPr>
            <w:tcW w:w="6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00" w:type="dxa"/>
            <w:vAlign w:val="bottom"/>
          </w:tcPr>
          <w:p>
            <w:pPr>
              <w:spacing w:after="0"/>
              <w:rPr>
                <w:sz w:val="7"/>
                <w:szCs w:val="7"/>
                <w:color w:val="auto"/>
              </w:rPr>
            </w:pPr>
          </w:p>
        </w:tc>
        <w:tc>
          <w:tcPr>
            <w:tcW w:w="5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5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10</w:t>
            </w: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261"/>
        </w:trPr>
        <w:tc>
          <w:tcPr>
            <w:tcW w:w="94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vMerge w:val="continue"/>
          </w:tcPr>
          <w:p>
            <w:pPr>
              <w:spacing w:after="0"/>
              <w:rPr>
                <w:sz w:val="22"/>
                <w:szCs w:val="22"/>
                <w:color w:val="auto"/>
              </w:rPr>
            </w:pPr>
          </w:p>
        </w:tc>
        <w:tc>
          <w:tcPr>
            <w:tcW w:w="69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174,793,798 </w:t>
            </w:r>
            <w:r>
              <w:rPr>
                <w:rFonts w:ascii="Times New Roman" w:cs="Times New Roman" w:eastAsia="Times New Roman" w:hAnsi="Times New Roman"/>
                <w:sz w:val="35"/>
                <w:szCs w:val="35"/>
                <w:color w:val="auto"/>
                <w:vertAlign w:val="superscript"/>
              </w:rPr>
              <w:t>(5)</w:t>
            </w: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940" w:type="dxa"/>
            <w:vAlign w:val="bottom"/>
            <w:vMerge w:val="restart"/>
          </w:tcPr>
          <w:p>
            <w:pPr>
              <w:jc w:val="center"/>
              <w:ind w:left="94"/>
              <w:spacing w:after="0"/>
              <w:rPr>
                <w:sz w:val="20"/>
                <w:szCs w:val="20"/>
                <w:color w:val="auto"/>
              </w:rPr>
            </w:pPr>
            <w:r>
              <w:rPr>
                <w:rFonts w:ascii="Times New Roman" w:cs="Times New Roman" w:eastAsia="Times New Roman" w:hAnsi="Times New Roman"/>
                <w:sz w:val="29"/>
                <w:szCs w:val="29"/>
                <w:color w:val="auto"/>
                <w:w w:val="96"/>
              </w:rPr>
              <w:t>11</w:t>
            </w:r>
          </w:p>
        </w:tc>
        <w:tc>
          <w:tcPr>
            <w:tcW w:w="10300" w:type="dxa"/>
            <w:vAlign w:val="bottom"/>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40" w:type="dxa"/>
            <w:vAlign w:val="bottom"/>
            <w:vMerge w:val="continue"/>
          </w:tcPr>
          <w:p>
            <w:pPr>
              <w:spacing w:after="0"/>
              <w:rPr>
                <w:sz w:val="20"/>
                <w:szCs w:val="20"/>
                <w:color w:val="auto"/>
              </w:rPr>
            </w:pPr>
          </w:p>
        </w:tc>
        <w:tc>
          <w:tcPr>
            <w:tcW w:w="21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174,793,798</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vMerge w:val="restart"/>
          </w:tcPr>
          <w:p>
            <w:pPr>
              <w:jc w:val="center"/>
              <w:ind w:left="94"/>
              <w:spacing w:after="0"/>
              <w:rPr>
                <w:sz w:val="20"/>
                <w:szCs w:val="20"/>
                <w:color w:val="auto"/>
              </w:rPr>
            </w:pPr>
            <w:r>
              <w:rPr>
                <w:rFonts w:ascii="Times New Roman" w:cs="Times New Roman" w:eastAsia="Times New Roman" w:hAnsi="Times New Roman"/>
                <w:sz w:val="29"/>
                <w:szCs w:val="29"/>
                <w:color w:val="auto"/>
                <w:w w:val="96"/>
              </w:rPr>
              <w:t>12</w:t>
            </w:r>
          </w:p>
        </w:tc>
        <w:tc>
          <w:tcPr>
            <w:tcW w:w="10300" w:type="dxa"/>
            <w:vAlign w:val="bottom"/>
            <w:gridSpan w:val="4"/>
          </w:tcPr>
          <w:p>
            <w:pPr>
              <w:ind w:left="220"/>
              <w:spacing w:after="0" w:line="189" w:lineRule="exact"/>
              <w:rPr>
                <w:sz w:val="20"/>
                <w:szCs w:val="20"/>
                <w:color w:val="auto"/>
              </w:rPr>
            </w:pPr>
            <w:r>
              <w:rPr>
                <w:rFonts w:ascii="Times New Roman" w:cs="Times New Roman" w:eastAsia="Times New Roman" w:hAnsi="Times New Roman"/>
                <w:sz w:val="21"/>
                <w:szCs w:val="21"/>
                <w:b w:val="1"/>
                <w:bCs w:val="1"/>
                <w:color w:val="auto"/>
              </w:rPr>
              <w:t xml:space="preserve">CHECK BOX IF THE AGGREGATE AMOUNT IN ROW (11) EXCLUDES CERTAIN SHARES </w:t>
            </w:r>
            <w:r>
              <w:rPr>
                <w:rFonts w:ascii="Times New Roman" w:cs="Times New Roman" w:eastAsia="Times New Roman" w:hAnsi="Times New Roman"/>
                <w:sz w:val="16"/>
                <w:szCs w:val="16"/>
                <w:b w:val="1"/>
                <w:bCs w:val="1"/>
                <w:color w:val="auto"/>
              </w:rPr>
              <w:t>(See</w:t>
            </w:r>
          </w:p>
        </w:tc>
        <w:tc>
          <w:tcPr>
            <w:tcW w:w="0" w:type="dxa"/>
            <w:vAlign w:val="bottom"/>
          </w:tcPr>
          <w:p>
            <w:pPr>
              <w:spacing w:after="0"/>
              <w:rPr>
                <w:sz w:val="1"/>
                <w:szCs w:val="1"/>
                <w:color w:val="auto"/>
              </w:rPr>
            </w:pPr>
          </w:p>
        </w:tc>
      </w:tr>
      <w:tr>
        <w:trPr>
          <w:trHeight w:val="230"/>
        </w:trPr>
        <w:tc>
          <w:tcPr>
            <w:tcW w:w="940" w:type="dxa"/>
            <w:vAlign w:val="bottom"/>
            <w:vMerge w:val="continue"/>
          </w:tcPr>
          <w:p>
            <w:pPr>
              <w:spacing w:after="0"/>
              <w:rPr>
                <w:sz w:val="20"/>
                <w:szCs w:val="20"/>
                <w:color w:val="auto"/>
              </w:rPr>
            </w:pPr>
          </w:p>
        </w:tc>
        <w:tc>
          <w:tcPr>
            <w:tcW w:w="2120" w:type="dxa"/>
            <w:vAlign w:val="bottom"/>
            <w:vMerge w:val="restart"/>
          </w:tcPr>
          <w:p>
            <w:pPr>
              <w:ind w:left="220"/>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MS PGothic" w:cs="MS PGothic" w:eastAsia="MS PGothic" w:hAnsi="MS PGothic"/>
                <w:sz w:val="21"/>
                <w:szCs w:val="21"/>
                <w:color w:val="auto"/>
              </w:rPr>
              <w:t>☒</w:t>
            </w: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1">
            <w:col w:w="11240"/>
          </w:cols>
          <w:pgMar w:left="320" w:top="567" w:right="339" w:bottom="178" w:gutter="0" w:footer="0" w:header="0"/>
          <w:type w:val="continuous"/>
        </w:sect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PERCENT OF CLASS REPRESENTED BY AMOUNT IN ROW (11)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35"/>
          <w:szCs w:val="35"/>
          <w:color w:val="auto"/>
          <w:vertAlign w:val="superscript"/>
        </w:rPr>
        <w:t>(6)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17"/>
          <w:szCs w:val="17"/>
          <w:b w:val="1"/>
          <w:bCs w:val="1"/>
          <w:color w:val="auto"/>
        </w:rPr>
        <w:t>(See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367030</wp:posOffset>
            </wp:positionV>
            <wp:extent cx="23869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 w:space="540"/>
            <w:col w:w="9980"/>
          </w:cols>
          <w:pgMar w:left="320" w:top="567" w:right="339" w:bottom="178"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right="260" w:firstLine="8"/>
        <w:spacing w:after="0" w:line="218" w:lineRule="auto"/>
        <w:tabs>
          <w:tab w:leader="none" w:pos="22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(i) 4,714,336 shares of Class A Common Stock and (ii) 170,079,462 shares of Class V Common Stock beneficially owned by the Reporting Person as of the date hereof.</w:t>
      </w:r>
    </w:p>
    <w:p>
      <w:pPr>
        <w:spacing w:after="0" w:line="198" w:lineRule="exact"/>
        <w:rPr>
          <w:rFonts w:ascii="Times New Roman" w:cs="Times New Roman" w:eastAsia="Times New Roman" w:hAnsi="Times New Roman"/>
          <w:sz w:val="27"/>
          <w:szCs w:val="27"/>
          <w:color w:val="auto"/>
          <w:vertAlign w:val="superscript"/>
        </w:rPr>
      </w:pPr>
    </w:p>
    <w:p>
      <w:pPr>
        <w:ind w:right="260" w:firstLine="8"/>
        <w:spacing w:after="0" w:line="218" w:lineRule="auto"/>
        <w:tabs>
          <w:tab w:leader="none" w:pos="22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(i) 4,714,336 shares of Class A Common Stock and (ii) 170,079,462 shares of Class V Common Stock beneficially owned by the Reporting Person as of the date hereof.</w:t>
      </w:r>
    </w:p>
    <w:p>
      <w:pPr>
        <w:sectPr>
          <w:pgSz w:w="11900" w:h="16838" w:orient="portrait"/>
          <w:cols w:equalWidth="0" w:num="1">
            <w:col w:w="11240"/>
          </w:cols>
          <w:pgMar w:left="320" w:top="567" w:right="339" w:bottom="178" w:gutter="0" w:footer="0" w:header="0"/>
          <w:type w:val="continuous"/>
        </w:sectPr>
      </w:pPr>
    </w:p>
    <w:bookmarkStart w:id="4" w:name="page5"/>
    <w:bookmarkEnd w:id="4"/>
    <w:p>
      <w:pPr>
        <w:ind w:firstLine="8"/>
        <w:spacing w:after="0" w:line="245" w:lineRule="auto"/>
        <w:tabs>
          <w:tab w:leader="none" w:pos="22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a total of 263,732,355 shares of Common Stock, consisting of 70,439,996 shares of Class A Common Stock and 193,292,359 shares of Class V Common Stock, outstanding as of April 21, 2022. As described in note 1 above, the Reporting Persons beneficially own 66.3% of the Common Stock; however, the Reporting Persons’ voting power in respect of the Common Stock is reduced to 30% pursuant to the Voting Agreement between ICEH and the Issuer, so long as ICEH and its affiliates own 50% or more of the total voting power of the Issuer as described further in Item 6 of this</w:t>
      </w:r>
    </w:p>
    <w:p>
      <w:pPr>
        <w:spacing w:after="0" w:line="1" w:lineRule="exact"/>
        <w:rPr>
          <w:rFonts w:ascii="Times New Roman" w:cs="Times New Roman" w:eastAsia="Times New Roman" w:hAnsi="Times New Roman"/>
          <w:sz w:val="27"/>
          <w:szCs w:val="27"/>
          <w:color w:val="auto"/>
          <w:vertAlign w:val="superscript"/>
        </w:rPr>
      </w:pPr>
    </w:p>
    <w:p>
      <w:pPr>
        <w:ind w:right="260"/>
        <w:spacing w:after="0" w:line="26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Schedule 13D. As of the date hereof, the Reporting Person beneficially owns 6.7% of the outstanding shares of Class A Common Stock (excluding any shares of Class V Common Stock).</w:t>
      </w:r>
    </w:p>
    <w:p>
      <w:pPr>
        <w:spacing w:after="0" w:line="1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62"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EXPLANATORY NOTE</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being jointly filed on behalf of: (a) Intercontinental Exchange, Inc., a Delaware corporation (“</w:t>
      </w:r>
      <w:r>
        <w:rPr>
          <w:rFonts w:ascii="Times New Roman" w:cs="Times New Roman" w:eastAsia="Times New Roman" w:hAnsi="Times New Roman"/>
          <w:sz w:val="22"/>
          <w:szCs w:val="22"/>
          <w:u w:val="single" w:color="auto"/>
          <w:color w:val="auto"/>
        </w:rPr>
        <w:t>ICE</w:t>
      </w:r>
      <w:r>
        <w:rPr>
          <w:rFonts w:ascii="Times New Roman" w:cs="Times New Roman" w:eastAsia="Times New Roman" w:hAnsi="Times New Roman"/>
          <w:sz w:val="22"/>
          <w:szCs w:val="22"/>
          <w:color w:val="auto"/>
        </w:rPr>
        <w:t>”), and (b) Intercontinental Exchange Holdings, Inc., a Delaware corporation (“</w:t>
      </w:r>
      <w:r>
        <w:rPr>
          <w:rFonts w:ascii="Times New Roman" w:cs="Times New Roman" w:eastAsia="Times New Roman" w:hAnsi="Times New Roman"/>
          <w:sz w:val="22"/>
          <w:szCs w:val="22"/>
          <w:u w:val="single" w:color="auto"/>
          <w:color w:val="auto"/>
        </w:rPr>
        <w:t>ICEH</w:t>
      </w:r>
      <w:r>
        <w:rPr>
          <w:rFonts w:ascii="Times New Roman" w:cs="Times New Roman" w:eastAsia="Times New Roman" w:hAnsi="Times New Roman"/>
          <w:sz w:val="22"/>
          <w:szCs w:val="22"/>
          <w:color w:val="auto"/>
        </w:rPr>
        <w:t>”, and together with ICE,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Reporting Person</w:t>
      </w:r>
      <w:r>
        <w:rPr>
          <w:rFonts w:ascii="Times New Roman" w:cs="Times New Roman" w:eastAsia="Times New Roman" w:hAnsi="Times New Roman"/>
          <w:sz w:val="22"/>
          <w:szCs w:val="22"/>
          <w:color w:val="auto"/>
        </w:rPr>
        <w:t>”), and amends the Statement on Schedule 13D filed by the Reporting Persons on October 21, 2021 (the “</w:t>
      </w:r>
      <w:r>
        <w:rPr>
          <w:rFonts w:ascii="Times New Roman" w:cs="Times New Roman" w:eastAsia="Times New Roman" w:hAnsi="Times New Roman"/>
          <w:sz w:val="22"/>
          <w:szCs w:val="22"/>
          <w:u w:val="single" w:color="auto"/>
          <w:color w:val="auto"/>
        </w:rPr>
        <w:t>Initial Schedule 13D</w:t>
      </w:r>
      <w:r>
        <w:rPr>
          <w:rFonts w:ascii="Times New Roman" w:cs="Times New Roman" w:eastAsia="Times New Roman" w:hAnsi="Times New Roman"/>
          <w:sz w:val="22"/>
          <w:szCs w:val="22"/>
          <w:color w:val="auto"/>
        </w:rPr>
        <w:t>”, together with this Amendment,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which relates to the shares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of Bakkt Holdings,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Unless specifically amended hereby, the disclosure set forth in the Initial Schedule 13D remains unchanged.</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Security and Issuer.</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second paragraph of Item 1 of the Initial Schedule 13D is hereby amended and restated in its entirety as set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 below:</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Each common unit of Bakkt Opco Holdings, LLC, a Delaware limited liability company (“</w:t>
      </w:r>
      <w:r>
        <w:rPr>
          <w:rFonts w:ascii="Times New Roman" w:cs="Times New Roman" w:eastAsia="Times New Roman" w:hAnsi="Times New Roman"/>
          <w:sz w:val="22"/>
          <w:szCs w:val="22"/>
          <w:u w:val="single" w:color="auto"/>
          <w:color w:val="auto"/>
        </w:rPr>
        <w:t>Bakkt Opco</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Bakkt Opco Common Unit</w:t>
      </w:r>
      <w:r>
        <w:rPr>
          <w:rFonts w:ascii="Times New Roman" w:cs="Times New Roman" w:eastAsia="Times New Roman" w:hAnsi="Times New Roman"/>
          <w:sz w:val="22"/>
          <w:szCs w:val="22"/>
          <w:color w:val="auto"/>
        </w:rPr>
        <w:t>”, and together with one share of Class V Common Stock, par value $0.0001 per share (the “</w:t>
      </w:r>
      <w:r>
        <w:rPr>
          <w:rFonts w:ascii="Times New Roman" w:cs="Times New Roman" w:eastAsia="Times New Roman" w:hAnsi="Times New Roman"/>
          <w:sz w:val="22"/>
          <w:szCs w:val="22"/>
          <w:u w:val="single" w:color="auto"/>
          <w:color w:val="auto"/>
        </w:rPr>
        <w:t>Class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the Issuer, a “</w:t>
      </w:r>
      <w:r>
        <w:rPr>
          <w:rFonts w:ascii="Times New Roman" w:cs="Times New Roman" w:eastAsia="Times New Roman" w:hAnsi="Times New Roman"/>
          <w:sz w:val="22"/>
          <w:szCs w:val="22"/>
          <w:u w:val="single" w:color="auto"/>
          <w:color w:val="auto"/>
        </w:rPr>
        <w:t>Paired Interest</w:t>
      </w:r>
      <w:r>
        <w:rPr>
          <w:rFonts w:ascii="Times New Roman" w:cs="Times New Roman" w:eastAsia="Times New Roman" w:hAnsi="Times New Roman"/>
          <w:sz w:val="22"/>
          <w:szCs w:val="22"/>
          <w:color w:val="auto"/>
        </w:rPr>
        <w:t>”) is exchangeable (along with the cancelation of a corresponding number of paired shares of Class V Common Stock) for one share of Class A Common Stock pursuant to the A&amp;R Exchange Agreement (as defined and described in Item 6 below, subject to adjustment as set forth in the A&amp;R Exchange Agreement). The Class A Common Stock and the Class V Common Stock are collectively referred to herein as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Identity and Background.</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auto"/>
        </w:rPr>
        <w:t>Schedules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to Item 2 of the Initial Schedule 13D are hereby amended and restated in their entirety as set forth in </w:t>
      </w:r>
      <w:r>
        <w:rPr>
          <w:rFonts w:ascii="Times New Roman" w:cs="Times New Roman" w:eastAsia="Times New Roman" w:hAnsi="Times New Roman"/>
          <w:sz w:val="22"/>
          <w:szCs w:val="22"/>
          <w:u w:val="single" w:color="auto"/>
          <w:color w:val="auto"/>
        </w:rPr>
        <w:t>Schedules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firstLine="1304"/>
        <w:spacing w:after="0" w:line="253" w:lineRule="auto"/>
        <w:tabs>
          <w:tab w:leader="none" w:pos="1605"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(e) During the last five years, none of the Reporting Persons, and to the best of each such Reporting Person’s knowledge, none of the directors or executive officers of such Reporting Person listed in </w:t>
      </w:r>
      <w:r>
        <w:rPr>
          <w:rFonts w:ascii="Times New Roman" w:cs="Times New Roman" w:eastAsia="Times New Roman" w:hAnsi="Times New Roman"/>
          <w:sz w:val="21"/>
          <w:szCs w:val="21"/>
          <w:u w:val="single" w:color="auto"/>
          <w:color w:val="auto"/>
        </w:rPr>
        <w:t>Schedules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hereto, have been:</w:t>
      </w:r>
    </w:p>
    <w:p>
      <w:pPr>
        <w:jc w:val="both"/>
        <w:ind w:firstLine="8"/>
        <w:spacing w:after="0" w:line="234" w:lineRule="auto"/>
        <w:tabs>
          <w:tab w:leader="none" w:pos="27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u w:val="single" w:color="auto"/>
          <w:color w:val="auto"/>
        </w:rPr>
        <w:t>Section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of Item 5 of the Initial Schedule 13D are hereby amended and restated in its entirety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 w:name="page7"/>
    <w:bookmarkEnd w:id="6"/>
    <w:p>
      <w:pPr>
        <w:jc w:val="both"/>
        <w:ind w:firstLine="1304"/>
        <w:spacing w:after="0" w:line="235" w:lineRule="auto"/>
        <w:tabs>
          <w:tab w:leader="none" w:pos="16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The percentage of beneficial ownership in this Schedule 13D is based on: (i) with respect to the total amount of securities issued and outstanding, an aggregate of 70,439,996 shares of Class A Common Stock and 193,292,359 shares of Class V Common Stock outstanding as of April 21, 2022, as reported in the Issuer’s definitive proxy statement on Schedule 14A filed with the SEC on April 28, 2022, and (ii) with respect to the securities beneficially owned by the Reporting Persons, the 4,714,336 shares of Class A Common Stock purchased by ICEH pursuant to the Subscription Agreement, and 170,079,462 shares of Class A Common Stock underlying the Paired Interests (consisting of 170,079,462 Bakkt Opco Common Units and 170,079,462 shares of Class V Common Stock) received by ICEH upon the Closing.</w:t>
      </w:r>
    </w:p>
    <w:p>
      <w:pPr>
        <w:spacing w:after="0" w:line="18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7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As of the date hereof, ICEH directly holds 4,714,336 shares of Class A Common Stock, 170,079,462 shares of Class V Common Stock and 170,079,462 Bakkt Opco Common Units. Pursuant to the terms of the A&amp;R Exchange Agreement (as defined below),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25,000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w:t>
      </w:r>
    </w:p>
    <w:p>
      <w:pPr>
        <w:spacing w:after="0" w:line="17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Pursuant to the Voting Agreement (as described in Item 6 of the Initial Schedule 13D), as long as ICEH and its affiliates hold 50% or more of the issued and outstanding shares of Common Stock, a proxy designated by the Board will vote the Excess Shares (defined in Item 6 below)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ind w:firstLine="1296"/>
        <w:spacing w:after="0" w:line="276" w:lineRule="auto"/>
        <w:rPr>
          <w:sz w:val="20"/>
          <w:szCs w:val="20"/>
          <w:color w:val="auto"/>
        </w:rPr>
      </w:pPr>
      <w:r>
        <w:rPr>
          <w:rFonts w:ascii="Times New Roman" w:cs="Times New Roman" w:eastAsia="Times New Roman" w:hAnsi="Times New Roman"/>
          <w:sz w:val="22"/>
          <w:szCs w:val="22"/>
          <w:color w:val="auto"/>
        </w:rPr>
        <w:t xml:space="preserve">To the best knowledge of the Reporting Persons, the following persons beneficially own or may be deemed to beneficially own the shares of Class V Common Stock and Bakkt Opco Common Units set forth below: </w:t>
      </w:r>
      <w:r>
        <w:rPr>
          <w:rFonts w:ascii="Times New Roman" w:cs="Times New Roman" w:eastAsia="Times New Roman" w:hAnsi="Times New Roman"/>
          <w:sz w:val="35"/>
          <w:szCs w:val="35"/>
          <w:color w:val="auto"/>
          <w:vertAlign w:val="superscript"/>
        </w:rPr>
        <w:t>(7)</w:t>
      </w:r>
    </w:p>
    <w:p>
      <w:pPr>
        <w:spacing w:after="0" w:line="2" w:lineRule="exact"/>
        <w:rPr>
          <w:sz w:val="20"/>
          <w:szCs w:val="20"/>
          <w:color w:val="auto"/>
        </w:rPr>
      </w:pPr>
    </w:p>
    <w:p>
      <w:pPr>
        <w:ind w:left="1960" w:hanging="656"/>
        <w:spacing w:after="0" w:line="258" w:lineRule="auto"/>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 Sharon Y. Bowen, Director, ICE, beneficially owns 29,769 shares of Class V Common Stock and 29,769 Bakkt Opco Common Units.</w:t>
      </w:r>
    </w:p>
    <w:p>
      <w:pPr>
        <w:spacing w:after="0" w:line="158" w:lineRule="exact"/>
        <w:rPr>
          <w:rFonts w:ascii="Times New Roman" w:cs="Times New Roman" w:eastAsia="Times New Roman" w:hAnsi="Times New Roman"/>
          <w:sz w:val="22"/>
          <w:szCs w:val="22"/>
          <w:color w:val="auto"/>
        </w:rPr>
      </w:pPr>
    </w:p>
    <w:p>
      <w:pPr>
        <w:ind w:left="1960" w:right="20" w:hanging="656"/>
        <w:spacing w:after="0" w:line="258" w:lineRule="auto"/>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E. Noonan, Director, ICE, beneficially owns 13,231 shares of Class V Common Stock and 13,231 Bakkt Opco Common Units.</w:t>
      </w:r>
    </w:p>
    <w:p>
      <w:pPr>
        <w:spacing w:after="0" w:line="158" w:lineRule="exact"/>
        <w:rPr>
          <w:rFonts w:ascii="Times New Roman" w:cs="Times New Roman" w:eastAsia="Times New Roman" w:hAnsi="Times New Roman"/>
          <w:sz w:val="22"/>
          <w:szCs w:val="22"/>
          <w:color w:val="auto"/>
        </w:rPr>
      </w:pPr>
    </w:p>
    <w:p>
      <w:pPr>
        <w:ind w:left="1960" w:hanging="656"/>
        <w:spacing w:after="0" w:line="258" w:lineRule="auto"/>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Frederic V. Salerno, Director, ICE, beneficially owns 9,923 shares of Class V Common Stock and 9,923 Bakkt Opco Common Units.</w:t>
      </w:r>
    </w:p>
    <w:p>
      <w:pPr>
        <w:spacing w:after="0" w:line="158" w:lineRule="exact"/>
        <w:rPr>
          <w:rFonts w:ascii="Times New Roman" w:cs="Times New Roman" w:eastAsia="Times New Roman" w:hAnsi="Times New Roman"/>
          <w:sz w:val="22"/>
          <w:szCs w:val="22"/>
          <w:color w:val="auto"/>
        </w:rPr>
      </w:pPr>
    </w:p>
    <w:p>
      <w:pPr>
        <w:ind w:left="1960" w:right="20" w:hanging="656"/>
        <w:spacing w:after="0" w:line="258" w:lineRule="auto"/>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Vincent Tese, Director, ICE, beneficially owns 9,923 shares of Class V Common Stock and 9,923 Bakkt Opco Common Units.</w:t>
      </w:r>
    </w:p>
    <w:p>
      <w:pPr>
        <w:spacing w:after="0" w:line="158"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Jeffrey C. Sprecher, Director (Chairman) and Chief Executive Officer, ICE, may be deemed to beneficially own 1,219,721 shares of Class V Common Stock and 1,219,721 Bakkt Opco Common Units, which shares and units are beneficially owned by his spouse through her holdings of vested incentive units in Bakkt Management. Mr. Sprecher disclaims beneficial ownership of the shares and units held indirectly by his spouse.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Reporting Persons specifically disclaim beneficial ownership over such shares and units held by the persons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listed above.</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The share ownership reported herein for the Reporting Persons does not include any securities of the Issuer held by any party to the Stockholders Agreement (as defined and described in Item 6 of the Initial Schedule 13D) other than ICEH, and each of the Reporting Persons disclaims beneficial ownership of any such securities owned by such other parties.</w:t>
      </w:r>
    </w:p>
    <w:p>
      <w:pPr>
        <w:spacing w:after="0" w:line="173" w:lineRule="exact"/>
        <w:rPr>
          <w:sz w:val="20"/>
          <w:szCs w:val="20"/>
          <w:color w:val="auto"/>
        </w:rPr>
      </w:pPr>
    </w:p>
    <w:p>
      <w:pPr>
        <w:ind w:firstLine="1304"/>
        <w:spacing w:after="0" w:line="258" w:lineRule="auto"/>
        <w:tabs>
          <w:tab w:leader="none" w:pos="161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have not effected any transactions in Class A Common Stock or Class V Common Stock during the past 60 days.</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63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329" w:lineRule="exact"/>
        <w:rPr>
          <w:rFonts w:ascii="Times New Roman" w:cs="Times New Roman" w:eastAsia="Times New Roman" w:hAnsi="Times New Roman"/>
          <w:sz w:val="22"/>
          <w:szCs w:val="22"/>
          <w:color w:val="auto"/>
        </w:rPr>
      </w:pPr>
    </w:p>
    <w:p>
      <w:pPr>
        <w:ind w:right="80" w:firstLine="8"/>
        <w:spacing w:after="0" w:line="253" w:lineRule="auto"/>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Beneficial ownership information set forth below is with respect to shares of Class V Common Stock and Bakkt Opco Common Units indirectly acquired by Ms. Bowen, Messrs. Noonan, Salerno and Tese, and Mr. Sprecher’s spouse in connection with the Closing in respect of incentive units held by such individuals under the Bakkt equity incentive plan in effect prior to the Closing and held directly by Bakkt Management LLC (“</w:t>
      </w:r>
      <w:r>
        <w:rPr>
          <w:rFonts w:ascii="Times New Roman" w:cs="Times New Roman" w:eastAsia="Times New Roman" w:hAnsi="Times New Roman"/>
          <w:sz w:val="16"/>
          <w:szCs w:val="16"/>
          <w:u w:val="single" w:color="auto"/>
          <w:color w:val="auto"/>
        </w:rPr>
        <w:t>Bakkt Management</w:t>
      </w:r>
      <w:r>
        <w:rPr>
          <w:rFonts w:ascii="Times New Roman" w:cs="Times New Roman" w:eastAsia="Times New Roman" w:hAnsi="Times New Roman"/>
          <w:sz w:val="16"/>
          <w:szCs w:val="16"/>
          <w:color w:val="auto"/>
        </w:rPr>
        <w:t>”). In addition to the shares of Class V Common Stock and Bakkt Opco Common Units set forth below that are beneficially owned by Mr. Sprecher’s spouse, Mr. Sprecher’s spouse also is entitled to acquire beneficial ownership of an additional 2,439,443 shares of Class V Common Stock and 2,439,443 Bakkt Opco Common Units subject to satisfaction of time-based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238696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22"/>
          <w:szCs w:val="22"/>
          <w:color w:val="auto"/>
        </w:rPr>
        <w:t>(e) Not applicable.</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Contracts, Arrangements, Understandings or Relationships with Respect to Securities of the Issuer.</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Item 6 of the Initial Schedule 13D is hereby supplemented and amended to add: (i) the information contained in Item 5 of this Amendment, which is incorporated by reference into this Item 6 as if fully set forth herein; and (ii) the following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Exchange Agreement</w:t>
      </w:r>
    </w:p>
    <w:p>
      <w:pPr>
        <w:spacing w:after="0" w:line="21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On May 3, 2022, the Issuer entered into an Amended and Restated Exchange Agreement (the “</w:t>
      </w:r>
      <w:r>
        <w:rPr>
          <w:rFonts w:ascii="Times New Roman" w:cs="Times New Roman" w:eastAsia="Times New Roman" w:hAnsi="Times New Roman"/>
          <w:sz w:val="21"/>
          <w:szCs w:val="21"/>
          <w:u w:val="single" w:color="auto"/>
          <w:color w:val="auto"/>
        </w:rPr>
        <w:t>A&amp;R 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with, ICEH, funds controlled by Goldfinch Partners LLC, Bakkt Management and the other parties named therein, which sets forth the terms and conditions relating to exchanges of Paired Interests for shares of the Issuer’s Class A Common Stock. The A&amp;R Exchange Agreement amended and restated the Issuer’s existing Exchange Agreement, which was adopted in connection with the Closing (as defined in the Initial Schedule 13D) of the Issuer’s business combination on October 15, 2021, in order to modify, among other things, the dates during a quarter that a holder of Paired Interests can make an exchange.</w:t>
      </w:r>
    </w:p>
    <w:p>
      <w:pPr>
        <w:spacing w:after="0" w:line="17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Subject to certain limitations and conditions, the holders of Paired Interests can exchange such Paired Interests for an equivalent amount of shares of Class A Common Stock of the Issuer (i) upon a Permitted Exchange Event (as defined in the A&amp;R Exchange Agreement) or (ii) (a) the last trading day of the second week of the first month of each quarter, (b) the last trading day of the first month of each quarter, (c) the third full trading day occurring after the Company publicly announces its results for a quarter and (d) the last trading day of the second month of each quarter. As remains the case under the A&amp;R Exchange Agreement, the Issuer may, in lieu of delivering shares of its Class A Common Stock upon a requested exchange of Paired Interests, elect to pay an amount in cash calculated based on the volume weighted average price per share of Class A Common Stock over a five consecutive full trading day period preceding the request for exchange.</w:t>
      </w:r>
    </w:p>
    <w:p>
      <w:pPr>
        <w:spacing w:after="0" w:line="17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description of the A&amp;R Exchange Agreement contained in this Item 6 is not intended to be complete and is qualified in its entirety by reference to such agreement, which is filed as an exhibit hereto and incorporated by reference herein.</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6"/>
        </w:trPr>
        <w:tc>
          <w:tcPr>
            <w:tcW w:w="13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9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Materials to be Filed as Exhibits.</w:t>
            </w:r>
          </w:p>
        </w:tc>
      </w:tr>
      <w:tr>
        <w:trPr>
          <w:trHeight w:val="204"/>
        </w:trPr>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180" w:type="dxa"/>
            <w:vAlign w:val="bottom"/>
            <w:tcBorders>
              <w:bottom w:val="single" w:sz="8" w:color="auto"/>
            </w:tcBorders>
          </w:tcPr>
          <w:p>
            <w:pPr>
              <w:spacing w:after="0"/>
              <w:rPr>
                <w:sz w:val="17"/>
                <w:szCs w:val="17"/>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Joint Filing Agreement, dated as of October 21, 2021, by and among the Reporting Persons</w:t>
            </w:r>
          </w:p>
        </w:tc>
      </w:tr>
      <w:tr>
        <w:trPr>
          <w:trHeight w:val="236"/>
        </w:trPr>
        <w:tc>
          <w:tcPr>
            <w:tcW w:w="120" w:type="dxa"/>
            <w:vAlign w:val="bottom"/>
            <w:tcBorders>
              <w:lef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80"/>
              <w:spacing w:after="0" w:line="236" w:lineRule="exact"/>
              <w:rPr>
                <w:sz w:val="20"/>
                <w:szCs w:val="20"/>
                <w:color w:val="auto"/>
              </w:rPr>
            </w:pPr>
            <w:r>
              <w:rPr>
                <w:rFonts w:ascii="Times New Roman" w:cs="Times New Roman" w:eastAsia="Times New Roman" w:hAnsi="Times New Roman"/>
                <w:sz w:val="22"/>
                <w:szCs w:val="22"/>
                <w:color w:val="auto"/>
              </w:rPr>
              <w:t>(incorporated by reference to Exhibit 99.1 to the Schedule 13D filed by the Reporting Persons with the</w:t>
            </w:r>
          </w:p>
        </w:tc>
      </w:tr>
      <w:tr>
        <w:trPr>
          <w:trHeight w:val="270"/>
        </w:trPr>
        <w:tc>
          <w:tcPr>
            <w:tcW w:w="120" w:type="dxa"/>
            <w:vAlign w:val="bottom"/>
            <w:tcBorders>
              <w:left w:val="single" w:sz="8" w:color="auto"/>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99.2</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Agreement and Plan of Merger (incorporated by reference to Exhibit 2.1 to the Issuer’s Current Report</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on Form 8-K filed on January 11,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99.3</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Amendment to Agreement and Plan of Merger (incorporated by reference to Exhibit 2.1 to the Issuer’s</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Current Report on Form 8-K filed on March 31,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99.4</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Amendment to Agreement and Plan of Merger (incorporated by reference to Exhibit 2.1 to the Issuer’s</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Current Report on Form 8-K filed on September 30,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99.5</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Certificate of Incorporation of the Issuer (incorporated by reference to Exhibit 3.1 to the Issuer’s</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Current Report on Form 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99.6</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w w:val="99"/>
              </w:rPr>
              <w:t>Exchange Agreement (incorporated by reference to Exhibit 10.4 to the Issuer’s Current Report on Form</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99.7</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Amended and Restated Limited Liability Company Agreement (incorporated by reference to</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Exhibit 4.3 to the Issuer’s Current Report on Form 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99.8</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w w:val="99"/>
              </w:rPr>
              <w:t>Voting Agreement (incorporated by reference to Exhibit 10.3 to the Issuer’s Current Report on Form 8-</w:t>
            </w: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rPr>
              <w:t>Exhibit 99.9</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Stockholders Agreement (incorporated by reference to Exhibit 10.2 to the Issuer’s Current Report on</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Form 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99.10</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Registration Rights Agreement (incorporated by reference to Exhibit 10.1 to the Issuer’s Current</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Report on Form 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99.11</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w w:val="99"/>
              </w:rPr>
              <w:t>Tax Receivable Agreement (incorporated by reference to Exhibit 10.5 to the Issuer’s Current Report on</w:t>
            </w: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Form 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rPr>
              <w:t>Exhibit 99.12*</w:t>
            </w: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Amended and Restated Subscription Agreement</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18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99.13</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Cooperation Agreement (incorporated by reference to Exhibit 10.6 to the Issuer’s Current Report on</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Form 8-K filed on October 21, 2021).</w:t>
            </w:r>
          </w:p>
        </w:tc>
      </w:tr>
      <w:tr>
        <w:trPr>
          <w:trHeight w:val="196"/>
        </w:trPr>
        <w:tc>
          <w:tcPr>
            <w:tcW w:w="120" w:type="dxa"/>
            <w:vAlign w:val="bottom"/>
            <w:tcBorders>
              <w:left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99.14</w:t>
            </w:r>
          </w:p>
        </w:tc>
        <w:tc>
          <w:tcPr>
            <w:tcW w:w="760" w:type="dxa"/>
            <w:vAlign w:val="bottom"/>
            <w:tcBorders>
              <w:right w:val="single" w:sz="8" w:color="auto"/>
            </w:tcBorders>
          </w:tcPr>
          <w:p>
            <w:pPr>
              <w:spacing w:after="0"/>
              <w:rPr>
                <w:sz w:val="17"/>
                <w:szCs w:val="17"/>
                <w:color w:val="auto"/>
              </w:rPr>
            </w:pPr>
          </w:p>
        </w:tc>
        <w:tc>
          <w:tcPr>
            <w:tcW w:w="9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Amended and Restated Exchange Agreement (incorporated by reference to Exhibit 10.1 to the Issuer’s</w:t>
            </w:r>
          </w:p>
        </w:tc>
      </w:tr>
      <w:tr>
        <w:trPr>
          <w:trHeight w:val="263"/>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Current Report on Form 8-K filed on May 4, 2022).</w:t>
            </w:r>
          </w:p>
        </w:tc>
      </w:tr>
      <w:tr>
        <w:trPr>
          <w:trHeight w:val="464"/>
        </w:trPr>
        <w:tc>
          <w:tcPr>
            <w:tcW w:w="20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 Previously filed</w:t>
            </w:r>
          </w:p>
        </w:tc>
        <w:tc>
          <w:tcPr>
            <w:tcW w:w="9180" w:type="dxa"/>
            <w:vAlign w:val="bottom"/>
          </w:tcPr>
          <w:p>
            <w:pPr>
              <w:spacing w:after="0"/>
              <w:rPr>
                <w:sz w:val="24"/>
                <w:szCs w:val="24"/>
                <w:color w:val="auto"/>
              </w:rPr>
            </w:pPr>
          </w:p>
        </w:tc>
      </w:tr>
      <w:tr>
        <w:trPr>
          <w:trHeight w:val="900"/>
        </w:trPr>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5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the undersigned’s knowledge and belief, the undersigned certifies that the information set forth in this statement is true, complete and correct.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Dated: May 5, 2022</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22"/>
                <w:szCs w:val="22"/>
                <w:b w:val="1"/>
                <w:bCs w:val="1"/>
                <w:color w:val="auto"/>
              </w:rPr>
              <w:t>Intercontinental Exchange, Inc.</w:t>
            </w:r>
          </w:p>
        </w:tc>
      </w:tr>
      <w:tr>
        <w:trPr>
          <w:trHeight w:val="717"/>
        </w:trPr>
        <w:tc>
          <w:tcPr>
            <w:tcW w:w="3680" w:type="dxa"/>
            <w:vAlign w:val="bottom"/>
          </w:tcPr>
          <w:p>
            <w:pPr>
              <w:spacing w:after="0"/>
              <w:rPr>
                <w:sz w:val="24"/>
                <w:szCs w:val="24"/>
                <w:color w:val="auto"/>
              </w:rPr>
            </w:pPr>
          </w:p>
        </w:tc>
        <w:tc>
          <w:tcPr>
            <w:tcW w:w="284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Andrew J. Surdykowski</w:t>
            </w:r>
          </w:p>
        </w:tc>
      </w:tr>
      <w:tr>
        <w:trPr>
          <w:trHeight w:val="209"/>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Andrew J. Surdykowski</w:t>
            </w:r>
          </w:p>
        </w:tc>
      </w:tr>
      <w:tr>
        <w:trPr>
          <w:trHeight w:val="282"/>
        </w:trPr>
        <w:tc>
          <w:tcPr>
            <w:tcW w:w="3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729"/>
        </w:trPr>
        <w:tc>
          <w:tcPr>
            <w:tcW w:w="3680" w:type="dxa"/>
            <w:vAlign w:val="bottom"/>
          </w:tcPr>
          <w:p>
            <w:pPr>
              <w:spacing w:after="0"/>
              <w:rPr>
                <w:sz w:val="24"/>
                <w:szCs w:val="24"/>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22"/>
                <w:szCs w:val="22"/>
                <w:b w:val="1"/>
                <w:bCs w:val="1"/>
                <w:color w:val="auto"/>
              </w:rPr>
              <w:t>Intercontinental Exchange Holdings, Inc.</w:t>
            </w:r>
          </w:p>
        </w:tc>
      </w:tr>
      <w:tr>
        <w:trPr>
          <w:trHeight w:val="717"/>
        </w:trPr>
        <w:tc>
          <w:tcPr>
            <w:tcW w:w="3680" w:type="dxa"/>
            <w:vAlign w:val="bottom"/>
          </w:tcPr>
          <w:p>
            <w:pPr>
              <w:spacing w:after="0"/>
              <w:rPr>
                <w:sz w:val="24"/>
                <w:szCs w:val="24"/>
                <w:color w:val="auto"/>
              </w:rPr>
            </w:pPr>
          </w:p>
        </w:tc>
        <w:tc>
          <w:tcPr>
            <w:tcW w:w="284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Andrew J. Surdykowski</w:t>
            </w:r>
          </w:p>
        </w:tc>
      </w:tr>
      <w:tr>
        <w:trPr>
          <w:trHeight w:val="209"/>
        </w:trPr>
        <w:tc>
          <w:tcPr>
            <w:tcW w:w="3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7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Andrew J. Surdykowski</w:t>
            </w:r>
          </w:p>
        </w:tc>
      </w:tr>
      <w:tr>
        <w:trPr>
          <w:trHeight w:val="282"/>
        </w:trPr>
        <w:tc>
          <w:tcPr>
            <w:tcW w:w="3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22"/>
                <w:szCs w:val="22"/>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Schedule 13D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DIRECTORS AND EXECUTIVE OFFICERS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sets forth certain information with respect to the directors and executive officers of Intercontinental Exchange, Inc. The business address of each director and executive officer of Intercontinental Exchange, Inc. is 5660 New Northside Drive, Atlanta, Georgia 30328.</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5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Present Principal Occupation or Employment</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Citizenship</w:t>
            </w: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Hon. Sharon Y. Bowen</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Chair of the New York Stock Exchange (NYSE), a subsidiary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Intercontinental Exchange, Inc. and member of governing boards</w:t>
            </w:r>
          </w:p>
        </w:tc>
        <w:tc>
          <w:tcPr>
            <w:tcW w:w="2240" w:type="dxa"/>
            <w:vAlign w:val="bottom"/>
            <w:tcBorders>
              <w:right w:val="single" w:sz="8" w:color="auto"/>
            </w:tcBorders>
          </w:tcPr>
          <w:p>
            <w:pPr>
              <w:spacing w:after="0"/>
              <w:rPr>
                <w:sz w:val="21"/>
                <w:szCs w:val="2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of certain subsidiaries of Intercontinental Exchange, Inc.,</w:t>
            </w:r>
          </w:p>
        </w:tc>
        <w:tc>
          <w:tcPr>
            <w:tcW w:w="2240" w:type="dxa"/>
            <w:vAlign w:val="bottom"/>
            <w:tcBorders>
              <w:right w:val="single" w:sz="8" w:color="auto"/>
            </w:tcBorders>
          </w:tcPr>
          <w:p>
            <w:pPr>
              <w:spacing w:after="0"/>
              <w:rPr>
                <w:sz w:val="21"/>
                <w:szCs w:val="2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including the subsidiary boards of certain NYSE U.S. regulated</w:t>
            </w:r>
          </w:p>
        </w:tc>
        <w:tc>
          <w:tcPr>
            <w:tcW w:w="2240" w:type="dxa"/>
            <w:vAlign w:val="bottom"/>
            <w:tcBorders>
              <w:right w:val="single" w:sz="8" w:color="auto"/>
            </w:tcBorders>
          </w:tcPr>
          <w:p>
            <w:pPr>
              <w:spacing w:after="0"/>
              <w:rPr>
                <w:sz w:val="21"/>
                <w:szCs w:val="2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exchanges.</w:t>
            </w:r>
          </w:p>
        </w:tc>
        <w:tc>
          <w:tcPr>
            <w:tcW w:w="2240" w:type="dxa"/>
            <w:vAlign w:val="bottom"/>
            <w:tcBorders>
              <w:right w:val="single" w:sz="8" w:color="auto"/>
            </w:tcBorders>
          </w:tcPr>
          <w:p>
            <w:pPr>
              <w:spacing w:after="0"/>
              <w:rPr>
                <w:sz w:val="24"/>
                <w:szCs w:val="24"/>
                <w:color w:val="auto"/>
              </w:rPr>
            </w:pPr>
          </w:p>
        </w:tc>
      </w:tr>
      <w:tr>
        <w:trPr>
          <w:trHeight w:val="351"/>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Co-chair of the NYSE Board Advisory Council.</w:t>
            </w:r>
          </w:p>
        </w:tc>
        <w:tc>
          <w:tcPr>
            <w:tcW w:w="2240" w:type="dxa"/>
            <w:vAlign w:val="bottom"/>
            <w:tcBorders>
              <w:right w:val="single" w:sz="8" w:color="auto"/>
            </w:tcBorders>
          </w:tcPr>
          <w:p>
            <w:pPr>
              <w:spacing w:after="0"/>
              <w:rPr>
                <w:sz w:val="24"/>
                <w:szCs w:val="24"/>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each of Akamai</w:t>
            </w:r>
          </w:p>
        </w:tc>
        <w:tc>
          <w:tcPr>
            <w:tcW w:w="2240" w:type="dxa"/>
            <w:vAlign w:val="bottom"/>
            <w:tcBorders>
              <w:right w:val="single" w:sz="8" w:color="auto"/>
            </w:tcBorders>
          </w:tcPr>
          <w:p>
            <w:pPr>
              <w:spacing w:after="0"/>
              <w:rPr>
                <w:sz w:val="24"/>
                <w:szCs w:val="24"/>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Technologies, Inc. and Neuberger Berman Group LLC and the</w:t>
            </w:r>
          </w:p>
        </w:tc>
        <w:tc>
          <w:tcPr>
            <w:tcW w:w="2240" w:type="dxa"/>
            <w:vAlign w:val="bottom"/>
            <w:tcBorders>
              <w:right w:val="single" w:sz="8" w:color="auto"/>
            </w:tcBorders>
          </w:tcPr>
          <w:p>
            <w:pPr>
              <w:spacing w:after="0"/>
              <w:rPr>
                <w:sz w:val="21"/>
                <w:szCs w:val="2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board of Bakkt Trust Company.</w:t>
            </w: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Shantella E. Cooper</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Founder and Chief Executive Officer of Journey Forward</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Strategies, LLC.</w:t>
            </w:r>
          </w:p>
        </w:tc>
        <w:tc>
          <w:tcPr>
            <w:tcW w:w="2240" w:type="dxa"/>
            <w:vAlign w:val="bottom"/>
            <w:tcBorders>
              <w:right w:val="single" w:sz="8" w:color="auto"/>
            </w:tcBorders>
          </w:tcPr>
          <w:p>
            <w:pPr>
              <w:spacing w:after="0"/>
              <w:rPr>
                <w:sz w:val="24"/>
                <w:szCs w:val="24"/>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SouthState Corporation and</w:t>
            </w:r>
          </w:p>
        </w:tc>
        <w:tc>
          <w:tcPr>
            <w:tcW w:w="2240" w:type="dxa"/>
            <w:vAlign w:val="bottom"/>
            <w:tcBorders>
              <w:right w:val="single" w:sz="8" w:color="auto"/>
            </w:tcBorders>
          </w:tcPr>
          <w:p>
            <w:pPr>
              <w:spacing w:after="0"/>
              <w:rPr>
                <w:sz w:val="24"/>
                <w:szCs w:val="24"/>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Veritiv Corporation.</w:t>
            </w: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Charles R. Crisp</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Member of governing boards of certain subsidiaries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Intercontinental Exchange, Inc., including as the Chair of the</w:t>
            </w:r>
          </w:p>
        </w:tc>
        <w:tc>
          <w:tcPr>
            <w:tcW w:w="2240" w:type="dxa"/>
            <w:vAlign w:val="bottom"/>
            <w:tcBorders>
              <w:right w:val="single" w:sz="8" w:color="auto"/>
            </w:tcBorders>
          </w:tcPr>
          <w:p>
            <w:pPr>
              <w:spacing w:after="0"/>
              <w:rPr>
                <w:sz w:val="21"/>
                <w:szCs w:val="2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Board of Directors of ICE NGX Canada and on the Board of</w:t>
            </w:r>
          </w:p>
        </w:tc>
        <w:tc>
          <w:tcPr>
            <w:tcW w:w="2240" w:type="dxa"/>
            <w:vAlign w:val="bottom"/>
            <w:tcBorders>
              <w:right w:val="single" w:sz="8" w:color="auto"/>
            </w:tcBorders>
          </w:tcPr>
          <w:p>
            <w:pPr>
              <w:spacing w:after="0"/>
              <w:rPr>
                <w:sz w:val="21"/>
                <w:szCs w:val="2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Directors of ICE Futures U.S., ICE Trade Vault, ICE Credit SEF</w:t>
            </w:r>
          </w:p>
        </w:tc>
        <w:tc>
          <w:tcPr>
            <w:tcW w:w="2240" w:type="dxa"/>
            <w:vAlign w:val="bottom"/>
            <w:tcBorders>
              <w:right w:val="single" w:sz="8" w:color="auto"/>
            </w:tcBorders>
          </w:tcPr>
          <w:p>
            <w:pPr>
              <w:spacing w:after="0"/>
              <w:rPr>
                <w:sz w:val="21"/>
                <w:szCs w:val="2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LLC and ICE Swap Trade.</w:t>
            </w:r>
          </w:p>
        </w:tc>
        <w:tc>
          <w:tcPr>
            <w:tcW w:w="2240" w:type="dxa"/>
            <w:vAlign w:val="bottom"/>
            <w:tcBorders>
              <w:right w:val="single" w:sz="8" w:color="auto"/>
            </w:tcBorders>
          </w:tcPr>
          <w:p>
            <w:pPr>
              <w:spacing w:after="0"/>
              <w:rPr>
                <w:sz w:val="24"/>
                <w:szCs w:val="24"/>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9"/>
              </w:rPr>
              <w:t>Member of the board of directors of each of EOG Resources, Inc.,</w:t>
            </w:r>
          </w:p>
        </w:tc>
        <w:tc>
          <w:tcPr>
            <w:tcW w:w="2240" w:type="dxa"/>
            <w:vAlign w:val="bottom"/>
            <w:tcBorders>
              <w:right w:val="single" w:sz="8" w:color="auto"/>
            </w:tcBorders>
          </w:tcPr>
          <w:p>
            <w:pPr>
              <w:spacing w:after="0"/>
              <w:rPr>
                <w:sz w:val="24"/>
                <w:szCs w:val="24"/>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Targa Resources, Corp., as well as Targa Resources GP, LLC, a</w:t>
            </w:r>
          </w:p>
        </w:tc>
        <w:tc>
          <w:tcPr>
            <w:tcW w:w="2240" w:type="dxa"/>
            <w:vAlign w:val="bottom"/>
            <w:tcBorders>
              <w:right w:val="single" w:sz="8" w:color="auto"/>
            </w:tcBorders>
          </w:tcPr>
          <w:p>
            <w:pPr>
              <w:spacing w:after="0"/>
              <w:rPr>
                <w:sz w:val="21"/>
                <w:szCs w:val="2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subsidiary of Targa Resources, Corp.</w:t>
            </w:r>
          </w:p>
        </w:tc>
        <w:tc>
          <w:tcPr>
            <w:tcW w:w="2240" w:type="dxa"/>
            <w:vAlign w:val="bottom"/>
            <w:tcBorders>
              <w:right w:val="single" w:sz="8" w:color="auto"/>
            </w:tcBorders>
          </w:tcPr>
          <w:p>
            <w:pPr>
              <w:spacing w:after="0"/>
              <w:rPr>
                <w:sz w:val="24"/>
                <w:szCs w:val="24"/>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Southern Company Gas, a</w:t>
            </w:r>
          </w:p>
        </w:tc>
        <w:tc>
          <w:tcPr>
            <w:tcW w:w="2240" w:type="dxa"/>
            <w:vAlign w:val="bottom"/>
            <w:tcBorders>
              <w:right w:val="single" w:sz="8" w:color="auto"/>
            </w:tcBorders>
          </w:tcPr>
          <w:p>
            <w:pPr>
              <w:spacing w:after="0"/>
              <w:rPr>
                <w:sz w:val="24"/>
                <w:szCs w:val="24"/>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subsidiary of Southern Company.</w:t>
            </w: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581"/>
        </w:trPr>
        <w:tc>
          <w:tcPr>
            <w:tcW w:w="30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0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Duriya M. Farooqui</w:t>
            </w:r>
          </w:p>
        </w:tc>
        <w:tc>
          <w:tcPr>
            <w:tcW w:w="59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Member of the Board of Directors of each of InterContinental</w:t>
            </w:r>
          </w:p>
        </w:tc>
        <w:tc>
          <w:tcPr>
            <w:tcW w:w="22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Hotels Group PLC (IHG) and Tribe Capital Growth Corp I.</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governing boards of certain subsidiaries of</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Intercontinental Exchange, Inc., including the subsidiary boards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of certain NYSE U.S. regulated exchanges and ICE NGX</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Canada.</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Co-chair of the NYSE Board Advisory Council.</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The Rt. Hon. the Lord Hague of</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Chair of The Royal Foundation of the Duke and Duchess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Richmond</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Cambridge, Chair of the United for Wildlife Taskforce.</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Chair for the International Advisory Board at the law firm</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3060" w:type="dxa"/>
            <w:vAlign w:val="bottom"/>
            <w:tcBorders>
              <w:left w:val="single" w:sz="8" w:color="auto"/>
              <w:right w:val="single" w:sz="8" w:color="auto"/>
            </w:tcBorders>
          </w:tcPr>
          <w:p>
            <w:pPr>
              <w:spacing w:after="0"/>
              <w:rPr>
                <w:sz w:val="5"/>
                <w:szCs w:val="5"/>
                <w:color w:val="auto"/>
              </w:rPr>
            </w:pPr>
          </w:p>
        </w:tc>
        <w:tc>
          <w:tcPr>
            <w:tcW w:w="594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Linklaters.</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Chair of the Board of Directors of ICE Futures Europe, a</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subsidiary of Intercontinental Exchange,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House of Lords.</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Mark F. Mulhern</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Former Executive Vice President and Chief Financial Officer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Highwoods Properties,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ICE Mortgage Technology,</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Inc., a subsidiary of Intercontinental Exchange,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Barings BDC, Inc. and</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member of the Board of Trustees of Barings Global Short</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Duration High Yield Fund.</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E. Noonan</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Founding partner of TechOperators LLC, and Chairman of TEN</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Holdings, LLC.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Manhattan Associates,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Frederic V. Salerno</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Member of governing boards of certain subsidiaries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Intercontinental Exchange, Inc., including the subsidiary boards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of certain NYSE U.S. regulated exchanges.</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each of Associated Capital</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Group and Madison Square Garden Entertainment Corp and the</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board of Bakkt Trust Company.</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1"/>
        </w:trPr>
        <w:tc>
          <w:tcPr>
            <w:tcW w:w="30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2</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0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Caroline L. Silver</w:t>
            </w:r>
          </w:p>
        </w:tc>
        <w:tc>
          <w:tcPr>
            <w:tcW w:w="59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Advisory partner at Moelis &amp; Company.</w:t>
            </w:r>
          </w:p>
        </w:tc>
        <w:tc>
          <w:tcPr>
            <w:tcW w:w="22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Chair of the Board of Directors of ICE Clear Europe Limited, a</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3060" w:type="dxa"/>
            <w:vAlign w:val="bottom"/>
            <w:tcBorders>
              <w:left w:val="single" w:sz="8" w:color="auto"/>
              <w:right w:val="single" w:sz="8" w:color="auto"/>
            </w:tcBorders>
          </w:tcPr>
          <w:p>
            <w:pPr>
              <w:spacing w:after="0"/>
              <w:rPr>
                <w:sz w:val="5"/>
                <w:szCs w:val="5"/>
                <w:color w:val="auto"/>
              </w:rPr>
            </w:pPr>
          </w:p>
        </w:tc>
        <w:tc>
          <w:tcPr>
            <w:tcW w:w="594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subsidiary of Intercontinental Exchange,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Chair of the Board of Directors of PZ Cussons PLC.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BUPA and Meggitt PLC.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9"/>
              </w:rPr>
              <w:t>Trustee of The Victoria and Albert Museum (appointed by the UK</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Prime Minister).</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Jeffrey C. Sprecher</w:t>
            </w:r>
          </w:p>
        </w:tc>
        <w:tc>
          <w:tcPr>
            <w:tcW w:w="59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Chair of the Board and Chief Executive Officer of Intercontinental</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 and Chief Executive</w:t>
            </w:r>
          </w:p>
        </w:tc>
        <w:tc>
          <w:tcPr>
            <w:tcW w:w="59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Exchange, Inc.</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Officer)</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Judith A. Sprieser</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Member of governing boards of certain subsidiaries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Intercontinental Exchange, Inc., including the Board of Managers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of ICE Clear Credit and ICE Mortgage Services, the governing</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board of MERSCORP Holdings,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9"/>
              </w:rPr>
              <w:t>Member of the boards of directors of Allstate Insurance Company</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(currently Lead Director) and Newell Brands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Vincent Tese</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Member of governing boards of certain subsidiaries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Intercontinental Exchange, Inc., including the subsidiary boards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of certain NYSE U.S. regulated exchanges and as the Chair of the</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Board of ICE Clear Credit.</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boards of directors of each of Madison Square</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Garden Entertainment Corp., Madison Square Garden Sports</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Corp., and AMC Networks Inc., Claros Mortgage Trust, Inc. and</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board of Bakkt Trust Company.</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Trustee of New York University School of Law and New York</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Presbyterian Hospital.</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Martha A. Tirinnanzi</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Founder and President of Financial Standards, Inc. Member of</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governing boards of certain subsidiaries of Intercontinental</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Exchange, Inc., including the Board of Managers of ICE</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Mortgage Services, the governing board of MERSCORP</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Holdings, Inc. and Board of Directors of ICE Mortgage</w:t>
            </w: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Technology,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Member of the board of directors of Community Development</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tcPr>
          <w:p>
            <w:pPr>
              <w:spacing w:after="0"/>
              <w:rPr>
                <w:sz w:val="24"/>
                <w:szCs w:val="24"/>
                <w:color w:val="auto"/>
              </w:rPr>
            </w:pP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Trust.</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30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3</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0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Christopher S. Edmonds</w:t>
            </w:r>
          </w:p>
        </w:tc>
        <w:tc>
          <w:tcPr>
            <w:tcW w:w="59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Chief Development Officer, Intercontinental Exchange, Inc.</w:t>
            </w:r>
          </w:p>
        </w:tc>
        <w:tc>
          <w:tcPr>
            <w:tcW w:w="224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Development Officer)</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Douglas Foley</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Senior Vice President, HR &amp; Administration, Intercontinental</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(SVP, HR &amp; Administration)</w:t>
            </w:r>
          </w:p>
        </w:tc>
        <w:tc>
          <w:tcPr>
            <w:tcW w:w="5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Exchange, Inc.</w:t>
            </w: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Warren Gardiner</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Chief Financial Officer, Intercontinental Exchange, Inc.</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Financial Officer)</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Mayur Kapani</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Chief Technology Officer, Intercontinental Exchange, Inc.</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Technology Officer)</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Benjamin R. Jackson</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President, Intercontinental Exchange, Inc.</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(President)</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Lynn C. Martin</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President – NYSE Group &amp; Chair, ICE Fixed Income and Data</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(President – NYSE Group &amp;</w:t>
            </w:r>
          </w:p>
        </w:tc>
        <w:tc>
          <w:tcPr>
            <w:tcW w:w="59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Services, Intercontinental Exchange, Inc.</w:t>
            </w:r>
          </w:p>
        </w:tc>
        <w:tc>
          <w:tcPr>
            <w:tcW w:w="2240" w:type="dxa"/>
            <w:vAlign w:val="bottom"/>
            <w:tcBorders>
              <w:right w:val="single" w:sz="8" w:color="auto"/>
            </w:tcBorders>
          </w:tcPr>
          <w:p>
            <w:pPr>
              <w:spacing w:after="0"/>
              <w:rPr>
                <w:sz w:val="21"/>
                <w:szCs w:val="21"/>
                <w:color w:val="auto"/>
              </w:rPr>
            </w:pPr>
          </w:p>
        </w:tc>
      </w:tr>
      <w:tr>
        <w:trPr>
          <w:trHeight w:val="243"/>
        </w:trPr>
        <w:tc>
          <w:tcPr>
            <w:tcW w:w="30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Chair, ICE Fixed Income and</w:t>
            </w:r>
          </w:p>
        </w:tc>
        <w:tc>
          <w:tcPr>
            <w:tcW w:w="59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Data Services)</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Andrew J. Surdykowski</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General Counsel, Intercontinental Exchange, Inc.</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(General Counsel)</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0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Mark P. Wassersug</w:t>
            </w:r>
          </w:p>
        </w:tc>
        <w:tc>
          <w:tcPr>
            <w:tcW w:w="59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Chief Operating Officer, Intercontinental Exchange, Inc.</w:t>
            </w:r>
          </w:p>
        </w:tc>
        <w:tc>
          <w:tcPr>
            <w:tcW w:w="22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Operating Officer)</w:t>
            </w:r>
          </w:p>
        </w:tc>
        <w:tc>
          <w:tcPr>
            <w:tcW w:w="59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96"/>
        </w:trPr>
        <w:tc>
          <w:tcPr>
            <w:tcW w:w="306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905"/>
        </w:trPr>
        <w:tc>
          <w:tcPr>
            <w:tcW w:w="30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4</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II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DIRECTORS AND EXECUTIVE OFFICERS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sets forth certain information with respect to the directors and executive officers of Intercontinental Exchange Holdings, Inc. The business address of each director and executive officer of Intercontinental Exchange Holdings, Inc. is 5660 New Northside Drive, Atlanta, Georgia 30328.</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5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Present Principal Occupation or Employment</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Citizenship</w:t>
            </w: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Jeffrey C. Sprecher</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Chair of the Board and Chief Executive Officer of</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82"/>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 and Chief Executive Officer)</w:t>
            </w:r>
          </w:p>
        </w:tc>
        <w:tc>
          <w:tcPr>
            <w:tcW w:w="5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Intercontinental Exchange, Inc.</w:t>
            </w:r>
          </w:p>
        </w:tc>
        <w:tc>
          <w:tcPr>
            <w:tcW w:w="2240" w:type="dxa"/>
            <w:vAlign w:val="bottom"/>
            <w:tcBorders>
              <w:right w:val="single" w:sz="8" w:color="auto"/>
            </w:tcBorders>
          </w:tcPr>
          <w:p>
            <w:pPr>
              <w:spacing w:after="0"/>
              <w:rPr>
                <w:sz w:val="24"/>
                <w:szCs w:val="24"/>
                <w:color w:val="auto"/>
              </w:rPr>
            </w:pPr>
          </w:p>
        </w:tc>
      </w:tr>
      <w:tr>
        <w:trPr>
          <w:trHeight w:val="96"/>
        </w:trPr>
        <w:tc>
          <w:tcPr>
            <w:tcW w:w="3740" w:type="dxa"/>
            <w:vAlign w:val="bottom"/>
            <w:tcBorders>
              <w:left w:val="single" w:sz="8" w:color="auto"/>
              <w:bottom w:val="single" w:sz="8" w:color="auto"/>
              <w:right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Christopher S. Edmonds</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Chief Development Officer, Intercontinental Exchange,</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Development Officer)</w:t>
            </w:r>
          </w:p>
        </w:tc>
        <w:tc>
          <w:tcPr>
            <w:tcW w:w="5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Inc.</w:t>
            </w: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Douglas Foley</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Senior Vice President, HR &amp; Administration,</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(SVP, HR &amp; Administration)</w:t>
            </w:r>
          </w:p>
        </w:tc>
        <w:tc>
          <w:tcPr>
            <w:tcW w:w="5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Intercontinental Exchange, Inc.</w:t>
            </w: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Warren Gardiner (Director and Chief</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Chief Financial Officer, Intercontinental Exchange, Inc.</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52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Mayur Kapani</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Chief Technology Officer, Intercontinental Exchange, Inc.</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Technology Officer)</w:t>
            </w:r>
          </w:p>
        </w:tc>
        <w:tc>
          <w:tcPr>
            <w:tcW w:w="52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Andrew J. Surdykowski</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General Counsel, Intercontinental Exchange, Inc.</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(Director and General Counsel)</w:t>
            </w:r>
          </w:p>
        </w:tc>
        <w:tc>
          <w:tcPr>
            <w:tcW w:w="52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Benjamin R. Jackson</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President, Intercontinental Exchange, Inc.</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(President)</w:t>
            </w:r>
          </w:p>
        </w:tc>
        <w:tc>
          <w:tcPr>
            <w:tcW w:w="52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Lynn C. Martin</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President – NYSE Group &amp; Chair, ICE Fixed Income and</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43"/>
        </w:trPr>
        <w:tc>
          <w:tcPr>
            <w:tcW w:w="374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(President – NYSE Group &amp; Chair, ICE</w:t>
            </w:r>
          </w:p>
        </w:tc>
        <w:tc>
          <w:tcPr>
            <w:tcW w:w="52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Data Services, Intercontinental Exchange, Inc.</w:t>
            </w:r>
          </w:p>
        </w:tc>
        <w:tc>
          <w:tcPr>
            <w:tcW w:w="2240" w:type="dxa"/>
            <w:vAlign w:val="bottom"/>
            <w:tcBorders>
              <w:right w:val="single" w:sz="8" w:color="auto"/>
            </w:tcBorders>
          </w:tcPr>
          <w:p>
            <w:pPr>
              <w:spacing w:after="0"/>
              <w:rPr>
                <w:sz w:val="21"/>
                <w:szCs w:val="21"/>
                <w:color w:val="auto"/>
              </w:rPr>
            </w:pP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Fixed Income and Data Services)</w:t>
            </w:r>
          </w:p>
        </w:tc>
        <w:tc>
          <w:tcPr>
            <w:tcW w:w="52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09"/>
        </w:trPr>
        <w:tc>
          <w:tcPr>
            <w:tcW w:w="37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Mark P. Wassersug</w:t>
            </w:r>
          </w:p>
        </w:tc>
        <w:tc>
          <w:tcPr>
            <w:tcW w:w="526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Chief Operating Officer, Intercontinental Exchange, Inc.</w:t>
            </w:r>
          </w:p>
        </w:tc>
        <w:tc>
          <w:tcPr>
            <w:tcW w:w="2240" w:type="dxa"/>
            <w:vAlign w:val="bottom"/>
            <w:tcBorders>
              <w:right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United States</w:t>
            </w:r>
          </w:p>
        </w:tc>
      </w:tr>
      <w:tr>
        <w:trPr>
          <w:trHeight w:val="27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(Chief Operating Officer)</w:t>
            </w:r>
          </w:p>
        </w:tc>
        <w:tc>
          <w:tcPr>
            <w:tcW w:w="52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1472"/>
        </w:trPr>
        <w:tc>
          <w:tcPr>
            <w:tcW w:w="37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5"/>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6"/>
    </w:lvl>
  </w:abstractNum>
  <w:abstractNum w:abstractNumId="11">
    <w:nsid w:val="7FDCC233"/>
    <w:multiLevelType w:val="hybridMultilevel"/>
    <w:lvl w:ilvl="0">
      <w:lvlJc w:val="left"/>
      <w:lvlText w:val="%1"/>
      <w:numFmt w:val="lowerLetter"/>
      <w:start w:val="1"/>
    </w:lvl>
    <w:lvl w:ilvl="1">
      <w:lvlJc w:val="left"/>
      <w:lvlText w:val="(%2)"/>
      <w:numFmt w:val="lowerLetter"/>
      <w:start w:val="4"/>
    </w:lvl>
  </w:abstractNum>
  <w:abstractNum w:abstractNumId="12">
    <w:nsid w:val="1BEFD79F"/>
    <w:multiLevelType w:val="hybridMultilevel"/>
    <w:lvl w:ilvl="0">
      <w:lvlJc w:val="left"/>
      <w:lvlText w:val="(%1)"/>
      <w:numFmt w:val="lowerLetter"/>
      <w:start w:val="9"/>
    </w:lvl>
    <w:lvl w:ilvl="1">
      <w:lvlJc w:val="left"/>
      <w:lvlText w:val="%2"/>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3"/>
    </w:lvl>
  </w:abstractNum>
  <w:abstractNum w:abstractNumId="16">
    <w:nsid w:val="25E45D32"/>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2022-05-05T16:46:53Z</dcterms:created>
  <dcterms:modified xsi:type="dcterms:W3CDTF">2022-05-05T16:46:53Z</dcterms:modified>
</cp:coreProperties>
</file>