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15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1593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04/17/2023</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General Counsel &amp; Secretary</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4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8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0000FF"/>
              </w:rPr>
              <w:t>50,000</w:t>
            </w:r>
            <w:r>
              <w:rPr>
                <w:rFonts w:ascii="Times New Roman" w:cs="Times New Roman" w:eastAsia="Times New Roman" w:hAnsi="Times New Roman"/>
                <w:sz w:val="21"/>
                <w:szCs w:val="21"/>
                <w:color w:val="008000"/>
                <w:vertAlign w:val="superscript"/>
              </w:rPr>
              <w:t>(1)</w:t>
            </w:r>
          </w:p>
        </w:tc>
        <w:tc>
          <w:tcPr>
            <w:tcW w:w="4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tcPr>
          <w:p>
            <w:pPr>
              <w:jc w:val="right"/>
              <w:ind w:right="46"/>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783,320</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6"/>
                <w:szCs w:val="16"/>
                <w:color w:val="0000FF"/>
              </w:rPr>
              <w:t>04/17/2023</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0000FF"/>
              </w:rPr>
              <w:t>21,873</w:t>
            </w:r>
            <w:r>
              <w:rPr>
                <w:rFonts w:ascii="Times New Roman" w:cs="Times New Roman" w:eastAsia="Times New Roman" w:hAnsi="Times New Roman"/>
                <w:sz w:val="21"/>
                <w:szCs w:val="21"/>
                <w:color w:val="008000"/>
                <w:vertAlign w:val="superscript"/>
              </w:rPr>
              <w:t>(3)</w:t>
            </w:r>
          </w:p>
        </w:tc>
        <w:tc>
          <w:tcPr>
            <w:tcW w:w="4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tcPr>
          <w:p>
            <w:pPr>
              <w:jc w:val="right"/>
              <w:ind w:right="46"/>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(3)</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805,193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5"/>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34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1"/>
                <w:szCs w:val="11"/>
                <w:color w:val="008000"/>
                <w:w w:val="77"/>
              </w:rPr>
              <w:t>(5)</w:t>
            </w:r>
          </w:p>
        </w:tc>
        <w:tc>
          <w:tcPr>
            <w:tcW w:w="700" w:type="dxa"/>
            <w:vAlign w:val="bottom"/>
            <w:gridSpan w:val="2"/>
            <w:vMerge w:val="restart"/>
          </w:tcPr>
          <w:p>
            <w:pPr>
              <w:jc w:val="right"/>
              <w:ind w:right="213"/>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1,204,712</w:t>
            </w:r>
            <w:r>
              <w:rPr>
                <w:rFonts w:ascii="Times New Roman" w:cs="Times New Roman" w:eastAsia="Times New Roman" w:hAnsi="Times New Roman"/>
                <w:sz w:val="21"/>
                <w:szCs w:val="21"/>
                <w:color w:val="008000"/>
                <w:vertAlign w:val="superscript"/>
              </w:rPr>
              <w:t>(4)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1,204,712</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-1889125</wp:posOffset>
            </wp:positionV>
            <wp:extent cx="28575" cy="189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94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granted on 01/21/2022 and the attainment of performance goals.</w:t>
      </w:r>
    </w:p>
    <w:p>
      <w:pPr>
        <w:spacing w:after="0" w:line="4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restricted stock units ("RSUs") awards that remain subject to vesting. Each RSU represents a contingent right to receive one share of the issuer's Class A Common Stock.</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granted on 02/01/2022 and the attainment of performance goals.</w:t>
      </w:r>
    </w:p>
    <w:p>
      <w:pPr>
        <w:spacing w:after="0" w:line="4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04/19/2023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2023-04-19T20:45:35Z</dcterms:created>
  <dcterms:modified xsi:type="dcterms:W3CDTF">2023-04-19T20:45:35Z</dcterms:modified>
</cp:coreProperties>
</file>