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333-271361</w:t>
      </w:r>
    </w:p>
    <w:p>
      <w:pPr>
        <w:spacing w:after="0" w:line="13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(to Prospectus dated February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73660</wp:posOffset>
            </wp:positionV>
            <wp:extent cx="2580005"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0005"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11,534,025 Shares of Class A Common Stock</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Class 1 Warrants to Purchase up to 5,767,012 Shares of Class A Common Stock</w:t>
      </w:r>
    </w:p>
    <w:p>
      <w:pPr>
        <w:ind w:left="1980"/>
        <w:spacing w:after="0" w:line="230" w:lineRule="auto"/>
        <w:rPr>
          <w:sz w:val="20"/>
          <w:szCs w:val="20"/>
          <w:color w:val="auto"/>
        </w:rPr>
      </w:pPr>
      <w:r>
        <w:rPr>
          <w:rFonts w:ascii="Times New Roman" w:cs="Times New Roman" w:eastAsia="Times New Roman" w:hAnsi="Times New Roman"/>
          <w:sz w:val="22"/>
          <w:szCs w:val="22"/>
          <w:b w:val="1"/>
          <w:bCs w:val="1"/>
          <w:color w:val="auto"/>
        </w:rPr>
        <w:t>Class 2 Warrants to Purchase up to 5,767,012 Shares of Class A Common Stock</w:t>
      </w:r>
    </w:p>
    <w:p>
      <w:pPr>
        <w:spacing w:after="0" w:line="1"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Class A Common Stock Underlying the Class 1 Warrants and Class 2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5" w:lineRule="exact"/>
        <w:rPr>
          <w:sz w:val="24"/>
          <w:szCs w:val="24"/>
          <w:color w:val="auto"/>
        </w:rPr>
      </w:pPr>
    </w:p>
    <w:p>
      <w:pPr>
        <w:ind w:left="120"/>
        <w:spacing w:after="0" w:line="225" w:lineRule="auto"/>
        <w:rPr>
          <w:sz w:val="20"/>
          <w:szCs w:val="20"/>
          <w:color w:val="auto"/>
        </w:rPr>
      </w:pPr>
      <w:r>
        <w:rPr>
          <w:rFonts w:ascii="Times New Roman" w:cs="Times New Roman" w:eastAsia="Times New Roman" w:hAnsi="Times New Roman"/>
          <w:sz w:val="14"/>
          <w:szCs w:val="14"/>
          <w:color w:val="auto"/>
        </w:rPr>
        <w:t>We are offering up to 11,534,025 shares of our Class A Common Stock, par value $0.0001 per share (“Class A Common Stock”), Class 1 Warrants to purchase up to 5,767,012 shares of our Class A Common Stock (the “Class 1 Warrants”), and Class 2 Warrants to purchase up to 5,767,012 shares of our Class A Common Stock (the “Class 2 Warrants” and, together with the Class 1 Warrants, the “Warrants” and each, a “Warrant”) pursuant to this prospectus supplement and the accompanying base prospectus. The purchase price of each share of Class A common stock and accompanying Warrant is $0.8670. The exercise price of each Warrant equals $1.0200 per share. This prospectus supplement also relates to the offering of the shares of Class A Common Stock issuable upon the exercise of the Warrants. The securities are being sold in this offering to our affiliate, Intercontinental Exchange Holdings, Inc. (“ICE”) under a securities purchase agreement (the “Purchase Agreement”) dated February 29, 2024 between us and ICE. Of such securities, 2,762,009 shares of our Class A Common Stock, Class 1 Warrants to purchase 1,381,004 shares of our Class A Common Stock, and Class 2 Warrants to purchase 1,381,004 shares of our Class A Common Stock will be issued concurrently with the closing of the securities being offered in the Concurrent Offering (as defined below) (the “Initial Closing”), and the remaining securities being issued to ICE will be issued after we obtain the necessary stockholder approvals in accordance with the Listed Company Manual of the New York Stock Exchange (“NYSE”) and upon the satisfaction of certain customary closing conditions. ICE is providing a voting support agreement in connection with this offering and the Concurrent Offering, which generally provides that ICE will attend the special meeting (the “Special Meeting”) to approve the issuance of the shares of Class A Common Stock issuable in respect of the Concurrent Offering and the shares of Class A Common Stock underlying the related Warrants that exceed the limitations of the Listed Company Manual of the NYSE and the shares of Class A Common Stock underlying the alternative cashless exercise provision of the Class 2 Warrants described below being issued in this offering and in the Concurrent Offering and to vote in support of such proposal at the Special Meeting.</w:t>
      </w:r>
    </w:p>
    <w:p>
      <w:pPr>
        <w:spacing w:after="0" w:line="76" w:lineRule="exact"/>
        <w:rPr>
          <w:sz w:val="24"/>
          <w:szCs w:val="24"/>
          <w:color w:val="auto"/>
        </w:rPr>
      </w:pPr>
    </w:p>
    <w:p>
      <w:pPr>
        <w:ind w:left="120" w:right="60"/>
        <w:spacing w:after="0" w:line="231" w:lineRule="auto"/>
        <w:rPr>
          <w:sz w:val="20"/>
          <w:szCs w:val="20"/>
          <w:color w:val="auto"/>
        </w:rPr>
      </w:pPr>
      <w:r>
        <w:rPr>
          <w:rFonts w:ascii="Times New Roman" w:cs="Times New Roman" w:eastAsia="Times New Roman" w:hAnsi="Times New Roman"/>
          <w:sz w:val="14"/>
          <w:szCs w:val="14"/>
          <w:color w:val="auto"/>
        </w:rPr>
        <w:t>In a concurrent registered direct offering (the “Concurrent Offering”), we are selling to certain other institutional investors 30,000,000 shares of our Class A Common Stock, Class 1 Warrants to purchase 23,068,051 shares of our Class A Common Stock, Class 2 Warrants to purchase 23,068,051 shares of our Class A Common Stock, and, in lieu of Class A Common Stock, Pre-Funded Warrants to purchase 16,136,102 shares of our Class A Common Stock (the “Pre-Funded Warrants”), at a purchase price of $0.8670 per share of Class A Common Stock and accompanying warrants, the same purchase price as ICE in this offering, and $0.8669 per Pre-Funded Warrant and accompanying warrants, for an aggregate purchase price of approximately $40 million. The securities being issued in the Concurrent Offering to certain other institutional investors are being offered pursuant to the registration statement of which this prospectus supplement forms a part, but are not being offered pursuant to this prospectus supplement and the accompanying base prospectus.</w:t>
      </w:r>
    </w:p>
    <w:p>
      <w:pPr>
        <w:spacing w:after="0" w:line="69" w:lineRule="exact"/>
        <w:rPr>
          <w:sz w:val="24"/>
          <w:szCs w:val="24"/>
          <w:color w:val="auto"/>
        </w:rPr>
      </w:pPr>
    </w:p>
    <w:p>
      <w:pPr>
        <w:jc w:val="both"/>
        <w:ind w:left="120" w:right="60"/>
        <w:spacing w:after="0" w:line="241" w:lineRule="auto"/>
        <w:rPr>
          <w:sz w:val="20"/>
          <w:szCs w:val="20"/>
          <w:color w:val="auto"/>
        </w:rPr>
      </w:pPr>
      <w:r>
        <w:rPr>
          <w:rFonts w:ascii="Times New Roman" w:cs="Times New Roman" w:eastAsia="Times New Roman" w:hAnsi="Times New Roman"/>
          <w:sz w:val="14"/>
          <w:szCs w:val="14"/>
          <w:color w:val="auto"/>
        </w:rPr>
        <w:t>Our Class A Common Stock is listed on NYSE under the symbol “BKKT”. On February 28, 2024, the last reported sale price of our Class A Common Stock on NYSE was $1.0200 per share. There is no established public trading market for the Warrants and we do not expect a market to develop for either security. Without an active trading market, the liquidity of the Warrants will be limited. In addition, we do not intend to list the Warrants on NYSE, any other national securities exchange, or any other trading system.</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We will deliver all securities to be issued in connection with this offering upon receipt of purchaser funds received by us.</w:t>
      </w:r>
    </w:p>
    <w:p>
      <w:pPr>
        <w:spacing w:after="0" w:line="94" w:lineRule="exact"/>
        <w:rPr>
          <w:sz w:val="24"/>
          <w:szCs w:val="24"/>
          <w:color w:val="auto"/>
        </w:rPr>
      </w:pPr>
    </w:p>
    <w:p>
      <w:pPr>
        <w:ind w:left="120" w:right="140"/>
        <w:spacing w:after="0" w:line="243" w:lineRule="auto"/>
        <w:rPr>
          <w:sz w:val="20"/>
          <w:szCs w:val="20"/>
          <w:color w:val="auto"/>
        </w:rPr>
      </w:pPr>
      <w:r>
        <w:rPr>
          <w:rFonts w:ascii="Times New Roman" w:cs="Times New Roman" w:eastAsia="Times New Roman" w:hAnsi="Times New Roman"/>
          <w:sz w:val="14"/>
          <w:szCs w:val="14"/>
          <w:i w:val="1"/>
          <w:iCs w:val="1"/>
          <w:color w:val="auto"/>
        </w:rPr>
        <w:t>Investing in these securities involves risks. Please carefully read the information under the headings “</w:t>
      </w:r>
      <w:r>
        <w:rPr>
          <w:rFonts w:ascii="Times New Roman" w:cs="Times New Roman" w:eastAsia="Times New Roman" w:hAnsi="Times New Roman"/>
          <w:sz w:val="14"/>
          <w:szCs w:val="14"/>
          <w:i w:val="1"/>
          <w:iCs w:val="1"/>
          <w:u w:val="single" w:color="auto"/>
          <w:color w:val="0000EE"/>
        </w:rPr>
        <w:t>Risk Factors</w:t>
      </w:r>
      <w:r>
        <w:rPr>
          <w:rFonts w:ascii="Times New Roman" w:cs="Times New Roman" w:eastAsia="Times New Roman" w:hAnsi="Times New Roman"/>
          <w:sz w:val="14"/>
          <w:szCs w:val="14"/>
          <w:i w:val="1"/>
          <w:iCs w:val="1"/>
          <w:color w:val="auto"/>
        </w:rPr>
        <w:t>” beginning on page S-7 of this prospectus supplement, page 7 of the accompanying base prospectus and in the documents incorporated by reference in this prospectus supplement for a discussion of the factors you should carefully consider before deciding to purchase our securities.</w:t>
      </w:r>
    </w:p>
    <w:p>
      <w:pPr>
        <w:spacing w:after="0" w:line="65" w:lineRule="exact"/>
        <w:rPr>
          <w:sz w:val="24"/>
          <w:szCs w:val="24"/>
          <w:color w:val="auto"/>
        </w:rPr>
      </w:pPr>
    </w:p>
    <w:p>
      <w:pPr>
        <w:ind w:left="120" w:right="140"/>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53" w:lineRule="exact"/>
        <w:rPr>
          <w:sz w:val="24"/>
          <w:szCs w:val="24"/>
          <w:color w:val="auto"/>
        </w:rPr>
      </w:pPr>
    </w:p>
    <w:p>
      <w:pPr>
        <w:ind w:left="120" w:right="20"/>
        <w:spacing w:after="0" w:line="233" w:lineRule="auto"/>
        <w:rPr>
          <w:sz w:val="20"/>
          <w:szCs w:val="20"/>
          <w:color w:val="auto"/>
        </w:rPr>
      </w:pPr>
      <w:r>
        <w:rPr>
          <w:rFonts w:ascii="Times New Roman" w:cs="Times New Roman" w:eastAsia="Times New Roman" w:hAnsi="Times New Roman"/>
          <w:sz w:val="14"/>
          <w:szCs w:val="14"/>
          <w:color w:val="auto"/>
        </w:rPr>
        <w:t>We are offering shares of our Class A Common Stock and accompanying Warrants at a price of $0.8670 per share of Class A Common Stock and accompanying Warrant. We expect to receive gross proceeds of up to approximately $10 million, which does not take into account the sale of our securities to the other purchasers in the Concurrent Offering, nor the exercise of any Warrants issued pursuant to this offering or the Concurrent Offering, approximately $2.4 million of which will be received at the Initial Closing and up to approximately $7.6 million of which may be received two Trading Days (as defined in the Purchase Agreement) following the satisfaction of the closing conditions set forth in the Purchase Agreement, including obtaining Stockholder Approval (as defined in the Purchase Agreement).</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We anticipate that delivery of the Class A Common Stock and the Warrants against payment at the Initial Closing will be made on or about March 4, 2024.</w:t>
      </w:r>
    </w:p>
    <w:p>
      <w:pPr>
        <w:spacing w:after="0" w:line="9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February 29, 2024.</w:t>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760" w:type="dxa"/>
            <w:vAlign w:val="bottom"/>
            <w:gridSpan w:val="2"/>
          </w:tcPr>
          <w:p>
            <w:pPr>
              <w:jc w:val="center"/>
              <w:ind w:right="327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0" w:type="dxa"/>
            <w:vAlign w:val="bottom"/>
          </w:tcPr>
          <w:p>
            <w:pPr>
              <w:jc w:val="center"/>
              <w:ind w:right="403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4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3"/>
            <w:vMerge w:val="restart"/>
          </w:tcPr>
          <w:p>
            <w:pPr>
              <w:spacing w:after="0"/>
              <w:rPr>
                <w:sz w:val="24"/>
                <w:szCs w:val="24"/>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3440" w:type="dxa"/>
            <w:vAlign w:val="bottom"/>
            <w:tcBorders>
              <w:bottom w:val="single" w:sz="8" w:color="0000EE"/>
            </w:tcBorders>
            <w:gridSpan w:val="15"/>
            <w:vMerge w:val="continue"/>
          </w:tcPr>
          <w:p>
            <w:pPr>
              <w:spacing w:after="0"/>
              <w:rPr>
                <w:sz w:val="14"/>
                <w:szCs w:val="14"/>
                <w:color w:val="auto"/>
              </w:rPr>
            </w:pPr>
          </w:p>
        </w:tc>
        <w:tc>
          <w:tcPr>
            <w:tcW w:w="7120" w:type="dxa"/>
            <w:vAlign w:val="bottom"/>
            <w:gridSpan w:val="3"/>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11"/>
          </w:tcPr>
          <w:p>
            <w:pPr>
              <w:spacing w:after="0"/>
              <w:rPr>
                <w:sz w:val="17"/>
                <w:szCs w:val="17"/>
                <w:color w:val="auto"/>
              </w:rPr>
            </w:pPr>
          </w:p>
        </w:tc>
        <w:tc>
          <w:tcPr>
            <w:tcW w:w="728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64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SECURITIES WE ARE OFFERING</w:t>
            </w:r>
          </w:p>
        </w:tc>
        <w:tc>
          <w:tcPr>
            <w:tcW w:w="600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8520" w:type="dxa"/>
            <w:vAlign w:val="bottom"/>
            <w:gridSpan w:val="1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196"/>
        </w:trPr>
        <w:tc>
          <w:tcPr>
            <w:tcW w:w="38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676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453"/>
        </w:trPr>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0" w:type="dxa"/>
            <w:vAlign w:val="bottom"/>
          </w:tcPr>
          <w:p>
            <w:pPr>
              <w:jc w:val="center"/>
              <w:ind w:right="403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56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0560" w:type="dxa"/>
            <w:vAlign w:val="bottom"/>
            <w:gridSpan w:val="18"/>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8340" w:type="dxa"/>
            <w:vAlign w:val="bottom"/>
            <w:gridSpan w:val="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480" w:type="dxa"/>
            <w:vAlign w:val="bottom"/>
            <w:gridSpan w:val="1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54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1340" w:type="dxa"/>
            <w:vAlign w:val="bottom"/>
            <w:tcBorders>
              <w:top w:val="single" w:sz="8" w:color="0000EE"/>
            </w:tcBorders>
            <w:gridSpan w:val="7"/>
          </w:tcPr>
          <w:p>
            <w:pPr>
              <w:spacing w:after="0"/>
              <w:rPr>
                <w:sz w:val="17"/>
                <w:szCs w:val="17"/>
                <w:color w:val="auto"/>
              </w:rPr>
            </w:pPr>
          </w:p>
        </w:tc>
        <w:tc>
          <w:tcPr>
            <w:tcW w:w="7640" w:type="dxa"/>
            <w:vAlign w:val="bottom"/>
            <w:gridSpan w:val="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20" w:type="dxa"/>
            <w:vAlign w:val="bottom"/>
            <w:gridSpan w:val="6"/>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54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40" w:type="dxa"/>
            <w:vAlign w:val="bottom"/>
            <w:gridSpan w:val="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080" w:type="dxa"/>
            <w:vAlign w:val="bottom"/>
            <w:gridSpan w:val="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8540" w:type="dxa"/>
            <w:vAlign w:val="bottom"/>
            <w:gridSpan w:val="1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8520" w:type="dxa"/>
            <w:vAlign w:val="bottom"/>
            <w:gridSpan w:val="1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7700" w:type="dxa"/>
            <w:vAlign w:val="bottom"/>
            <w:gridSpan w:val="7"/>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940" w:type="dxa"/>
            <w:vAlign w:val="bottom"/>
            <w:tcBorders>
              <w:top w:val="single" w:sz="8" w:color="0000EE"/>
            </w:tcBorders>
            <w:gridSpan w:val="5"/>
          </w:tcPr>
          <w:p>
            <w:pPr>
              <w:spacing w:after="0"/>
              <w:rPr>
                <w:sz w:val="17"/>
                <w:szCs w:val="17"/>
                <w:color w:val="auto"/>
              </w:rPr>
            </w:pPr>
          </w:p>
        </w:tc>
        <w:tc>
          <w:tcPr>
            <w:tcW w:w="676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relate to the offering of our Class A Common Stock and Warrants. Before buying any of the securities that we are offering, you should carefully read this prospectus supplement, the accompanying base prospectus, the information and documents incorporated herein by reference, and the additional information under the heading “Where You Can Find More Information” and “Incorporation by Reference.” These documents contain important information that you should consider when making your investment decision.</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this offering of Class A Common Stock and Warrants and also adds, updates and changes information contained in the accompanying base prospectus and the documents incorporated herein by reference. The second part is the accompanying base prospectus, which provides more general information about our Class A Common Stock Warrants, and other securities that do not pertain to this offering. This prospectus supplement and the accompanying based prospectus, together, are sometimes referred to in this prospectus supplement as this “prospectus.” If information in this prospectus supplement is inconsistent with the accompanying base prospectus, you should rely on this prospectus supplement. To the extent there is a conflict between the information contained in this prospectus supplement, on the one hand, and the information contained in any document incorporated by reference in this prospectus supplement, on the other hand, you should rely on the information in this prospectus supplement. If any statement in one of these documents is inconsistent with a statement in another document having a later date, the statement in the document having the later date modifies or supersedes the earlier statement.</w:t>
      </w:r>
    </w:p>
    <w:p>
      <w:pPr>
        <w:spacing w:after="0" w:line="188"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not authorized anyone to provide information different from that contained in this prospectus supplement and the accompanying base prospectus. When you make a decision about whether to invest in our securities, you should not rely upon any information other than the information in this prospectus supplement or the accompanying base prospectus. Neither the delivery of this prospectus supplement or the accompanying base prospectus, nor the sale of our Class A Common Stock and Warrants, means that information contained in this prospectus supplement and the accompanying base prospectus is correct after their respective dates.</w:t>
      </w:r>
    </w:p>
    <w:p>
      <w:pPr>
        <w:spacing w:after="0" w:line="183"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our Class A Common Stock and Warrants only in jurisdictions where offers and sales are permitted.</w:t>
      </w:r>
    </w:p>
    <w:p>
      <w:pPr>
        <w:spacing w:after="0" w:line="200" w:lineRule="exact"/>
        <w:rPr>
          <w:sz w:val="20"/>
          <w:szCs w:val="20"/>
          <w:color w:val="auto"/>
        </w:rPr>
      </w:pPr>
    </w:p>
    <w:p>
      <w:pPr>
        <w:spacing w:after="0" w:line="25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40"/>
          </w:cols>
          <w:pgMar w:left="320" w:top="455" w:right="5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562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8970" cy="65620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87" w:lineRule="exact"/>
        <w:rPr>
          <w:sz w:val="20"/>
          <w:szCs w:val="20"/>
          <w:color w:val="auto"/>
        </w:rPr>
      </w:pPr>
    </w:p>
    <w:p>
      <w:pPr>
        <w:ind w:left="300" w:right="140"/>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or incorporated by reference, in this prospectus supplement and the accompanying base prospectus. It does not contain all of the information that may be important to you and your investment decision. Before investing in our securities, you should carefully read this entire prospectus supplement and the accompanying base prospectus, including the matters set forth under the section of this prospectus captioned “Risk Factors” and the financial statements and related notes and other information that we incorporate by reference herein, including our most recent Annual Report on Form 10-K and our Quarterly Reports on Form 10-Q filed subsequently to such Form 10-K. Unless the context indicates otherwise, references in this prospectus supplement to “Bakkt Holdings, Inc.,” “Bakkt,” the “Company,” “we,” “our” and “us” refer, collectively, to Bakkt Holdings, Inc., a Delaware corporation, and its consolidated subsidiaries taken as a whole.</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60"/>
        <w:spacing w:after="0" w:line="256" w:lineRule="auto"/>
        <w:rPr>
          <w:sz w:val="20"/>
          <w:szCs w:val="20"/>
          <w:color w:val="auto"/>
        </w:rPr>
      </w:pPr>
      <w:r>
        <w:rPr>
          <w:rFonts w:ascii="Times New Roman" w:cs="Times New Roman" w:eastAsia="Times New Roman" w:hAnsi="Times New Roman"/>
          <w:sz w:val="18"/>
          <w:szCs w:val="18"/>
          <w:color w:val="auto"/>
        </w:rPr>
        <w:t>Founded in 2018, Bakkt operates technology that connects the digital economy by offering a platform for crypto and redeeming loyalty points. We enable our clients to deliver new opportunities to their customers through an interactive web experience or application programming interface (“API”) solutions that unlock crypto and drive loyalty. The global market for crypto, while nascent, is rapidly evolving and expanding. We believe we are well-positioned to provide secure, licensed product solutions and grow with this evolving market. We believe our platform is well positioned to power commerce by enabling consumers, brands, and financial institutions to better manage, transact with and monetize crypto in exciting new ways.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provide, or are working to provide, simplified solutions focused in the following areas: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Crypto</w:t>
      </w:r>
    </w:p>
    <w:p>
      <w:pPr>
        <w:spacing w:after="0" w:line="133" w:lineRule="exact"/>
        <w:rPr>
          <w:sz w:val="20"/>
          <w:szCs w:val="20"/>
          <w:color w:val="auto"/>
        </w:rPr>
      </w:pPr>
    </w:p>
    <w:p>
      <w:pPr>
        <w:ind w:left="1240" w:right="220" w:hanging="415"/>
        <w:spacing w:after="0" w:line="284"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Custody</w:t>
      </w:r>
      <w:r>
        <w:rPr>
          <w:rFonts w:ascii="Times New Roman" w:cs="Times New Roman" w:eastAsia="Times New Roman" w:hAnsi="Times New Roman"/>
          <w:sz w:val="18"/>
          <w:szCs w:val="18"/>
          <w:color w:val="auto"/>
        </w:rPr>
        <w:t>. Our institutional-grade qualified custody solution caters to more experienced market participants, offering a highly secure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compliance-focused infrastructure. It also supports our consumer crypto infrastructure.</w:t>
      </w:r>
    </w:p>
    <w:p>
      <w:pPr>
        <w:spacing w:after="0" w:line="63" w:lineRule="exact"/>
        <w:rPr>
          <w:rFonts w:ascii="Times New Roman" w:cs="Times New Roman" w:eastAsia="Times New Roman" w:hAnsi="Times New Roman"/>
          <w:sz w:val="18"/>
          <w:szCs w:val="18"/>
          <w:color w:val="auto"/>
        </w:rPr>
      </w:pPr>
    </w:p>
    <w:p>
      <w:pPr>
        <w:ind w:left="1240" w:hanging="415"/>
        <w:spacing w:after="0" w:line="284"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Crypto Trading</w:t>
      </w:r>
      <w:r>
        <w:rPr>
          <w:rFonts w:ascii="Times New Roman" w:cs="Times New Roman" w:eastAsia="Times New Roman" w:hAnsi="Times New Roman"/>
          <w:sz w:val="18"/>
          <w:szCs w:val="18"/>
          <w:color w:val="auto"/>
        </w:rPr>
        <w:t>. Our platform provides consumers, businesses and institutions with the ability to buy, sell and store crypto in a simple,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intuitive digital experience accessed via APIs or embedded web experience.</w:t>
      </w:r>
    </w:p>
    <w:p>
      <w:pPr>
        <w:spacing w:after="0" w:line="63" w:lineRule="exact"/>
        <w:rPr>
          <w:rFonts w:ascii="Times New Roman" w:cs="Times New Roman" w:eastAsia="Times New Roman" w:hAnsi="Times New Roman"/>
          <w:sz w:val="18"/>
          <w:szCs w:val="18"/>
          <w:color w:val="auto"/>
        </w:rPr>
      </w:pPr>
    </w:p>
    <w:p>
      <w:pPr>
        <w:ind w:left="1240" w:right="280" w:hanging="415"/>
        <w:spacing w:after="0" w:line="284"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Crypto Rewards</w:t>
      </w:r>
      <w:r>
        <w:rPr>
          <w:rFonts w:ascii="Times New Roman" w:cs="Times New Roman" w:eastAsia="Times New Roman" w:hAnsi="Times New Roman"/>
          <w:sz w:val="18"/>
          <w:szCs w:val="18"/>
          <w:color w:val="auto"/>
        </w:rPr>
        <w:t>. We are in the process of enabling clients of all sizes to offer loyalty and rewards to their customers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crypto – either by earning crypto rewards, or by redeeming existing reward currencies, such as points or miles, into crypto.</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Loyalty</w:t>
      </w:r>
    </w:p>
    <w:p>
      <w:pPr>
        <w:spacing w:after="0" w:line="135" w:lineRule="exact"/>
        <w:rPr>
          <w:sz w:val="20"/>
          <w:szCs w:val="20"/>
          <w:color w:val="auto"/>
        </w:rPr>
      </w:pPr>
    </w:p>
    <w:p>
      <w:pPr>
        <w:ind w:left="1240" w:right="4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full spectrum of content that clients can make available to their customers when redeeming loyalty currencies, thus driving consumer loyalty and engagement. Our redemption solutions span a variety of rewards categories including merchandise (such as Apple products and services), gift cards and digital experiences.</w:t>
      </w:r>
    </w:p>
    <w:p>
      <w:pPr>
        <w:spacing w:after="0" w:line="176" w:lineRule="exact"/>
        <w:rPr>
          <w:sz w:val="20"/>
          <w:szCs w:val="20"/>
          <w:color w:val="auto"/>
        </w:rPr>
      </w:pPr>
    </w:p>
    <w:p>
      <w:pPr>
        <w:ind w:left="300" w:right="20"/>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our business and the risks related thereto, including with respect to our ability to continue as a going concern, are described in under “Prospectus Summary” of the accompanying base prospectus and the documents we incorporate by reference into this prospectus supplement.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40"/>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10000 Avalon Boulevard, Suite 1000, Alpharetta, Georgia 30009. Our telephone number is (678) 534-5849. Our website is </w:t>
      </w:r>
      <w:r>
        <w:rPr>
          <w:rFonts w:ascii="Times New Roman" w:cs="Times New Roman" w:eastAsia="Times New Roman" w:hAnsi="Times New Roman"/>
          <w:sz w:val="18"/>
          <w:szCs w:val="18"/>
          <w:i w:val="1"/>
          <w:iCs w:val="1"/>
          <w:color w:val="auto"/>
        </w:rPr>
        <w:t>https://www.bakkt.com</w:t>
      </w:r>
      <w:r>
        <w:rPr>
          <w:rFonts w:ascii="Times New Roman" w:cs="Times New Roman" w:eastAsia="Times New Roman" w:hAnsi="Times New Roman"/>
          <w:sz w:val="18"/>
          <w:szCs w:val="18"/>
          <w:color w:val="auto"/>
        </w:rPr>
        <w:t>. Information contained on, or that can be accessed through, our website is not a part of, and is not incorporated into, this prospectus supplement, and the inclusion of our website address in this prospectus supplement is an inactive textual reference only.</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00"/>
          </w:cols>
          <w:pgMar w:left="320" w:top="455" w:right="6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6616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566166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Class A Common Stock Offered by Us:</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1 Warrants Offered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11,534,025 shares of Class A Common Stock</w:t>
      </w:r>
    </w:p>
    <w:p>
      <w:pPr>
        <w:spacing w:after="0" w:line="266"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The purchaser of our Class A Common Stock will also receive Class 1 Warrants to purchase 50% of the number of shares of our Class A Common Stock, rounded down to the nearest whole share, or Class 1 Warrants to purchase up to 5,767,012 shares of Class A Common Stock. We will receive gross proceeds from the Class 1 Warrants solely to the extent such Class 1 Warrants are exercised for cash. The Class 1 Warrants will be exercisable on the six (6) month anniversary of the date of issuance for a period of five and half (5.5) years at an exercise price of $1.0200 per share of Class A Common Stock. This prospectus supplement also relates to the Class A Common Stock issuable upon exercise of the Class 1 Warrants.</w:t>
      </w:r>
    </w:p>
    <w:p>
      <w:pPr>
        <w:spacing w:after="0" w:line="200" w:lineRule="exact"/>
        <w:rPr>
          <w:sz w:val="20"/>
          <w:szCs w:val="20"/>
          <w:color w:val="auto"/>
        </w:rPr>
      </w:pPr>
    </w:p>
    <w:p>
      <w:pPr>
        <w:sectPr>
          <w:pgSz w:w="11900" w:h="16838" w:orient="portrait"/>
          <w:cols w:equalWidth="0" w:num="2">
            <w:col w:w="3620" w:space="720"/>
            <w:col w:w="6800"/>
          </w:cols>
          <w:pgMar w:left="320" w:top="455" w:right="439" w:bottom="1440" w:gutter="0" w:footer="0" w:header="0"/>
          <w:type w:val="continuous"/>
        </w:sectPr>
      </w:pPr>
    </w:p>
    <w:p>
      <w:pPr>
        <w:spacing w:after="0" w:line="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Class 2 Warrants Offered by Us:</w:t>
      </w:r>
    </w:p>
    <w:p>
      <w:pPr>
        <w:spacing w:after="0" w:line="20" w:lineRule="exact"/>
        <w:rPr>
          <w:sz w:val="20"/>
          <w:szCs w:val="20"/>
          <w:color w:val="auto"/>
        </w:rPr>
      </w:pPr>
      <w:r>
        <w:rPr>
          <w:sz w:val="20"/>
          <w:szCs w:val="20"/>
          <w:color w:val="auto"/>
        </w:rPr>
        <w:br w:type="column"/>
      </w:r>
    </w:p>
    <w:p>
      <w:pPr>
        <w:ind w:right="220"/>
        <w:spacing w:after="0" w:line="253" w:lineRule="auto"/>
        <w:rPr>
          <w:sz w:val="20"/>
          <w:szCs w:val="20"/>
          <w:color w:val="auto"/>
        </w:rPr>
      </w:pPr>
      <w:r>
        <w:rPr>
          <w:rFonts w:ascii="Times New Roman" w:cs="Times New Roman" w:eastAsia="Times New Roman" w:hAnsi="Times New Roman"/>
          <w:sz w:val="18"/>
          <w:szCs w:val="18"/>
          <w:color w:val="auto"/>
        </w:rPr>
        <w:t>The purchaser of our Class A Common Stock will also receive Class 2 Warrants to purchase 50% of the number of shares of our Class A Common Stock, rounded down to the nearest whole share, or Class 2 Warrants to purchase up to 5,767,012 shares of Class A Common Stock. We will receive gross proceeds from the Class 2 Warrants solely to the extent such Class 2 Warrants are exercised for cash. The Class 2 Warrants will be exercisable on the six (6) month anniversary of the date of issuance for a period of five and half (5.5) years at an exercise price of $1.0200 per share of Class A Common Stock, other than exercises for the alternative cashless exercise (as described in the Class 2 Warrants), which will become available only after the Company obtains the necessary stockholder approvals. This prospectus supplement also relates to the Class A Common Stock issuable upon exercise of the Class 2 Warrants.</w:t>
      </w:r>
    </w:p>
    <w:p>
      <w:pPr>
        <w:spacing w:after="0" w:line="174" w:lineRule="exact"/>
        <w:rPr>
          <w:sz w:val="20"/>
          <w:szCs w:val="20"/>
          <w:color w:val="auto"/>
        </w:rPr>
      </w:pPr>
    </w:p>
    <w:p>
      <w:pPr>
        <w:sectPr>
          <w:pgSz w:w="11900" w:h="16838" w:orient="portrait"/>
          <w:cols w:equalWidth="0" w:num="2">
            <w:col w:w="3620" w:space="720"/>
            <w:col w:w="680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Class A Common Stock to be Outstanding</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153,987,617 shares of Class A Common Stock (assuming the exercise in full of the</w:t>
            </w:r>
          </w:p>
        </w:tc>
      </w:tr>
      <w:tr>
        <w:trPr>
          <w:trHeight w:val="220"/>
        </w:trPr>
        <w:tc>
          <w:tcPr>
            <w:tcW w:w="3820" w:type="dxa"/>
            <w:vAlign w:val="bottom"/>
          </w:tcPr>
          <w:p>
            <w:pPr>
              <w:ind w:left="260"/>
              <w:spacing w:after="0" w:line="220" w:lineRule="exact"/>
              <w:rPr>
                <w:sz w:val="20"/>
                <w:szCs w:val="20"/>
                <w:color w:val="auto"/>
              </w:rPr>
            </w:pPr>
            <w:r>
              <w:rPr>
                <w:rFonts w:ascii="Times New Roman" w:cs="Times New Roman" w:eastAsia="Times New Roman" w:hAnsi="Times New Roman"/>
                <w:sz w:val="17"/>
                <w:szCs w:val="17"/>
                <w:b w:val="1"/>
                <w:bCs w:val="1"/>
                <w:color w:val="auto"/>
              </w:rPr>
              <w:t>Immediately After This Offering</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b w:val="1"/>
                <w:bCs w:val="1"/>
                <w:color w:val="auto"/>
              </w:rPr>
              <w:t>:</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Pre-Funded Warrants issued in the Concurrent Offering and the issuance of 30,000,000</w:t>
            </w:r>
          </w:p>
        </w:tc>
      </w:tr>
      <w:tr>
        <w:trPr>
          <w:trHeight w:val="216"/>
        </w:trPr>
        <w:tc>
          <w:tcPr>
            <w:tcW w:w="3820" w:type="dxa"/>
            <w:vAlign w:val="bottom"/>
          </w:tcPr>
          <w:p>
            <w:pPr>
              <w:spacing w:after="0"/>
              <w:rPr>
                <w:sz w:val="18"/>
                <w:szCs w:val="18"/>
                <w:color w:val="auto"/>
              </w:rPr>
            </w:pP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shares of Class A Common Stock in the Concurrent Offering, but not exercise of the</w:t>
            </w:r>
          </w:p>
        </w:tc>
      </w:tr>
      <w:tr>
        <w:trPr>
          <w:trHeight w:val="234"/>
        </w:trPr>
        <w:tc>
          <w:tcPr>
            <w:tcW w:w="3820" w:type="dxa"/>
            <w:vAlign w:val="bottom"/>
          </w:tcPr>
          <w:p>
            <w:pPr>
              <w:spacing w:after="0"/>
              <w:rPr>
                <w:sz w:val="20"/>
                <w:szCs w:val="20"/>
                <w:color w:val="auto"/>
              </w:rPr>
            </w:pP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Warrants offered hereby or in the Concurrent Offering).</w:t>
            </w:r>
          </w:p>
        </w:tc>
      </w:tr>
      <w:tr>
        <w:trPr>
          <w:trHeight w:val="441"/>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Concurrent Offering:</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 the Concurrent Offering, we are selling to other institutional investors 30,000,000 shares</w:t>
            </w:r>
          </w:p>
        </w:tc>
      </w:tr>
      <w:tr>
        <w:trPr>
          <w:trHeight w:val="216"/>
        </w:trPr>
        <w:tc>
          <w:tcPr>
            <w:tcW w:w="3820" w:type="dxa"/>
            <w:vAlign w:val="bottom"/>
          </w:tcPr>
          <w:p>
            <w:pPr>
              <w:spacing w:after="0"/>
              <w:rPr>
                <w:sz w:val="18"/>
                <w:szCs w:val="18"/>
                <w:color w:val="auto"/>
              </w:rPr>
            </w:pP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 our Class A Common Stock, Class 1 Warrants to purchase 23,086,051 shares of our</w:t>
            </w:r>
          </w:p>
        </w:tc>
      </w:tr>
      <w:tr>
        <w:trPr>
          <w:trHeight w:val="216"/>
        </w:trPr>
        <w:tc>
          <w:tcPr>
            <w:tcW w:w="3820" w:type="dxa"/>
            <w:vAlign w:val="bottom"/>
          </w:tcPr>
          <w:p>
            <w:pPr>
              <w:spacing w:after="0"/>
              <w:rPr>
                <w:sz w:val="18"/>
                <w:szCs w:val="18"/>
                <w:color w:val="auto"/>
              </w:rPr>
            </w:pP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Class A Common Stock, Class 2 Warrants to purchase 23,086,051 shares of our Class A</w:t>
            </w:r>
          </w:p>
        </w:tc>
      </w:tr>
      <w:tr>
        <w:trPr>
          <w:trHeight w:val="216"/>
        </w:trPr>
        <w:tc>
          <w:tcPr>
            <w:tcW w:w="3820" w:type="dxa"/>
            <w:vAlign w:val="bottom"/>
          </w:tcPr>
          <w:p>
            <w:pPr>
              <w:spacing w:after="0"/>
              <w:rPr>
                <w:sz w:val="18"/>
                <w:szCs w:val="18"/>
                <w:color w:val="auto"/>
              </w:rPr>
            </w:pP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Common Stock, and, in lieu of Class A Common Stock, Pre-Funded Warrants to purchase</w:t>
            </w:r>
          </w:p>
        </w:tc>
      </w:tr>
      <w:tr>
        <w:trPr>
          <w:trHeight w:val="216"/>
        </w:trPr>
        <w:tc>
          <w:tcPr>
            <w:tcW w:w="3820" w:type="dxa"/>
            <w:vAlign w:val="bottom"/>
          </w:tcPr>
          <w:p>
            <w:pPr>
              <w:spacing w:after="0"/>
              <w:rPr>
                <w:sz w:val="18"/>
                <w:szCs w:val="18"/>
                <w:color w:val="auto"/>
              </w:rPr>
            </w:pP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16,136,102 shares of our Class A Common Stock, at a purchase price of $0.8670 per share</w:t>
            </w:r>
          </w:p>
        </w:tc>
      </w:tr>
      <w:tr>
        <w:trPr>
          <w:trHeight w:val="216"/>
        </w:trPr>
        <w:tc>
          <w:tcPr>
            <w:tcW w:w="3820" w:type="dxa"/>
            <w:vAlign w:val="bottom"/>
          </w:tcPr>
          <w:p>
            <w:pPr>
              <w:spacing w:after="0"/>
              <w:rPr>
                <w:sz w:val="18"/>
                <w:szCs w:val="18"/>
                <w:color w:val="auto"/>
              </w:rPr>
            </w:pP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 Class A Common Stock and accompanying warrants, the same purchase price as the</w:t>
            </w:r>
          </w:p>
        </w:tc>
      </w:tr>
      <w:tr>
        <w:trPr>
          <w:trHeight w:val="216"/>
        </w:trPr>
        <w:tc>
          <w:tcPr>
            <w:tcW w:w="3820" w:type="dxa"/>
            <w:vAlign w:val="bottom"/>
          </w:tcPr>
          <w:p>
            <w:pPr>
              <w:spacing w:after="0"/>
              <w:rPr>
                <w:sz w:val="18"/>
                <w:szCs w:val="18"/>
                <w:color w:val="auto"/>
              </w:rPr>
            </w:pP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purchaser in this offering, and $0.8669 per share of Class A Common Stock underlying</w:t>
            </w:r>
          </w:p>
        </w:tc>
      </w:tr>
      <w:tr>
        <w:trPr>
          <w:trHeight w:val="234"/>
        </w:trPr>
        <w:tc>
          <w:tcPr>
            <w:tcW w:w="3820" w:type="dxa"/>
            <w:vAlign w:val="bottom"/>
          </w:tcPr>
          <w:p>
            <w:pPr>
              <w:spacing w:after="0"/>
              <w:rPr>
                <w:sz w:val="20"/>
                <w:szCs w:val="20"/>
                <w:color w:val="auto"/>
              </w:rPr>
            </w:pP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Pre-Funded Warrants and accompanying warrants,</w:t>
            </w:r>
          </w:p>
        </w:tc>
      </w:tr>
      <w:tr>
        <w:trPr>
          <w:trHeight w:val="172"/>
        </w:trPr>
        <w:tc>
          <w:tcPr>
            <w:tcW w:w="3820" w:type="dxa"/>
            <w:vAlign w:val="bottom"/>
            <w:tcBorders>
              <w:bottom w:val="single" w:sz="8" w:color="auto"/>
            </w:tcBorders>
          </w:tcPr>
          <w:p>
            <w:pPr>
              <w:spacing w:after="0"/>
              <w:rPr>
                <w:sz w:val="14"/>
                <w:szCs w:val="14"/>
                <w:color w:val="auto"/>
              </w:rPr>
            </w:pPr>
          </w:p>
        </w:tc>
        <w:tc>
          <w:tcPr>
            <w:tcW w:w="7200" w:type="dxa"/>
            <w:vAlign w:val="bottom"/>
            <w:tcBorders>
              <w:bottom w:val="single" w:sz="8" w:color="auto"/>
            </w:tcBorders>
          </w:tcPr>
          <w:p>
            <w:pPr>
              <w:spacing w:after="0"/>
              <w:rPr>
                <w:sz w:val="14"/>
                <w:szCs w:val="14"/>
                <w:color w:val="auto"/>
              </w:rPr>
            </w:pPr>
          </w:p>
        </w:tc>
      </w:tr>
      <w:tr>
        <w:trPr>
          <w:trHeight w:val="361"/>
        </w:trPr>
        <w:tc>
          <w:tcPr>
            <w:tcW w:w="3820" w:type="dxa"/>
            <w:vAlign w:val="bottom"/>
          </w:tcPr>
          <w:p>
            <w:pPr>
              <w:spacing w:after="0"/>
              <w:rPr>
                <w:sz w:val="24"/>
                <w:szCs w:val="24"/>
                <w:color w:val="auto"/>
              </w:rPr>
            </w:pPr>
          </w:p>
        </w:tc>
        <w:tc>
          <w:tcPr>
            <w:tcW w:w="72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S-2</w:t>
            </w:r>
          </w:p>
        </w:tc>
      </w:tr>
    </w:tbl>
    <w:p>
      <w:pPr>
        <w:sectPr>
          <w:pgSz w:w="11900" w:h="16838" w:orient="portrait"/>
          <w:cols w:equalWidth="0" w:num="1">
            <w:col w:w="11140"/>
          </w:cols>
          <w:pgMar w:left="320" w:top="455" w:right="4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2762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2762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for an aggregate purchase price of approximately $40 million. The securities being issued</w:t>
      </w:r>
    </w:p>
    <w:p>
      <w:pPr>
        <w:spacing w:after="0" w:line="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in the Concurrent Offering to other institutional investors are being offered pursuant to the</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registration statement of which this prospectus supplement forms a part, but are not being</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offered pursuant to this prospectus supplement and the accompanying base prospectus.</w:t>
      </w:r>
    </w:p>
    <w:p>
      <w:pPr>
        <w:spacing w:after="0" w:line="243"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Closings:</w:t>
      </w:r>
      <w:r>
        <w:rPr>
          <w:sz w:val="20"/>
          <w:szCs w:val="20"/>
          <w:color w:val="auto"/>
        </w:rPr>
        <w:tab/>
      </w:r>
      <w:r>
        <w:rPr>
          <w:rFonts w:ascii="Times New Roman" w:cs="Times New Roman" w:eastAsia="Times New Roman" w:hAnsi="Times New Roman"/>
          <w:sz w:val="18"/>
          <w:szCs w:val="18"/>
          <w:color w:val="auto"/>
        </w:rPr>
        <w:t>Of the securities being offered to the purchaser, 2,762,009 shares of our Class A Common</w:t>
      </w:r>
    </w:p>
    <w:p>
      <w:pPr>
        <w:spacing w:after="0" w:line="31" w:lineRule="exact"/>
        <w:rPr>
          <w:sz w:val="20"/>
          <w:szCs w:val="20"/>
          <w:color w:val="auto"/>
        </w:rPr>
      </w:pPr>
    </w:p>
    <w:p>
      <w:pPr>
        <w:ind w:left="4340"/>
        <w:spacing w:after="0" w:line="252" w:lineRule="auto"/>
        <w:rPr>
          <w:sz w:val="20"/>
          <w:szCs w:val="20"/>
          <w:color w:val="auto"/>
        </w:rPr>
      </w:pPr>
      <w:r>
        <w:rPr>
          <w:rFonts w:ascii="Times New Roman" w:cs="Times New Roman" w:eastAsia="Times New Roman" w:hAnsi="Times New Roman"/>
          <w:sz w:val="18"/>
          <w:szCs w:val="18"/>
          <w:color w:val="auto"/>
        </w:rPr>
        <w:t>Stock, Class 1 Warrants to purchase 1,381,004 shares of our Class A Common Stock, and Class 2 Warrants to purchase 1,381,004 shares of our Class A Common Stock will be issued at the Initial Closing and the remaining securities being issued to the purchaser will be issued after we obtain the necessary stockholder approvals in accordance with the Listed Company Manual of the NYSE and upon the satisfaction of certain customary closing conditions.</w:t>
      </w:r>
    </w:p>
    <w:p>
      <w:pPr>
        <w:spacing w:after="0" w:line="213"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Support Agreement and Stockholder Approval:</w:t>
      </w:r>
      <w:r>
        <w:rPr>
          <w:sz w:val="20"/>
          <w:szCs w:val="20"/>
          <w:color w:val="auto"/>
        </w:rPr>
        <w:tab/>
      </w:r>
      <w:r>
        <w:rPr>
          <w:rFonts w:ascii="Times New Roman" w:cs="Times New Roman" w:eastAsia="Times New Roman" w:hAnsi="Times New Roman"/>
          <w:sz w:val="17"/>
          <w:szCs w:val="17"/>
          <w:color w:val="auto"/>
        </w:rPr>
        <w:t>The purchaser is providing a voting support agreement in connection with this offering and</w:t>
      </w:r>
    </w:p>
    <w:p>
      <w:pPr>
        <w:spacing w:after="0" w:line="31" w:lineRule="exact"/>
        <w:rPr>
          <w:sz w:val="20"/>
          <w:szCs w:val="20"/>
          <w:color w:val="auto"/>
        </w:rPr>
      </w:pPr>
    </w:p>
    <w:p>
      <w:pPr>
        <w:ind w:left="4340" w:right="80"/>
        <w:spacing w:after="0" w:line="252" w:lineRule="auto"/>
        <w:rPr>
          <w:sz w:val="20"/>
          <w:szCs w:val="20"/>
          <w:color w:val="auto"/>
        </w:rPr>
      </w:pPr>
      <w:r>
        <w:rPr>
          <w:rFonts w:ascii="Times New Roman" w:cs="Times New Roman" w:eastAsia="Times New Roman" w:hAnsi="Times New Roman"/>
          <w:sz w:val="18"/>
          <w:szCs w:val="18"/>
          <w:color w:val="auto"/>
        </w:rPr>
        <w:t>the Concurrent Offering, which generally provides that the purchaser will attend the Special Meeting to approve the issuance of the shares of Class A Common Stock issuable in respect of the offering and the shares of Class A Common Stock underlying the related Warrants that exceed the limitations of the Listed Company Manual of the NYSE and the shares of Class A Common Stock underlying the alternative cashless exercise provision of the Class 2 Warrants described below being issued in this offering and in the Concurrent Offering and to vote in support of such proposal at the Special Meeting.</w:t>
      </w:r>
    </w:p>
    <w:p>
      <w:pPr>
        <w:spacing w:after="0" w:line="211"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Use of Proceeds:</w:t>
      </w:r>
      <w:r>
        <w:rPr>
          <w:sz w:val="20"/>
          <w:szCs w:val="20"/>
          <w:color w:val="auto"/>
        </w:rPr>
        <w:tab/>
      </w:r>
      <w:r>
        <w:rPr>
          <w:rFonts w:ascii="Times New Roman" w:cs="Times New Roman" w:eastAsia="Times New Roman" w:hAnsi="Times New Roman"/>
          <w:sz w:val="17"/>
          <w:szCs w:val="17"/>
          <w:color w:val="auto"/>
        </w:rPr>
        <w:t>We estimate that the proceeds from this offering will be up to approximately $9.8 million,</w:t>
      </w:r>
    </w:p>
    <w:p>
      <w:pPr>
        <w:spacing w:after="0" w:line="31" w:lineRule="exact"/>
        <w:rPr>
          <w:sz w:val="20"/>
          <w:szCs w:val="20"/>
          <w:color w:val="auto"/>
        </w:rPr>
      </w:pPr>
    </w:p>
    <w:p>
      <w:pPr>
        <w:ind w:left="4340"/>
        <w:spacing w:after="0" w:line="253" w:lineRule="auto"/>
        <w:rPr>
          <w:sz w:val="20"/>
          <w:szCs w:val="20"/>
          <w:color w:val="auto"/>
        </w:rPr>
      </w:pPr>
      <w:r>
        <w:rPr>
          <w:rFonts w:ascii="Times New Roman" w:cs="Times New Roman" w:eastAsia="Times New Roman" w:hAnsi="Times New Roman"/>
          <w:sz w:val="18"/>
          <w:szCs w:val="18"/>
          <w:color w:val="auto"/>
        </w:rPr>
        <w:t>assuming all securities in this offering are issued and sold, after deducting the estimated offering expenses payable by us and without giving effect to any cash proceeds we may receive upon cash exercise of the Warrants. We currently expect to use the net proceeds that we receive from this offering for working capital and other general corporate purposes.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for more information.</w:t>
      </w:r>
    </w:p>
    <w:p>
      <w:pPr>
        <w:sectPr>
          <w:pgSz w:w="11900" w:h="16838" w:orient="portrait"/>
          <w:cols w:equalWidth="0" w:num="1">
            <w:col w:w="10920"/>
          </w:cols>
          <w:pgMar w:left="320" w:top="455" w:right="659" w:bottom="1440" w:gutter="0" w:footer="0" w:header="0"/>
        </w:sectPr>
      </w:pP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Ticker symbol of our Class A Common Stock on the</w:t>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NYSE:</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“BKKT”</w:t>
      </w:r>
    </w:p>
    <w:p>
      <w:pPr>
        <w:spacing w:after="0" w:line="200" w:lineRule="exact"/>
        <w:rPr>
          <w:sz w:val="20"/>
          <w:szCs w:val="20"/>
          <w:color w:val="auto"/>
        </w:rPr>
      </w:pPr>
    </w:p>
    <w:p>
      <w:pPr>
        <w:spacing w:after="0" w:line="28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See “Risk Factors” beginning on page S-7 of this prospectus supplement and the other information included in, or incorporated by reference into, this prospectus supplement and the accompanying base prospectus, for a discussion of certain factors you should carefully consider before deciding to invest in our securities.</w:t>
      </w:r>
    </w:p>
    <w:p>
      <w:pPr>
        <w:spacing w:after="0" w:line="200" w:lineRule="exact"/>
        <w:rPr>
          <w:sz w:val="20"/>
          <w:szCs w:val="20"/>
          <w:color w:val="auto"/>
        </w:rPr>
      </w:pPr>
    </w:p>
    <w:p>
      <w:pPr>
        <w:sectPr>
          <w:pgSz w:w="11900" w:h="16838" w:orient="portrait"/>
          <w:cols w:equalWidth="0" w:num="2">
            <w:col w:w="4280" w:space="60"/>
            <w:col w:w="6580"/>
          </w:cols>
          <w:pgMar w:left="320" w:top="455" w:right="659" w:bottom="1440" w:gutter="0" w:footer="0" w:header="0"/>
          <w:type w:val="continuous"/>
        </w:sectPr>
      </w:pPr>
    </w:p>
    <w:p>
      <w:pPr>
        <w:spacing w:after="0" w:line="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S-3</w:t>
      </w:r>
    </w:p>
    <w:p>
      <w:pPr>
        <w:sectPr>
          <w:pgSz w:w="11900" w:h="16838" w:orient="portrait"/>
          <w:cols w:equalWidth="0" w:num="1">
            <w:col w:w="10920"/>
          </w:cols>
          <w:pgMar w:left="320" w:top="455" w:right="6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266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22669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360" w:hanging="422"/>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to be outstanding after the offering is based on 96,317,490 shares of Class A Common Stock outstanding as of February 27, 2024, and excludes, as of that date, the following:</w:t>
      </w:r>
    </w:p>
    <w:p>
      <w:pPr>
        <w:spacing w:after="0" w:line="67" w:lineRule="exact"/>
        <w:rPr>
          <w:rFonts w:ascii="Times New Roman" w:cs="Times New Roman" w:eastAsia="Times New Roman" w:hAnsi="Times New Roman"/>
          <w:sz w:val="18"/>
          <w:szCs w:val="18"/>
          <w:color w:val="auto"/>
        </w:rPr>
      </w:pPr>
    </w:p>
    <w:p>
      <w:pPr>
        <w:jc w:val="both"/>
        <w:ind w:left="1240" w:hanging="415"/>
        <w:spacing w:after="0" w:line="266" w:lineRule="auto"/>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179,883,479 shares of Class A Common Stock issuable upon exchange of paired interests, each of which is comprised of one share of Class A Common Stock and one Bakkt Opco Holdings, LLC (f/k/a/ Bakkt Holdings, LLC) (“Opco”) unit, and warrants exercisable to purchase 793,352 paired interests at an exercise price of $1.11 per paired interest;</w:t>
      </w:r>
    </w:p>
    <w:p>
      <w:pPr>
        <w:spacing w:after="0" w:line="81"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7,140,808 shares of Class A Common Stock issuable upon the exercise of outstanding publicly traded warrants to purchase shares of Class A Common Stock at an exercise price of $11.50 per share;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10,105,125 shares of Class A Common Stock underlying outstanding restricted stock units and performance share units;</w:t>
      </w:r>
    </w:p>
    <w:p>
      <w:pPr>
        <w:spacing w:after="0" w:line="130"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32,665,846 shares of Class A Common Stock that remain available for issuance under the under the 2021 Omnibus Incentive Plan; and</w:t>
      </w:r>
    </w:p>
    <w:p>
      <w:pPr>
        <w:spacing w:after="0" w:line="67" w:lineRule="exact"/>
        <w:rPr>
          <w:rFonts w:ascii="Times New Roman" w:cs="Times New Roman" w:eastAsia="Times New Roman" w:hAnsi="Times New Roman"/>
          <w:sz w:val="18"/>
          <w:szCs w:val="18"/>
          <w:color w:val="auto"/>
        </w:rPr>
      </w:pPr>
    </w:p>
    <w:p>
      <w:pPr>
        <w:ind w:left="1240" w:right="120" w:hanging="415"/>
        <w:spacing w:after="0" w:line="312" w:lineRule="auto"/>
        <w:tabs>
          <w:tab w:leader="none" w:pos="124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46,402,403 shares of Class A Common Stock that may be issued as contingent consideration under that certain Membership Interest Purchase Agreement, dated November 2, 2022, by and among the Bakkt Parties and the Seller Parties (each, as defined therein).</w:t>
      </w:r>
    </w:p>
    <w:p>
      <w:pPr>
        <w:spacing w:after="0" w:line="24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860"/>
          </w:cols>
          <w:pgMar w:left="320" w:top="455" w:right="7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base prospectus and the documents incorporated by reference herein and therein contain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supplement may include, for example, statements about:</w:t>
      </w:r>
    </w:p>
    <w:p>
      <w:pPr>
        <w:spacing w:after="0" w:line="100"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ability to continue as a going concern;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our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impacts from the Bakkt Crypto Acquisition;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 including our plans to expand to international markets;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Stockholder Approval and consummate the second closing contemplated in the Purchase Agreement.</w:t>
      </w:r>
    </w:p>
    <w:p>
      <w:pPr>
        <w:spacing w:after="0" w:line="225" w:lineRule="exact"/>
        <w:rPr>
          <w:sz w:val="20"/>
          <w:szCs w:val="20"/>
          <w:color w:val="auto"/>
        </w:rPr>
      </w:pPr>
    </w:p>
    <w:p>
      <w:pPr>
        <w:jc w:val="both"/>
        <w:ind w:left="120" w:right="8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they were made and reflect management’s expectations, forecasts and assumptions as of such date, and involve a number of judgments, known and/ 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83"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8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continue as a going concern;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in which we compete, including with respect to our competitive landscape, technology evolution or changes in applicable laws or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crypto market that subject us to additional risks, including the risk that banks may not provide banking services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launch new services and products or to profitably expand into new markets and services, or the inability to continue offering existing services or products;</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80"/>
          </w:cols>
          <w:pgMar w:left="320" w:top="455" w:right="5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execute our growth strategies, including identifying and executing acquisitions and our initiatives to add new clients;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expected benefits from the Bakkt Crypto Acquisition;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extensive government regulation, oversight, licensure and appraisals;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regulatory regime governing blockchain technologies and crypto;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controls and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any liability, protracted and costly litigation or reputational damage relating to our data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goodwill or other intangible assets impairments on our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pandemics or other public health emergencies;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the listing of our securities on the NYSE;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prospectus supplement, including those set forth under “Risk Factors” and any risk factors described in any amendments or supplements to this prospectus and in the documents incorporated by reference herein.</w:t>
      </w:r>
    </w:p>
    <w:p>
      <w:pPr>
        <w:spacing w:after="0" w:line="9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860"/>
          </w:cols>
          <w:pgMar w:left="320" w:top="455" w:right="7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making an investment decision, in addition to carefully considering the other information contained in this prospectus supplement, the accompanying base prospectus and the documents incorporated by reference herein and therein, you should carefully consider the risks, uncertainties, and assumptions described under the caption “Risk Factors” contained this prospectus supplement and in the accompanying base prospectus. You should also consider the risks, uncertainties and assumptions discussed under “Part I—Item 1A—Risk Factors” of our most recent Annual Report on Form 10-K and in “Part II—Item 1A—Risk Factors” of our Quarterly Reports on Form 10-Q filed subsequently to such Form 10-K that are incorporated herein by reference, as may be amended, supplemented or superseded from time to time by other reports we file with the Securities and Exchange Commission (“SEC”) in the future. The risks described in these documents are not the only ones we face. Our business, operating results, financial condition or prospects could also be harmed by risks and uncertainties not currently known to us or that we currently do not believe are material. If any of the risks actually occur, our business, operating results, financial condition and prospects could be adversely affected. In that event, the market price of our securities could decline, and you could lose part or all of your investment. Please also carefully read the section titled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continue as a going concern.</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as of September 30, 2023 were prepared under the assumption that we would continue as a going concern for the next twelve months from November 14, 2023, which was the date we initially filed our Quarterly Report on Form 10-Q for the period ended September 30, 2023 (the “Original Q3 Form 10-Q”), which contemplated the realization of assets and the satisfaction of liabilities in the normal course of business and did not include any adjustments relating to recoverability and the classification of recorded asset amounts or the amounts and classification of liabilities that might result from the outcome of certain uncertainties.</w:t>
      </w:r>
    </w:p>
    <w:p>
      <w:pPr>
        <w:spacing w:after="0" w:line="183"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7"/>
          <w:szCs w:val="17"/>
          <w:color w:val="auto"/>
        </w:rPr>
        <w:t>Subsequent to the filing of the Original Q3 Form 10-Q and in connection with the filing of our subsequent amendments to the Original Q3 Form 10-Q (the most recent amendment, the “Amended Q3 Form 10-Q”), we determined that we did not believe that our cash and restricted cash was sufficient to fund our operations for the 12 months following the date of the Amended Q3 Form 10-Q. Specifically, as of January 31, 2024, the Company had approximately $50.0 million of cash and cash equivalents that was not restricted and approximately $8.2 million in available-for-sale securities. We intend to use our unrestricted cash and proceeds from maturity of available-for-sale debt securities to (i) fund our day-to-day operations, including regulatory capital, compensating balance arrangements and other similar commitments which may be subject to change, (ii) activate new crypto clients,</w:t>
      </w:r>
    </w:p>
    <w:p>
      <w:pPr>
        <w:spacing w:after="0" w:line="5" w:lineRule="exact"/>
        <w:rPr>
          <w:sz w:val="20"/>
          <w:szCs w:val="20"/>
          <w:color w:val="auto"/>
        </w:rPr>
      </w:pPr>
    </w:p>
    <w:p>
      <w:pPr>
        <w:ind w:left="120" w:right="360" w:hanging="4"/>
        <w:spacing w:after="0" w:line="253" w:lineRule="auto"/>
        <w:tabs>
          <w:tab w:leader="none" w:pos="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product development efforts, and (iv) optimize our technology infrastructure. Our cash and proceeds from the maturity of available-for-sale debt securities as of the date of the filing of the Amended Q3 Form 10-Q were estimated to fund our operations into the second or third quarter of 2024, depending on the results from our ongoing negotiations of requests for increased cash collateral or revised credit terms with certain of our providers.</w:t>
      </w:r>
    </w:p>
    <w:p>
      <w:pPr>
        <w:spacing w:after="0" w:line="18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associated with our expansion to new markets and the growth of our revenue base given the rapidly evolving environment associated with crypto assets. Accordingly, we could not conclude it was probable we would be able to increase revenues substantially beyond levels that we have attained in the past in order to generate sustainable operating profit and sufficient cash flows to continue doing business without raising additional capital in the near future. As a result of our expected operating losses and cash burn for the foreseeable future and recurring losses from operations, if we are unable to raise sufficient capital through additional debt or equity arrangements, there will be uncertainty regarding our ability to maintain liquidity sufficient to operate our business effectively, which has raised substantial doubt as to our ability to continue as a going concern. If we cannot continue as a viable entity, our stockholders would likely lose most or all of their investment in us.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9" w:lineRule="auto"/>
        <w:rPr>
          <w:sz w:val="20"/>
          <w:szCs w:val="20"/>
          <w:color w:val="auto"/>
        </w:rPr>
      </w:pPr>
      <w:r>
        <w:rPr>
          <w:rFonts w:ascii="Times New Roman" w:cs="Times New Roman" w:eastAsia="Times New Roman" w:hAnsi="Times New Roman"/>
          <w:sz w:val="17"/>
          <w:szCs w:val="17"/>
          <w:color w:val="auto"/>
        </w:rPr>
        <w:t>As a result, we have experienced and may continue to experience additional impacts to our business as a result of our partners and customers concern regarding our ability to continue as a going concern. For example, subsequent to the filing of the Original Q3 Form 10-Q through the filing of the Amended Q3 Form 10-Q, (i) one of our partners closed out of all customer positions, (ii) we received inquiries from partners and prospective partners about the financial position of the Company, (iii) certain of our surety bond providers requested additional collateral, (iv) our purchasing card provider requested an additional collateral pledge of between $8 million and 13 million, depending on the amount of the purchasing limit thereunder, and</w:t>
      </w:r>
    </w:p>
    <w:p>
      <w:pPr>
        <w:spacing w:after="0" w:line="3" w:lineRule="exact"/>
        <w:rPr>
          <w:sz w:val="20"/>
          <w:szCs w:val="20"/>
          <w:color w:val="auto"/>
        </w:rPr>
      </w:pPr>
    </w:p>
    <w:p>
      <w:pPr>
        <w:ind w:left="120" w:right="40" w:hanging="4"/>
        <w:spacing w:after="0" w:line="255" w:lineRule="auto"/>
        <w:tabs>
          <w:tab w:leader="none" w:pos="3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liquidity providers requested updated payment arrangements. There can be no assurance that we will not experience additional adverse impacts to our business, including additional or accelerated account closures, loss of future potential business, and additional demands for cash or collateral, which, individually or in the aggregate may further impair our business and exacerbate our ability to continue as a going concern.</w:t>
      </w:r>
    </w:p>
    <w:p>
      <w:pPr>
        <w:spacing w:after="0" w:line="18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As we are currently unable to generate sustainable operating profit and sufficient cash flows, we have determined that our future success will depend on our ability to raise sufficient additional capital. We are seeking additional financing and evaluating financing alternatives in order to meet our cash requirements for the next 12 months.</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cannot be certain that raising additional capital, whether through selling additional equity or debt securities or obtaining a line of credit or other loan, will be available to us or, if available, will be on terms acceptable to us. If we issue additional securities to raise funds, these securities may have rights, preferences, or privileges senior to those of our Class A Common Stock, and our current stockholders may experience dilution. If we are unable to obtain funds when needed or on acceptable terms, we may be required to curtail our current platform expansion programs, cut operating costs, forego future development and other opportunities or even terminate our operations. In addition, even if we are able to mitigate or alleviate our going concern status, we may be unable to recover with investors, partners and customers due to the adverse reputational effects.</w:t>
      </w:r>
    </w:p>
    <w:p>
      <w:pPr>
        <w:spacing w:after="0" w:line="291"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over the use of the net proceeds from this offering, you may not agree with how we use the proceeds, and the proceeds may not be invested successfully.</w:t>
      </w:r>
    </w:p>
    <w:p>
      <w:pPr>
        <w:spacing w:after="0" w:line="5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working capital and other general corporate purposes. Our management will have broad discretion in the application of the net proceeds from this offering and could spend the proceeds in ways that do not improve our results of operations or enhance the value of our securities. The failure by management to apply these funds effectively could result in financial losses that could have a material adverse effect on our business and cause the price of our Class A Common Stock to decline.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Class A Common Stock or other equity securities may reduce the market price of our securities.</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We may issue additional shares of our Class A Common Stock or other equity securities in the future in connection with, among other things, future acquisitions, repayment of outstanding indebtedness or grants under the 2021 Omnibus Incentive Plan without stockholder approval in a number of circumstances. The issuance of additional Class A Common Stock or other equity securities could have, among other things, one or more of the following effects: our existing stockholders’ proportionate ownership interest will decrease; the amount of cash available per share, including for payment of dividends in the future, may decrease; the relative voting strength of each previously outstanding share of our Class A Common Stock may be diminished; and the market price of our Class A Common Stock and/or Warrants may decline.</w:t>
      </w:r>
    </w:p>
    <w:p>
      <w:pPr>
        <w:spacing w:after="0" w:line="291"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any additional capital we seek may not be available in the amount or at the time we need it, or on terms that would be acceptable to us.</w:t>
      </w:r>
    </w:p>
    <w:p>
      <w:pPr>
        <w:spacing w:after="0" w:line="5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We may need to raise funds in the future to execute our business plan. We may seek to raise additional capital to fund or expand our business, pursue strategic investments, and take advantage of financing or other opportunities that we believe to be in our best interests and the interests of our stockholders. Additional capital may be raised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through the sale of common or preferred equity or convertible debt securities, entry into debt facilities or other third-party funding arrangements. The sale of equity and convertible debt securities may result in dilution to our stockholders and those securities may have rights senior to those of our Class A Common Stock. Agreements entered into in connection with such capital raising activities could contain covenants that would restrict our operations or require us to relinquish certain rights. Additional capital may not be available on reasonable terms, or at all. If we cannot timely raise any needed funds, we may be forced to reduce our operating expenses, which could adversely affect our ability to implement our long-term strategic roadmap and grow our business.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securities may be volatile.</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trading market for our securities has in the past been and could in the future be impacted by market volatility. During the 12 months ended February 27, 2024, the market price of our Class A Common Stock has ranged from a high of $2.75 per share to a low of $0.641 per share. This market volatility could reduce the market price of our securities without regard to our operating performance. In addition, the trading price of our Class A Common Stock could change significantly in response to actual or anticipated variations in our quarterly operating results, announcements by us or our competitors, factors affecting the crypto industry generally, changes in national or regional economic conditions, changes in securities analysts’ estimates for us or our competitors’ or industry’s future performance or general market conditions, making it more difficult for our securities to be sold at a favorable price or at all. The market price of our Class A Common Stock could also be reduced by general market price declines or market volatility in the future or future declines or volatility in the prices of stocks for companies in our industry.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Warrants being offered in this offering.</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There is no public trading market for the Warrants being offered in this offering, and we do not expect a market to develop. In addition, we do not intend to apply to list the Warrants on any securities exchange or nationally recognized trading system, including the NYSE. Without an active market, the liquidity of the Warrants will be limited.</w:t>
      </w:r>
    </w:p>
    <w:p>
      <w:pPr>
        <w:spacing w:after="0" w:line="280"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Warrants purchased in this offering will have no rights as stockholders of the Company until such holders exercise their Warrants and acquire Class A Common Stock of the Company.</w:t>
      </w:r>
    </w:p>
    <w:p>
      <w:pPr>
        <w:spacing w:after="0" w:line="5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Until the holders of Warrants acquire shares of our Class A Common Stock upon exercise of the Warrants, holders of these warrants will have no rights with respect to the shares of our Class A Common Stock underlying such Warrants. This includes any voting rights, dividends, or other rights as a stockholder of the Company. Upon exercise of the Warrants, the holders will be entitled to exercise the rights of a holder of Class A Common Stock only as to the matters for which the record date occurs after the exercise date.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of our Class A Common Stock may not be permitted to exercise Warrants that they hold.</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Class 2 Warrant contains an alternative cashless exercise provision, which will not be exercisable unless we obtain Stockholder Approval (as defined in the Class 2 Warrant). While we expect to seek Stockholder Approval at the Special Meeting, we may not obtain Stockholder Approval and, as such, such exercise right will not be available prior to the expiration of the Class 2 Warrants.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Warrants are speculative in nature.</w:t>
      </w:r>
    </w:p>
    <w:p>
      <w:pPr>
        <w:spacing w:after="0" w:line="121"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The Warrants do not confer any rights of Class A Common Stock ownership on their holders, such as voting rights or the right to receive dividends, but rather merely represent the right to acquire shares of Class A Common Stock at a fixed price for a limited period of time. Specifically, commencing on the six (6) month anniversary of the date of issuance, holders of the Warrants may severally exercise their right to acquire Class A Common Stock and pay an exercise price of $1.0200 per share, subject to certain adjustments. The Warrants will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expire in five and a half (5.5) years from the original issuance date, after which each time any unexercised Warrants will expire and have no further value. Moreover, following this offering, the market value of the Warrants, if any, is uncertain and there can be no assurance that the market value of the Warrants will equal or exceed their imputed offering price. The Warrants will not be listed or quoted for trading on any market or exchange. There can be no assurance that the market price of the Class A Common Stock will ever equal or exceed the exercise price of the Warrants and consequently, whether it will ever be profitable for holders of the Warrants to exercise the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We may not receive any additional funds from the second closing contemplated under the Purchase Agreement or upon the exercise of the Warrants.</w:t>
      </w:r>
    </w:p>
    <w:p>
      <w:pPr>
        <w:spacing w:after="0" w:line="133"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Each Warrant may be exercised by way of a cashless exercise, meaning that the holder may not pay a cash purchase price upon exercise, but instead would receive upon such exercise the net number of shares of the Class A Common Stock as determined according to the formulas set forth in the Warrant. In addition, upon the occurrence of certain events, the Class 2 Warrants may be exercised by way of an alternative cashless exercise, allowing the holder to receive the product of (x) the aggregate number of shares subject to the alternative cashless exercise (up to the full number of shares that would be issuable upon exercise of the Class 2 Warrant in accordance with the terms of the Class 2 Warrant if such exercise were by means of a cash exercise rather than a cashless exercise) and (y) 0.5 See “</w:t>
      </w:r>
      <w:r>
        <w:rPr>
          <w:rFonts w:ascii="Times New Roman" w:cs="Times New Roman" w:eastAsia="Times New Roman" w:hAnsi="Times New Roman"/>
          <w:sz w:val="18"/>
          <w:szCs w:val="18"/>
          <w:i w:val="1"/>
          <w:iCs w:val="1"/>
          <w:color w:val="auto"/>
        </w:rPr>
        <w:t>Description of the Securities We Are Offering-Class 2 Warrants</w:t>
      </w:r>
      <w:r>
        <w:rPr>
          <w:rFonts w:ascii="Times New Roman" w:cs="Times New Roman" w:eastAsia="Times New Roman" w:hAnsi="Times New Roman"/>
          <w:sz w:val="18"/>
          <w:szCs w:val="18"/>
          <w:color w:val="auto"/>
        </w:rPr>
        <w:t>.” Accordingly, we may not receive any additional funds upon the exercise of the Warrants.</w:t>
      </w:r>
    </w:p>
    <w:p>
      <w:pPr>
        <w:spacing w:after="0" w:line="18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addition, approximately $7.6 million of the securities being issued to the purchaser under the Purchase Agreement will only be issued after we obtain the necessary stockholder approvals in accordance with the Listed Company Manual of the NYSE and satisfy certain customary closing conditions. The Company will need to hold a Special Meeting to approve the issuance of such shares of Class A Common Stock and the shares of Class A Common Stock underlying the related Warrants that exceed the limitations of the Listed Company Manual of the NYSE. We may be unable to obtain the necessary stockholder approval to allow the closing contemplated in the Purchase Agreement to occur. Accordingly, we may not receive the additional approximately $7.6 million in funds in connection with the second closing under the Purchase Agreement.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120"/>
        <w:spacing w:after="0" w:line="289" w:lineRule="auto"/>
        <w:rPr>
          <w:sz w:val="20"/>
          <w:szCs w:val="20"/>
          <w:color w:val="auto"/>
        </w:rPr>
      </w:pPr>
      <w:r>
        <w:rPr>
          <w:rFonts w:ascii="Times New Roman" w:cs="Times New Roman" w:eastAsia="Times New Roman" w:hAnsi="Times New Roman"/>
          <w:sz w:val="17"/>
          <w:szCs w:val="17"/>
          <w:color w:val="auto"/>
        </w:rPr>
        <w:t>We estimate that the net proceeds to us from this offering will be up to approximately up to $9.8 million, assuming all securities in this offering are issued and sold, after deducting the estimated offering expenses payable by us, which does not include the approximately up to $11.8 million we may receive upon the cash exercise of the Warrants or any of the approximately $40 million of gross proceeds we may receive in the Concurrent Offering.</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currently expect to use the net proceeds that we receive from this offering for working capital and other general corporate purposes.</w:t>
      </w:r>
    </w:p>
    <w:p>
      <w:pPr>
        <w:spacing w:after="0" w:line="22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amounts and timing of our use of the net proceeds may vary significantly and will depend on a number of factors, including our ability to generate profitable revenue and the achievement of our corporate goals. Pending use of the net proceeds as described above, we intend to temporarily invest the proceeds in short-term, interest-bearing instruments.</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supplement, we cannot specify with certainty the particular uses of the proceeds from this offering. Accordingly, we will retain broad discretion over the use of such proceeds, and the purchaser will be relying on the judgment of our management regarding the application of the proceeds from this and the Concurrent Offering.</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0980"/>
          </w:cols>
          <w:pgMar w:left="320" w:top="455" w:right="5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THE SECURITIES WE ARE OFFERING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Offering</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We are offering shares of our Class A Common Stock, Class 1 Warrants and Class 2 Warrants. The shares of our Class A Common Stock and accompanying Class 1 Warrants and Class 2 Warrants will be issued separately. We also are registering the shares of Class A Common Stock issuable from time to time upon exercise of the Class 1 Warrants and Class 2 Warrants offered hereby.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19" w:lineRule="exact"/>
        <w:rPr>
          <w:sz w:val="20"/>
          <w:szCs w:val="20"/>
          <w:color w:val="auto"/>
        </w:rPr>
      </w:pPr>
    </w:p>
    <w:p>
      <w:pPr>
        <w:ind w:left="120" w:right="200"/>
        <w:spacing w:after="0" w:line="284" w:lineRule="auto"/>
        <w:rPr>
          <w:sz w:val="20"/>
          <w:szCs w:val="20"/>
          <w:color w:val="auto"/>
        </w:rPr>
      </w:pPr>
      <w:r>
        <w:rPr>
          <w:rFonts w:ascii="Times New Roman" w:cs="Times New Roman" w:eastAsia="Times New Roman" w:hAnsi="Times New Roman"/>
          <w:sz w:val="18"/>
          <w:szCs w:val="18"/>
          <w:color w:val="auto"/>
        </w:rPr>
        <w:t>The material terms and provisions of our Class A Common Stock are described under the caption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in the accompanying base prospectus and are incorporated herein by reference.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1 Warrants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certain terms and conditions of the Class 1 Warrants being offered by us. The following description is subject in all respects to the provisions contained in the Class 1 Warrants.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Form</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Class 1 Warrants will be issued as individual warrant agreements to each individual purchaser of a Class 1 Warrant, the form of which is included as an exhibit to the Purchase Agreement.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Term</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Class 1 Warrants will expire on September 4, 2029.</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Exercisability</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Class 1 Warrant will be exercisable, in whole or in part, at any time or times on or after the six (6) month anniversary of the date of issuance and through 5:00 p.m. (New York City time) on September 4, 2029 by delivery to the Company of a duly executed facsimile copy or PDF copy submitted by e-mail (or e-mail attachment) of the Notice of Exercise in the form attached to the Class 1 Warrant within the earlier of (i) two (2) Trading Days (as defined in the Class 1 Warrant) and (ii) the number of Trade Days comprising the Standard Settlement Period (as defined in the Class 1 Warrant). The Exercise Price is $1.0200 per share of Class A Common Stock. The holder (as defined in the Class 1 Warrant) shall deliver the aggregate Exercise Price for the number of Warrant Shares specified in the applicable Notice of Exercise (as defined in the Class 1 Warrant) by wire transfer or cashier’s check drawn on a United States bank unless the cashless exercise procedure, as described below, is completed.</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Cashless Exercise</w:t>
      </w:r>
    </w:p>
    <w:p>
      <w:pPr>
        <w:spacing w:after="0" w:line="11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Class 1 Warrant may also be exercised, in whole or in part, at any time or times on or after the initial exercise date and on or before the termination date of the Class 1 Warrant by means of a “cashless exercise” in which the holder shall be entitled to receive a number of Warrant Shares equal to the quotient obtained by dividing [(A-B) (X)] by (A), where:</w:t>
      </w:r>
    </w:p>
    <w:p>
      <w:pPr>
        <w:spacing w:after="0" w:line="176" w:lineRule="exact"/>
        <w:rPr>
          <w:sz w:val="20"/>
          <w:szCs w:val="20"/>
          <w:color w:val="auto"/>
        </w:rPr>
      </w:pPr>
    </w:p>
    <w:p>
      <w:pPr>
        <w:ind w:left="420" w:hanging="304"/>
        <w:spacing w:after="0"/>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w:t>
      </w:r>
    </w:p>
    <w:p>
      <w:pPr>
        <w:spacing w:after="0" w:line="27" w:lineRule="exact"/>
        <w:rPr>
          <w:rFonts w:ascii="Times New Roman" w:cs="Times New Roman" w:eastAsia="Times New Roman" w:hAnsi="Times New Roman"/>
          <w:sz w:val="18"/>
          <w:szCs w:val="18"/>
          <w:color w:val="auto"/>
        </w:rPr>
      </w:pPr>
    </w:p>
    <w:p>
      <w:pPr>
        <w:ind w:lef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Class A Common Stock on the principal Trading Market as reported by Bloomberg L.P. as of the time of the</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 = the Exercise Price of this Warrant, as adjusted hereunder; and</w:t>
      </w:r>
    </w:p>
    <w:p>
      <w:pPr>
        <w:spacing w:after="0" w:line="225" w:lineRule="exact"/>
        <w:rPr>
          <w:sz w:val="20"/>
          <w:szCs w:val="20"/>
          <w:color w:val="auto"/>
        </w:rPr>
      </w:pPr>
    </w:p>
    <w:p>
      <w:pPr>
        <w:ind w:left="120" w:right="200" w:hanging="4"/>
        <w:spacing w:after="0" w:line="282" w:lineRule="auto"/>
        <w:tabs>
          <w:tab w:leader="none" w:pos="4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Fractional Shares</w:t>
      </w:r>
    </w:p>
    <w:p>
      <w:pPr>
        <w:spacing w:after="0" w:line="119"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No fractional shares or scrip representing fractional shares shall be issued upon the exercise of a Class 1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(as defined in the Class 1 Warrant) or round up to the next whole share.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Exercise Limitations</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 holder of a Class 1 Warrant will not be entitled to exercise any portion of any Class 1 Warrant that, upon giving effect to such exercise, would cause the aggregate number of shares of Class A Common Stock beneficially owned by the holder (together with its affiliates and any other persons acting as a group together with the holder or any of the holder’s affiliates) to exceed 4.99% (or, at the election of the holder prior to the issuance of the Class 1 Warrant, 9.99%) of the number of shares of Class A Common Stock outstanding immediately after giving effect to the issuance of shares of Class A Common Stock issuable upon exercise of the Class 1 Warrant. Any holder may, upon written notice to us, increase or decrease such percentage to any other percentage not in excess of 9.99% provided that any increase shall not be effective until 61 days following notice from the holder to us. If this Class 1 Warrant is unexercisable as a result of this limitation, no alternate consideration is owed to the holder.</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11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Subject to applicable laws, a Class 1 Warrant may be transferred, in whole or in part, at the option of the holder upon surrender of the Class 1 Warrant to us together with the appropriate instruments or transfer and funds sufficient to pay any transfer taxes payable upon such transfer.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Trading Market; Exchange Listing</w:t>
      </w:r>
    </w:p>
    <w:p>
      <w:pPr>
        <w:spacing w:after="0" w:line="11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We do not plan to list the Class 1 Warrants for trading on any trading exchange. The shares of Class A Common Stock issuable upon exercise of the Class 1 Warrants are currently listed on NYSE under “BKKT.”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Fundamental Transaction</w:t>
      </w:r>
    </w:p>
    <w:p>
      <w:pPr>
        <w:spacing w:after="0" w:line="11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In the event of a fundamental transaction, as further described in the Class 1 Warrant, and generally including any reorganization, recapitalization or reclassification of our Class A Common Stock, the sale, transfer or other disposition of all or substantially all of our properties or assets (as clarified in the Class 1 Warrants), our consolidation or merger with or into another person, the acquisition of more than 50% of the voting power of the common equity of the Company, the holders of the warrants will be entitled to receive the number of shares of Class A Common Stock of the successor or acquiring corporation or of the Company, if it is the surviving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corporation and any additional consideration receivable as a result of the fundamental transaction by a holder of the number of the shares of Class A Common Stock for which the Class 1 Warrant is exercisable immediately prior to such fundamental transaction. In addition, we or our successor or acquiring corporation shall, at the holder’s option, exercisable at any time concurrently with, or within thirty (30) days after, the consummation of the fundamental transaction (or, if later, the date of the public announcement of the applicable fundamental transaction), purchase the Class 1 Warrant from the holder by paying to the holder an amount of cash equal to the Black Scholes Value (as defined in the Class 1 Warrant) of the remaining unexercised portion of the Class 1 Warrant on the date of the consummation of such fundamental transaction, subject to certain limitations and conditions as set forth in the Class 1 Warrant.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 Rights as a Stockholder</w:t>
      </w:r>
    </w:p>
    <w:p>
      <w:pPr>
        <w:spacing w:after="0" w:line="119"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Class 1 Warrants or by virtue of such holder’s ownership of shares of Class A Common Stock, the holders of the Class 1 Warrants do not have the rights or privileges of holders of our Class A Common Stock, including any voting rights, until they exercise their Class 1 Warrants.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2 Warrants</w:t>
      </w:r>
    </w:p>
    <w:p>
      <w:pPr>
        <w:spacing w:after="0" w:line="12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The terms and conditions of the Class 2 Warrants are identical to the terms and conditions of the Class 1 Warrants except that, after the Company has obtained Stockholder Approval (as defined in the Purchase Agreement), then, if at any time during the period beginning on six (6) month anniversary of the date of issuance the Reference Value (as defined below) is less than the Exercise Price (the “Trigger Event”), then the holder shall have the option, exercisable at any time when the Trigger Event shall have occurred or shall be continuing to occur, to effect an “alternative cashless exercise” by providing the Company with a Notice of Exercise specifying the aggregate number of Warrant Shares subject to such alternative cashless with the number of shares issuable upon such alternative cashless exercise being equal to the product of (x) the aggregate number of Warrant Shares subject to the alternative cashless exercise Notice of Exercise (up to the full number of shares that would be issuable upon exercise of the Class 2 Warrant in accordance with the terms of the Class 2 Warrant if such exercise were by means of a cash exercise rather than a cashless exercise) and (y) 0.5. For purposes of the Class 2 Warrant, the “Reference Value” shall mean the last reported sales price of the Class A Common Stock for each of the three</w:t>
      </w:r>
    </w:p>
    <w:p>
      <w:pPr>
        <w:spacing w:after="0" w:line="6" w:lineRule="exact"/>
        <w:rPr>
          <w:sz w:val="20"/>
          <w:szCs w:val="20"/>
          <w:color w:val="auto"/>
        </w:rPr>
      </w:pPr>
    </w:p>
    <w:p>
      <w:pPr>
        <w:ind w:left="120" w:right="380" w:hanging="4"/>
        <w:spacing w:after="0" w:line="260" w:lineRule="auto"/>
        <w:tabs>
          <w:tab w:leader="none" w:pos="37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ending on the Trading Day prior to the date on which Notice of Exercise is given. See above for the other terms and conditions of Class 1 Warrants, which otherwise shall apply in all respect to the Class 2 Warrants.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We will enter into the Purchase Agreement directly with the purchaser in this offering to purchase our securities in this offering.</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7"/>
          <w:szCs w:val="17"/>
          <w:color w:val="auto"/>
        </w:rPr>
        <w:t>In accordance with the Purchase Agreement, we will deliver the securities being issued to the purchaser upon receipt of the purchaser’s funds for the purchase of the securities offered pursuant to this prospectus supplement, subject to certain closing conditions. Of such securities, 2,762,009 shares of our Class A Common Stock, Class 1 Warrants to purchase 1,381,004 shares of our Class A Common Stock, and Class 2 Warrants to purchase 1,381,004 shares of our Class A Common Stock will be issued at the Initial Closing, and the remaining securities being issued to the purchaser will be issued after we obtain the necessary stockholder approvals in accordance with the Listed Company Manual of the NYSE. We will deliver all securities to be issued in connection with this offering upon receipt of purchaser funds received by us and satisfaction or waiver of the closing conditions. We expect to deliver the securities being offered pursuant to this prospectus supplement at the Initial Closing on or about March 4, 2024. The second closing is expected to occur on the second Trading Day following us obtaining Stockholder Approval.</w:t>
      </w:r>
    </w:p>
    <w:p>
      <w:pPr>
        <w:spacing w:after="0" w:line="147" w:lineRule="exact"/>
        <w:rPr>
          <w:sz w:val="20"/>
          <w:szCs w:val="20"/>
          <w:color w:val="auto"/>
        </w:rPr>
      </w:pPr>
    </w:p>
    <w:p>
      <w:pPr>
        <w:ind w:left="120" w:right="60"/>
        <w:spacing w:after="0" w:line="259" w:lineRule="auto"/>
        <w:rPr>
          <w:sz w:val="20"/>
          <w:szCs w:val="20"/>
          <w:color w:val="auto"/>
        </w:rPr>
      </w:pPr>
      <w:r>
        <w:rPr>
          <w:rFonts w:ascii="Times New Roman" w:cs="Times New Roman" w:eastAsia="Times New Roman" w:hAnsi="Times New Roman"/>
          <w:sz w:val="17"/>
          <w:szCs w:val="17"/>
          <w:color w:val="auto"/>
        </w:rPr>
        <w:t>The purchaser, ICE, is an existing stockholder of the Company and holds greater than 10% of our capital stock. In addition, an affiliate of ICE employs David Clifton, who is currently serving on our board of directors. The Company has also entered into commercial agreements with certain affiliates of ICE. See “Opco Related Transactions” beginning on page 65 of our most recent proxy statement, filed on April 24, 2023, for a discussion on our commercial agreements with ICE.</w:t>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Lock-Up Agreements</w:t>
      </w:r>
    </w:p>
    <w:p>
      <w:pPr>
        <w:spacing w:after="0" w:line="119" w:lineRule="exact"/>
        <w:rPr>
          <w:sz w:val="20"/>
          <w:szCs w:val="20"/>
          <w:color w:val="auto"/>
        </w:rPr>
      </w:pPr>
    </w:p>
    <w:p>
      <w:pPr>
        <w:ind w:left="120" w:right="160"/>
        <w:spacing w:after="0" w:line="265" w:lineRule="auto"/>
        <w:rPr>
          <w:sz w:val="20"/>
          <w:szCs w:val="20"/>
          <w:color w:val="auto"/>
        </w:rPr>
      </w:pPr>
      <w:r>
        <w:rPr>
          <w:rFonts w:ascii="Times New Roman" w:cs="Times New Roman" w:eastAsia="Times New Roman" w:hAnsi="Times New Roman"/>
          <w:sz w:val="17"/>
          <w:szCs w:val="17"/>
          <w:color w:val="auto"/>
        </w:rPr>
        <w:t>Our directors and officers have entered into lock-up agreements. Under these agreements, these individuals have agreed, subject to specified exceptions, not to sell or transfer any shares of Class A Common Stock or securities convertible into, or exchangeable or exercisable for, our Class A Common Stock during a period ending 120 days after the date of this prospectus supplement. Specifically, these individuals have agreed, in part, not to:</w:t>
      </w:r>
    </w:p>
    <w:p>
      <w:pPr>
        <w:spacing w:after="0" w:line="81" w:lineRule="exact"/>
        <w:rPr>
          <w:sz w:val="20"/>
          <w:szCs w:val="20"/>
          <w:color w:val="auto"/>
        </w:rPr>
      </w:pPr>
    </w:p>
    <w:p>
      <w:pPr>
        <w:ind w:left="980" w:right="60" w:hanging="324"/>
        <w:spacing w:after="0" w:line="259" w:lineRule="auto"/>
        <w:tabs>
          <w:tab w:leader="none" w:pos="9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 sell, contract to sell, hypothecate, pledge or otherwise dispose of (or enter into any transaction which is designed to, or might reasonably be expected to, result in the disposition (whether by actual disposition or effective economic disposition due to cash settlement or otherwise) by the individuals subject to the lock-up or any affiliate of the individuals subject to the lock-up or any person in privity with the individuals subject to the lock-up or any affiliate of the individuals subject to the lock-up), directly or indirectly;</w:t>
      </w:r>
    </w:p>
    <w:p>
      <w:pPr>
        <w:spacing w:after="0" w:line="87" w:lineRule="exact"/>
        <w:rPr>
          <w:rFonts w:ascii="Times New Roman" w:cs="Times New Roman" w:eastAsia="Times New Roman" w:hAnsi="Times New Roman"/>
          <w:sz w:val="17"/>
          <w:szCs w:val="17"/>
          <w:color w:val="auto"/>
        </w:rPr>
      </w:pPr>
    </w:p>
    <w:p>
      <w:pPr>
        <w:ind w:left="980" w:right="160" w:hanging="324"/>
        <w:spacing w:after="0" w:line="265" w:lineRule="auto"/>
        <w:tabs>
          <w:tab w:leader="none" w:pos="9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or increase a put equivalent position or liquidate or decrease a call equivalent position within the meaning of Section 16 of the Exchange Act of 1934, as amended (the “Exchange Act”), with respect to, any shares of Class A Common Stock or securities convertible, exchangeable or exercisable into, shares of Class A Common Stock beneficially owned, held or hereafter acquired; or</w:t>
      </w:r>
    </w:p>
    <w:p>
      <w:pPr>
        <w:spacing w:after="0" w:line="81" w:lineRule="exact"/>
        <w:rPr>
          <w:rFonts w:ascii="Times New Roman" w:cs="Times New Roman" w:eastAsia="Times New Roman" w:hAnsi="Times New Roman"/>
          <w:sz w:val="17"/>
          <w:szCs w:val="17"/>
          <w:color w:val="auto"/>
        </w:rPr>
      </w:pPr>
    </w:p>
    <w:p>
      <w:pPr>
        <w:ind w:left="980" w:right="40" w:hanging="324"/>
        <w:spacing w:after="0" w:line="265" w:lineRule="auto"/>
        <w:tabs>
          <w:tab w:leader="none" w:pos="9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demand for or exercise any right or cause to be filed a registration statement, including any amendments thereto, with respect to the registration of any shares of Class A Common Stock or Common Stock Equivalents (as defined in the Purchase Agreement) or publicly disclose the intention to do any of the foregoing.</w:t>
      </w:r>
    </w:p>
    <w:p>
      <w:pPr>
        <w:spacing w:after="0" w:line="135" w:lineRule="exact"/>
        <w:rPr>
          <w:sz w:val="20"/>
          <w:szCs w:val="20"/>
          <w:color w:val="auto"/>
        </w:rPr>
      </w:pPr>
    </w:p>
    <w:p>
      <w:pPr>
        <w:jc w:val="both"/>
        <w:ind w:left="120" w:right="540"/>
        <w:spacing w:after="0" w:line="281" w:lineRule="auto"/>
        <w:rPr>
          <w:sz w:val="20"/>
          <w:szCs w:val="20"/>
          <w:color w:val="auto"/>
        </w:rPr>
      </w:pPr>
      <w:r>
        <w:rPr>
          <w:rFonts w:ascii="Times New Roman" w:cs="Times New Roman" w:eastAsia="Times New Roman" w:hAnsi="Times New Roman"/>
          <w:sz w:val="17"/>
          <w:szCs w:val="17"/>
          <w:color w:val="auto"/>
        </w:rPr>
        <w:t>Notwithstanding these limitations, these shares of Class A Common Stock may be transferred under limited circumstances, including, without limitation, pursuant to pre-established trading plans adopted under Rule 10b5-1 of the Exchange Act, by gift, charitable contribution, will, and intestate succession.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Our Class A Common Stock is listed on The New York Stock Exchange under the symbol “BKKT.”</w:t>
      </w:r>
    </w:p>
    <w:p>
      <w:pPr>
        <w:spacing w:after="0" w:line="25"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7"/>
          <w:szCs w:val="17"/>
          <w:color w:val="auto"/>
        </w:rPr>
        <w:t>There is no established public trading market for the Warrants and we do not expect a market to develop for either security. Without an active trading market, the liquidity of the Warrants will be limited. In addition, we do not intend to list the Warrants on NYSE, any other national securities exchange, or any other trading system.</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transfer agent and registrar for our Class A Common Stock is Equiniti Trust Company.</w:t>
      </w:r>
    </w:p>
    <w:p>
      <w:pPr>
        <w:spacing w:after="0" w:line="1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Wilson Sonsini Goodrich &amp; Rosati, Professional Corporation, Austin, Texas.</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40"/>
        <w:spacing w:after="0" w:line="277" w:lineRule="auto"/>
        <w:rPr>
          <w:sz w:val="20"/>
          <w:szCs w:val="20"/>
          <w:color w:val="auto"/>
        </w:rPr>
      </w:pPr>
      <w:r>
        <w:rPr>
          <w:rFonts w:ascii="Times New Roman" w:cs="Times New Roman" w:eastAsia="Times New Roman" w:hAnsi="Times New Roman"/>
          <w:sz w:val="17"/>
          <w:szCs w:val="17"/>
          <w:color w:val="auto"/>
        </w:rPr>
        <w:t>The consolidated financial statements of Bakkt Holdings, Inc., appearing in the Company’s Annual Report (Form 10-K) for the year ended December 31, 2022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6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financial statements of VPC Impact Acquisition Holdings as of October 14, 2021 and December 31, 2020 and for the period from January 1, 2021 through October 14, 2021 and for the period from July 31, 2020 (inception) through December 31, 2020 are incorporated by reference in this prospectus supplement have been audited by WithumSmith+Brown, PC, the Company’s independent registered public accounting firm prior to the Business Combination, as set forth in their report thereon, and have been incorporated herein in reliance on such report given on the authority of said firm as experts in accounting and auditing.</w:t>
      </w:r>
    </w:p>
    <w:p>
      <w:pPr>
        <w:spacing w:after="0" w:line="183"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financial statements of Bakkt Crypto Solutions, LLC (f/k/a Apex Crypto LLC) as of December 31, 2022 and 2021 and for the years then ended incorporated by reference in this prospectus supplement from the Current Report on Form 8-K/A filed by Bakkt Holdings, Inc. on April 18, 2023 have been audited by RSM US LLP, independent auditors, as stated in their report thereon, incorporated herein by reference. Such financial statements have been so incorporated in this prospectus supplement in reliance upon such report and upon the authority of such firm as experts in accounting and auditing.</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investors.bakkt.com</w:t>
      </w:r>
      <w:r>
        <w:rPr>
          <w:rFonts w:ascii="Times New Roman" w:cs="Times New Roman" w:eastAsia="Times New Roman" w:hAnsi="Times New Roman"/>
          <w:sz w:val="18"/>
          <w:szCs w:val="18"/>
          <w:color w:val="auto"/>
        </w:rPr>
        <w:t>. Information accessible on or through our website is not a part of this prospectus supplement.</w:t>
      </w:r>
    </w:p>
    <w:p>
      <w:pPr>
        <w:spacing w:after="0" w:line="176"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are part of a registration statement on Form S-3 that we filed with the SEC and do not contain all of the information in the registration statement. The full registration statement may be obtained from the SEC or us, as provided above. Forms of documents establishing the terms of any offered securities are or may be filed as exhibits to the registration statement or documents incorporated by reference in the registration statement. Statements in this prospectus supplement and the accompanying base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080"/>
          </w:cols>
          <w:pgMar w:left="320" w:top="45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w:t>
      </w:r>
    </w:p>
    <w:p>
      <w:pPr>
        <w:spacing w:after="0" w:line="162"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(in each case, other than those documents or the portions of those documents that have been furnished rather than filed), until the offering of the securities under the prospectus supplement is terminated or completed:</w:t>
      </w:r>
    </w:p>
    <w:p>
      <w:pPr>
        <w:spacing w:after="0" w:line="77"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filed with the SEC on March 24, 2023 (our “Annual Report”);</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w:t>
      </w:r>
      <w:hyperlink r:id="rId34">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24, 2023, that are incorporated by reference into our Annual Report;</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3"/>
        </w:numPr>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auto"/>
          </w:rPr>
          <w:t xml:space="preserve">our Quarterly Reports on Form 10-Q for the quarterly periods ended March 31, 2023 and June 30, 2023, filed with the SEC on </w:t>
        </w:r>
        <w:r>
          <w:rPr>
            <w:rFonts w:ascii="Times New Roman" w:cs="Times New Roman" w:eastAsia="Times New Roman" w:hAnsi="Times New Roman"/>
            <w:sz w:val="18"/>
            <w:szCs w:val="18"/>
            <w:u w:val="single" w:color="auto"/>
            <w:color w:val="0000EE"/>
          </w:rPr>
          <w:t>May 11,</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36">
        <w:r>
          <w:rPr>
            <w:rFonts w:ascii="Times New Roman" w:cs="Times New Roman" w:eastAsia="Times New Roman" w:hAnsi="Times New Roman"/>
            <w:sz w:val="18"/>
            <w:szCs w:val="18"/>
            <w:u w:val="single" w:color="auto"/>
            <w:color w:val="0000EE"/>
          </w:rPr>
          <w:t>August 10, 2023</w:t>
        </w:r>
      </w:hyperlink>
      <w:hyperlink r:id="rId35">
        <w:r>
          <w:rPr>
            <w:rFonts w:ascii="Times New Roman" w:cs="Times New Roman" w:eastAsia="Times New Roman" w:hAnsi="Times New Roman"/>
            <w:sz w:val="18"/>
            <w:szCs w:val="18"/>
            <w:color w:val="000000"/>
          </w:rPr>
          <w:t xml:space="preserve">, respectively, and our Quarterly Report on Form 10-Q for the quarterly period ended September 30, 2023, </w:t>
        </w:r>
      </w:hyperlink>
      <w:r>
        <w:rPr>
          <w:rFonts w:ascii="Times New Roman" w:cs="Times New Roman" w:eastAsia="Times New Roman" w:hAnsi="Times New Roman"/>
          <w:sz w:val="18"/>
          <w:szCs w:val="18"/>
          <w:color w:val="0000EE"/>
        </w:rPr>
        <w:t xml:space="preserve">filed </w:t>
      </w:r>
      <w:r>
        <w:rPr>
          <w:rFonts w:ascii="Times New Roman" w:cs="Times New Roman" w:eastAsia="Times New Roman" w:hAnsi="Times New Roman"/>
          <w:sz w:val="18"/>
          <w:szCs w:val="18"/>
          <w:color w:val="000000"/>
        </w:rPr>
        <w:t xml:space="preserve">with the SEC on </w:t>
      </w:r>
      <w:hyperlink r:id="rId37">
        <w:r>
          <w:rPr>
            <w:rFonts w:ascii="Times New Roman" w:cs="Times New Roman" w:eastAsia="Times New Roman" w:hAnsi="Times New Roman"/>
            <w:sz w:val="18"/>
            <w:szCs w:val="18"/>
            <w:u w:val="single" w:color="auto"/>
            <w:color w:val="0000EE"/>
          </w:rPr>
          <w:t>November 14, 2023</w:t>
        </w:r>
      </w:hyperlink>
      <w:r>
        <w:rPr>
          <w:rFonts w:ascii="Times New Roman" w:cs="Times New Roman" w:eastAsia="Times New Roman" w:hAnsi="Times New Roman"/>
          <w:sz w:val="18"/>
          <w:szCs w:val="18"/>
          <w:color w:val="000000"/>
        </w:rPr>
        <w:t xml:space="preserve">, as amended by our Quarterly Reports on Form 10-Q/A filed with the SEC on </w:t>
      </w:r>
      <w:hyperlink r:id="rId38">
        <w:r>
          <w:rPr>
            <w:rFonts w:ascii="Times New Roman" w:cs="Times New Roman" w:eastAsia="Times New Roman" w:hAnsi="Times New Roman"/>
            <w:sz w:val="18"/>
            <w:szCs w:val="18"/>
            <w:u w:val="single" w:color="auto"/>
            <w:color w:val="0000EE"/>
          </w:rPr>
          <w:t>February 7, 2024</w:t>
        </w:r>
      </w:hyperlink>
      <w:r>
        <w:rPr>
          <w:rFonts w:ascii="Times New Roman" w:cs="Times New Roman" w:eastAsia="Times New Roman" w:hAnsi="Times New Roman"/>
          <w:sz w:val="18"/>
          <w:szCs w:val="18"/>
          <w:color w:val="000000"/>
        </w:rPr>
        <w:t xml:space="preserve">, </w:t>
      </w:r>
      <w:hyperlink r:id="rId39">
        <w:r>
          <w:rPr>
            <w:rFonts w:ascii="Times New Roman" w:cs="Times New Roman" w:eastAsia="Times New Roman" w:hAnsi="Times New Roman"/>
            <w:sz w:val="18"/>
            <w:szCs w:val="18"/>
            <w:u w:val="single" w:color="auto"/>
            <w:color w:val="0000EE"/>
          </w:rPr>
          <w:t>February 8,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0">
        <w:r>
          <w:rPr>
            <w:rFonts w:ascii="Times New Roman" w:cs="Times New Roman" w:eastAsia="Times New Roman" w:hAnsi="Times New Roman"/>
            <w:sz w:val="18"/>
            <w:szCs w:val="18"/>
            <w:u w:val="single" w:color="auto"/>
            <w:color w:val="0000EE"/>
          </w:rPr>
          <w:t>February 14, 2024</w:t>
        </w:r>
      </w:hyperlink>
      <w:r>
        <w:rPr>
          <w:rFonts w:ascii="Times New Roman" w:cs="Times New Roman" w:eastAsia="Times New Roman" w:hAnsi="Times New Roman"/>
          <w:sz w:val="18"/>
          <w:szCs w:val="18"/>
          <w:color w:val="000000"/>
        </w:rPr>
        <w:t>;</w:t>
      </w:r>
    </w:p>
    <w:p>
      <w:pPr>
        <w:spacing w:after="0" w:line="85" w:lineRule="exact"/>
        <w:rPr>
          <w:rFonts w:ascii="Times New Roman" w:cs="Times New Roman" w:eastAsia="Times New Roman" w:hAnsi="Times New Roman"/>
          <w:sz w:val="18"/>
          <w:szCs w:val="18"/>
          <w:color w:val="0000EE"/>
        </w:rPr>
      </w:pPr>
    </w:p>
    <w:p>
      <w:pPr>
        <w:ind w:left="1080" w:right="340" w:hanging="424"/>
        <w:spacing w:after="0" w:line="282" w:lineRule="auto"/>
        <w:tabs>
          <w:tab w:leader="none" w:pos="1080" w:val="left"/>
        </w:tabs>
        <w:numPr>
          <w:ilvl w:val="0"/>
          <w:numId w:val="13"/>
        </w:numPr>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March 9,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3,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19,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9, 2023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February 29,</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on Form 8-K/A filed with the SEC on</w:t>
        </w:r>
        <w:r>
          <w:rPr>
            <w:rFonts w:ascii="Times New Roman" w:cs="Times New Roman" w:eastAsia="Times New Roman" w:hAnsi="Times New Roman"/>
            <w:sz w:val="18"/>
            <w:szCs w:val="18"/>
            <w:color w:val="0000EE"/>
          </w:rPr>
          <w:t xml:space="preserve"> </w:t>
        </w:r>
      </w:hyperlink>
      <w:hyperlink r:id="rId42">
        <w:r>
          <w:rPr>
            <w:rFonts w:ascii="Times New Roman" w:cs="Times New Roman" w:eastAsia="Times New Roman" w:hAnsi="Times New Roman"/>
            <w:sz w:val="18"/>
            <w:szCs w:val="18"/>
            <w:u w:val="single" w:color="auto"/>
            <w:color w:val="0000EE"/>
          </w:rPr>
          <w:t>April 5, 2022</w:t>
        </w:r>
      </w:hyperlink>
      <w:hyperlink r:id="rId4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3">
        <w:r>
          <w:rPr>
            <w:rFonts w:ascii="Times New Roman" w:cs="Times New Roman" w:eastAsia="Times New Roman" w:hAnsi="Times New Roman"/>
            <w:sz w:val="18"/>
            <w:szCs w:val="18"/>
            <w:u w:val="single" w:color="auto"/>
            <w:color w:val="0000EE"/>
          </w:rPr>
          <w:t>April 18, 2023</w:t>
        </w:r>
      </w:hyperlink>
      <w:hyperlink r:id="rId41">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44">
        <w:r>
          <w:rPr>
            <w:rFonts w:ascii="Times New Roman" w:cs="Times New Roman" w:eastAsia="Times New Roman" w:hAnsi="Times New Roman"/>
            <w:sz w:val="18"/>
            <w:szCs w:val="18"/>
            <w:u w:val="single" w:color="auto"/>
            <w:color w:val="0000EE"/>
          </w:rPr>
          <w:t>February 14, 2024</w:t>
        </w:r>
      </w:hyperlink>
      <w:hyperlink r:id="rId41">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ind w:left="10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the Registration Statement on </w:t>
      </w:r>
      <w:hyperlink r:id="rId4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thereto, filed on October 15, 2021, including any amendment or report filed for the purpose of updating such description.</w:t>
      </w:r>
    </w:p>
    <w:p>
      <w:pPr>
        <w:spacing w:after="0" w:line="162" w:lineRule="exact"/>
        <w:rPr>
          <w:rFonts w:ascii="Times New Roman" w:cs="Times New Roman" w:eastAsia="Times New Roman" w:hAnsi="Times New Roman"/>
          <w:sz w:val="18"/>
          <w:szCs w:val="18"/>
          <w:color w:val="0000EE"/>
        </w:rPr>
      </w:pPr>
    </w:p>
    <w:p>
      <w:pPr>
        <w:ind w:left="12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221"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31"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9"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139"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173990</wp:posOffset>
            </wp:positionV>
            <wp:extent cx="908685" cy="342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90868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$150,000,000</w:t>
      </w:r>
    </w:p>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The aggregate offering price of the securities we sell pursuant to this prospectus will not exceed $150,000,000.</w:t>
      </w:r>
    </w:p>
    <w:p>
      <w:pPr>
        <w:spacing w:after="0" w:line="16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Class A common stock, par value $0.0001 per share (“Class A Common Stock”), and our public warrants to purchase Class A Common Stock are listed on the New York Stock Exchange (“NYSE”) under the symbols “BKKT” and “BKKT WS,” respectively. Each prospectus supplement will indicate whether the securities offered thereby will be listed on any securities exchange.</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under the federal securities laws, and, as such, may elect to comply with certain reduced public company reporting requirements for this and future filings. We will provide information in any applicable prospectus supplement regarding any listing of securities other than shares of our Class A Common Stock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12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these securities involves risks. Please carefully read the information under the headings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beginning on page 7 of this prospectus and “</w:t>
      </w:r>
      <w:r>
        <w:rPr>
          <w:rFonts w:ascii="Times New Roman" w:cs="Times New Roman" w:eastAsia="Times New Roman" w:hAnsi="Times New Roman"/>
          <w:sz w:val="22"/>
          <w:szCs w:val="22"/>
          <w:b w:val="1"/>
          <w:bCs w:val="1"/>
          <w:i w:val="1"/>
          <w:iCs w:val="1"/>
          <w:color w:val="auto"/>
        </w:rPr>
        <w:t>Item 1A – Risk Factors</w:t>
      </w:r>
      <w:r>
        <w:rPr>
          <w:rFonts w:ascii="Times New Roman" w:cs="Times New Roman" w:eastAsia="Times New Roman" w:hAnsi="Times New Roman"/>
          <w:sz w:val="22"/>
          <w:szCs w:val="22"/>
          <w:b w:val="1"/>
          <w:bCs w:val="1"/>
          <w:color w:val="auto"/>
        </w:rPr>
        <w:t>” of our most recent Annual Report on Form 10-K and any Quarterly Report on Form 10-Q filed subsequently to such Form 10-K that is incorporated by reference in this prospectus before you invest in our securities.</w:t>
      </w:r>
    </w:p>
    <w:p>
      <w:pPr>
        <w:spacing w:after="0" w:line="183"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14, 2024.</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1"/>
        </w:trPr>
        <w:tc>
          <w:tcPr>
            <w:tcW w:w="15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120" w:type="dxa"/>
            <w:vAlign w:val="bottom"/>
            <w:gridSpan w:val="6"/>
            <w:vMerge w:val="restart"/>
          </w:tcPr>
          <w:p>
            <w:pPr>
              <w:spacing w:after="0"/>
              <w:rPr>
                <w:sz w:val="24"/>
                <w:szCs w:val="24"/>
                <w:color w:val="auto"/>
              </w:rPr>
            </w:pPr>
          </w:p>
        </w:tc>
        <w:tc>
          <w:tcPr>
            <w:tcW w:w="69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4"/>
        </w:trPr>
        <w:tc>
          <w:tcPr>
            <w:tcW w:w="1580" w:type="dxa"/>
            <w:vAlign w:val="bottom"/>
            <w:tcBorders>
              <w:bottom w:val="single" w:sz="8" w:color="0000EE"/>
            </w:tcBorders>
            <w:gridSpan w:val="8"/>
            <w:vMerge w:val="continue"/>
          </w:tcPr>
          <w:p>
            <w:pPr>
              <w:spacing w:after="0"/>
              <w:rPr>
                <w:sz w:val="14"/>
                <w:szCs w:val="14"/>
                <w:color w:val="auto"/>
              </w:rPr>
            </w:pPr>
          </w:p>
        </w:tc>
        <w:tc>
          <w:tcPr>
            <w:tcW w:w="2120" w:type="dxa"/>
            <w:vAlign w:val="bottom"/>
            <w:gridSpan w:val="6"/>
            <w:vMerge w:val="continue"/>
          </w:tcPr>
          <w:p>
            <w:pPr>
              <w:spacing w:after="0"/>
              <w:rPr>
                <w:sz w:val="14"/>
                <w:szCs w:val="14"/>
                <w:color w:val="auto"/>
              </w:rPr>
            </w:pPr>
          </w:p>
        </w:tc>
        <w:tc>
          <w:tcPr>
            <w:tcW w:w="696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180" w:type="dxa"/>
            <w:vAlign w:val="bottom"/>
            <w:gridSpan w:val="7"/>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600" w:type="dxa"/>
            <w:vAlign w:val="bottom"/>
            <w:gridSpan w:val="3"/>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1520" w:type="dxa"/>
            <w:vAlign w:val="bottom"/>
            <w:gridSpan w:val="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3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1980" w:type="dxa"/>
            <w:vAlign w:val="bottom"/>
            <w:gridSpan w:val="5"/>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240" w:type="dxa"/>
            <w:vAlign w:val="bottom"/>
            <w:gridSpan w:val="8"/>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280" w:type="dxa"/>
            <w:vAlign w:val="bottom"/>
            <w:gridSpan w:val="9"/>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700" w:type="dxa"/>
            <w:vAlign w:val="bottom"/>
            <w:gridSpan w:val="11"/>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820" w:type="dxa"/>
            <w:vAlign w:val="bottom"/>
            <w:tcBorders>
              <w:top w:val="single" w:sz="8" w:color="0000EE"/>
            </w:tcBorders>
            <w:gridSpan w:val="3"/>
          </w:tcPr>
          <w:p>
            <w:pPr>
              <w:spacing w:after="0"/>
              <w:rPr>
                <w:sz w:val="17"/>
                <w:szCs w:val="17"/>
                <w:color w:val="auto"/>
              </w:rPr>
            </w:pPr>
          </w:p>
        </w:tc>
        <w:tc>
          <w:tcPr>
            <w:tcW w:w="840" w:type="dxa"/>
            <w:vAlign w:val="bottom"/>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using a “shelf” registration process. Under this shelf registration process, we may from time to time sell any combination of the securities described in this prospectus in one or more offerings.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may be offered.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any applicable prospectus supplement together with the additional information described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30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71"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most recent Annual Report on Form</w:t>
      </w:r>
    </w:p>
    <w:p>
      <w:pPr>
        <w:spacing w:after="0" w:line="1" w:lineRule="exact"/>
        <w:rPr>
          <w:sz w:val="20"/>
          <w:szCs w:val="20"/>
          <w:color w:val="auto"/>
        </w:rPr>
      </w:pPr>
    </w:p>
    <w:p>
      <w:pPr>
        <w:jc w:val="both"/>
        <w:ind w:left="300" w:right="300"/>
        <w:spacing w:after="0" w:line="255" w:lineRule="auto"/>
        <w:rPr>
          <w:sz w:val="20"/>
          <w:szCs w:val="20"/>
          <w:color w:val="auto"/>
        </w:rPr>
      </w:pPr>
      <w:r>
        <w:rPr>
          <w:rFonts w:ascii="Times New Roman" w:cs="Times New Roman" w:eastAsia="Times New Roman" w:hAnsi="Times New Roman"/>
          <w:sz w:val="18"/>
          <w:szCs w:val="18"/>
          <w:i w:val="1"/>
          <w:iCs w:val="1"/>
          <w:color w:val="auto"/>
        </w:rPr>
        <w:t>10-K and our Quarterly Reports on Form 10-Q filed subsequently to such Form 10-K. Unless the context indicates otherwise, references in this prospectus to “Bakkt Holdings, Inc.,” “Bakkt,” the “Company,” “we,” “our” and “us” refer, collectively, to Bakkt Holdings, Inc., a Delaware corporation, and its consolidated subsidiaries taken as a whole.</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120" w:firstLine="426"/>
        <w:spacing w:after="0" w:line="256" w:lineRule="auto"/>
        <w:rPr>
          <w:sz w:val="20"/>
          <w:szCs w:val="20"/>
          <w:color w:val="auto"/>
        </w:rPr>
      </w:pPr>
      <w:r>
        <w:rPr>
          <w:rFonts w:ascii="Times New Roman" w:cs="Times New Roman" w:eastAsia="Times New Roman" w:hAnsi="Times New Roman"/>
          <w:sz w:val="18"/>
          <w:szCs w:val="18"/>
          <w:color w:val="auto"/>
        </w:rPr>
        <w:t>Founded in 2018, Bakkt operates technology that connects the digital economy by offering a platform for crypto and redeeming loyalty points. We enable our clients to deliver new opportunities to their customers through an interactive web experience or application programming interface (“API”) solutions that unlock crypto and drive loyalty. The global market for crypto, while nascent, is rapidly evolving and expanding. We believe we are well-positioned to provide secure, licensed product solutions and grow with this evolving market. We believe our platform is well positioned to power commerce by enabling consumers, brands, and financial institutions to better manage, transact with and monetize crypto in exciting new ways.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provide, or are working to provide, simplified solutions focused in the following areas:</w:t>
      </w:r>
    </w:p>
    <w:p>
      <w:pPr>
        <w:spacing w:after="0" w:line="3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Crypto</w:t>
      </w:r>
    </w:p>
    <w:p>
      <w:pPr>
        <w:spacing w:after="0" w:line="133" w:lineRule="exact"/>
        <w:rPr>
          <w:sz w:val="20"/>
          <w:szCs w:val="20"/>
          <w:color w:val="auto"/>
        </w:rPr>
      </w:pPr>
    </w:p>
    <w:p>
      <w:pPr>
        <w:ind w:left="1240" w:right="240" w:hanging="415"/>
        <w:spacing w:after="0" w:line="284"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Custody</w:t>
      </w:r>
      <w:r>
        <w:rPr>
          <w:rFonts w:ascii="Times New Roman" w:cs="Times New Roman" w:eastAsia="Times New Roman" w:hAnsi="Times New Roman"/>
          <w:sz w:val="18"/>
          <w:szCs w:val="18"/>
          <w:color w:val="auto"/>
        </w:rPr>
        <w:t>. Our institutional-grade qualified custody solution caters to more experienced market participants, offering a highly secure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compliance-focused infrastructure. It also supports our consumer crypto infrastructure.</w:t>
      </w:r>
    </w:p>
    <w:p>
      <w:pPr>
        <w:spacing w:after="0" w:line="63" w:lineRule="exact"/>
        <w:rPr>
          <w:rFonts w:ascii="Times New Roman" w:cs="Times New Roman" w:eastAsia="Times New Roman" w:hAnsi="Times New Roman"/>
          <w:sz w:val="18"/>
          <w:szCs w:val="18"/>
          <w:color w:val="auto"/>
        </w:rPr>
      </w:pPr>
    </w:p>
    <w:p>
      <w:pPr>
        <w:ind w:left="1240" w:right="20" w:hanging="415"/>
        <w:spacing w:after="0" w:line="284"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Crypto Trading</w:t>
      </w:r>
      <w:r>
        <w:rPr>
          <w:rFonts w:ascii="Times New Roman" w:cs="Times New Roman" w:eastAsia="Times New Roman" w:hAnsi="Times New Roman"/>
          <w:sz w:val="18"/>
          <w:szCs w:val="18"/>
          <w:color w:val="auto"/>
        </w:rPr>
        <w:t>. Our platform provides consumers, businesses and institutions with the ability to buy, sell and store crypto in a simple,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intuitive digital experience accessed via APIs or embedded web experience.</w:t>
      </w:r>
    </w:p>
    <w:p>
      <w:pPr>
        <w:spacing w:after="0" w:line="63" w:lineRule="exact"/>
        <w:rPr>
          <w:rFonts w:ascii="Times New Roman" w:cs="Times New Roman" w:eastAsia="Times New Roman" w:hAnsi="Times New Roman"/>
          <w:sz w:val="18"/>
          <w:szCs w:val="18"/>
          <w:color w:val="auto"/>
        </w:rPr>
      </w:pPr>
    </w:p>
    <w:p>
      <w:pPr>
        <w:ind w:left="1240" w:right="300" w:hanging="415"/>
        <w:spacing w:after="0" w:line="284"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Crypto Rewards</w:t>
      </w:r>
      <w:r>
        <w:rPr>
          <w:rFonts w:ascii="Times New Roman" w:cs="Times New Roman" w:eastAsia="Times New Roman" w:hAnsi="Times New Roman"/>
          <w:sz w:val="18"/>
          <w:szCs w:val="18"/>
          <w:color w:val="auto"/>
        </w:rPr>
        <w:t>. We are in the process of enabling clients of all sizes to offer loyalty and rewards to their customers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crypto – either by earning crypto rewards, or by redeeming existing reward currencies, such as points or miles, into crypto.</w:t>
      </w:r>
    </w:p>
    <w:p>
      <w:pPr>
        <w:spacing w:after="0" w:line="2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Loyalty</w:t>
      </w:r>
    </w:p>
    <w:p>
      <w:pPr>
        <w:spacing w:after="0" w:line="135" w:lineRule="exact"/>
        <w:rPr>
          <w:sz w:val="20"/>
          <w:szCs w:val="20"/>
          <w:color w:val="auto"/>
        </w:rPr>
      </w:pPr>
    </w:p>
    <w:p>
      <w:pPr>
        <w:ind w:left="1240" w:right="60" w:hanging="415"/>
        <w:spacing w:after="0" w:line="266"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full spectrum of content that clients can make available to their customers when redeeming loyalty currencies, thus driving consumer loyalty and engagement. Our redemption solutions span a variety of rewards categories including merchandise (such as Apple products and services), gift cards and digital experiences.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Acquisition of Bakkt Crypto</w:t>
      </w:r>
    </w:p>
    <w:p>
      <w:pPr>
        <w:spacing w:after="0" w:line="121"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On April 1, 2023, we completed the previously announced acquisition (the “Acquisition”) by Bakkt Marketplace, LLC, an indirect wholly owned subsidiary of the Company (“Bakkt Marketplace” and, together with Bakkt, the “Bakkt Parties”), of all of the membership interests in Apex Crypto LLC, a Delaware limited liability company (“Apex Crypto”), from Apex Fintech Solutions Inc., a Delaware corporation (“Seller” and,</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56" w:lineRule="auto"/>
        <w:rPr>
          <w:sz w:val="20"/>
          <w:szCs w:val="20"/>
          <w:color w:val="auto"/>
        </w:rPr>
      </w:pPr>
      <w:r>
        <w:rPr>
          <w:rFonts w:ascii="Times New Roman" w:cs="Times New Roman" w:eastAsia="Times New Roman" w:hAnsi="Times New Roman"/>
          <w:sz w:val="18"/>
          <w:szCs w:val="18"/>
          <w:color w:val="auto"/>
        </w:rPr>
        <w:t>together with Apex Crypto, the “Seller Parties”), pursuant to the terms of a Membership Interest Purchase Agreement (as amended, the “Purchase Agreement”), dated as of November 2, 2022, by and among the Bakkt Parties and the Seller Parties. Additionally, effective as of April 1, 2023, the Company and the Seller entered into a Registration Rights Agreement, pursuant to which the Company is required to file with the SEC a registration statement for the resale of shares of Bakkt’s Class A common stock that may be issued as contingent consideration under the Purchase Agreement. The Registration Rights Agreement also provides holders of Registrable Securities (as defined therein) with certain customary piggyback registration rights.</w:t>
      </w:r>
    </w:p>
    <w:p>
      <w:pPr>
        <w:spacing w:after="0" w:line="187"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Effective June 12, 2023, we changed the name of Apex Crypto to Bakkt Crypto Solutions, LLC (“Bakkt Crypto”). We expect to leverage Bakkt Crypto’s proprietary trading platform and existing relationships with liquidity providers to provide a wider range of crypto assets and competitive pricing to our customers. Bakkt Crypto complements our B2B2C growth strategy by broadening our business partnerships to broker-dealers, registered investment advisors, fintechs and neo-banks. Specifically, Bakkt Crypto offers customers the ability to purchase, sell, store and, in approved jurisdictions, deposit and withdraw approved crypto assets, all from within the applications of our clients with whom customers already have a relationship. Using Bakkt Crypto’s platform, customers can purchase approved crypto assets, store crypto assets in custodial wallets, liquidate their holdings, and transfer supported crypto assets between a custodial wallet maintained by Bakkt Crypto and external wallets in certain jurisdictions, if enabled by the client.</w:t>
      </w:r>
    </w:p>
    <w:p>
      <w:pPr>
        <w:spacing w:after="0" w:line="192"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As part of our acquisition of Bakkt Crypto, we also acquired its agreements with more than 30 third-party partners pursuant to which the partners made Bakkt Crypto’s crypto asset trading service available to their customer base. The agreements with these third-party fintech partners (referred to as clients) provide for licensing of their front-end trading platforms by Bakkt Crypto and cooperation between the parties in facilitating customers’ transactions in crypto assets. Additionally, Bakkt Crypto is regularly exploring additional ways to innovate and provide additional products and services to its clients. We are actively pursuing opportunities to provide crypto asset trading services in jurisdictions outside of the United States, including the United Kingdom, Hong Kong, Spain and throughout Latin America, subject to applicable local regulatory approvals. Bakkt Crypto is currently live with customers in Spain, Mexico, Argentina, and Brazil through a partnership with a local client. Subject to applicable regulatory approvals, Bakkt Crypto intends to expand the provision of trading services for institutional clients.</w:t>
      </w:r>
    </w:p>
    <w:p>
      <w:pPr>
        <w:spacing w:after="0" w:line="192"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For additional information, please see our Amended Form 10-Q, filed on February 14, 2024, that (i) amends and restates the disclosure in Part II, Item 1A “Risk Factors” to, among other things, add a description of certain risks resulting from changes to the Company’s business following the Acquisition, and (ii) amends and restates Part II, Item 5 to describe certain updates to the Company’s business activities following the Acquisition.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In the unaudited financial statements included in our quarterly report on Form 10-Q for the quarterly period ended September 30, 2023 (the “Original Form 10-Q”) filed on November 14, 2023 (the “Original 10-Q Filing Date”), we disclosed that subsequent to the filing of the Original Form 10-Q, and in connection with the filing of Amendment No. 3 to the Original Form 10-Q (the “Amended Form 10-Q”), we made the following determination regarding our ability to continue as a going concern using the information available to us as of the date of the filing of the Amended Form 10-Q.</w:t>
      </w:r>
    </w:p>
    <w:p>
      <w:pPr>
        <w:spacing w:after="0" w:line="183" w:lineRule="exact"/>
        <w:rPr>
          <w:sz w:val="20"/>
          <w:szCs w:val="20"/>
          <w:color w:val="auto"/>
        </w:rPr>
      </w:pPr>
    </w:p>
    <w:p>
      <w:pPr>
        <w:ind w:left="300" w:right="180" w:firstLine="426"/>
        <w:spacing w:after="0" w:line="258" w:lineRule="auto"/>
        <w:rPr>
          <w:sz w:val="20"/>
          <w:szCs w:val="20"/>
          <w:color w:val="auto"/>
        </w:rPr>
      </w:pPr>
      <w:r>
        <w:rPr>
          <w:rFonts w:ascii="Times New Roman" w:cs="Times New Roman" w:eastAsia="Times New Roman" w:hAnsi="Times New Roman"/>
          <w:sz w:val="18"/>
          <w:szCs w:val="18"/>
          <w:color w:val="auto"/>
        </w:rPr>
        <w:t>We have incurred net losses and consumed cashflow from operations since our inception and continue to incur losses and consume cash through the date of the Amended Form 10-Q filing. We have historically relied on our existing cash and available-for-sale securities portfolio to fund operations. We do not have any long-term debt to service but have commitments under long-term cloud computing, lease and marketing contracts. We expect to continue to incur losses and consume cash for the foreseeable future, which, as of the date of filing of the Amended Form 10-Q, raised substantial doubt about our ability to continue as a going concern.</w:t>
      </w: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1562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6998970" cy="51562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firstLine="426"/>
        <w:spacing w:after="0" w:line="253" w:lineRule="auto"/>
        <w:rPr>
          <w:sz w:val="20"/>
          <w:szCs w:val="20"/>
          <w:color w:val="auto"/>
        </w:rPr>
      </w:pPr>
      <w:r>
        <w:rPr>
          <w:rFonts w:ascii="Times New Roman" w:cs="Times New Roman" w:eastAsia="Times New Roman" w:hAnsi="Times New Roman"/>
          <w:sz w:val="18"/>
          <w:szCs w:val="18"/>
          <w:color w:val="auto"/>
        </w:rPr>
        <w:t>As of the date of the Amended Form 10-Q, we did not believe that our cash, short-term securities, and restricted cash were sufficient to fund our operations for the next 12 months, without raising additional capital in the near future. We have been executing a strategic plan to optimize our capital allocation and expense base since the fourth quarter of 2022, which has reduced our annual cash expenses year over year and which we expect will continue to reduce our cash expenses in 2024. We are also planning to integrate our regulated entities to reduce regulatory capital and insurance requirements. However, it is critical to our plan to mitigate our cash burn that we significantly expand our revenue base to be able to generate a sustainable operating profit. There is significant uncertainty associated with our expansion to new markets and the growth of our revenue base given the uncertain and rapidly evolving environment associated with crypto assets. Accordingly, we could not conclude, as of the date of the filing of the Amended Form 10-Q, that it was probable that we would be able to increase revenues substantially beyond levels that we have attained in the past in order to generate sustainable operating profit to continue doing business, and, as a result, we concluded these plans did not alleviate substantial doubt about our ability to continue as a going concern. We are seeking additional financing and evaluating financing alternatives in order to meet our cash requirements for the next 12 months. We cannot be certain that raising additional capital, whether through selling additional equity or debt securities or obtaining a line of credit or other loan, will be available to us or, if available, will be on terms acceptable to us. If we cannot continue as a viable entity, our stockholders would likely lose most or all of their investment in us.</w:t>
      </w:r>
    </w:p>
    <w:p>
      <w:pPr>
        <w:spacing w:after="0" w:line="187" w:lineRule="exact"/>
        <w:rPr>
          <w:sz w:val="20"/>
          <w:szCs w:val="20"/>
          <w:color w:val="auto"/>
        </w:rPr>
      </w:pPr>
    </w:p>
    <w:p>
      <w:pPr>
        <w:ind w:left="300" w:right="240" w:firstLine="426"/>
        <w:spacing w:after="0" w:line="312" w:lineRule="auto"/>
        <w:rPr>
          <w:sz w:val="20"/>
          <w:szCs w:val="20"/>
          <w:color w:val="auto"/>
        </w:rPr>
      </w:pPr>
      <w:r>
        <w:rPr>
          <w:rFonts w:ascii="Times New Roman" w:cs="Times New Roman" w:eastAsia="Times New Roman" w:hAnsi="Times New Roman"/>
          <w:sz w:val="17"/>
          <w:szCs w:val="17"/>
          <w:color w:val="auto"/>
        </w:rPr>
        <w:t>For additional information, please see our other filings with the SEC that are incorporated by reference into this prospectus, including the Amended Form 10-Q and the risk factor entitled “We might not be able to continue as a going concern.” included under Part II, Item 1A therein.</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Investing in our Class A common stock involves numerous risks and uncertainties, including the risks and uncertainties described in the section titled “Risk Factors” and elsewhere in this prospectus. You should carefully consider these risks and uncertainties before investing in our securities. Below are some of these risks, any one of which could materially adversely affect our business, financial condition, results of operations, and prospects.</w:t>
      </w:r>
    </w:p>
    <w:p>
      <w:pPr>
        <w:spacing w:after="0" w:line="2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Our Business, Finances and Operations</w:t>
      </w:r>
    </w:p>
    <w:p>
      <w:pPr>
        <w:spacing w:after="0" w:line="133" w:lineRule="exact"/>
        <w:rPr>
          <w:sz w:val="20"/>
          <w:szCs w:val="20"/>
          <w:color w:val="auto"/>
        </w:rPr>
      </w:pPr>
    </w:p>
    <w:p>
      <w:pPr>
        <w:ind w:left="1240" w:hanging="415"/>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is newly developed and may encounter additional risks and challenges as it grows.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is still in the early stages of its release and is largely untested.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additional functionalities and crypto assets to our platform may adversely affect future growth.</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and a history of operating losses.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be able to continue as a going concern.</w:t>
      </w:r>
    </w:p>
    <w:p>
      <w:pPr>
        <w:spacing w:after="0" w:line="130"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retain or grow our relationships with our existing clients and third-party custodians, our business, financial condition, results of operations and future prospects would be materially and adversely affected.</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38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6998970" cy="60388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8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Excessive redemptions or withdrawals, or a suspension of redemptions or withdrawals, of crypto assets could adversely impact our business.</w:t>
      </w:r>
    </w:p>
    <w:p>
      <w:pPr>
        <w:spacing w:after="0" w:line="67" w:lineRule="exact"/>
        <w:rPr>
          <w:rFonts w:ascii="Times New Roman" w:cs="Times New Roman" w:eastAsia="Times New Roman" w:hAnsi="Times New Roman"/>
          <w:sz w:val="18"/>
          <w:szCs w:val="18"/>
          <w:color w:val="auto"/>
        </w:rPr>
      </w:pPr>
    </w:p>
    <w:p>
      <w:pPr>
        <w:jc w:val="both"/>
        <w:ind w:left="1240" w:right="160" w:hanging="415"/>
        <w:spacing w:after="0" w:line="266"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current and prospective clients require the approval of their own regulators in order to deploy our solutions, especially our crypto solutions, and if they are unable to obtain those approvals on a timely basis, or at all, our results of operations and future prospects would be materially and adversely affected.</w:t>
      </w:r>
    </w:p>
    <w:p>
      <w:pPr>
        <w:spacing w:after="0" w:line="81" w:lineRule="exact"/>
        <w:rPr>
          <w:rFonts w:ascii="Times New Roman" w:cs="Times New Roman" w:eastAsia="Times New Roman" w:hAnsi="Times New Roman"/>
          <w:sz w:val="18"/>
          <w:szCs w:val="18"/>
          <w:color w:val="auto"/>
        </w:rPr>
      </w:pPr>
    </w:p>
    <w:p>
      <w:pPr>
        <w:ind w:left="1240" w:right="140" w:hanging="415"/>
        <w:spacing w:after="0" w:line="261"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percentage of our revenue is concentrated with a small number of clients; the loss of any such client would materially and adversely affect our business, financial condition, results of operations and future prospects. Moreover, because of our B2B2C go-to-market model, the loss of any client – regardless of the reason – increases the risk that the customers that originally emanated from that client will transition to another provider or stop doing business with us, which would harm our business.</w:t>
      </w:r>
    </w:p>
    <w:p>
      <w:pPr>
        <w:spacing w:after="0" w:line="85" w:lineRule="exact"/>
        <w:rPr>
          <w:rFonts w:ascii="Times New Roman" w:cs="Times New Roman" w:eastAsia="Times New Roman" w:hAnsi="Times New Roman"/>
          <w:sz w:val="18"/>
          <w:szCs w:val="18"/>
          <w:color w:val="auto"/>
        </w:rPr>
      </w:pPr>
    </w:p>
    <w:p>
      <w:pPr>
        <w:ind w:left="1240" w:right="52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of past or future investments, strategic transactions, or acquisitions – including our acquisition of Bakkt Crypto – and integration of these acquisitions may disrupt our business and management.</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Crypto</w:t>
      </w:r>
    </w:p>
    <w:p>
      <w:pPr>
        <w:spacing w:after="0" w:line="133" w:lineRule="exact"/>
        <w:rPr>
          <w:sz w:val="20"/>
          <w:szCs w:val="20"/>
          <w:color w:val="auto"/>
        </w:rPr>
      </w:pPr>
    </w:p>
    <w:p>
      <w:pPr>
        <w:ind w:left="1240" w:hanging="415"/>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crypto market subject us to additional risks, including the risk that banks may not provide banking services to us.</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 general perception among regulators and others that crypto is used to facilitate illegal activity such as fraud, money laundering, tax evasion and ransomware scams.</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crypto custodial solutions and related technology, which may experience theft, employee or vendor sabotage, security and cybersecurity risks, system failures and other operational issues which could damage our reputation and brand.</w:t>
      </w:r>
    </w:p>
    <w:p>
      <w:pPr>
        <w:spacing w:after="0" w:line="67" w:lineRule="exact"/>
        <w:rPr>
          <w:rFonts w:ascii="Times New Roman" w:cs="Times New Roman" w:eastAsia="Times New Roman" w:hAnsi="Times New Roman"/>
          <w:sz w:val="18"/>
          <w:szCs w:val="18"/>
          <w:color w:val="auto"/>
        </w:rPr>
      </w:pPr>
    </w:p>
    <w:p>
      <w:pPr>
        <w:ind w:left="1240" w:right="40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safeguard and manage our customers’ crypto could adversely impact our business, operating results, and financial condition.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does not have extensive historical precedent and distributed ledger technology continues to rapidly evolve.</w:t>
      </w:r>
    </w:p>
    <w:p>
      <w:pPr>
        <w:spacing w:after="0" w:line="130"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technical issues in connection with the integration of supported crypto assets and changes and upgrades to their underlying networks, which could adversely affect our business.</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Regulation, Taxation and Laws</w:t>
      </w:r>
    </w:p>
    <w:p>
      <w:pPr>
        <w:spacing w:after="0" w:line="133" w:lineRule="exact"/>
        <w:rPr>
          <w:sz w:val="20"/>
          <w:szCs w:val="20"/>
          <w:color w:val="auto"/>
        </w:rPr>
      </w:pPr>
    </w:p>
    <w:p>
      <w:pPr>
        <w:ind w:left="1240" w:right="300" w:hanging="415"/>
        <w:spacing w:after="0" w:line="282"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 oversight, licensure and appraisals and our failure to comply could materially harm our business.</w:t>
      </w:r>
    </w:p>
    <w:p>
      <w:pPr>
        <w:spacing w:after="0" w:line="67" w:lineRule="exact"/>
        <w:rPr>
          <w:rFonts w:ascii="Times New Roman" w:cs="Times New Roman" w:eastAsia="Times New Roman" w:hAnsi="Times New Roman"/>
          <w:sz w:val="18"/>
          <w:szCs w:val="18"/>
          <w:color w:val="auto"/>
        </w:rPr>
      </w:pPr>
    </w:p>
    <w:p>
      <w:pPr>
        <w:ind w:left="1240" w:right="440" w:hanging="415"/>
        <w:spacing w:after="0" w:line="312" w:lineRule="auto"/>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regimes governing blockchain technologies and crypto are evolving and uncertain, and new legislation, regulations, guidance and enforcement actions have in the past required, and may in the future require us to alter our business practices.</w:t>
      </w:r>
    </w:p>
    <w:p>
      <w:pPr>
        <w:spacing w:after="0" w:line="45" w:lineRule="exact"/>
        <w:rPr>
          <w:rFonts w:ascii="Times New Roman" w:cs="Times New Roman" w:eastAsia="Times New Roman" w:hAnsi="Times New Roman"/>
          <w:sz w:val="17"/>
          <w:szCs w:val="17"/>
          <w:color w:val="auto"/>
        </w:rPr>
      </w:pPr>
    </w:p>
    <w:p>
      <w:pPr>
        <w:ind w:left="1240" w:hanging="415"/>
        <w:spacing w:after="0" w:line="266"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81"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litigation risk and risk of regulatory liability and penalties. Any current or future litigation against us could be costly and time-consuming to defend.</w:t>
      </w:r>
    </w:p>
    <w:p>
      <w:pPr>
        <w:spacing w:after="0" w:line="27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40"/>
          </w:cols>
          <w:pgMar w:left="320" w:top="455" w:right="7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638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6998970" cy="663892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Information Technology and Data</w:t>
      </w:r>
    </w:p>
    <w:p>
      <w:pPr>
        <w:spacing w:after="0" w:line="133" w:lineRule="exact"/>
        <w:rPr>
          <w:sz w:val="20"/>
          <w:szCs w:val="20"/>
          <w:color w:val="auto"/>
        </w:rPr>
      </w:pPr>
    </w:p>
    <w:p>
      <w:pPr>
        <w:ind w:left="1240" w:right="120" w:hanging="415"/>
        <w:spacing w:after="0" w:line="282"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cyberattacks, security incidents, or breaches could result in serious harm to our reputation, business and financial condition.</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Risk Management and Financial Reporting</w:t>
      </w:r>
    </w:p>
    <w:p>
      <w:pPr>
        <w:spacing w:after="0" w:line="133" w:lineRule="exact"/>
        <w:rPr>
          <w:sz w:val="20"/>
          <w:szCs w:val="20"/>
          <w:color w:val="auto"/>
        </w:rPr>
      </w:pPr>
    </w:p>
    <w:p>
      <w:pPr>
        <w:ind w:left="1240" w:right="40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effective internal controls over financial reporting, we may be unable to produce timely and accurate financial statements, which could have a material effect on our business.</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Our Securities</w:t>
      </w:r>
    </w:p>
    <w:p>
      <w:pPr>
        <w:spacing w:after="0" w:line="133" w:lineRule="exact"/>
        <w:rPr>
          <w:sz w:val="20"/>
          <w:szCs w:val="20"/>
          <w:color w:val="auto"/>
        </w:rPr>
      </w:pPr>
    </w:p>
    <w:p>
      <w:pPr>
        <w:ind w:left="1240" w:right="220" w:hanging="415"/>
        <w:spacing w:after="0" w:line="266"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market for our securities has in the past been and could in the future be impacted by market volatility. Stock run-ups, divergences in valuation ratios relative to those seen during traditional markets, high short interest or short squeezes, and strong and atypical retail investor interest in the markets may impact the demand for our securities.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10000 Avalon Boulevard, Suite 1000, Alpharetta, Georgia 30009. Our telephone number is</w:t>
      </w:r>
    </w:p>
    <w:p>
      <w:pPr>
        <w:spacing w:after="0" w:line="27" w:lineRule="exact"/>
        <w:rPr>
          <w:sz w:val="20"/>
          <w:szCs w:val="20"/>
          <w:color w:val="auto"/>
        </w:rPr>
      </w:pPr>
    </w:p>
    <w:p>
      <w:pPr>
        <w:ind w:left="300" w:right="80" w:hanging="2"/>
        <w:spacing w:after="0" w:line="260" w:lineRule="auto"/>
        <w:tabs>
          <w:tab w:leader="none" w:pos="7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534-5849. Our website is </w:t>
      </w:r>
      <w:r>
        <w:rPr>
          <w:rFonts w:ascii="Times New Roman" w:cs="Times New Roman" w:eastAsia="Times New Roman" w:hAnsi="Times New Roman"/>
          <w:sz w:val="18"/>
          <w:szCs w:val="18"/>
          <w:i w:val="1"/>
          <w:iCs w:val="1"/>
          <w:color w:val="auto"/>
        </w:rPr>
        <w:t>https://www.bakkt.com</w:t>
      </w:r>
      <w:r>
        <w:rPr>
          <w:rFonts w:ascii="Times New Roman" w:cs="Times New Roman" w:eastAsia="Times New Roman" w:hAnsi="Times New Roman"/>
          <w:sz w:val="18"/>
          <w:szCs w:val="18"/>
          <w:color w:val="auto"/>
        </w:rPr>
        <w:t>. Information contained on, or that can be accessed through, our website is not a part of, and is not incorporated into, this prospectus, and the inclusion of our website address in this prospectus is an inactive textual reference only.</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We may offer or sell Class A Common Stock, preferred stock, debt securities, warrants and units in one or more offerings and in any combination. The aggregate offering price of the securities we sell pursuant to this prospectus will not exceed $150,000,000.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80"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The securities may be sold to or through underwriters, dealers or agents or directly to purchasers or as otherwise set forth in the section of this prospectus captioned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21" w:lineRule="exact"/>
        <w:rPr>
          <w:sz w:val="20"/>
          <w:szCs w:val="20"/>
          <w:color w:val="auto"/>
        </w:rPr>
      </w:pPr>
    </w:p>
    <w:p>
      <w:pPr>
        <w:ind w:left="300" w:right="320" w:firstLine="426"/>
        <w:spacing w:after="0" w:line="258" w:lineRule="auto"/>
        <w:rPr>
          <w:sz w:val="20"/>
          <w:szCs w:val="20"/>
          <w:color w:val="auto"/>
        </w:rPr>
      </w:pPr>
      <w:r>
        <w:rPr>
          <w:rFonts w:ascii="Times New Roman" w:cs="Times New Roman" w:eastAsia="Times New Roman" w:hAnsi="Times New Roman"/>
          <w:sz w:val="18"/>
          <w:szCs w:val="18"/>
          <w:color w:val="auto"/>
        </w:rPr>
        <w:t>We may offer shares of our Class A Common Stock either alone or underlying other registered securities convertible into our Class A Common Stock. Holders of our Class A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Class A Common Stock is entitled to one vote per share. The holders of Class A Common Stock have no preemptive rights.</w:t>
      </w:r>
    </w:p>
    <w:p>
      <w:pPr>
        <w:spacing w:after="0" w:line="2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6645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6998970" cy="36645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66" w:lineRule="auto"/>
        <w:rPr>
          <w:sz w:val="20"/>
          <w:szCs w:val="20"/>
          <w:color w:val="auto"/>
        </w:rPr>
      </w:pPr>
      <w:r>
        <w:rPr>
          <w:rFonts w:ascii="Times New Roman" w:cs="Times New Roman" w:eastAsia="Times New Roman" w:hAnsi="Times New Roman"/>
          <w:sz w:val="18"/>
          <w:szCs w:val="18"/>
          <w:color w:val="auto"/>
        </w:rPr>
        <w:t>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Class A Common Stock.</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21" w:lineRule="exact"/>
        <w:rPr>
          <w:sz w:val="20"/>
          <w:szCs w:val="20"/>
          <w:color w:val="auto"/>
        </w:rPr>
      </w:pPr>
    </w:p>
    <w:p>
      <w:pPr>
        <w:ind w:left="300" w:right="200" w:firstLine="426"/>
        <w:spacing w:after="0" w:line="277" w:lineRule="auto"/>
        <w:rPr>
          <w:sz w:val="20"/>
          <w:szCs w:val="20"/>
          <w:color w:val="auto"/>
        </w:rPr>
      </w:pPr>
      <w:r>
        <w:rPr>
          <w:rFonts w:ascii="Times New Roman" w:cs="Times New Roman" w:eastAsia="Times New Roman" w:hAnsi="Times New Roman"/>
          <w:sz w:val="17"/>
          <w:szCs w:val="17"/>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Class A Common Stock.</w:t>
      </w:r>
    </w:p>
    <w:p>
      <w:pPr>
        <w:spacing w:after="0" w:line="168" w:lineRule="exact"/>
        <w:rPr>
          <w:sz w:val="20"/>
          <w:szCs w:val="20"/>
          <w:color w:val="auto"/>
        </w:rPr>
      </w:pPr>
    </w:p>
    <w:p>
      <w:pPr>
        <w:jc w:val="both"/>
        <w:ind w:left="300" w:right="240" w:firstLine="426"/>
        <w:spacing w:after="0" w:line="289" w:lineRule="auto"/>
        <w:rPr>
          <w:sz w:val="20"/>
          <w:szCs w:val="20"/>
          <w:color w:val="auto"/>
        </w:rPr>
      </w:pPr>
      <w:r>
        <w:rPr>
          <w:rFonts w:ascii="Times New Roman" w:cs="Times New Roman" w:eastAsia="Times New Roman" w:hAnsi="Times New Roman"/>
          <w:sz w:val="17"/>
          <w:szCs w:val="17"/>
          <w:color w:val="auto"/>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We may offer warrants for the purchase of Class A Common Stock, preferred stock or debt securities. We may offer warrants independently or together with other securities.</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Units</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455" w:right="6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of our Quarterly Reports on Form 10-Q filed subsequently to such Form 10-K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4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the documents incorporated by reference herein and therein contain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may include, for example, statements about:</w:t>
      </w:r>
    </w:p>
    <w:p>
      <w:pPr>
        <w:spacing w:after="0" w:line="100"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our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impacts from the Bakkt Crypto Acquisition;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w:t>
      </w:r>
    </w:p>
    <w:p>
      <w:pPr>
        <w:spacing w:after="0" w:line="225"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they were made and reflect management’s expectations, forecasts and assumptions as of such date, and involve a number of judgments, known and/ 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83"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81"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3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in which we compete, including with respect to our competitive landscape, technology evolution or changes in applicable laws or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crypto market that subject us to additional risks, including the risk that banks may not provide banking services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launch new services and products or to profitably expand into new markets and services, or the inability to continue offering existing services or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execute our growth strategies, including identifying and executing acquisitions and our initiatives to add new clients;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expected benefits from the Bakkt Crypto Acquisition;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extensive government regulation, oversight, licensure and appraisals;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regulatory regime governing blockchain technologies and crypto;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controls and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any liability, protracted and costly litigation or reputational damage relating to our data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goodwill or other intangible assets impairments on our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pandemics or other public health emergencies;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the listing of our securities on the NYSE; and</w:t>
      </w:r>
    </w:p>
    <w:p>
      <w:pPr>
        <w:spacing w:after="0" w:line="128" w:lineRule="exact"/>
        <w:rPr>
          <w:rFonts w:ascii="Times New Roman" w:cs="Times New Roman" w:eastAsia="Times New Roman" w:hAnsi="Times New Roman"/>
          <w:sz w:val="18"/>
          <w:szCs w:val="18"/>
          <w:color w:val="auto"/>
        </w:rPr>
      </w:pPr>
    </w:p>
    <w:p>
      <w:pPr>
        <w:ind w:left="1080" w:right="160" w:hanging="424"/>
        <w:spacing w:after="0" w:line="284"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prospectus, including those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any risk factors described in any amendments or supplements to this prospectus and in the documents incorporated by reference herein.</w:t>
      </w:r>
    </w:p>
    <w:p>
      <w:pPr>
        <w:spacing w:after="0" w:line="3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to us from the sale of our securities under this prospectus. Unless otherwise provided in the applicable prospectus supplement, we currently expect to use the net proceeds that we receive from this offering for working capital and other general corporate purposes.</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description of our capital stock is incorporated by reference to Exhibit 4.7 to our Annual Report on Form 10-K for the fiscal year ended December 31, 2022, filed with the SEC on March 24, 2023.</w:t>
      </w:r>
    </w:p>
    <w:p>
      <w:pPr>
        <w:spacing w:after="0" w:line="3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55" w:right="5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identified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1"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a clearing agency registered under the Securities Exchange Act of 1934, as amended (the “Exchange Act”), which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w:t>
      </w:r>
      <w:r>
        <w:rPr>
          <w:rFonts w:ascii="Times New Roman" w:cs="Times New Roman" w:eastAsia="Times New Roman" w:hAnsi="Times New Roman"/>
          <w:sz w:val="18"/>
          <w:szCs w:val="18"/>
          <w:i w:val="1"/>
          <w:iCs w:val="1"/>
          <w:color w:val="auto"/>
        </w:rPr>
        <w:t>Global Debt Securities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Book-Entry System</w:t>
      </w:r>
      <w:r>
        <w:rPr>
          <w:rFonts w:ascii="Times New Roman" w:cs="Times New Roman" w:eastAsia="Times New Roman" w:hAnsi="Times New Roman"/>
          <w:sz w:val="18"/>
          <w:szCs w:val="18"/>
          <w:color w:val="auto"/>
        </w:rPr>
        <w:t>” below, book-entry debt securities will not be issuable in certificated form.</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Global Debt Securities and Book-Entry System</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which we refer to as a successor person, unless:</w:t>
      </w:r>
    </w:p>
    <w:p>
      <w:pPr>
        <w:spacing w:after="0" w:line="67" w:lineRule="exact"/>
        <w:rPr>
          <w:sz w:val="20"/>
          <w:szCs w:val="20"/>
          <w:color w:val="auto"/>
        </w:rPr>
      </w:pPr>
    </w:p>
    <w:p>
      <w:pPr>
        <w:ind w:left="1080" w:right="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3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payment is deposited by us with the trustee or with a paying agent prior to the expiration of the 30-day period);</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5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9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w:t>
      </w:r>
      <w:r>
        <w:rPr>
          <w:rFonts w:ascii="Times New Roman" w:cs="Times New Roman" w:eastAsia="Times New Roman" w:hAnsi="Times New Roman"/>
          <w:sz w:val="18"/>
          <w:szCs w:val="18"/>
          <w:i w:val="1"/>
          <w:iCs w:val="1"/>
          <w:color w:val="auto"/>
        </w:rPr>
        <w:t>Consolidation, Merger and Sale of Assets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Legal Defeasance</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9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Defeasance of Certain Covenants</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upon compliance with certain conditions:</w:t>
      </w:r>
    </w:p>
    <w:p>
      <w:pPr>
        <w:spacing w:after="0" w:line="65" w:lineRule="exact"/>
        <w:rPr>
          <w:sz w:val="20"/>
          <w:szCs w:val="20"/>
          <w:color w:val="auto"/>
        </w:rPr>
      </w:pPr>
    </w:p>
    <w:p>
      <w:pPr>
        <w:ind w:left="1080" w:right="160" w:hanging="424"/>
        <w:spacing w:after="0" w:line="267"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w:t>
      </w:r>
      <w:r>
        <w:rPr>
          <w:rFonts w:ascii="Times New Roman" w:cs="Times New Roman" w:eastAsia="Times New Roman" w:hAnsi="Times New Roman"/>
          <w:sz w:val="18"/>
          <w:szCs w:val="18"/>
          <w:i w:val="1"/>
          <w:iCs w:val="1"/>
          <w:color w:val="auto"/>
        </w:rPr>
        <w:t>Consolidation, Merger and Sale of Assets</w:t>
      </w:r>
      <w:r>
        <w:rPr>
          <w:rFonts w:ascii="Times New Roman" w:cs="Times New Roman" w:eastAsia="Times New Roman" w:hAnsi="Times New Roman"/>
          <w:sz w:val="18"/>
          <w:szCs w:val="18"/>
          <w:color w:val="auto"/>
        </w:rPr>
        <w:t>” and certain other covenants set forth in the indenture, as well as any additional covenants which may be set forth in the applicable prospectus supplement; and</w:t>
      </w:r>
    </w:p>
    <w:p>
      <w:pPr>
        <w:spacing w:after="0" w:line="8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refer to this as covenant defeasance. The conditions include:</w:t>
      </w:r>
    </w:p>
    <w:p>
      <w:pPr>
        <w:spacing w:after="0" w:line="131" w:lineRule="exact"/>
        <w:rPr>
          <w:sz w:val="20"/>
          <w:szCs w:val="20"/>
          <w:color w:val="auto"/>
        </w:rPr>
      </w:pPr>
    </w:p>
    <w:p>
      <w:pPr>
        <w:ind w:left="1080" w:right="60" w:hanging="424"/>
        <w:spacing w:after="0" w:line="25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to which we are a party;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applicable series of debt securities shall have occurred or is continuing on the date of such deposit; and</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Stockholders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40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debt securities, preferred stock or Class A Common Stock. We may offer warrants separately or together with one or more additional warrants, debt securities, preferred stock or Class A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9"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60"/>
          </w:cols>
          <w:pgMar w:left="320" w:top="455" w:right="5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preferred stock or Class A Common Stock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or Class A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or the number of shares of Class A Common Stock purchasable upon exercise of a warrant and the price at which those shares may be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and other provisions for changes to or adjustment in the exercise price,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comprising two or more securities described in this prospectus in any combination. For example, we might issue units consisting of a combination of debt securities and warrants to purchase Class A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units will describe the terms of those units, including, to the extent applicable, the following:</w:t>
      </w:r>
    </w:p>
    <w:p>
      <w:pPr>
        <w:spacing w:after="0" w:line="67" w:lineRule="exact"/>
        <w:rPr>
          <w:sz w:val="20"/>
          <w:szCs w:val="20"/>
          <w:color w:val="auto"/>
        </w:rPr>
      </w:pPr>
    </w:p>
    <w:p>
      <w:pPr>
        <w:ind w:left="1080" w:right="50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securityholders.</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that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names of any selling securityholders;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62" w:lineRule="exact"/>
        <w:rPr>
          <w:sz w:val="20"/>
          <w:szCs w:val="20"/>
          <w:color w:val="auto"/>
        </w:rPr>
      </w:pPr>
    </w:p>
    <w:p>
      <w:pPr>
        <w:ind w:left="120" w:right="240" w:firstLine="440"/>
        <w:spacing w:after="0" w:line="274" w:lineRule="auto"/>
        <w:rPr>
          <w:sz w:val="20"/>
          <w:szCs w:val="20"/>
          <w:color w:val="auto"/>
        </w:rPr>
      </w:pPr>
      <w:r>
        <w:rPr>
          <w:rFonts w:ascii="Times New Roman" w:cs="Times New Roman" w:eastAsia="Times New Roman" w:hAnsi="Times New Roman"/>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8" w:lineRule="exact"/>
        <w:rPr>
          <w:sz w:val="20"/>
          <w:szCs w:val="20"/>
          <w:color w:val="auto"/>
        </w:rPr>
      </w:pPr>
    </w:p>
    <w:p>
      <w:pPr>
        <w:ind w:left="1080" w:right="1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w:t>
      </w:r>
    </w:p>
    <w:p>
      <w:pPr>
        <w:spacing w:after="0" w:line="162"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underwriters and other persons acting as agents will not have any responsibility in respect of the validity or performance of delayed delivery contracts.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Wilson Sonsini Goodrich &amp; Rosati, Professional Corporation, Austin, Texas. Additional legal matters may be passed on for us, or any underwriters, dealers or agents by counsel we will name in the applicable prospectus supplement.</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60" w:firstLine="440"/>
        <w:spacing w:after="0" w:line="277" w:lineRule="auto"/>
        <w:rPr>
          <w:sz w:val="20"/>
          <w:szCs w:val="20"/>
          <w:color w:val="auto"/>
        </w:rPr>
      </w:pPr>
      <w:r>
        <w:rPr>
          <w:rFonts w:ascii="Times New Roman" w:cs="Times New Roman" w:eastAsia="Times New Roman" w:hAnsi="Times New Roman"/>
          <w:sz w:val="17"/>
          <w:szCs w:val="17"/>
          <w:color w:val="auto"/>
        </w:rPr>
        <w:t>The consolidated financial statements of Bakkt Holdings, Inc., appearing in the Company’s Annual Report (Form 10-K) for the year ended December 31, 2022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financial statements of VPC Impact Acquisition Holdings as of October 14, 2021 and December 31, 2020 and for the period from January 1,</w:t>
      </w:r>
    </w:p>
    <w:p>
      <w:pPr>
        <w:spacing w:after="0" w:line="27" w:lineRule="exact"/>
        <w:rPr>
          <w:sz w:val="20"/>
          <w:szCs w:val="20"/>
          <w:color w:val="auto"/>
        </w:rPr>
      </w:pPr>
    </w:p>
    <w:p>
      <w:pPr>
        <w:ind w:left="120" w:right="400"/>
        <w:spacing w:after="0" w:line="253" w:lineRule="auto"/>
        <w:rPr>
          <w:sz w:val="20"/>
          <w:szCs w:val="20"/>
          <w:color w:val="auto"/>
        </w:rPr>
      </w:pPr>
      <w:r>
        <w:rPr>
          <w:rFonts w:ascii="Times New Roman" w:cs="Times New Roman" w:eastAsia="Times New Roman" w:hAnsi="Times New Roman"/>
          <w:sz w:val="18"/>
          <w:szCs w:val="18"/>
          <w:color w:val="auto"/>
        </w:rPr>
        <w:t>2021 through October 14, 2021 and for the period from July 31, 2020 (inception) through December 31, 2020 are incorporated by reference in this prospectus have been audited by WithumSmith+Brown, PC, the Company’s independent registered public accounting firm prior to the Business Combination, as set forth in their report thereon, and have been incorporated herein in reliance on such report given on the authority of said firm as experts in accounting and auditing.</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Bakkt Crypto Solutions, LLC (f/k/a Apex Crypto LLC) as of December 31, 2022 and 2021 and for the years then ended incorporated by reference in this prospectus from the Current Report on Form 8-K/A filed by Bakkt Holdings, Inc. on April 18, 2023 have been audited by RSM US LLP, independent auditors, as stated in their report thereon, incorporated herein by reference. Such financial statements have been so incorporated in this prospectus in reliance upon such report and upon the authority of such firm as experts in accounting and auditing.</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investors.bakkt.com</w:t>
      </w:r>
      <w:r>
        <w:rPr>
          <w:rFonts w:ascii="Times New Roman" w:cs="Times New Roman" w:eastAsia="Times New Roman" w:hAnsi="Times New Roman"/>
          <w:sz w:val="18"/>
          <w:szCs w:val="18"/>
          <w:color w:val="auto"/>
        </w:rPr>
        <w:t>. Information accessible on or through our website is not a part of this prospectus.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pacing w:after="0" w:line="97"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33">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filed with the SEC on March 24, 2023 (our “Annual Report”);</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34">
        <w:r>
          <w:rPr>
            <w:rFonts w:ascii="Times New Roman" w:cs="Times New Roman" w:eastAsia="Times New Roman" w:hAnsi="Times New Roman"/>
            <w:sz w:val="18"/>
            <w:szCs w:val="18"/>
            <w:u w:val="single" w:color="auto"/>
            <w:color w:val="0000EE"/>
          </w:rPr>
          <w:t>Definitive Proxy Statement on Schedule 14A</w:t>
        </w:r>
      </w:hyperlink>
      <w:r>
        <w:rPr>
          <w:rFonts w:ascii="Times New Roman" w:cs="Times New Roman" w:eastAsia="Times New Roman" w:hAnsi="Times New Roman"/>
          <w:sz w:val="18"/>
          <w:szCs w:val="18"/>
          <w:color w:val="auto"/>
        </w:rPr>
        <w:t xml:space="preserve">, filed with the SEC on April 24, 2023, that are incorporated by reference into our </w:t>
      </w:r>
      <w:hyperlink r:id="rId79">
        <w:r>
          <w:rPr>
            <w:rFonts w:ascii="Times New Roman" w:cs="Times New Roman" w:eastAsia="Times New Roman" w:hAnsi="Times New Roman"/>
            <w:sz w:val="18"/>
            <w:szCs w:val="18"/>
            <w:u w:val="single" w:color="auto"/>
            <w:color w:val="0000EE"/>
          </w:rPr>
          <w:t>Annual Report</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44"/>
        </w:numPr>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auto"/>
          </w:rPr>
          <w:t xml:space="preserve">our Quarterly Reports on Form 10-Q for the quarterly periods ended March 31, 2023 and June 30, 2023, filed with the SEC on </w:t>
        </w:r>
        <w:r>
          <w:rPr>
            <w:rFonts w:ascii="Times New Roman" w:cs="Times New Roman" w:eastAsia="Times New Roman" w:hAnsi="Times New Roman"/>
            <w:sz w:val="18"/>
            <w:szCs w:val="18"/>
            <w:u w:val="single" w:color="auto"/>
            <w:color w:val="0000EE"/>
          </w:rPr>
          <w:t>May 11,</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36">
        <w:r>
          <w:rPr>
            <w:rFonts w:ascii="Times New Roman" w:cs="Times New Roman" w:eastAsia="Times New Roman" w:hAnsi="Times New Roman"/>
            <w:sz w:val="18"/>
            <w:szCs w:val="18"/>
            <w:u w:val="single" w:color="auto"/>
            <w:color w:val="0000EE"/>
          </w:rPr>
          <w:t>August 10, 2023</w:t>
        </w:r>
      </w:hyperlink>
      <w:hyperlink r:id="rId35">
        <w:r>
          <w:rPr>
            <w:rFonts w:ascii="Times New Roman" w:cs="Times New Roman" w:eastAsia="Times New Roman" w:hAnsi="Times New Roman"/>
            <w:sz w:val="18"/>
            <w:szCs w:val="18"/>
            <w:color w:val="000000"/>
          </w:rPr>
          <w:t xml:space="preserve">, respectively, and our Quarterly Report on Form 10-Q for the quarterly period ended September 30, 2023, </w:t>
        </w:r>
      </w:hyperlink>
      <w:r>
        <w:rPr>
          <w:rFonts w:ascii="Times New Roman" w:cs="Times New Roman" w:eastAsia="Times New Roman" w:hAnsi="Times New Roman"/>
          <w:sz w:val="18"/>
          <w:szCs w:val="18"/>
          <w:color w:val="0000EE"/>
        </w:rPr>
        <w:t xml:space="preserve">filed </w:t>
      </w:r>
      <w:r>
        <w:rPr>
          <w:rFonts w:ascii="Times New Roman" w:cs="Times New Roman" w:eastAsia="Times New Roman" w:hAnsi="Times New Roman"/>
          <w:sz w:val="18"/>
          <w:szCs w:val="18"/>
          <w:color w:val="000000"/>
        </w:rPr>
        <w:t xml:space="preserve">with the SEC on </w:t>
      </w:r>
      <w:hyperlink r:id="rId37">
        <w:r>
          <w:rPr>
            <w:rFonts w:ascii="Times New Roman" w:cs="Times New Roman" w:eastAsia="Times New Roman" w:hAnsi="Times New Roman"/>
            <w:sz w:val="18"/>
            <w:szCs w:val="18"/>
            <w:u w:val="single" w:color="auto"/>
            <w:color w:val="0000EE"/>
          </w:rPr>
          <w:t>November 14, 2023</w:t>
        </w:r>
      </w:hyperlink>
      <w:r>
        <w:rPr>
          <w:rFonts w:ascii="Times New Roman" w:cs="Times New Roman" w:eastAsia="Times New Roman" w:hAnsi="Times New Roman"/>
          <w:sz w:val="18"/>
          <w:szCs w:val="18"/>
          <w:color w:val="000000"/>
        </w:rPr>
        <w:t xml:space="preserve">, as amended by our Quarterly Reports on Form 10-Q/A filed with the SEC on </w:t>
      </w:r>
      <w:hyperlink r:id="rId38">
        <w:r>
          <w:rPr>
            <w:rFonts w:ascii="Times New Roman" w:cs="Times New Roman" w:eastAsia="Times New Roman" w:hAnsi="Times New Roman"/>
            <w:sz w:val="18"/>
            <w:szCs w:val="18"/>
            <w:u w:val="single" w:color="auto"/>
            <w:color w:val="0000EE"/>
          </w:rPr>
          <w:t>February 7, 2024</w:t>
        </w:r>
      </w:hyperlink>
      <w:r>
        <w:rPr>
          <w:rFonts w:ascii="Times New Roman" w:cs="Times New Roman" w:eastAsia="Times New Roman" w:hAnsi="Times New Roman"/>
          <w:sz w:val="18"/>
          <w:szCs w:val="18"/>
          <w:color w:val="000000"/>
        </w:rPr>
        <w:t xml:space="preserve">, </w:t>
      </w:r>
      <w:hyperlink r:id="rId39">
        <w:r>
          <w:rPr>
            <w:rFonts w:ascii="Times New Roman" w:cs="Times New Roman" w:eastAsia="Times New Roman" w:hAnsi="Times New Roman"/>
            <w:sz w:val="18"/>
            <w:szCs w:val="18"/>
            <w:u w:val="single" w:color="auto"/>
            <w:color w:val="0000EE"/>
          </w:rPr>
          <w:t>February 8,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0">
        <w:r>
          <w:rPr>
            <w:rFonts w:ascii="Times New Roman" w:cs="Times New Roman" w:eastAsia="Times New Roman" w:hAnsi="Times New Roman"/>
            <w:sz w:val="18"/>
            <w:szCs w:val="18"/>
            <w:u w:val="single" w:color="auto"/>
            <w:color w:val="0000EE"/>
          </w:rPr>
          <w:t>February 14, 2024</w:t>
        </w:r>
      </w:hyperlink>
      <w:r>
        <w:rPr>
          <w:rFonts w:ascii="Times New Roman" w:cs="Times New Roman" w:eastAsia="Times New Roman" w:hAnsi="Times New Roman"/>
          <w:sz w:val="18"/>
          <w:szCs w:val="18"/>
          <w:color w:val="000000"/>
        </w:rPr>
        <w:t>;</w:t>
      </w:r>
    </w:p>
    <w:p>
      <w:pPr>
        <w:spacing w:after="0" w:line="85" w:lineRule="exact"/>
        <w:rPr>
          <w:rFonts w:ascii="Times New Roman" w:cs="Times New Roman" w:eastAsia="Times New Roman" w:hAnsi="Times New Roman"/>
          <w:sz w:val="18"/>
          <w:szCs w:val="18"/>
          <w:color w:val="0000EE"/>
        </w:rPr>
      </w:pPr>
    </w:p>
    <w:p>
      <w:pPr>
        <w:ind w:left="1080" w:right="26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80">
        <w:r>
          <w:rPr>
            <w:rFonts w:ascii="Times New Roman" w:cs="Times New Roman" w:eastAsia="Times New Roman" w:hAnsi="Times New Roman"/>
            <w:sz w:val="18"/>
            <w:szCs w:val="18"/>
            <w:u w:val="single" w:color="auto"/>
            <w:color w:val="0000EE"/>
          </w:rPr>
          <w:t>March 9, 2023</w:t>
        </w:r>
      </w:hyperlink>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u w:val="single" w:color="auto"/>
            <w:color w:val="0000EE"/>
          </w:rPr>
          <w:t>April 3, 2023</w:t>
        </w:r>
      </w:hyperlink>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u w:val="single" w:color="auto"/>
            <w:color w:val="0000EE"/>
          </w:rPr>
          <w:t>April 19,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83">
        <w:r>
          <w:rPr>
            <w:rFonts w:ascii="Times New Roman" w:cs="Times New Roman" w:eastAsia="Times New Roman" w:hAnsi="Times New Roman"/>
            <w:sz w:val="18"/>
            <w:szCs w:val="18"/>
            <w:u w:val="single" w:color="auto"/>
            <w:color w:val="0000EE"/>
          </w:rPr>
          <w:t>June 9,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on Form 8-K/A filed with the SEC on </w:t>
      </w:r>
      <w:hyperlink r:id="rId84">
        <w:r>
          <w:rPr>
            <w:rFonts w:ascii="Times New Roman" w:cs="Times New Roman" w:eastAsia="Times New Roman" w:hAnsi="Times New Roman"/>
            <w:sz w:val="18"/>
            <w:szCs w:val="18"/>
            <w:u w:val="single" w:color="auto"/>
            <w:color w:val="0000EE"/>
          </w:rPr>
          <w:t>April 5, 2022</w:t>
        </w:r>
      </w:hyperlink>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u w:val="single" w:color="auto"/>
            <w:color w:val="0000EE"/>
          </w:rPr>
          <w:t>April 18,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86">
        <w:r>
          <w:rPr>
            <w:rFonts w:ascii="Times New Roman" w:cs="Times New Roman" w:eastAsia="Times New Roman" w:hAnsi="Times New Roman"/>
            <w:sz w:val="18"/>
            <w:szCs w:val="18"/>
            <w:u w:val="single" w:color="auto"/>
            <w:color w:val="0000EE"/>
          </w:rPr>
          <w:t>February 14, 2024</w:t>
        </w:r>
      </w:hyperlink>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the Registration Statement on Form 8-A relating thereto, filed on </w:t>
      </w:r>
      <w:hyperlink r:id="rId45">
        <w:r>
          <w:rPr>
            <w:rFonts w:ascii="Times New Roman" w:cs="Times New Roman" w:eastAsia="Times New Roman" w:hAnsi="Times New Roman"/>
            <w:sz w:val="18"/>
            <w:szCs w:val="18"/>
            <w:u w:val="single" w:color="auto"/>
            <w:color w:val="0000EE"/>
          </w:rPr>
          <w:t>October 15, 2021</w:t>
        </w:r>
      </w:hyperlink>
      <w:r>
        <w:rPr>
          <w:rFonts w:ascii="Times New Roman" w:cs="Times New Roman" w:eastAsia="Times New Roman" w:hAnsi="Times New Roman"/>
          <w:sz w:val="18"/>
          <w:szCs w:val="18"/>
          <w:color w:val="auto"/>
        </w:rPr>
        <w:t>,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31"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07" w:lineRule="exact"/>
        <w:rPr>
          <w:rFonts w:ascii="Times New Roman" w:cs="Times New Roman" w:eastAsia="Times New Roman" w:hAnsi="Times New Roman"/>
          <w:sz w:val="18"/>
          <w:szCs w:val="18"/>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94"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1106805</wp:posOffset>
            </wp:positionV>
            <wp:extent cx="2580005" cy="9861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2580005" cy="9861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11,534,025 Shares of Class A Common Stock</w:t>
      </w:r>
    </w:p>
    <w:p>
      <w:pPr>
        <w:spacing w:after="0" w:line="18" w:lineRule="exact"/>
        <w:rPr>
          <w:sz w:val="20"/>
          <w:szCs w:val="20"/>
          <w:color w:val="auto"/>
        </w:rPr>
      </w:pPr>
    </w:p>
    <w:p>
      <w:pPr>
        <w:jc w:val="center"/>
        <w:ind w:left="1980" w:right="859"/>
        <w:spacing w:after="0" w:line="249" w:lineRule="auto"/>
        <w:rPr>
          <w:sz w:val="20"/>
          <w:szCs w:val="20"/>
          <w:color w:val="auto"/>
        </w:rPr>
      </w:pPr>
      <w:r>
        <w:rPr>
          <w:rFonts w:ascii="Times New Roman" w:cs="Times New Roman" w:eastAsia="Times New Roman" w:hAnsi="Times New Roman"/>
          <w:sz w:val="21"/>
          <w:szCs w:val="21"/>
          <w:b w:val="1"/>
          <w:bCs w:val="1"/>
          <w:color w:val="auto"/>
        </w:rPr>
        <w:t>Class 1 Warrants to Purchase up to 5,767,012 Shares of Class A Common Stock Class 2 Warrants to Purchase up to 5,767,012 Shares of Class A Common Stock Class A Common Stock Underlying Class 1 Warrants and Class 2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1651000</wp:posOffset>
            </wp:positionV>
            <wp:extent cx="1474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lvl w:ilvl="1">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1)"/>
      <w:numFmt w:val="lowerRoman"/>
      <w:start w:val="3"/>
    </w:lvl>
  </w:abstractNum>
  <w:abstractNum w:abstractNumId="7">
    <w:nsid w:val="B03E0C6"/>
    <w:multiLevelType w:val="hybridMultilevel"/>
    <w:lvl w:ilvl="0">
      <w:lvlJc w:val="left"/>
      <w:lvlText w:val="(%1)"/>
      <w:numFmt w:val="lowerRoman"/>
      <w:start w:val="5"/>
    </w:lvl>
  </w:abstractNum>
  <w:abstractNum w:abstractNumId="8">
    <w:nsid w:val="189A769B"/>
    <w:multiLevelType w:val="hybridMultilevel"/>
    <w:lvl w:ilvl="0">
      <w:lvlJc w:val="left"/>
      <w:lvlText w:val="(%1)"/>
      <w:numFmt w:val="upperLetter"/>
      <w:start w:val="1"/>
    </w:lvl>
  </w:abstractNum>
  <w:abstractNum w:abstractNumId="9">
    <w:nsid w:val="54E49EB4"/>
    <w:multiLevelType w:val="hybridMultilevel"/>
    <w:lvl w:ilvl="0">
      <w:lvlJc w:val="left"/>
      <w:lvlText w:val="(%1)"/>
      <w:numFmt w:val="upperLetter"/>
      <w:start w:val="24"/>
    </w:lvl>
  </w:abstractNum>
  <w:abstractNum w:abstractNumId="10">
    <w:nsid w:val="71F32454"/>
    <w:multiLevelType w:val="hybridMultilevel"/>
    <w:lvl w:ilvl="0">
      <w:lvlJc w:val="left"/>
      <w:lvlText w:val="(%1)"/>
      <w:numFmt w:val="decimal"/>
      <w:start w:val="3"/>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1)"/>
      <w:numFmt w:val="decimal"/>
      <w:start w:val="678"/>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jpe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87" Type="http://schemas.openxmlformats.org/officeDocument/2006/relationships/image" Target="media/image59.png"/><Relationship Id="rId88" Type="http://schemas.openxmlformats.org/officeDocument/2006/relationships/image" Target="media/image60.png"/><Relationship Id="rId89" Type="http://schemas.openxmlformats.org/officeDocument/2006/relationships/image" Target="media/image61.png"/><Relationship Id="rId90" Type="http://schemas.openxmlformats.org/officeDocument/2006/relationships/image" Target="media/image62.jpeg"/><Relationship Id="rId91"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33" Type="http://schemas.openxmlformats.org/officeDocument/2006/relationships/hyperlink" Target="http://www.sec.gov/ix?doc=/Archives/edgar/data/1820302/000182030223000016/bakkt-20221231.htm" TargetMode="External"/><Relationship Id="rId34" Type="http://schemas.openxmlformats.org/officeDocument/2006/relationships/hyperlink" Target="http://www.sec.gov/Archives/edgar/data/1820302/000182030223000043/bakkt-2023proxy41923.htm" TargetMode="External"/><Relationship Id="rId35" Type="http://schemas.openxmlformats.org/officeDocument/2006/relationships/hyperlink" Target="http://www.sec.gov/ix?doc=/Archives/edgar/data/1820302/000182030223000062/bakkt-20230331.htm" TargetMode="External"/><Relationship Id="rId36" Type="http://schemas.openxmlformats.org/officeDocument/2006/relationships/hyperlink" Target="http://www.sec.gov/ix?doc=/Archives/edgar/data/1820302/000182030223000080/bakkt-20230630.htm" TargetMode="External"/><Relationship Id="rId37" Type="http://schemas.openxmlformats.org/officeDocument/2006/relationships/hyperlink" Target="http://www.sec.gov/ix?doc=/Archives/edgar/data/1820302/000182030223000091/bakkt-20230930.htm" TargetMode="External"/><Relationship Id="rId38" Type="http://schemas.openxmlformats.org/officeDocument/2006/relationships/hyperlink" Target="http://www.sec.gov/ix?doc=/Archives/edgar/data/1820302/000182030224000011/bakkt-20230930.htm" TargetMode="External"/><Relationship Id="rId39" Type="http://schemas.openxmlformats.org/officeDocument/2006/relationships/hyperlink" Target="http://www.sec.gov/ix?doc=/Archives/edgar/data/1820302/000182030224000014/bakkt-20230930.htm" TargetMode="External"/><Relationship Id="rId40" Type="http://schemas.openxmlformats.org/officeDocument/2006/relationships/hyperlink" Target="http://www.sec.gov/ix?doc=/Archives/edgar/data/1820302/000182030224000025/bakkt-20230930.htm" TargetMode="External"/><Relationship Id="rId41" Type="http://schemas.openxmlformats.org/officeDocument/2006/relationships/hyperlink" Target="http://www.sec.gov/ix?doc=/Archives/edgar/data/1820302/000182030224000031/bakkt-20240229.htm" TargetMode="External"/><Relationship Id="rId42" Type="http://schemas.openxmlformats.org/officeDocument/2006/relationships/hyperlink" Target="http://www.sec.gov/Archives/edgar/data/1820302/000182030223000030/bakkt-20230401.htm" TargetMode="External"/><Relationship Id="rId43" Type="http://schemas.openxmlformats.org/officeDocument/2006/relationships/hyperlink" Target="http://www.sec.gov/ix?doc=/Archives/edgar/data/1820302/000119312522096343/d322705d8ka.htm" TargetMode="External"/><Relationship Id="rId44" Type="http://schemas.openxmlformats.org/officeDocument/2006/relationships/hyperlink" Target="http://www.sec.gov/ix?doc=/Archives/edgar/data/1820302/000182030224000026/bakkt-20230401.htm" TargetMode="External"/><Relationship Id="rId45" Type="http://schemas.openxmlformats.org/officeDocument/2006/relationships/hyperlink" Target="http://www.sec.gov/Archives/edgar/data/1820302/000119312521299620/d211377d8a12b.htm" TargetMode="External"/><Relationship Id="rId79" Type="http://schemas.openxmlformats.org/officeDocument/2006/relationships/hyperlink" Target="http://www.sec.gov/Archives/edgar/data/1820302/000182030223000016/bakkt-20221231.htm" TargetMode="External"/><Relationship Id="rId80" Type="http://schemas.openxmlformats.org/officeDocument/2006/relationships/hyperlink" Target="http://www.sec.gov/ix?doc=/Archives/edgar/data/1820302/000182030223000006/bakkt-20230309.htm" TargetMode="External"/><Relationship Id="rId81" Type="http://schemas.openxmlformats.org/officeDocument/2006/relationships/hyperlink" Target="http://www.sec.gov/ix?doc=/Archives/edgar/data/1820302/000119312523089016/d482123d8k.htm" TargetMode="External"/><Relationship Id="rId82" Type="http://schemas.openxmlformats.org/officeDocument/2006/relationships/hyperlink" Target="http://www.sec.gov/ix?doc=/Archives/edgar/data/0001820302/000182030223000033/bakkt-20230418.htm" TargetMode="External"/><Relationship Id="rId83" Type="http://schemas.openxmlformats.org/officeDocument/2006/relationships/hyperlink" Target="http://www.sec.gov/ix?doc=/Archives/edgar/data/1820302/000182030223000065/bakkt-20230606.htm" TargetMode="External"/><Relationship Id="rId84" Type="http://schemas.openxmlformats.org/officeDocument/2006/relationships/hyperlink" Target="http://www.sec.gov/ix?doc=/Archives/edgar/data/0001820302/000119312522096343/d322705d8ka.htm" TargetMode="External"/><Relationship Id="rId85" Type="http://schemas.openxmlformats.org/officeDocument/2006/relationships/hyperlink" Target="http://www.sec.gov/ix?doc=/Archives/edgar/data/0001820302/000182030223000030/bakkt-20230401.htm" TargetMode="External"/><Relationship Id="rId86" Type="http://schemas.openxmlformats.org/officeDocument/2006/relationships/hyperlink" Target="http://www.sec.gov/ix?doc=/Archives/edgar/data/0001820302/000182030224000026/bakkt-202304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2024-03-01T15:39:26Z</dcterms:created>
  <dcterms:modified xsi:type="dcterms:W3CDTF">2024-03-01T15:39:26Z</dcterms:modified>
</cp:coreProperties>
</file>