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February 29, 2024, Bakkt Holdings, Inc. (the “Company”)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the Company issued and sold to the Third-Party Purchasers an aggregate of 34,917,532 shares of the Company’s Class A Common Stock, par value $0.0001 per share (“Class A Common Stock”), including 4,917,532 shares of Class A Common Stock issued upon exercise of certain of the Pre-Funded Warrants (as defined below) prior to the Third-Party Closing, Class 1 Warrants (“Class 1 Warrants”) to purchase an aggregate of 23,068,051 shares of Class A Common Stock, Class 2 Warrants (“Class 2 Warrants”) to purchase an aggregate of 23,068,051 shares of Class A Common Stock and Pre-Funded Warrants (“Pre-Funded Warrants”) to purchase an aggregate of 11,218,570 shares of Class A Common Stock, which excluded Pre-Funded Warrants exercised prior to the Third-Party Closing. The offering of such securities was conducted in a registered direct offering (the “Third-Party Offering”). The purchase price of each share of Class A Common Stock and accompanying Class 1 Warrant or Class 2 Warrant (each, a “Warrant”) was $0.8670 and the purchase price of each Pre-Funded Warrant and accompanying Warrant was $0.8669.</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 concurrent registered direct offering (the “ICE Offering” and, together with the Third-Party Offering, the “Concurrent Offerings”), on February 29, 2024, the Company entered into a securities purchase agreement (the “ICE Purchase Agreement” and, together with the Third-Party Purchase Agreement, the “Purchase Agreements”) with Intercontinental Exchange Holdings, Inc. (“ICE”), pursuant to which the Company agreed to sell to ICE up to 11,534,024 shares of Class A Common Stock, Class 1 Warrants to purchase up to 5,767,012 shares of Class A Common Stock, and Class 2 Warrants to purchase up to 5,767,012 shares of Class A Common Stock. The purchase price of each share of Class A Common Stock and accompanying Warrant in the ICE Offering is $0.8670.</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ICE Offering, the Company closed the sale and issuance to ICE of 2,762,009 shares of Class A Common Stock, Class 1 Warrants to purchase up to 1,381,004 shares of Class A Common Stock and Class 2 Warrants to purchase up to 1,381,004 shares of Class A Common Stock, concurrently with the Third-Party Closing (the “Initial ICE Closing”). The closing of the issuance and sale of the remaining 8,772,016 shares of Class A Common Stock, Class 1 Warrants to purchase up to 4,386,008 shares of Class A Common Stock and Class 2 Warrants to purchase up to 4,386,008 shares of Class A Common Stock in the ICE Offering is conditioned on the Company obtaining stockholder approval for such issuances under the rules and regulations of the New York Stock Exchange (the “NYSE”) and other customary closing conditions.</w:t>
      </w:r>
    </w:p>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Class 1 Warrants and Class 2 Warrants have an exercise price of $1.0200 per share, which will be payable in cash or on a cashless basis, will generally be exercisable beginning six (6) months after the date of the Initial Closing, and will expire five and one-half (5.5) years after the date of the Third-Party Closing or the Initial ICE Closing, as applicable. The Class 1 Warrants and Class 2 Warrants have identical terms and conditions, except that the Class 2 Warrants also contain an alternative cashless exercise provision that, after the Company obtains the Stockholder Approval (as defined below), will allow the holder of each Class 2 Warrant to exercise such Class 2 Warrant on a cashless basis and receive a number of shares of Class A Common Stock equal to 50% of the shares of Class A Common Stock then underlying the Class 2 Warrant if the closing trading price of shares of Class A Common Stock is lower than the exercise price of the Class 2 Warrants for each of the three (3) trading days ending on the trading day prior to the date on which notice of exercise is given. Each of the Third-Party Purchasers and ICE received Class 1 Warrants to purchase 50% of the number of shares of Class A Common Stock issued to such purchaser, rounded down to the nearest whole share, and Class 2 Warrants to purchase 50% of the number of shares of Class A Common Stock issued to such purchaser, rounded down to the nearest whole share. The Warrants contain customary adjustment, assumption or cash-out provisions in the event of a sale of the Company. The Pre-Funded Warrants have identical terms to the Class 1 Warrants except that each Pre-Funded Warrant is exercisable for one (1) share of Class A Common Stock at an exercise price of $0.0001 per share, the Pre-Funded Warrants are immediately exercisable and may be exercised at any time until all of the Pre-Funded Warrants are exercised in full and, in the event of a fundamental transaction, the holders of Pre-Funded Warrants are entitled to receive shares of Class A Common Stock of the successor or acquiring corporation or the Company, if it is the surviving corporation, and any additional consideration receivable by holders of Class A Common Stock in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Purchase Agreements, the Company agreed to seek stockholder approval for the issuance of the Class A Common Stock that remains unissued following the Initial Closing and Class A Common Stock underlying the related Warrants that exceed the limitations of the Listed Company Manual of the NYSE, as well as the shares of Class A Common Stock issuable underlying the alternative cashless exercise provision of the Class 2 Warrants to be issued in the Concurrent Offerings, each in accordance with the rules and regulations of the NYSE (the “Stockholder Approval”). In connection with the Concurrent Offerings, ICE entered into a voting support agreement with the Company (the "Voting Support Agreement"), pursuant to which ICE agreed, among other things, to vote in favor of proposals seeking to obtain the Voting Support Agreement.</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raised aggregate net proceeds from the Third-Party Offering of approximately $37.6 million, after deducting the placement agent’s fees and estimated offering expenses payable by the Company, and expects to raise aggregate net proceeds from the ICE Offering of approximately $9.8 million, after deducting estimated offering expenses payable by the Company, assuming all securities are issued in the ICE Offering and without giving effect to any cash proceeds receivable upon cash exercise of the Warrants</w:t>
      </w:r>
      <w:r>
        <w:rPr>
          <w:rFonts w:ascii="Times New Roman" w:cs="Times New Roman" w:eastAsia="Times New Roman" w:hAnsi="Times New Roman"/>
          <w:sz w:val="18"/>
          <w:szCs w:val="18"/>
          <w:color w:val="212529"/>
        </w:rPr>
        <w:t>. The Company expects to use the net proceeds from the Concurrent Offerings for</w:t>
      </w:r>
      <w:r>
        <w:rPr>
          <w:rFonts w:ascii="Times New Roman" w:cs="Times New Roman" w:eastAsia="Times New Roman" w:hAnsi="Times New Roman"/>
          <w:sz w:val="18"/>
          <w:szCs w:val="18"/>
          <w:color w:val="auto"/>
        </w:rPr>
        <w:t xml:space="preserve"> working capital and other general corporate purposes.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12529"/>
        </w:rPr>
        <w:t>The securities offered in the Concurrent Offerings were offered pursuant to the Company’s registration statement on Form S-3 and the accompanying base prospectus (File No. 333-271361), previously filed with and declared effective by the Securities and Exchange Commission (the “SEC”), supplemented by prospectus supplements filed with the SEC related to each of the Concurrent Offerings.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Keefe, Bruyette &amp; Woods (“KBW”) acted as the placement agent for the Third-Party Offering. The Company agreed to pay KBW a placement agent fee in an amount equal to six percent (6%) of the gross proceeds received by the Company in the Third-Party Offering, excluding any amounts that may be paid upon the exercise of any Warrants. KBW did not act as a placement agent in connection with the ICE Offering and will not receive any fees related to the ICE Offering.</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Purchase Agreements contain customary representations, warranties and agreements by the Company, conditions to closing, indemnification obligations of the Company, other obligations of the parties and termination provisions. The representations, warranties and covenants contained in the Purchase Agreements were made only for purposes of such agreements and as of specific dates, were solely for the benefit of the parties to such agreements, and may be subject to limitations agreed upon by the contracting parties.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12529"/>
        </w:rPr>
        <w:t>The foregoing description of the Class 1 Warrants, the Class 2 Warrants, the Pre-Funded Warrants, the Third-Party Purchase Agreement, the ICE Purchase Agreement and the Voting Support Agreement are not complete and are qualified in their entirety by reference to the full text of thereof, forms of which are filed as Exhibits 4.1, 4.2, 4.3, 10.1, 10.2 and 10.3, respectively, to this Current Report on Form 8-K and are incorporated by reference herein.</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ICE is an existing stockholder of the Company and holds greater than ten percent (10%) of the Company’s capital stock. In addition, an affiliate of ICE employs David Clifton, who is currently serving on the Company’s board of directors. The Company has certain commercial agreements with certain affiliates of ICE. See “Opco Related Transactions” of the Company’s most recent proxy statement, filed with the Securities and Exchange Commission on April 24, 2023, which section is incorporated herein by reference,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77" w:lineRule="exact"/>
        <w:rPr>
          <w:sz w:val="20"/>
          <w:szCs w:val="20"/>
          <w:color w:val="auto"/>
        </w:rPr>
      </w:pPr>
    </w:p>
    <w:p>
      <w:pPr>
        <w:jc w:val="right"/>
        <w:ind w:right="31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19685</wp:posOffset>
            </wp:positionV>
            <wp:extent cx="6858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160"/>
          </w:cols>
          <w:pgMar w:left="320" w:top="1440" w:right="1419" w:bottom="1440" w:gutter="0" w:footer="0" w:header="0"/>
        </w:sectPr>
      </w:pP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5.1</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5.2</w:t>
      </w:r>
    </w:p>
    <w:p>
      <w:pPr>
        <w:spacing w:after="0" w:line="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23.1</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23.2</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Class 1 Warrant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Class 2 Warrant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Pre-Funded Warrant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Wilson Sonsini Goodrich and Rosati, P.C.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Wilson Sonsini Goodrich and Rosati, P.C.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Third-Party Purchase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ICE Purchase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Voting Support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Wilson Sonsini Goodrich and Rosati, P.C. (included in Exhibit 5.1 hereto)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Wilson Sonsini Goodrich and Rosati, P.C. (included in Exhibit 5.2 hereto)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520" w:space="720"/>
            <w:col w:w="7920"/>
          </w:cols>
          <w:pgMar w:left="320" w:top="1440" w:right="1419" w:bottom="1440" w:gutter="0" w:footer="0" w:header="0"/>
          <w:type w:val="continuous"/>
        </w:sectPr>
      </w:pPr>
    </w:p>
    <w:p>
      <w:pPr>
        <w:spacing w:after="0" w:line="174" w:lineRule="exact"/>
        <w:rPr>
          <w:sz w:val="20"/>
          <w:szCs w:val="20"/>
          <w:color w:val="auto"/>
        </w:rPr>
      </w:pPr>
    </w:p>
    <w:p>
      <w:pPr>
        <w:ind w:left="680" w:hanging="654"/>
        <w:spacing w:after="0" w:line="238" w:lineRule="auto"/>
        <w:tabs>
          <w:tab w:leader="none" w:pos="680" w:val="left"/>
        </w:tabs>
        <w:numPr>
          <w:ilvl w:val="0"/>
          <w:numId w:val="2"/>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Exhibits and schedules have been omitted from this filing pursuant to Item 601(a)(5) of Regulation S-K and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1440" w:right="141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2024</w:t>
      </w:r>
    </w:p>
    <w:p>
      <w:pPr>
        <w:sectPr>
          <w:pgSz w:w="11900" w:h="16838" w:orient="portrait"/>
          <w:cols w:equalWidth="0" w:num="1">
            <w:col w:w="11240"/>
          </w:cols>
          <w:pgMar w:left="320" w:top="14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COMMON STOCK PURCHASE WARRANT</w:t>
      </w:r>
    </w:p>
    <w:p>
      <w:pPr>
        <w:jc w:val="center"/>
        <w:spacing w:after="0"/>
        <w:rPr>
          <w:sz w:val="20"/>
          <w:szCs w:val="20"/>
          <w:color w:val="auto"/>
        </w:rPr>
      </w:pPr>
      <w:r>
        <w:rPr>
          <w:rFonts w:ascii="Times New Roman" w:cs="Times New Roman" w:eastAsia="Times New Roman" w:hAnsi="Times New Roman"/>
          <w:sz w:val="18"/>
          <w:szCs w:val="18"/>
          <w:b w:val="1"/>
          <w:bCs w:val="1"/>
          <w:color w:val="auto"/>
        </w:rPr>
        <w:t>(Class 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66" w:lineRule="exact"/>
        <w:rPr>
          <w:sz w:val="20"/>
          <w:szCs w:val="20"/>
          <w:color w:val="auto"/>
        </w:rPr>
      </w:pPr>
    </w:p>
    <w:p>
      <w:pPr>
        <w:ind w:left="20"/>
        <w:spacing w:after="0"/>
        <w:tabs>
          <w:tab w:leader="none" w:pos="8300" w:val="left"/>
        </w:tabs>
        <w:rPr>
          <w:sz w:val="20"/>
          <w:szCs w:val="20"/>
          <w:color w:val="auto"/>
        </w:rPr>
      </w:pPr>
      <w:r>
        <w:rPr>
          <w:rFonts w:ascii="Times New Roman" w:cs="Times New Roman" w:eastAsia="Times New Roman" w:hAnsi="Times New Roman"/>
          <w:sz w:val="18"/>
          <w:szCs w:val="18"/>
          <w:b w:val="1"/>
          <w:bCs w:val="1"/>
          <w:color w:val="auto"/>
        </w:rPr>
        <w:t>Warrant Shares: _________________</w:t>
      </w:r>
      <w:r>
        <w:rPr>
          <w:sz w:val="20"/>
          <w:szCs w:val="20"/>
          <w:color w:val="auto"/>
        </w:rPr>
        <w:tab/>
      </w:r>
      <w:r>
        <w:rPr>
          <w:rFonts w:ascii="Times New Roman" w:cs="Times New Roman" w:eastAsia="Times New Roman" w:hAnsi="Times New Roman"/>
          <w:sz w:val="17"/>
          <w:szCs w:val="17"/>
          <w:b w:val="1"/>
          <w:bCs w:val="1"/>
          <w:color w:val="auto"/>
        </w:rPr>
        <w:t>Original Issuance Date</w:t>
      </w:r>
      <w:r>
        <w:rPr>
          <w:rFonts w:ascii="Times New Roman" w:cs="Times New Roman" w:eastAsia="Times New Roman" w:hAnsi="Times New Roman"/>
          <w:sz w:val="17"/>
          <w:szCs w:val="17"/>
          <w:color w:val="auto"/>
        </w:rPr>
        <w:t>: March 4, 2024</w:t>
      </w:r>
    </w:p>
    <w:p>
      <w:pPr>
        <w:spacing w:after="0" w:line="1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Initial Exercise Date</w:t>
      </w:r>
      <w:r>
        <w:rPr>
          <w:rFonts w:ascii="Times New Roman" w:cs="Times New Roman" w:eastAsia="Times New Roman" w:hAnsi="Times New Roman"/>
          <w:sz w:val="18"/>
          <w:szCs w:val="18"/>
          <w:color w:val="auto"/>
        </w:rPr>
        <w:t>: September 4, 2024</w:t>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September 4, 2029</w:t>
      </w:r>
    </w:p>
    <w:p>
      <w:pPr>
        <w:spacing w:after="0" w:line="327" w:lineRule="exact"/>
        <w:rPr>
          <w:sz w:val="20"/>
          <w:szCs w:val="20"/>
          <w:color w:val="auto"/>
        </w:rPr>
      </w:pPr>
    </w:p>
    <w:p>
      <w:pPr>
        <w:jc w:val="both"/>
        <w:ind w:firstLine="1166"/>
        <w:spacing w:after="0" w:line="238" w:lineRule="auto"/>
        <w:rPr>
          <w:sz w:val="20"/>
          <w:szCs w:val="20"/>
          <w:color w:val="auto"/>
        </w:rPr>
      </w:pPr>
      <w:r>
        <w:rPr>
          <w:rFonts w:ascii="Times New Roman" w:cs="Times New Roman" w:eastAsia="Times New Roman" w:hAnsi="Times New Roman"/>
          <w:sz w:val="18"/>
          <w:szCs w:val="18"/>
          <w:color w:val="auto"/>
        </w:rPr>
        <w:t>THIS COMMON STOCK PURCHASE WARRANT (Class 1)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[INVESTOR]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September 4, 2024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September 4,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w:t>
      </w:r>
      <w:r>
        <w:rPr>
          <w:rFonts w:ascii="Times New Roman" w:cs="Times New Roman" w:eastAsia="Times New Roman" w:hAnsi="Times New Roman"/>
          <w:sz w:val="18"/>
          <w:szCs w:val="18"/>
          <w:b w:val="1"/>
          <w:bCs w:val="1"/>
          <w:color w:val="auto"/>
        </w:rPr>
        <w:t>[●] shares</w:t>
      </w:r>
      <w:r>
        <w:rPr>
          <w:rFonts w:ascii="Times New Roman" w:cs="Times New Roman" w:eastAsia="Times New Roman" w:hAnsi="Times New Roman"/>
          <w:sz w:val="18"/>
          <w:szCs w:val="18"/>
          <w:color w:val="auto"/>
        </w:rPr>
        <w:t xml:space="preserve">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213"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29, 2024, among the Company and the purchaser signatory thereto.</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56"/>
        <w:spacing w:after="0"/>
        <w:tabs>
          <w:tab w:leader="none" w:pos="12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(as defined in Section 2(c) herein) and (ii) the number of Trading Days comprising the Standard Settlement Period (as defined in Section 2(e)</w:t>
      </w:r>
    </w:p>
    <w:p>
      <w:pPr>
        <w:spacing w:after="0" w:line="2" w:lineRule="exact"/>
        <w:rPr>
          <w:rFonts w:ascii="Times New Roman" w:cs="Times New Roman" w:eastAsia="Times New Roman" w:hAnsi="Times New Roman"/>
          <w:sz w:val="18"/>
          <w:szCs w:val="18"/>
          <w:color w:val="auto"/>
        </w:rPr>
      </w:pPr>
    </w:p>
    <w:p>
      <w:pPr>
        <w:jc w:val="both"/>
        <w:ind w:firstLine="8"/>
        <w:spacing w:after="0" w:line="234"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$1.02,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firstLine="656"/>
        <w:spacing w:after="0" w:line="250" w:lineRule="auto"/>
        <w:tabs>
          <w:tab w:leader="none" w:pos="12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ectPr>
          <w:pgSz w:w="11900" w:h="16838" w:orient="portrait"/>
          <w:cols w:equalWidth="0" w:num="1">
            <w:col w:w="11240"/>
          </w:cols>
          <w:pgMar w:left="320" w:top="104" w:right="339" w:bottom="1440" w:gutter="0" w:footer="0" w:header="0"/>
        </w:sectPr>
      </w:pPr>
    </w:p>
    <w:bookmarkStart w:id="6" w:name="page7"/>
    <w:bookmarkEnd w:id="6"/>
    <w:p>
      <w:pPr>
        <w:jc w:val="both"/>
        <w:ind w:firstLine="332"/>
        <w:spacing w:after="0" w:line="237" w:lineRule="auto"/>
        <w:tabs>
          <w:tab w:leader="none" w:pos="6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12" w:lineRule="exact"/>
        <w:rPr>
          <w:sz w:val="20"/>
          <w:szCs w:val="20"/>
          <w:color w:val="auto"/>
        </w:rPr>
      </w:pPr>
    </w:p>
    <w:p>
      <w:pPr>
        <w:ind w:firstLine="332"/>
        <w:spacing w:after="0" w:line="266" w:lineRule="auto"/>
        <w:tabs>
          <w:tab w:leader="none" w:pos="6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89"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exchange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1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Trading Market is open for trading, including any day on which the Trading Market is open for trading for a period of time less than the customary time.</w:t>
      </w:r>
    </w:p>
    <w:p>
      <w:pPr>
        <w:spacing w:after="0" w:line="162"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7"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not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7" w:name="page8"/>
    <w:bookmarkEnd w:id="7"/>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7" w:lineRule="exact"/>
        <w:rPr>
          <w:sz w:val="20"/>
          <w:szCs w:val="20"/>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firstLine="1952"/>
        <w:spacing w:after="0" w:line="235" w:lineRule="auto"/>
        <w:tabs>
          <w:tab w:leader="none" w:pos="257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5" w:lineRule="exact"/>
        <w:rPr>
          <w:rFonts w:ascii="Times New Roman" w:cs="Times New Roman" w:eastAsia="Times New Roman" w:hAnsi="Times New Roman"/>
          <w:sz w:val="18"/>
          <w:szCs w:val="18"/>
          <w:color w:val="auto"/>
        </w:rPr>
      </w:pPr>
    </w:p>
    <w:p>
      <w:pPr>
        <w:jc w:val="both"/>
        <w:ind w:firstLine="1952"/>
        <w:spacing w:after="0" w:line="245" w:lineRule="auto"/>
        <w:tabs>
          <w:tab w:leader="none" w:pos="258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right="20" w:firstLine="1952"/>
        <w:spacing w:after="0" w:line="266" w:lineRule="auto"/>
        <w:tabs>
          <w:tab w:leader="none" w:pos="25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2(e)(i) by the Warrant Share Delivery Date, then the Holder will have the right to rescind such exercise.</w:t>
      </w:r>
    </w:p>
    <w:p>
      <w:pPr>
        <w:spacing w:after="0" w:line="162" w:lineRule="exact"/>
        <w:rPr>
          <w:rFonts w:ascii="Times New Roman" w:cs="Times New Roman" w:eastAsia="Times New Roman" w:hAnsi="Times New Roman"/>
          <w:sz w:val="18"/>
          <w:szCs w:val="18"/>
          <w:color w:val="auto"/>
        </w:rPr>
      </w:pPr>
    </w:p>
    <w:p>
      <w:pPr>
        <w:jc w:val="both"/>
        <w:ind w:firstLine="1952"/>
        <w:spacing w:after="0" w:line="236" w:lineRule="auto"/>
        <w:tabs>
          <w:tab w:leader="none" w:pos="257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w:t>
      </w:r>
    </w:p>
    <w:p>
      <w:pPr>
        <w:spacing w:after="0" w:line="1" w:lineRule="exact"/>
        <w:rPr>
          <w:rFonts w:ascii="Times New Roman" w:cs="Times New Roman" w:eastAsia="Times New Roman" w:hAnsi="Times New Roman"/>
          <w:sz w:val="18"/>
          <w:szCs w:val="18"/>
          <w:color w:val="auto"/>
        </w:rPr>
      </w:pPr>
    </w:p>
    <w:p>
      <w:pPr>
        <w:jc w:val="both"/>
        <w:ind w:firstLine="8"/>
        <w:spacing w:after="0" w:line="234" w:lineRule="auto"/>
        <w:tabs>
          <w:tab w:leader="none" w:pos="2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w:t>
      </w:r>
    </w:p>
    <w:p>
      <w:pPr>
        <w:spacing w:after="0" w:line="2" w:lineRule="exact"/>
        <w:rPr>
          <w:rFonts w:ascii="Times New Roman" w:cs="Times New Roman" w:eastAsia="Times New Roman" w:hAnsi="Times New Roman"/>
          <w:sz w:val="18"/>
          <w:szCs w:val="18"/>
          <w:color w:val="auto"/>
        </w:rPr>
      </w:pPr>
    </w:p>
    <w:p>
      <w:pPr>
        <w:ind w:right="20" w:firstLine="8"/>
        <w:spacing w:after="0" w:line="243"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reinstate the portion of the Warrant and equivalent number of Warrant Shares for which such exercise was not honored (in which case such exercise shall be deemed rescinded) or deliver to the Holder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8" w:name="page9"/>
    <w:bookmarkEnd w:id="8"/>
    <w:p>
      <w:pPr>
        <w:jc w:val="both"/>
        <w:spacing w:after="0" w:line="237" w:lineRule="auto"/>
        <w:rPr>
          <w:sz w:val="20"/>
          <w:szCs w:val="20"/>
          <w:color w:val="auto"/>
        </w:rPr>
      </w:pPr>
      <w:r>
        <w:rPr>
          <w:rFonts w:ascii="Times New Roman" w:cs="Times New Roman" w:eastAsia="Times New Roman" w:hAnsi="Times New Roman"/>
          <w:sz w:val="18"/>
          <w:szCs w:val="18"/>
          <w:color w:val="auto"/>
        </w:rPr>
        <w:t>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7" w:lineRule="exact"/>
        <w:rPr>
          <w:sz w:val="20"/>
          <w:szCs w:val="20"/>
          <w:color w:val="auto"/>
        </w:rPr>
      </w:pPr>
    </w:p>
    <w:p>
      <w:pPr>
        <w:jc w:val="both"/>
        <w:ind w:right="20" w:firstLine="1952"/>
        <w:spacing w:after="0" w:line="245" w:lineRule="auto"/>
        <w:tabs>
          <w:tab w:leader="none" w:pos="25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rFonts w:ascii="Times New Roman" w:cs="Times New Roman" w:eastAsia="Times New Roman" w:hAnsi="Times New Roman"/>
          <w:sz w:val="18"/>
          <w:szCs w:val="18"/>
          <w:color w:val="auto"/>
        </w:rPr>
      </w:pPr>
    </w:p>
    <w:p>
      <w:pPr>
        <w:jc w:val="both"/>
        <w:ind w:firstLine="1952"/>
        <w:spacing w:after="0" w:line="239" w:lineRule="auto"/>
        <w:tabs>
          <w:tab w:leader="none" w:pos="25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3" w:lineRule="exact"/>
        <w:rPr>
          <w:rFonts w:ascii="Times New Roman" w:cs="Times New Roman" w:eastAsia="Times New Roman" w:hAnsi="Times New Roman"/>
          <w:sz w:val="18"/>
          <w:szCs w:val="18"/>
          <w:color w:val="auto"/>
        </w:rPr>
      </w:pPr>
    </w:p>
    <w:p>
      <w:pPr>
        <w:ind w:firstLine="1952"/>
        <w:spacing w:after="0" w:line="266" w:lineRule="auto"/>
        <w:tabs>
          <w:tab w:leader="none" w:pos="25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rFonts w:ascii="Times New Roman" w:cs="Times New Roman" w:eastAsia="Times New Roman" w:hAnsi="Times New Roman"/>
          <w:sz w:val="18"/>
          <w:szCs w:val="18"/>
          <w:color w:val="auto"/>
        </w:rPr>
      </w:pPr>
    </w:p>
    <w:p>
      <w:pPr>
        <w:jc w:val="both"/>
        <w:ind w:firstLine="656"/>
        <w:spacing w:after="0" w:line="235" w:lineRule="auto"/>
        <w:tabs>
          <w:tab w:leader="none" w:pos="12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18"/>
          <w:szCs w:val="18"/>
          <w:color w:val="auto"/>
        </w:rPr>
        <w:t>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 Rights Offering</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36" w:lineRule="auto"/>
        <w:tabs>
          <w:tab w:leader="none" w:pos="1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4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10" w:name="page11"/>
    <w:bookmarkEnd w:id="10"/>
    <w:p>
      <w:pPr>
        <w:jc w:val="both"/>
        <w:spacing w:after="0" w:line="241" w:lineRule="auto"/>
        <w:rPr>
          <w:sz w:val="20"/>
          <w:szCs w:val="20"/>
          <w:color w:val="auto"/>
        </w:rPr>
      </w:pPr>
      <w:r>
        <w:rPr>
          <w:rFonts w:ascii="Times New Roman" w:cs="Times New Roman" w:eastAsia="Times New Roman" w:hAnsi="Times New Roman"/>
          <w:sz w:val="18"/>
          <w:szCs w:val="18"/>
          <w:color w:val="auto"/>
        </w:rPr>
        <w:t>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4" w:lineRule="exact"/>
        <w:rPr>
          <w:sz w:val="20"/>
          <w:szCs w:val="20"/>
          <w:color w:val="auto"/>
        </w:rPr>
      </w:pPr>
    </w:p>
    <w:p>
      <w:pPr>
        <w:jc w:val="both"/>
        <w:ind w:firstLine="656"/>
        <w:spacing w:after="0" w:line="236" w:lineRule="auto"/>
        <w:tabs>
          <w:tab w:leader="none" w:pos="1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rFonts w:ascii="Times New Roman" w:cs="Times New Roman" w:eastAsia="Times New Roman" w:hAnsi="Times New Roman"/>
          <w:sz w:val="18"/>
          <w:szCs w:val="18"/>
          <w:color w:val="auto"/>
        </w:rPr>
      </w:pPr>
    </w:p>
    <w:p>
      <w:pPr>
        <w:jc w:val="both"/>
        <w:ind w:firstLine="656"/>
        <w:spacing w:after="0" w:line="235"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11" w:name="page12"/>
    <w:bookmarkEnd w:id="11"/>
    <w:p>
      <w:pPr>
        <w:jc w:val="both"/>
        <w:spacing w:after="0" w:line="234" w:lineRule="auto"/>
        <w:rPr>
          <w:sz w:val="20"/>
          <w:szCs w:val="20"/>
          <w:color w:val="auto"/>
        </w:rPr>
      </w:pPr>
      <w:r>
        <w:rPr>
          <w:rFonts w:ascii="Times New Roman" w:cs="Times New Roman" w:eastAsia="Times New Roman" w:hAnsi="Times New Roman"/>
          <w:sz w:val="18"/>
          <w:szCs w:val="18"/>
          <w:color w:val="auto"/>
        </w:rPr>
        <w:t>efforts to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198" w:lineRule="exact"/>
        <w:rPr>
          <w:sz w:val="20"/>
          <w:szCs w:val="20"/>
          <w:color w:val="auto"/>
        </w:rPr>
      </w:pPr>
    </w:p>
    <w:p>
      <w:pPr>
        <w:jc w:val="both"/>
        <w:ind w:firstLine="656"/>
        <w:spacing w:after="0" w:line="227" w:lineRule="auto"/>
        <w:tabs>
          <w:tab w:leader="none" w:pos="13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12" w:name="page13"/>
    <w:bookmarkEnd w:id="12"/>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952"/>
        <w:spacing w:after="0" w:line="250" w:lineRule="auto"/>
        <w:tabs>
          <w:tab w:leader="none" w:pos="25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6" w:lineRule="exact"/>
        <w:rPr>
          <w:rFonts w:ascii="Times New Roman" w:cs="Times New Roman" w:eastAsia="Times New Roman" w:hAnsi="Times New Roman"/>
          <w:sz w:val="18"/>
          <w:szCs w:val="18"/>
          <w:color w:val="auto"/>
        </w:rPr>
      </w:pPr>
    </w:p>
    <w:p>
      <w:pPr>
        <w:jc w:val="both"/>
        <w:ind w:firstLine="1952"/>
        <w:spacing w:after="0" w:line="235" w:lineRule="auto"/>
        <w:tabs>
          <w:tab w:leader="none" w:pos="25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6"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36" w:lineRule="auto"/>
        <w:tabs>
          <w:tab w:leader="none" w:pos="12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2"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18"/>
          <w:szCs w:val="18"/>
          <w:color w:val="auto"/>
        </w:rPr>
        <w:t>Company shall execute and deliver a new Warrant or Warrants in exchange for the Warrant or Warrants to be divided or combined in accordance with such notice. All Warrants issued on transfers or exchanges shall maintain the Original Issuance Date of this Warrant and shall be identical with this Warrant except as to the number of Warrant Shares issuable pursuant thereto.</w:t>
      </w:r>
    </w:p>
    <w:p>
      <w:pPr>
        <w:spacing w:after="0" w:line="177" w:lineRule="exact"/>
        <w:rPr>
          <w:sz w:val="20"/>
          <w:szCs w:val="20"/>
          <w:color w:val="auto"/>
        </w:rPr>
      </w:pPr>
    </w:p>
    <w:p>
      <w:pPr>
        <w:jc w:val="both"/>
        <w:ind w:firstLine="656"/>
        <w:spacing w:after="0" w:line="245" w:lineRule="auto"/>
        <w:tabs>
          <w:tab w:leader="none" w:pos="12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4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and to receive the cash payments contemplated pursuant to Sections 2(e)</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2(e)(iv), in no event will the Company be required to net cash settle an exercise of this Warrant.</w:t>
      </w:r>
    </w:p>
    <w:p>
      <w:pPr>
        <w:spacing w:after="0" w:line="191" w:lineRule="exact"/>
        <w:rPr>
          <w:rFonts w:ascii="Times New Roman" w:cs="Times New Roman" w:eastAsia="Times New Roman" w:hAnsi="Times New Roman"/>
          <w:sz w:val="18"/>
          <w:szCs w:val="18"/>
          <w:color w:val="auto"/>
        </w:rPr>
      </w:pPr>
    </w:p>
    <w:p>
      <w:pPr>
        <w:jc w:val="both"/>
        <w:ind w:firstLine="656"/>
        <w:spacing w:after="0" w:line="241" w:lineRule="auto"/>
        <w:tabs>
          <w:tab w:leader="none" w:pos="10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3" w:lineRule="exact"/>
        <w:rPr>
          <w:rFonts w:ascii="Times New Roman" w:cs="Times New Roman" w:eastAsia="Times New Roman" w:hAnsi="Times New Roman"/>
          <w:sz w:val="18"/>
          <w:szCs w:val="18"/>
          <w:color w:val="auto"/>
        </w:rPr>
      </w:pPr>
    </w:p>
    <w:p>
      <w:pPr>
        <w:ind w:firstLine="656"/>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8" w:lineRule="exact"/>
        <w:rPr>
          <w:rFonts w:ascii="Times New Roman" w:cs="Times New Roman" w:eastAsia="Times New Roman" w:hAnsi="Times New Roman"/>
          <w:sz w:val="18"/>
          <w:szCs w:val="18"/>
          <w:color w:val="auto"/>
        </w:rPr>
      </w:pPr>
    </w:p>
    <w:p>
      <w:pPr>
        <w:jc w:val="both"/>
        <w:ind w:firstLine="656"/>
        <w:spacing w:after="0" w:line="238" w:lineRule="auto"/>
        <w:tabs>
          <w:tab w:leader="none" w:pos="9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14" w:name="page15"/>
    <w:bookmarkEnd w:id="14"/>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4" w:lineRule="exact"/>
        <w:rPr>
          <w:sz w:val="20"/>
          <w:szCs w:val="20"/>
          <w:color w:val="auto"/>
        </w:rPr>
      </w:pPr>
    </w:p>
    <w:p>
      <w:pPr>
        <w:ind w:firstLine="656"/>
        <w:spacing w:after="0" w:line="266" w:lineRule="auto"/>
        <w:tabs>
          <w:tab w:leader="none" w:pos="10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2" w:lineRule="exact"/>
        <w:rPr>
          <w:rFonts w:ascii="Times New Roman" w:cs="Times New Roman" w:eastAsia="Times New Roman" w:hAnsi="Times New Roman"/>
          <w:sz w:val="18"/>
          <w:szCs w:val="18"/>
          <w:color w:val="auto"/>
        </w:rPr>
      </w:pPr>
    </w:p>
    <w:p>
      <w:pPr>
        <w:ind w:firstLine="656"/>
        <w:spacing w:after="0" w:line="266" w:lineRule="auto"/>
        <w:tabs>
          <w:tab w:leader="none" w:pos="9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8" w:lineRule="exact"/>
        <w:rPr>
          <w:rFonts w:ascii="Times New Roman" w:cs="Times New Roman" w:eastAsia="Times New Roman" w:hAnsi="Times New Roman"/>
          <w:sz w:val="18"/>
          <w:szCs w:val="18"/>
          <w:color w:val="auto"/>
        </w:rPr>
      </w:pPr>
    </w:p>
    <w:p>
      <w:pPr>
        <w:jc w:val="both"/>
        <w:ind w:firstLine="656"/>
        <w:spacing w:after="0"/>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4" w:lineRule="exact"/>
        <w:rPr>
          <w:rFonts w:ascii="Times New Roman" w:cs="Times New Roman" w:eastAsia="Times New Roman" w:hAnsi="Times New Roman"/>
          <w:sz w:val="18"/>
          <w:szCs w:val="18"/>
          <w:color w:val="auto"/>
        </w:rPr>
      </w:pPr>
    </w:p>
    <w:p>
      <w:pPr>
        <w:ind w:firstLine="656"/>
        <w:spacing w:after="0" w:line="266" w:lineRule="auto"/>
        <w:tabs>
          <w:tab w:leader="none" w:pos="10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2" w:lineRule="exact"/>
        <w:rPr>
          <w:rFonts w:ascii="Times New Roman" w:cs="Times New Roman" w:eastAsia="Times New Roman" w:hAnsi="Times New Roman"/>
          <w:sz w:val="18"/>
          <w:szCs w:val="18"/>
          <w:color w:val="auto"/>
        </w:rPr>
      </w:pPr>
    </w:p>
    <w:p>
      <w:pPr>
        <w:jc w:val="both"/>
        <w:ind w:firstLine="656"/>
        <w:spacing w:after="0" w:line="250" w:lineRule="auto"/>
        <w:tabs>
          <w:tab w:leader="none" w:pos="10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4" w:lineRule="exact"/>
        <w:rPr>
          <w:rFonts w:ascii="Times New Roman" w:cs="Times New Roman" w:eastAsia="Times New Roman" w:hAnsi="Times New Roman"/>
          <w:sz w:val="18"/>
          <w:szCs w:val="18"/>
          <w:color w:val="auto"/>
        </w:rPr>
      </w:pPr>
    </w:p>
    <w:p>
      <w:pPr>
        <w:jc w:val="both"/>
        <w:ind w:firstLine="656"/>
        <w:spacing w:after="0" w:line="245" w:lineRule="auto"/>
        <w:tabs>
          <w:tab w:leader="none" w:pos="9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firstLine="656"/>
        <w:spacing w:after="0" w:line="266" w:lineRule="auto"/>
        <w:tabs>
          <w:tab w:leader="none" w:pos="9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2" w:lineRule="exact"/>
        <w:rPr>
          <w:rFonts w:ascii="Times New Roman" w:cs="Times New Roman" w:eastAsia="Times New Roman" w:hAnsi="Times New Roman"/>
          <w:sz w:val="18"/>
          <w:szCs w:val="18"/>
          <w:color w:val="auto"/>
        </w:rPr>
      </w:pPr>
    </w:p>
    <w:p>
      <w:pPr>
        <w:jc w:val="both"/>
        <w:ind w:firstLine="656"/>
        <w:spacing w:after="0" w:line="250" w:lineRule="auto"/>
        <w:tabs>
          <w:tab w:leader="none" w:pos="11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15" w:name="page16"/>
    <w:bookmarkEnd w:id="15"/>
    <w:p>
      <w:pPr>
        <w:ind w:firstLine="1166"/>
        <w:spacing w:after="0" w:line="266"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1663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1)]</w:t>
      </w:r>
    </w:p>
    <w:p>
      <w:pPr>
        <w:sectPr>
          <w:pgSz w:w="11900" w:h="16838" w:orient="portrait"/>
          <w:cols w:equalWidth="0" w:num="1">
            <w:col w:w="11220"/>
          </w:cols>
          <w:pgMar w:left="320" w:top="1404" w:right="359" w:bottom="1440" w:gutter="0" w:footer="0" w:header="0"/>
        </w:sectPr>
      </w:pPr>
    </w:p>
    <w:bookmarkStart w:id="16" w:name="page17"/>
    <w:bookmarkEnd w:id="16"/>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79"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BAKKT HOLDINGS, INC.</w:t>
      </w:r>
    </w:p>
    <w:p>
      <w:pPr>
        <w:spacing w:after="0" w:line="324" w:lineRule="exact"/>
        <w:rPr>
          <w:sz w:val="20"/>
          <w:szCs w:val="20"/>
          <w:color w:val="auto"/>
        </w:rPr>
      </w:pPr>
    </w:p>
    <w:p>
      <w:pPr>
        <w:ind w:firstLine="656"/>
        <w:spacing w:after="0" w:line="266" w:lineRule="auto"/>
        <w:tabs>
          <w:tab w:leader="none" w:pos="9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1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 lawful money of the United States; or</w:t>
      </w:r>
    </w:p>
    <w:p>
      <w:pPr>
        <w:spacing w:after="0" w:line="212" w:lineRule="exact"/>
        <w:rPr>
          <w:sz w:val="20"/>
          <w:szCs w:val="20"/>
          <w:color w:val="auto"/>
        </w:rPr>
      </w:pPr>
    </w:p>
    <w:p>
      <w:pPr>
        <w:jc w:val="both"/>
        <w:ind w:left="660" w:firstLine="644"/>
        <w:spacing w:after="0" w:line="250"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294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69691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69691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19202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17" w:name="page18"/>
    <w:bookmarkEnd w:id="17"/>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spacing w:after="0" w:line="51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(Please Print)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(Please Print)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_______________ __, ______</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860"/>
          </w:cols>
          <w:pgMar w:left="320" w:top="1400" w:right="7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COMMON STOCK PURCHASE WARRANT</w:t>
      </w:r>
    </w:p>
    <w:p>
      <w:pPr>
        <w:jc w:val="center"/>
        <w:spacing w:after="0"/>
        <w:rPr>
          <w:sz w:val="20"/>
          <w:szCs w:val="20"/>
          <w:color w:val="auto"/>
        </w:rPr>
      </w:pPr>
      <w:r>
        <w:rPr>
          <w:rFonts w:ascii="Times New Roman" w:cs="Times New Roman" w:eastAsia="Times New Roman" w:hAnsi="Times New Roman"/>
          <w:sz w:val="18"/>
          <w:szCs w:val="18"/>
          <w:b w:val="1"/>
          <w:bCs w:val="1"/>
          <w:color w:val="auto"/>
        </w:rPr>
        <w:t>(Class 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66" w:lineRule="exact"/>
        <w:rPr>
          <w:sz w:val="20"/>
          <w:szCs w:val="20"/>
          <w:color w:val="auto"/>
        </w:rPr>
      </w:pPr>
    </w:p>
    <w:p>
      <w:pPr>
        <w:ind w:left="20"/>
        <w:spacing w:after="0"/>
        <w:tabs>
          <w:tab w:leader="none" w:pos="8300" w:val="left"/>
        </w:tabs>
        <w:rPr>
          <w:sz w:val="20"/>
          <w:szCs w:val="20"/>
          <w:color w:val="auto"/>
        </w:rPr>
      </w:pPr>
      <w:r>
        <w:rPr>
          <w:rFonts w:ascii="Times New Roman" w:cs="Times New Roman" w:eastAsia="Times New Roman" w:hAnsi="Times New Roman"/>
          <w:sz w:val="18"/>
          <w:szCs w:val="18"/>
          <w:b w:val="1"/>
          <w:bCs w:val="1"/>
          <w:color w:val="auto"/>
        </w:rPr>
        <w:t>Warrant Shares: _________________</w:t>
      </w:r>
      <w:r>
        <w:rPr>
          <w:sz w:val="20"/>
          <w:szCs w:val="20"/>
          <w:color w:val="auto"/>
        </w:rPr>
        <w:tab/>
      </w:r>
      <w:r>
        <w:rPr>
          <w:rFonts w:ascii="Times New Roman" w:cs="Times New Roman" w:eastAsia="Times New Roman" w:hAnsi="Times New Roman"/>
          <w:sz w:val="17"/>
          <w:szCs w:val="17"/>
          <w:b w:val="1"/>
          <w:bCs w:val="1"/>
          <w:color w:val="auto"/>
        </w:rPr>
        <w:t>Original Issuance Date</w:t>
      </w:r>
      <w:r>
        <w:rPr>
          <w:rFonts w:ascii="Times New Roman" w:cs="Times New Roman" w:eastAsia="Times New Roman" w:hAnsi="Times New Roman"/>
          <w:sz w:val="17"/>
          <w:szCs w:val="17"/>
          <w:color w:val="auto"/>
        </w:rPr>
        <w:t>: March 4, 2024</w:t>
      </w:r>
    </w:p>
    <w:p>
      <w:pPr>
        <w:spacing w:after="0" w:line="1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Initial Exercise Date</w:t>
      </w:r>
      <w:r>
        <w:rPr>
          <w:rFonts w:ascii="Times New Roman" w:cs="Times New Roman" w:eastAsia="Times New Roman" w:hAnsi="Times New Roman"/>
          <w:sz w:val="18"/>
          <w:szCs w:val="18"/>
          <w:color w:val="auto"/>
        </w:rPr>
        <w:t>: September 4, 2024</w:t>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September 4, 2029</w:t>
      </w:r>
    </w:p>
    <w:p>
      <w:pPr>
        <w:spacing w:after="0" w:line="327" w:lineRule="exact"/>
        <w:rPr>
          <w:sz w:val="20"/>
          <w:szCs w:val="20"/>
          <w:color w:val="auto"/>
        </w:rPr>
      </w:pPr>
    </w:p>
    <w:p>
      <w:pPr>
        <w:jc w:val="both"/>
        <w:ind w:firstLine="1166"/>
        <w:spacing w:after="0" w:line="238" w:lineRule="auto"/>
        <w:rPr>
          <w:sz w:val="20"/>
          <w:szCs w:val="20"/>
          <w:color w:val="auto"/>
        </w:rPr>
      </w:pPr>
      <w:r>
        <w:rPr>
          <w:rFonts w:ascii="Times New Roman" w:cs="Times New Roman" w:eastAsia="Times New Roman" w:hAnsi="Times New Roman"/>
          <w:sz w:val="18"/>
          <w:szCs w:val="18"/>
          <w:color w:val="auto"/>
        </w:rPr>
        <w:t>THIS COMMON STOCK PURCHASE WARRANT (Class 2)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[INVESTOR]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March 4, 2024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September 4,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up to </w:t>
      </w:r>
      <w:r>
        <w:rPr>
          <w:rFonts w:ascii="Times New Roman" w:cs="Times New Roman" w:eastAsia="Times New Roman" w:hAnsi="Times New Roman"/>
          <w:sz w:val="18"/>
          <w:szCs w:val="18"/>
          <w:b w:val="1"/>
          <w:bCs w:val="1"/>
          <w:color w:val="auto"/>
        </w:rPr>
        <w:t>[●] shares</w:t>
      </w:r>
      <w:r>
        <w:rPr>
          <w:rFonts w:ascii="Times New Roman" w:cs="Times New Roman" w:eastAsia="Times New Roman" w:hAnsi="Times New Roman"/>
          <w:sz w:val="18"/>
          <w:szCs w:val="18"/>
          <w:color w:val="auto"/>
        </w:rPr>
        <w:t xml:space="preserve">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213"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29, 2024, among the Company and the purchaser signatory thereto.</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56"/>
        <w:spacing w:after="0"/>
        <w:tabs>
          <w:tab w:leader="none" w:pos="12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(as defined in Section 2(c) herein) and (ii) the number of Trading Days comprising the Standard Settlement Period (as defined in Section 2(e)</w:t>
      </w:r>
    </w:p>
    <w:p>
      <w:pPr>
        <w:spacing w:after="0" w:line="2" w:lineRule="exact"/>
        <w:rPr>
          <w:rFonts w:ascii="Times New Roman" w:cs="Times New Roman" w:eastAsia="Times New Roman" w:hAnsi="Times New Roman"/>
          <w:sz w:val="18"/>
          <w:szCs w:val="18"/>
          <w:color w:val="auto"/>
        </w:rPr>
      </w:pPr>
    </w:p>
    <w:p>
      <w:pPr>
        <w:jc w:val="both"/>
        <w:ind w:firstLine="8"/>
        <w:spacing w:after="0" w:line="234" w:lineRule="auto"/>
        <w:tabs>
          <w:tab w:leader="none" w:pos="2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herein) following the date of exercise as aforesaid, the Holder shall deliver the aggregate Exercise Price for the number of Warrant Shares specified in the applicable Notice of Exercise by wire transfer or cashier’s check drawn on a United States bank unless the cashless exercise or alternative cashless exercise procedure specified in Section 2(c) or Section 2(d)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$1.02,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firstLine="656"/>
        <w:spacing w:after="0" w:line="250" w:lineRule="auto"/>
        <w:tabs>
          <w:tab w:leader="none" w:pos="12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ectPr>
          <w:pgSz w:w="11900" w:h="16838" w:orient="portrait"/>
          <w:cols w:equalWidth="0" w:num="1">
            <w:col w:w="11240"/>
          </w:cols>
          <w:pgMar w:left="320" w:top="104" w:right="339" w:bottom="1440" w:gutter="0" w:footer="0" w:header="0"/>
        </w:sectPr>
      </w:pPr>
    </w:p>
    <w:bookmarkStart w:id="19" w:name="page20"/>
    <w:bookmarkEnd w:id="19"/>
    <w:p>
      <w:pPr>
        <w:jc w:val="both"/>
        <w:ind w:firstLine="332"/>
        <w:spacing w:after="0" w:line="237" w:lineRule="auto"/>
        <w:tabs>
          <w:tab w:leader="none" w:pos="6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12" w:lineRule="exact"/>
        <w:rPr>
          <w:sz w:val="20"/>
          <w:szCs w:val="20"/>
          <w:color w:val="auto"/>
        </w:rPr>
      </w:pPr>
    </w:p>
    <w:p>
      <w:pPr>
        <w:ind w:firstLine="332"/>
        <w:spacing w:after="0" w:line="266" w:lineRule="auto"/>
        <w:tabs>
          <w:tab w:leader="none" w:pos="6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89"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exchange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1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Trading Market is open for trading, including any day on which the Trading Market is open for trading for a period of time less than the customary time.</w:t>
      </w:r>
    </w:p>
    <w:p>
      <w:pPr>
        <w:spacing w:after="0" w:line="162"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7"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20" w:name="page21"/>
    <w:bookmarkEnd w:id="20"/>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7" w:lineRule="exact"/>
        <w:rPr>
          <w:sz w:val="20"/>
          <w:szCs w:val="20"/>
          <w:color w:val="auto"/>
        </w:rPr>
      </w:pPr>
    </w:p>
    <w:p>
      <w:pPr>
        <w:jc w:val="both"/>
        <w:ind w:firstLine="656"/>
        <w:spacing w:after="0" w:line="236" w:lineRule="auto"/>
        <w:tabs>
          <w:tab w:leader="none" w:pos="1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Cashless Exercise</w:t>
      </w:r>
      <w:r>
        <w:rPr>
          <w:rFonts w:ascii="Times New Roman" w:cs="Times New Roman" w:eastAsia="Times New Roman" w:hAnsi="Times New Roman"/>
          <w:sz w:val="18"/>
          <w:szCs w:val="18"/>
          <w:color w:val="auto"/>
        </w:rPr>
        <w:t>. After the Company has obtained Stockholder Approval, then, while the Warrant remains outstanding, if at any time during the period beginning on Initial Exercise Date the Reference Value is less than the Exercise Price (the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exercise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this Warrant in accordance with the terms of this Warrant if such exercise were by means of a cash exercise rather than a cashless exercise) and (y) 0.5. For purposes of this Warrant, the “Reference Value” shall mean the last reported sales price of the Common Stock for each of the three (3) Trading Days ending on the Trading Day prior to the date on which Notice of Exercise is given. If Warrant Shares are issued in such an alternative cashless exercise, the parties acknowledge and agree that in accordance with Section 3(a)(9) of the Securities Act, the Warrant Shares shall take on the registered characteristics of the Warrants being exercised.</w:t>
      </w:r>
    </w:p>
    <w:p>
      <w:pPr>
        <w:spacing w:after="0" w:line="21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firstLine="1952"/>
        <w:spacing w:after="0" w:line="235" w:lineRule="auto"/>
        <w:tabs>
          <w:tab w:leader="none" w:pos="25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or alternative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or alternative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5" w:lineRule="exact"/>
        <w:rPr>
          <w:rFonts w:ascii="Times New Roman" w:cs="Times New Roman" w:eastAsia="Times New Roman" w:hAnsi="Times New Roman"/>
          <w:sz w:val="18"/>
          <w:szCs w:val="18"/>
          <w:color w:val="auto"/>
        </w:rPr>
      </w:pPr>
    </w:p>
    <w:p>
      <w:pPr>
        <w:jc w:val="both"/>
        <w:ind w:firstLine="1952"/>
        <w:spacing w:after="0" w:line="245" w:lineRule="auto"/>
        <w:tabs>
          <w:tab w:leader="none" w:pos="25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right="20" w:firstLine="1952"/>
        <w:spacing w:after="0" w:line="266" w:lineRule="auto"/>
        <w:tabs>
          <w:tab w:leader="none" w:pos="25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2(e)(i) by the Warrant Share Delivery Date, then the Holder will have the right to rescind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21" w:name="page22"/>
    <w:bookmarkEnd w:id="21"/>
    <w:p>
      <w:pPr>
        <w:jc w:val="both"/>
        <w:ind w:firstLine="1952"/>
        <w:spacing w:after="0" w:line="239" w:lineRule="auto"/>
        <w:tabs>
          <w:tab w:leader="none" w:pos="257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w:t>
      </w:r>
    </w:p>
    <w:p>
      <w:pPr>
        <w:spacing w:after="0" w:line="1" w:lineRule="exact"/>
        <w:rPr>
          <w:rFonts w:ascii="Times New Roman" w:cs="Times New Roman" w:eastAsia="Times New Roman" w:hAnsi="Times New Roman"/>
          <w:sz w:val="18"/>
          <w:szCs w:val="18"/>
          <w:color w:val="auto"/>
        </w:rPr>
      </w:pPr>
    </w:p>
    <w:p>
      <w:pPr>
        <w:jc w:val="both"/>
        <w:ind w:firstLine="8"/>
        <w:spacing w:after="0" w:line="229" w:lineRule="auto"/>
        <w:tabs>
          <w:tab w:leader="none" w:pos="2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w:t>
      </w:r>
    </w:p>
    <w:p>
      <w:pPr>
        <w:spacing w:after="0" w:line="1" w:lineRule="exact"/>
        <w:rPr>
          <w:rFonts w:ascii="Times New Roman" w:cs="Times New Roman" w:eastAsia="Times New Roman" w:hAnsi="Times New Roman"/>
          <w:sz w:val="18"/>
          <w:szCs w:val="18"/>
          <w:color w:val="auto"/>
        </w:rPr>
      </w:pPr>
    </w:p>
    <w:p>
      <w:pPr>
        <w:jc w:val="both"/>
        <w:ind w:firstLine="8"/>
        <w:spacing w:after="0" w:line="236" w:lineRule="auto"/>
        <w:tabs>
          <w:tab w:leader="none" w:pos="3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5" w:lineRule="exact"/>
        <w:rPr>
          <w:rFonts w:ascii="Times New Roman" w:cs="Times New Roman" w:eastAsia="Times New Roman" w:hAnsi="Times New Roman"/>
          <w:sz w:val="18"/>
          <w:szCs w:val="18"/>
          <w:color w:val="auto"/>
        </w:rPr>
      </w:pPr>
    </w:p>
    <w:p>
      <w:pPr>
        <w:jc w:val="both"/>
        <w:ind w:firstLine="1952"/>
        <w:spacing w:after="0" w:line="239" w:lineRule="auto"/>
        <w:tabs>
          <w:tab w:leader="none" w:pos="25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As to any fraction of a share which the Holder would otherwise be entitled to upon an alternative cashless exercise pursuant to Section 2(d), the Company shall round down the number of shares deliverable upon redemption to the next whole share.</w:t>
      </w:r>
    </w:p>
    <w:p>
      <w:pPr>
        <w:spacing w:after="0" w:line="184" w:lineRule="exact"/>
        <w:rPr>
          <w:rFonts w:ascii="Times New Roman" w:cs="Times New Roman" w:eastAsia="Times New Roman" w:hAnsi="Times New Roman"/>
          <w:sz w:val="18"/>
          <w:szCs w:val="18"/>
          <w:color w:val="auto"/>
        </w:rPr>
      </w:pPr>
    </w:p>
    <w:p>
      <w:pPr>
        <w:jc w:val="both"/>
        <w:ind w:firstLine="1952"/>
        <w:spacing w:after="0" w:line="239" w:lineRule="auto"/>
        <w:tabs>
          <w:tab w:leader="none" w:pos="258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7" w:lineRule="exact"/>
        <w:rPr>
          <w:rFonts w:ascii="Times New Roman" w:cs="Times New Roman" w:eastAsia="Times New Roman" w:hAnsi="Times New Roman"/>
          <w:sz w:val="18"/>
          <w:szCs w:val="18"/>
          <w:color w:val="auto"/>
        </w:rPr>
      </w:pPr>
    </w:p>
    <w:p>
      <w:pPr>
        <w:ind w:firstLine="1952"/>
        <w:spacing w:after="0" w:line="266" w:lineRule="auto"/>
        <w:tabs>
          <w:tab w:leader="none" w:pos="258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48" w:lineRule="exact"/>
        <w:rPr>
          <w:rFonts w:ascii="Times New Roman" w:cs="Times New Roman" w:eastAsia="Times New Roman" w:hAnsi="Times New Roman"/>
          <w:sz w:val="18"/>
          <w:szCs w:val="18"/>
          <w:color w:val="auto"/>
        </w:rPr>
      </w:pPr>
    </w:p>
    <w:p>
      <w:pPr>
        <w:jc w:val="both"/>
        <w:ind w:firstLine="656"/>
        <w:spacing w:after="0" w:line="239" w:lineRule="auto"/>
        <w:tabs>
          <w:tab w:leader="none" w:pos="12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22" w:name="page23"/>
    <w:bookmarkEnd w:id="22"/>
    <w:p>
      <w:pPr>
        <w:jc w:val="both"/>
        <w:spacing w:after="0" w:line="234" w:lineRule="auto"/>
        <w:rPr>
          <w:sz w:val="20"/>
          <w:szCs w:val="20"/>
          <w:color w:val="auto"/>
        </w:rPr>
      </w:pPr>
      <w:r>
        <w:rPr>
          <w:rFonts w:ascii="Times New Roman" w:cs="Times New Roman" w:eastAsia="Times New Roman" w:hAnsi="Times New Roman"/>
          <w:sz w:val="18"/>
          <w:szCs w:val="18"/>
          <w:color w:val="auto"/>
        </w:rPr>
        <w:t>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 Rights Offering</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41" w:lineRule="auto"/>
        <w:tabs>
          <w:tab w:leader="none" w:pos="1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23" w:name="page24"/>
    <w:bookmarkEnd w:id="23"/>
    <w:p>
      <w:pPr>
        <w:jc w:val="both"/>
        <w:spacing w:after="0" w:line="242" w:lineRule="auto"/>
        <w:rPr>
          <w:sz w:val="20"/>
          <w:szCs w:val="20"/>
          <w:color w:val="auto"/>
        </w:rPr>
      </w:pPr>
      <w:r>
        <w:rPr>
          <w:rFonts w:ascii="Times New Roman" w:cs="Times New Roman" w:eastAsia="Times New Roman" w:hAnsi="Times New Roman"/>
          <w:sz w:val="18"/>
          <w:szCs w:val="18"/>
          <w:color w:val="auto"/>
        </w:rPr>
        <w:t>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5" w:lineRule="exact"/>
        <w:rPr>
          <w:sz w:val="20"/>
          <w:szCs w:val="20"/>
          <w:color w:val="auto"/>
        </w:rPr>
      </w:pPr>
    </w:p>
    <w:p>
      <w:pPr>
        <w:jc w:val="both"/>
        <w:ind w:firstLine="656"/>
        <w:spacing w:after="0" w:line="236"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36" w:lineRule="auto"/>
        <w:tabs>
          <w:tab w:leader="none" w:pos="1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rFonts w:ascii="Times New Roman" w:cs="Times New Roman" w:eastAsia="Times New Roman" w:hAnsi="Times New Roman"/>
          <w:sz w:val="18"/>
          <w:szCs w:val="18"/>
          <w:color w:val="auto"/>
        </w:rPr>
      </w:pPr>
    </w:p>
    <w:p>
      <w:pPr>
        <w:jc w:val="both"/>
        <w:ind w:firstLine="656"/>
        <w:spacing w:after="0" w:line="236"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the alternative cashless exercise rights contemplated under Section 2(d) shall cease upon the consummation of a Fundamental Transaction. To the extent the Holder is entitled and elects to have this Warrant exercised in accordance with Section 2(d) prior to the consummation of a Fundamental Transaction, the Holder may condition such exercise on the consummation of a Fundamental Transaction, such that the alternative cashless exercise is effected immediately prior to the consummation of a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25" w:name="page26"/>
    <w:bookmarkEnd w:id="25"/>
    <w:p>
      <w:pPr>
        <w:jc w:val="both"/>
        <w:spacing w:after="0" w:line="236" w:lineRule="auto"/>
        <w:rPr>
          <w:sz w:val="20"/>
          <w:szCs w:val="20"/>
          <w:color w:val="auto"/>
        </w:rPr>
      </w:pPr>
      <w:r>
        <w:rPr>
          <w:rFonts w:ascii="Times New Roman" w:cs="Times New Roman" w:eastAsia="Times New Roman" w:hAnsi="Times New Roman"/>
          <w:sz w:val="18"/>
          <w:szCs w:val="18"/>
          <w:color w:val="auto"/>
        </w:rPr>
        <w:t>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p>
      <w:pPr>
        <w:spacing w:after="0" w:line="192" w:lineRule="exact"/>
        <w:rPr>
          <w:sz w:val="20"/>
          <w:szCs w:val="20"/>
          <w:color w:val="auto"/>
        </w:rPr>
      </w:pPr>
    </w:p>
    <w:p>
      <w:pPr>
        <w:jc w:val="both"/>
        <w:ind w:firstLine="656"/>
        <w:spacing w:after="0" w:line="226" w:lineRule="auto"/>
        <w:tabs>
          <w:tab w:leader="none" w:pos="13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952"/>
        <w:spacing w:after="0" w:line="250" w:lineRule="auto"/>
        <w:tabs>
          <w:tab w:leader="none" w:pos="257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6" w:lineRule="exact"/>
        <w:rPr>
          <w:rFonts w:ascii="Times New Roman" w:cs="Times New Roman" w:eastAsia="Times New Roman" w:hAnsi="Times New Roman"/>
          <w:sz w:val="18"/>
          <w:szCs w:val="18"/>
          <w:color w:val="auto"/>
        </w:rPr>
      </w:pPr>
    </w:p>
    <w:p>
      <w:pPr>
        <w:jc w:val="both"/>
        <w:ind w:firstLine="1952"/>
        <w:spacing w:after="0" w:line="235" w:lineRule="auto"/>
        <w:tabs>
          <w:tab w:leader="none" w:pos="258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6" w:lineRule="exact"/>
        <w:rPr>
          <w:rFonts w:ascii="Times New Roman" w:cs="Times New Roman" w:eastAsia="Times New Roman" w:hAnsi="Times New Roman"/>
          <w:sz w:val="18"/>
          <w:szCs w:val="18"/>
          <w:color w:val="auto"/>
        </w:rPr>
      </w:pPr>
    </w:p>
    <w:p>
      <w:pPr>
        <w:jc w:val="both"/>
        <w:ind w:firstLine="656"/>
        <w:spacing w:after="0" w:line="250" w:lineRule="auto"/>
        <w:tabs>
          <w:tab w:leader="none" w:pos="12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26" w:name="page27"/>
    <w:bookmarkEnd w:id="26"/>
    <w:p>
      <w:pPr>
        <w:jc w:val="both"/>
        <w:ind w:firstLine="656"/>
        <w:spacing w:after="0" w:line="236" w:lineRule="auto"/>
        <w:tabs>
          <w:tab w:leader="none" w:pos="12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2" w:lineRule="exact"/>
        <w:rPr>
          <w:rFonts w:ascii="Times New Roman" w:cs="Times New Roman" w:eastAsia="Times New Roman" w:hAnsi="Times New Roman"/>
          <w:sz w:val="18"/>
          <w:szCs w:val="18"/>
          <w:color w:val="auto"/>
        </w:rPr>
      </w:pPr>
    </w:p>
    <w:p>
      <w:pPr>
        <w:jc w:val="both"/>
        <w:ind w:firstLine="656"/>
        <w:spacing w:after="0" w:line="241"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Original Issuance Date of this Warrant and shall be identical with this Warrant except as to the number of Warrant Shares issuable pursuant thereto.</w:t>
      </w:r>
    </w:p>
    <w:p>
      <w:pPr>
        <w:spacing w:after="0" w:line="183" w:lineRule="exact"/>
        <w:rPr>
          <w:rFonts w:ascii="Times New Roman" w:cs="Times New Roman" w:eastAsia="Times New Roman" w:hAnsi="Times New Roman"/>
          <w:sz w:val="18"/>
          <w:szCs w:val="18"/>
          <w:color w:val="auto"/>
        </w:rPr>
      </w:pPr>
    </w:p>
    <w:p>
      <w:pPr>
        <w:jc w:val="both"/>
        <w:ind w:firstLine="656"/>
        <w:spacing w:after="0" w:line="245" w:lineRule="auto"/>
        <w:tabs>
          <w:tab w:leader="none" w:pos="12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45"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or an “alternative cashless exercise”, and to receive the cash payments contemplated pursuant to Sections 2(e)(i) and 2(e)(iv), in no event will the Company be required to net cash settle an exercise of this Warrant.</w:t>
      </w:r>
    </w:p>
    <w:p>
      <w:pPr>
        <w:spacing w:after="0" w:line="180" w:lineRule="exact"/>
        <w:rPr>
          <w:rFonts w:ascii="Times New Roman" w:cs="Times New Roman" w:eastAsia="Times New Roman" w:hAnsi="Times New Roman"/>
          <w:sz w:val="18"/>
          <w:szCs w:val="18"/>
          <w:color w:val="auto"/>
        </w:rPr>
      </w:pPr>
    </w:p>
    <w:p>
      <w:pPr>
        <w:jc w:val="both"/>
        <w:ind w:firstLine="656"/>
        <w:spacing w:after="0" w:line="241" w:lineRule="auto"/>
        <w:tabs>
          <w:tab w:leader="none" w:pos="10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3" w:lineRule="exact"/>
        <w:rPr>
          <w:rFonts w:ascii="Times New Roman" w:cs="Times New Roman" w:eastAsia="Times New Roman" w:hAnsi="Times New Roman"/>
          <w:sz w:val="18"/>
          <w:szCs w:val="18"/>
          <w:color w:val="auto"/>
        </w:rPr>
      </w:pPr>
    </w:p>
    <w:p>
      <w:pPr>
        <w:ind w:firstLine="656"/>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48" w:lineRule="exact"/>
        <w:rPr>
          <w:rFonts w:ascii="Times New Roman" w:cs="Times New Roman" w:eastAsia="Times New Roman" w:hAnsi="Times New Roman"/>
          <w:sz w:val="18"/>
          <w:szCs w:val="18"/>
          <w:color w:val="auto"/>
        </w:rPr>
      </w:pPr>
    </w:p>
    <w:p>
      <w:pPr>
        <w:jc w:val="both"/>
        <w:ind w:firstLine="656"/>
        <w:spacing w:after="0" w:line="241" w:lineRule="auto"/>
        <w:tabs>
          <w:tab w:leader="none" w:pos="9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27" w:name="page28"/>
    <w:bookmarkEnd w:id="27"/>
    <w:p>
      <w:pPr>
        <w:jc w:val="both"/>
        <w:spacing w:after="0" w:line="245" w:lineRule="auto"/>
        <w:rPr>
          <w:sz w:val="20"/>
          <w:szCs w:val="20"/>
          <w:color w:val="auto"/>
        </w:rPr>
      </w:pPr>
      <w:r>
        <w:rPr>
          <w:rFonts w:ascii="Times New Roman" w:cs="Times New Roman" w:eastAsia="Times New Roman" w:hAnsi="Times New Roman"/>
          <w:sz w:val="18"/>
          <w:szCs w:val="18"/>
          <w:color w:val="auto"/>
        </w:rPr>
        <w:t>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4" w:lineRule="exact"/>
        <w:rPr>
          <w:sz w:val="20"/>
          <w:szCs w:val="20"/>
          <w:color w:val="auto"/>
        </w:rPr>
      </w:pPr>
    </w:p>
    <w:p>
      <w:pPr>
        <w:ind w:firstLine="656"/>
        <w:spacing w:after="0" w:line="266" w:lineRule="auto"/>
        <w:tabs>
          <w:tab w:leader="none" w:pos="10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21" w:lineRule="exact"/>
        <w:rPr>
          <w:rFonts w:ascii="Times New Roman" w:cs="Times New Roman" w:eastAsia="Times New Roman" w:hAnsi="Times New Roman"/>
          <w:sz w:val="18"/>
          <w:szCs w:val="18"/>
          <w:color w:val="auto"/>
        </w:rPr>
      </w:pPr>
    </w:p>
    <w:p>
      <w:pPr>
        <w:ind w:firstLine="656"/>
        <w:spacing w:after="0" w:line="266" w:lineRule="auto"/>
        <w:tabs>
          <w:tab w:leader="none" w:pos="9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or alternative cashless exercise, will have restrictions upon resale imposed by state and federal securities laws.</w:t>
      </w:r>
    </w:p>
    <w:p>
      <w:pPr>
        <w:spacing w:after="0" w:line="121" w:lineRule="exact"/>
        <w:rPr>
          <w:rFonts w:ascii="Times New Roman" w:cs="Times New Roman" w:eastAsia="Times New Roman" w:hAnsi="Times New Roman"/>
          <w:sz w:val="18"/>
          <w:szCs w:val="18"/>
          <w:color w:val="auto"/>
        </w:rPr>
      </w:pPr>
    </w:p>
    <w:p>
      <w:pPr>
        <w:jc w:val="both"/>
        <w:ind w:firstLine="656"/>
        <w:spacing w:after="0"/>
        <w:tabs>
          <w:tab w:leader="none" w:pos="9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44" w:lineRule="exact"/>
        <w:rPr>
          <w:rFonts w:ascii="Times New Roman" w:cs="Times New Roman" w:eastAsia="Times New Roman" w:hAnsi="Times New Roman"/>
          <w:sz w:val="18"/>
          <w:szCs w:val="18"/>
          <w:color w:val="auto"/>
        </w:rPr>
      </w:pPr>
    </w:p>
    <w:p>
      <w:pPr>
        <w:ind w:firstLine="656"/>
        <w:spacing w:after="0" w:line="266" w:lineRule="auto"/>
        <w:tabs>
          <w:tab w:leader="none" w:pos="10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21" w:lineRule="exact"/>
        <w:rPr>
          <w:rFonts w:ascii="Times New Roman" w:cs="Times New Roman" w:eastAsia="Times New Roman" w:hAnsi="Times New Roman"/>
          <w:sz w:val="18"/>
          <w:szCs w:val="18"/>
          <w:color w:val="auto"/>
        </w:rPr>
      </w:pPr>
    </w:p>
    <w:p>
      <w:pPr>
        <w:jc w:val="both"/>
        <w:ind w:firstLine="656"/>
        <w:spacing w:after="0" w:line="250" w:lineRule="auto"/>
        <w:tabs>
          <w:tab w:leader="none" w:pos="10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36" w:lineRule="exact"/>
        <w:rPr>
          <w:rFonts w:ascii="Times New Roman" w:cs="Times New Roman" w:eastAsia="Times New Roman" w:hAnsi="Times New Roman"/>
          <w:sz w:val="18"/>
          <w:szCs w:val="18"/>
          <w:color w:val="auto"/>
        </w:rPr>
      </w:pPr>
    </w:p>
    <w:p>
      <w:pPr>
        <w:jc w:val="both"/>
        <w:ind w:firstLine="656"/>
        <w:spacing w:after="0" w:line="245" w:lineRule="auto"/>
        <w:tabs>
          <w:tab w:leader="none" w:pos="9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40" w:lineRule="exact"/>
        <w:rPr>
          <w:rFonts w:ascii="Times New Roman" w:cs="Times New Roman" w:eastAsia="Times New Roman" w:hAnsi="Times New Roman"/>
          <w:sz w:val="18"/>
          <w:szCs w:val="18"/>
          <w:color w:val="auto"/>
        </w:rPr>
      </w:pPr>
    </w:p>
    <w:p>
      <w:pPr>
        <w:ind w:right="20" w:firstLine="656"/>
        <w:spacing w:after="0" w:line="266" w:lineRule="auto"/>
        <w:tabs>
          <w:tab w:leader="none" w:pos="9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62" w:lineRule="exact"/>
        <w:rPr>
          <w:sz w:val="20"/>
          <w:szCs w:val="20"/>
          <w:color w:val="auto"/>
        </w:rPr>
      </w:pPr>
    </w:p>
    <w:p>
      <w:pPr>
        <w:ind w:firstLine="656"/>
        <w:spacing w:after="0" w:line="266" w:lineRule="auto"/>
        <w:tabs>
          <w:tab w:leader="none" w:pos="9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2" w:lineRule="exact"/>
        <w:rPr>
          <w:rFonts w:ascii="Times New Roman" w:cs="Times New Roman" w:eastAsia="Times New Roman" w:hAnsi="Times New Roman"/>
          <w:sz w:val="18"/>
          <w:szCs w:val="18"/>
          <w:color w:val="auto"/>
        </w:rPr>
      </w:pPr>
    </w:p>
    <w:p>
      <w:pPr>
        <w:jc w:val="both"/>
        <w:ind w:firstLine="656"/>
        <w:spacing w:after="0" w:line="250" w:lineRule="auto"/>
        <w:tabs>
          <w:tab w:leader="none" w:pos="11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4" w:right="339" w:bottom="1440" w:gutter="0" w:footer="0" w:header="0"/>
        </w:sectPr>
      </w:pPr>
    </w:p>
    <w:bookmarkStart w:id="29" w:name="page30"/>
    <w:bookmarkEnd w:id="29"/>
    <w:p>
      <w:pPr>
        <w:ind w:firstLine="1166"/>
        <w:spacing w:after="0" w:line="266"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1663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Common Stock Purchase Warrant (Class 2)]</w:t>
      </w:r>
    </w:p>
    <w:p>
      <w:pPr>
        <w:sectPr>
          <w:pgSz w:w="11900" w:h="16838" w:orient="portrait"/>
          <w:cols w:equalWidth="0" w:num="1">
            <w:col w:w="11220"/>
          </w:cols>
          <w:pgMar w:left="320" w:top="1404"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79"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BAKKT HOLDINGS, INC.</w:t>
      </w:r>
    </w:p>
    <w:p>
      <w:pPr>
        <w:spacing w:after="0" w:line="324" w:lineRule="exact"/>
        <w:rPr>
          <w:sz w:val="20"/>
          <w:szCs w:val="20"/>
          <w:color w:val="auto"/>
        </w:rPr>
      </w:pPr>
    </w:p>
    <w:p>
      <w:pPr>
        <w:ind w:firstLine="656"/>
        <w:spacing w:after="0" w:line="266" w:lineRule="auto"/>
        <w:tabs>
          <w:tab w:leader="none" w:pos="9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1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 lawful money of the United States;</w:t>
      </w:r>
    </w:p>
    <w:p>
      <w:pPr>
        <w:spacing w:after="0" w:line="212" w:lineRule="exact"/>
        <w:rPr>
          <w:sz w:val="20"/>
          <w:szCs w:val="20"/>
          <w:color w:val="auto"/>
        </w:rPr>
      </w:pPr>
    </w:p>
    <w:p>
      <w:pPr>
        <w:jc w:val="both"/>
        <w:ind w:left="660" w:firstLine="644"/>
        <w:spacing w:after="0" w:line="250"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 or</w:t>
      </w:r>
    </w:p>
    <w:p>
      <w:pPr>
        <w:spacing w:after="0" w:line="177" w:lineRule="exact"/>
        <w:rPr>
          <w:sz w:val="20"/>
          <w:szCs w:val="20"/>
          <w:color w:val="auto"/>
        </w:rPr>
      </w:pPr>
    </w:p>
    <w:p>
      <w:pPr>
        <w:jc w:val="both"/>
        <w:ind w:left="660" w:firstLine="644"/>
        <w:spacing w:after="0" w:line="250" w:lineRule="auto"/>
        <w:tabs>
          <w:tab w:leader="none" w:pos="142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2(d), to exercise this Warrant with respect to the maximum number of Warrant Shares purchasable pursuant to the alternative cashless exercise procedure set forth in Section 2(d).</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19" w:lineRule="auto"/>
        <w:rPr>
          <w:sz w:val="20"/>
          <w:szCs w:val="20"/>
          <w:color w:val="auto"/>
        </w:rPr>
      </w:pPr>
      <w:r>
        <w:rPr>
          <w:rFonts w:ascii="Times New Roman" w:cs="Times New Roman" w:eastAsia="Times New Roman" w:hAnsi="Times New Roman"/>
          <w:sz w:val="18"/>
          <w:szCs w:val="18"/>
          <w:color w:val="auto"/>
        </w:rPr>
        <w:t>_______________________________</w:t>
      </w:r>
    </w:p>
    <w:p>
      <w:pPr>
        <w:spacing w:after="0" w:line="203" w:lineRule="auto"/>
        <w:rPr>
          <w:sz w:val="20"/>
          <w:szCs w:val="20"/>
          <w:color w:val="auto"/>
        </w:rPr>
      </w:pPr>
      <w:r>
        <w:rPr>
          <w:rFonts w:ascii="Times New Roman" w:cs="Times New Roman" w:eastAsia="Times New Roman" w:hAnsi="Times New Roman"/>
          <w:sz w:val="18"/>
          <w:szCs w:val="18"/>
          <w:color w:val="auto"/>
        </w:rPr>
        <w:t>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294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69691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69691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19202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0" w:right="339" w:bottom="1440" w:gutter="0" w:footer="0" w:header="0"/>
        </w:sectPr>
      </w:pPr>
    </w:p>
    <w:bookmarkStart w:id="31" w:name="page32"/>
    <w:bookmarkEnd w:id="31"/>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spacing w:after="0" w:line="51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(Please Print)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(Please Print)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_______________ __, ______</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860"/>
          </w:cols>
          <w:pgMar w:left="320" w:top="1440" w:right="7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PRE-FUNDED COMMON STOCK PURCHASE WARRANT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79" w:lineRule="exact"/>
        <w:rPr>
          <w:sz w:val="20"/>
          <w:szCs w:val="20"/>
          <w:color w:val="auto"/>
        </w:rPr>
      </w:pPr>
    </w:p>
    <w:p>
      <w:pPr>
        <w:ind w:left="20"/>
        <w:spacing w:after="0"/>
        <w:tabs>
          <w:tab w:leader="none" w:pos="9180" w:val="left"/>
        </w:tabs>
        <w:rPr>
          <w:sz w:val="20"/>
          <w:szCs w:val="20"/>
          <w:color w:val="auto"/>
        </w:rPr>
      </w:pPr>
      <w:r>
        <w:rPr>
          <w:rFonts w:ascii="Times New Roman" w:cs="Times New Roman" w:eastAsia="Times New Roman" w:hAnsi="Times New Roman"/>
          <w:sz w:val="18"/>
          <w:szCs w:val="18"/>
          <w:b w:val="1"/>
          <w:bCs w:val="1"/>
          <w:color w:val="auto"/>
        </w:rPr>
        <w:t>Warrant Shares: _______________</w:t>
      </w:r>
      <w:r>
        <w:rPr>
          <w:sz w:val="20"/>
          <w:szCs w:val="20"/>
          <w:color w:val="auto"/>
        </w:rPr>
        <w:tab/>
      </w:r>
      <w:r>
        <w:rPr>
          <w:rFonts w:ascii="Times New Roman" w:cs="Times New Roman" w:eastAsia="Times New Roman" w:hAnsi="Times New Roman"/>
          <w:sz w:val="17"/>
          <w:szCs w:val="17"/>
          <w:b w:val="1"/>
          <w:bCs w:val="1"/>
          <w:color w:val="auto"/>
        </w:rPr>
        <w:t>Issue Date: March 4, 2024</w:t>
      </w:r>
    </w:p>
    <w:p>
      <w:pPr>
        <w:spacing w:after="0" w:line="324" w:lineRule="exact"/>
        <w:rPr>
          <w:sz w:val="20"/>
          <w:szCs w:val="20"/>
          <w:color w:val="auto"/>
        </w:rPr>
      </w:pPr>
    </w:p>
    <w:p>
      <w:pPr>
        <w:jc w:val="both"/>
        <w:ind w:firstLine="1166"/>
        <w:spacing w:after="0" w:line="241"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[INVESTOR]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but not thereafter, to subscribe for and purchase from </w:t>
      </w: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w:t>
      </w:r>
      <w:r>
        <w:rPr>
          <w:rFonts w:ascii="Times New Roman" w:cs="Times New Roman" w:eastAsia="Times New Roman" w:hAnsi="Times New Roman"/>
          <w:sz w:val="18"/>
          <w:szCs w:val="18"/>
          <w:b w:val="1"/>
          <w:bCs w:val="1"/>
          <w:color w:val="auto"/>
        </w:rPr>
        <w:t xml:space="preserve"> [●] shares </w:t>
      </w:r>
      <w:r>
        <w:rPr>
          <w:rFonts w:ascii="Times New Roman" w:cs="Times New Roman" w:eastAsia="Times New Roman" w:hAnsi="Times New Roman"/>
          <w:sz w:val="18"/>
          <w:szCs w:val="18"/>
          <w:color w:val="auto"/>
        </w:rPr>
        <w:t>(as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211"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29, 2024, among the Company and the purchaser signatory thereto.</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56"/>
        <w:spacing w:after="0" w:line="236" w:lineRule="auto"/>
        <w:tabs>
          <w:tab w:leader="none" w:pos="12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(as defined in Section 2(c) herein) and (ii) the number of Trading Days comprising the Standard Settlement Period (as defined in Section 2(e)</w:t>
      </w:r>
    </w:p>
    <w:p>
      <w:pPr>
        <w:spacing w:after="0" w:line="2" w:lineRule="exact"/>
        <w:rPr>
          <w:rFonts w:ascii="Times New Roman" w:cs="Times New Roman" w:eastAsia="Times New Roman" w:hAnsi="Times New Roman"/>
          <w:sz w:val="18"/>
          <w:szCs w:val="18"/>
          <w:color w:val="auto"/>
        </w:rPr>
      </w:pPr>
    </w:p>
    <w:p>
      <w:pPr>
        <w:jc w:val="both"/>
        <w:ind w:firstLine="8"/>
        <w:spacing w:after="0" w:line="234" w:lineRule="auto"/>
        <w:tabs>
          <w:tab w:leader="none" w:pos="2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 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42" w:lineRule="auto"/>
        <w:tabs>
          <w:tab w:leader="none" w:pos="12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656"/>
        <w:spacing w:after="0" w:line="250" w:lineRule="auto"/>
        <w:tabs>
          <w:tab w:leader="none" w:pos="12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p>
      <w:pPr>
        <w:sectPr>
          <w:pgSz w:w="11900" w:h="16838" w:orient="portrait"/>
          <w:cols w:equalWidth="0" w:num="1">
            <w:col w:w="11240"/>
          </w:cols>
          <w:pgMar w:left="320" w:top="104" w:right="339" w:bottom="1440" w:gutter="0" w:footer="0" w:header="0"/>
        </w:sectPr>
      </w:pPr>
    </w:p>
    <w:bookmarkStart w:id="33" w:name="page34"/>
    <w:bookmarkEnd w:id="33"/>
    <w:p>
      <w:pPr>
        <w:jc w:val="both"/>
        <w:ind w:firstLine="332"/>
        <w:spacing w:after="0" w:line="237" w:lineRule="auto"/>
        <w:tabs>
          <w:tab w:leader="none" w:pos="6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12" w:lineRule="exact"/>
        <w:rPr>
          <w:sz w:val="20"/>
          <w:szCs w:val="20"/>
          <w:color w:val="auto"/>
        </w:rPr>
      </w:pPr>
    </w:p>
    <w:p>
      <w:pPr>
        <w:ind w:firstLine="332"/>
        <w:spacing w:after="0" w:line="266" w:lineRule="auto"/>
        <w:tabs>
          <w:tab w:leader="none" w:pos="62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89"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exchange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19"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Trading Market is open for trading, including any day on which the Trading Market is open for trading for a period of time less than the customary time.</w:t>
      </w:r>
    </w:p>
    <w:p>
      <w:pPr>
        <w:spacing w:after="0" w:line="162"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77"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34" w:name="page35"/>
    <w:bookmarkEnd w:id="34"/>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7" w:lineRule="exact"/>
        <w:rPr>
          <w:sz w:val="20"/>
          <w:szCs w:val="20"/>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firstLine="1952"/>
        <w:spacing w:after="0" w:line="235" w:lineRule="auto"/>
        <w:tabs>
          <w:tab w:leader="none" w:pos="257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5" w:lineRule="exact"/>
        <w:rPr>
          <w:rFonts w:ascii="Times New Roman" w:cs="Times New Roman" w:eastAsia="Times New Roman" w:hAnsi="Times New Roman"/>
          <w:sz w:val="18"/>
          <w:szCs w:val="18"/>
          <w:color w:val="auto"/>
        </w:rPr>
      </w:pPr>
    </w:p>
    <w:p>
      <w:pPr>
        <w:jc w:val="both"/>
        <w:ind w:firstLine="1952"/>
        <w:spacing w:after="0" w:line="245" w:lineRule="auto"/>
        <w:tabs>
          <w:tab w:leader="none" w:pos="2588"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right="20" w:firstLine="1952"/>
        <w:spacing w:after="0" w:line="266" w:lineRule="auto"/>
        <w:tabs>
          <w:tab w:leader="none" w:pos="258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2(e)(i) by the Warrant Share Delivery Date, then the Holder will have the right to rescind such exercise.</w:t>
      </w:r>
    </w:p>
    <w:p>
      <w:pPr>
        <w:spacing w:after="0" w:line="162" w:lineRule="exact"/>
        <w:rPr>
          <w:rFonts w:ascii="Times New Roman" w:cs="Times New Roman" w:eastAsia="Times New Roman" w:hAnsi="Times New Roman"/>
          <w:sz w:val="18"/>
          <w:szCs w:val="18"/>
          <w:color w:val="auto"/>
        </w:rPr>
      </w:pPr>
    </w:p>
    <w:p>
      <w:pPr>
        <w:jc w:val="both"/>
        <w:ind w:firstLine="1952"/>
        <w:spacing w:after="0" w:line="236" w:lineRule="auto"/>
        <w:tabs>
          <w:tab w:leader="none" w:pos="257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w:t>
      </w:r>
    </w:p>
    <w:p>
      <w:pPr>
        <w:spacing w:after="0" w:line="1" w:lineRule="exact"/>
        <w:rPr>
          <w:rFonts w:ascii="Times New Roman" w:cs="Times New Roman" w:eastAsia="Times New Roman" w:hAnsi="Times New Roman"/>
          <w:sz w:val="18"/>
          <w:szCs w:val="18"/>
          <w:color w:val="auto"/>
        </w:rPr>
      </w:pPr>
    </w:p>
    <w:p>
      <w:pPr>
        <w:jc w:val="both"/>
        <w:ind w:firstLine="8"/>
        <w:spacing w:after="0" w:line="234" w:lineRule="auto"/>
        <w:tabs>
          <w:tab w:leader="none" w:pos="2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w:t>
      </w:r>
    </w:p>
    <w:p>
      <w:pPr>
        <w:spacing w:after="0" w:line="2" w:lineRule="exact"/>
        <w:rPr>
          <w:rFonts w:ascii="Times New Roman" w:cs="Times New Roman" w:eastAsia="Times New Roman" w:hAnsi="Times New Roman"/>
          <w:sz w:val="18"/>
          <w:szCs w:val="18"/>
          <w:color w:val="auto"/>
        </w:rPr>
      </w:pPr>
    </w:p>
    <w:p>
      <w:pPr>
        <w:ind w:right="20" w:firstLine="8"/>
        <w:spacing w:after="0" w:line="243" w:lineRule="auto"/>
        <w:tabs>
          <w:tab w:leader="none" w:pos="3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either reinstate the portion of the Warrant and equivalent number of Warrant Shares for which such exercise was not honored (in which case such exercise shall be deemed rescinded) or deliver to the Holder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35" w:name="page36"/>
    <w:bookmarkEnd w:id="35"/>
    <w:p>
      <w:pPr>
        <w:jc w:val="both"/>
        <w:spacing w:after="0" w:line="237" w:lineRule="auto"/>
        <w:rPr>
          <w:sz w:val="20"/>
          <w:szCs w:val="20"/>
          <w:color w:val="auto"/>
        </w:rPr>
      </w:pPr>
      <w:r>
        <w:rPr>
          <w:rFonts w:ascii="Times New Roman" w:cs="Times New Roman" w:eastAsia="Times New Roman" w:hAnsi="Times New Roman"/>
          <w:sz w:val="18"/>
          <w:szCs w:val="18"/>
          <w:color w:val="auto"/>
        </w:rPr>
        <w:t>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7" w:lineRule="exact"/>
        <w:rPr>
          <w:sz w:val="20"/>
          <w:szCs w:val="20"/>
          <w:color w:val="auto"/>
        </w:rPr>
      </w:pPr>
    </w:p>
    <w:p>
      <w:pPr>
        <w:jc w:val="both"/>
        <w:ind w:right="20" w:firstLine="1952"/>
        <w:spacing w:after="0" w:line="245" w:lineRule="auto"/>
        <w:tabs>
          <w:tab w:leader="none" w:pos="2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rFonts w:ascii="Times New Roman" w:cs="Times New Roman" w:eastAsia="Times New Roman" w:hAnsi="Times New Roman"/>
          <w:sz w:val="18"/>
          <w:szCs w:val="18"/>
          <w:color w:val="auto"/>
        </w:rPr>
      </w:pPr>
    </w:p>
    <w:p>
      <w:pPr>
        <w:jc w:val="both"/>
        <w:ind w:firstLine="1952"/>
        <w:spacing w:after="0" w:line="239" w:lineRule="auto"/>
        <w:tabs>
          <w:tab w:leader="none" w:pos="25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3" w:lineRule="exact"/>
        <w:rPr>
          <w:rFonts w:ascii="Times New Roman" w:cs="Times New Roman" w:eastAsia="Times New Roman" w:hAnsi="Times New Roman"/>
          <w:sz w:val="18"/>
          <w:szCs w:val="18"/>
          <w:color w:val="auto"/>
        </w:rPr>
      </w:pPr>
    </w:p>
    <w:p>
      <w:pPr>
        <w:ind w:firstLine="1952"/>
        <w:spacing w:after="0" w:line="266" w:lineRule="auto"/>
        <w:tabs>
          <w:tab w:leader="none" w:pos="25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rFonts w:ascii="Times New Roman" w:cs="Times New Roman" w:eastAsia="Times New Roman" w:hAnsi="Times New Roman"/>
          <w:sz w:val="18"/>
          <w:szCs w:val="18"/>
          <w:color w:val="auto"/>
        </w:rPr>
      </w:pPr>
    </w:p>
    <w:p>
      <w:pPr>
        <w:jc w:val="both"/>
        <w:ind w:firstLine="656"/>
        <w:spacing w:after="0" w:line="235" w:lineRule="auto"/>
        <w:tabs>
          <w:tab w:leader="none" w:pos="12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36" w:name="page37"/>
    <w:bookmarkEnd w:id="36"/>
    <w:p>
      <w:pPr>
        <w:jc w:val="both"/>
        <w:spacing w:after="0" w:line="235" w:lineRule="auto"/>
        <w:rPr>
          <w:sz w:val="20"/>
          <w:szCs w:val="20"/>
          <w:color w:val="auto"/>
        </w:rPr>
      </w:pPr>
      <w:r>
        <w:rPr>
          <w:rFonts w:ascii="Times New Roman" w:cs="Times New Roman" w:eastAsia="Times New Roman" w:hAnsi="Times New Roman"/>
          <w:sz w:val="18"/>
          <w:szCs w:val="18"/>
          <w:color w:val="auto"/>
        </w:rPr>
        <w:t>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 Rights Offering</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36" w:lineRule="auto"/>
        <w:tabs>
          <w:tab w:leader="none" w:pos="12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41"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37" w:name="page38"/>
    <w:bookmarkEnd w:id="37"/>
    <w:p>
      <w:pPr>
        <w:jc w:val="both"/>
        <w:spacing w:after="0" w:line="241" w:lineRule="auto"/>
        <w:rPr>
          <w:sz w:val="20"/>
          <w:szCs w:val="20"/>
          <w:color w:val="auto"/>
        </w:rPr>
      </w:pPr>
      <w:r>
        <w:rPr>
          <w:rFonts w:ascii="Times New Roman" w:cs="Times New Roman" w:eastAsia="Times New Roman" w:hAnsi="Times New Roman"/>
          <w:sz w:val="18"/>
          <w:szCs w:val="18"/>
          <w:color w:val="auto"/>
        </w:rPr>
        <w:t>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4" w:lineRule="exact"/>
        <w:rPr>
          <w:sz w:val="20"/>
          <w:szCs w:val="20"/>
          <w:color w:val="auto"/>
        </w:rPr>
      </w:pPr>
    </w:p>
    <w:p>
      <w:pPr>
        <w:jc w:val="both"/>
        <w:ind w:firstLine="656"/>
        <w:spacing w:after="0" w:line="236" w:lineRule="auto"/>
        <w:tabs>
          <w:tab w:leader="none" w:pos="128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90" w:lineRule="exact"/>
        <w:rPr>
          <w:rFonts w:ascii="Times New Roman" w:cs="Times New Roman" w:eastAsia="Times New Roman" w:hAnsi="Times New Roman"/>
          <w:sz w:val="18"/>
          <w:szCs w:val="18"/>
          <w:color w:val="auto"/>
        </w:rPr>
      </w:pPr>
    </w:p>
    <w:p>
      <w:pPr>
        <w:jc w:val="both"/>
        <w:ind w:firstLine="656"/>
        <w:spacing w:after="0" w:line="23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w:t>
      </w:r>
    </w:p>
    <w:p>
      <w:pPr>
        <w:spacing w:after="0" w:line="1" w:lineRule="exact"/>
        <w:rPr>
          <w:rFonts w:ascii="Times New Roman" w:cs="Times New Roman" w:eastAsia="Times New Roman" w:hAnsi="Times New Roman"/>
          <w:sz w:val="18"/>
          <w:szCs w:val="18"/>
          <w:color w:val="auto"/>
        </w:rPr>
      </w:pPr>
    </w:p>
    <w:p>
      <w:pPr>
        <w:jc w:val="both"/>
        <w:ind w:firstLine="8"/>
        <w:spacing w:after="0" w:line="234" w:lineRule="auto"/>
        <w:tabs>
          <w:tab w:leader="none" w:pos="3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38" w:name="page39"/>
    <w:bookmarkEnd w:id="38"/>
    <w:p>
      <w:pPr>
        <w:jc w:val="both"/>
        <w:spacing w:after="0" w:line="236" w:lineRule="auto"/>
        <w:rPr>
          <w:sz w:val="20"/>
          <w:szCs w:val="20"/>
          <w:color w:val="auto"/>
        </w:rPr>
      </w:pPr>
      <w:r>
        <w:rPr>
          <w:rFonts w:ascii="Times New Roman" w:cs="Times New Roman" w:eastAsia="Times New Roman" w:hAnsi="Times New Roman"/>
          <w:sz w:val="18"/>
          <w:szCs w:val="18"/>
          <w:color w:val="auto"/>
        </w:rPr>
        <w:t>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3(c)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952"/>
        <w:spacing w:after="0" w:line="242" w:lineRule="auto"/>
        <w:tabs>
          <w:tab w:leader="none" w:pos="257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3" w:lineRule="exact"/>
        <w:rPr>
          <w:rFonts w:ascii="Times New Roman" w:cs="Times New Roman" w:eastAsia="Times New Roman" w:hAnsi="Times New Roman"/>
          <w:sz w:val="18"/>
          <w:szCs w:val="18"/>
          <w:color w:val="auto"/>
        </w:rPr>
      </w:pPr>
    </w:p>
    <w:p>
      <w:pPr>
        <w:jc w:val="both"/>
        <w:ind w:firstLine="1952"/>
        <w:spacing w:after="0" w:line="236" w:lineRule="auto"/>
        <w:tabs>
          <w:tab w:leader="none" w:pos="25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4" w:lineRule="exact"/>
        <w:rPr>
          <w:rFonts w:ascii="Times New Roman" w:cs="Times New Roman" w:eastAsia="Times New Roman" w:hAnsi="Times New Roman"/>
          <w:sz w:val="18"/>
          <w:szCs w:val="18"/>
          <w:color w:val="auto"/>
        </w:rPr>
      </w:pPr>
    </w:p>
    <w:p>
      <w:pPr>
        <w:ind w:right="20" w:firstLine="656"/>
        <w:spacing w:after="0" w:line="266" w:lineRule="auto"/>
        <w:tabs>
          <w:tab w:leader="none" w:pos="12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while this Warrant is outstanding, reduce (temporarily or permanently)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current Exercise Price to any amount and for any period of time deemed appropriate by the board of directors of the Company in its sole discretion.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36" w:lineRule="auto"/>
        <w:tabs>
          <w:tab w:leader="none" w:pos="12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2" w:lineRule="exact"/>
        <w:rPr>
          <w:rFonts w:ascii="Times New Roman" w:cs="Times New Roman" w:eastAsia="Times New Roman" w:hAnsi="Times New Roman"/>
          <w:sz w:val="18"/>
          <w:szCs w:val="18"/>
          <w:color w:val="auto"/>
        </w:rPr>
      </w:pPr>
    </w:p>
    <w:p>
      <w:pPr>
        <w:jc w:val="both"/>
        <w:ind w:firstLine="656"/>
        <w:spacing w:after="0" w:line="242"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identical with this Warrant except as to the number of Warrant Shares issuable pursuant thereto.</w:t>
      </w:r>
    </w:p>
    <w:p>
      <w:pPr>
        <w:spacing w:after="0" w:line="184" w:lineRule="exact"/>
        <w:rPr>
          <w:rFonts w:ascii="Times New Roman" w:cs="Times New Roman" w:eastAsia="Times New Roman" w:hAnsi="Times New Roman"/>
          <w:sz w:val="18"/>
          <w:szCs w:val="18"/>
          <w:color w:val="auto"/>
        </w:rPr>
      </w:pPr>
    </w:p>
    <w:p>
      <w:pPr>
        <w:jc w:val="both"/>
        <w:ind w:firstLine="656"/>
        <w:spacing w:after="0"/>
        <w:tabs>
          <w:tab w:leader="none" w:pos="12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56"/>
        <w:spacing w:after="0" w:line="24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and to receive the cash payments contemplated pursuant to Sections 2(e)</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2(e)(iv), in no event will the Company be required to net cash settle an exercise of this Warrant.</w:t>
      </w:r>
    </w:p>
    <w:p>
      <w:pPr>
        <w:spacing w:after="0" w:line="191" w:lineRule="exact"/>
        <w:rPr>
          <w:rFonts w:ascii="Times New Roman" w:cs="Times New Roman" w:eastAsia="Times New Roman" w:hAnsi="Times New Roman"/>
          <w:sz w:val="18"/>
          <w:szCs w:val="18"/>
          <w:color w:val="auto"/>
        </w:rPr>
      </w:pPr>
    </w:p>
    <w:p>
      <w:pPr>
        <w:jc w:val="both"/>
        <w:ind w:firstLine="656"/>
        <w:spacing w:after="0" w:line="241" w:lineRule="auto"/>
        <w:tabs>
          <w:tab w:leader="none" w:pos="10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spacing w:after="0" w:line="183" w:lineRule="exact"/>
        <w:rPr>
          <w:rFonts w:ascii="Times New Roman" w:cs="Times New Roman" w:eastAsia="Times New Roman" w:hAnsi="Times New Roman"/>
          <w:sz w:val="18"/>
          <w:szCs w:val="18"/>
          <w:color w:val="auto"/>
        </w:rPr>
      </w:pPr>
    </w:p>
    <w:p>
      <w:pPr>
        <w:ind w:firstLine="656"/>
        <w:spacing w:after="0" w:line="250"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76" w:lineRule="exact"/>
        <w:rPr>
          <w:rFonts w:ascii="Times New Roman" w:cs="Times New Roman" w:eastAsia="Times New Roman" w:hAnsi="Times New Roman"/>
          <w:sz w:val="18"/>
          <w:szCs w:val="18"/>
          <w:color w:val="auto"/>
        </w:rPr>
      </w:pPr>
    </w:p>
    <w:p>
      <w:pPr>
        <w:jc w:val="both"/>
        <w:ind w:firstLine="656"/>
        <w:spacing w:after="0" w:line="250" w:lineRule="auto"/>
        <w:tabs>
          <w:tab w:leader="none" w:pos="97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4" w:right="33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18"/>
          <w:szCs w:val="18"/>
          <w:color w:val="auto"/>
        </w:rPr>
        <w:t>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4" w:lineRule="exact"/>
        <w:rPr>
          <w:sz w:val="20"/>
          <w:szCs w:val="20"/>
          <w:color w:val="auto"/>
        </w:rPr>
      </w:pPr>
    </w:p>
    <w:p>
      <w:pPr>
        <w:ind w:firstLine="656"/>
        <w:spacing w:after="0" w:line="266" w:lineRule="auto"/>
        <w:tabs>
          <w:tab w:leader="none" w:pos="10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21" w:lineRule="exact"/>
        <w:rPr>
          <w:rFonts w:ascii="Times New Roman" w:cs="Times New Roman" w:eastAsia="Times New Roman" w:hAnsi="Times New Roman"/>
          <w:sz w:val="18"/>
          <w:szCs w:val="18"/>
          <w:color w:val="auto"/>
        </w:rPr>
      </w:pPr>
    </w:p>
    <w:p>
      <w:pPr>
        <w:ind w:firstLine="656"/>
        <w:spacing w:after="0" w:line="266" w:lineRule="auto"/>
        <w:tabs>
          <w:tab w:leader="none" w:pos="9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21" w:lineRule="exact"/>
        <w:rPr>
          <w:rFonts w:ascii="Times New Roman" w:cs="Times New Roman" w:eastAsia="Times New Roman" w:hAnsi="Times New Roman"/>
          <w:sz w:val="18"/>
          <w:szCs w:val="18"/>
          <w:color w:val="auto"/>
        </w:rPr>
      </w:pPr>
    </w:p>
    <w:p>
      <w:pPr>
        <w:jc w:val="both"/>
        <w:ind w:firstLine="656"/>
        <w:spacing w:after="0" w:line="237" w:lineRule="auto"/>
        <w:tabs>
          <w:tab w:leader="none" w:pos="9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62" w:lineRule="exact"/>
        <w:rPr>
          <w:rFonts w:ascii="Times New Roman" w:cs="Times New Roman" w:eastAsia="Times New Roman" w:hAnsi="Times New Roman"/>
          <w:sz w:val="18"/>
          <w:szCs w:val="18"/>
          <w:color w:val="auto"/>
        </w:rPr>
      </w:pPr>
    </w:p>
    <w:p>
      <w:pPr>
        <w:ind w:firstLine="656"/>
        <w:spacing w:after="0" w:line="266" w:lineRule="auto"/>
        <w:tabs>
          <w:tab w:leader="none" w:pos="10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21" w:lineRule="exact"/>
        <w:rPr>
          <w:rFonts w:ascii="Times New Roman" w:cs="Times New Roman" w:eastAsia="Times New Roman" w:hAnsi="Times New Roman"/>
          <w:sz w:val="18"/>
          <w:szCs w:val="18"/>
          <w:color w:val="auto"/>
        </w:rPr>
      </w:pPr>
    </w:p>
    <w:p>
      <w:pPr>
        <w:jc w:val="both"/>
        <w:ind w:firstLine="656"/>
        <w:spacing w:after="0" w:line="250" w:lineRule="auto"/>
        <w:tabs>
          <w:tab w:leader="none" w:pos="10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spacing w:after="0" w:line="136" w:lineRule="exact"/>
        <w:rPr>
          <w:rFonts w:ascii="Times New Roman" w:cs="Times New Roman" w:eastAsia="Times New Roman" w:hAnsi="Times New Roman"/>
          <w:sz w:val="18"/>
          <w:szCs w:val="18"/>
          <w:color w:val="auto"/>
        </w:rPr>
      </w:pPr>
    </w:p>
    <w:p>
      <w:pPr>
        <w:jc w:val="both"/>
        <w:ind w:firstLine="656"/>
        <w:spacing w:after="0" w:line="245" w:lineRule="auto"/>
        <w:tabs>
          <w:tab w:leader="none" w:pos="9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4" w:right="339" w:bottom="1440" w:gutter="0" w:footer="0" w:header="0"/>
        </w:sectPr>
      </w:pPr>
    </w:p>
    <w:bookmarkStart w:id="41" w:name="page42"/>
    <w:bookmarkEnd w:id="41"/>
    <w:p>
      <w:pPr>
        <w:jc w:val="both"/>
        <w:ind w:firstLine="656"/>
        <w:spacing w:after="0" w:line="245" w:lineRule="auto"/>
        <w:tabs>
          <w:tab w:leader="none" w:pos="9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firstLine="656"/>
        <w:spacing w:after="0" w:line="266" w:lineRule="auto"/>
        <w:tabs>
          <w:tab w:leader="none" w:pos="9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162" w:lineRule="exact"/>
        <w:rPr>
          <w:rFonts w:ascii="Times New Roman" w:cs="Times New Roman" w:eastAsia="Times New Roman" w:hAnsi="Times New Roman"/>
          <w:sz w:val="18"/>
          <w:szCs w:val="18"/>
          <w:color w:val="auto"/>
        </w:rPr>
      </w:pPr>
    </w:p>
    <w:p>
      <w:pPr>
        <w:jc w:val="both"/>
        <w:ind w:firstLine="656"/>
        <w:spacing w:after="0" w:line="242" w:lineRule="auto"/>
        <w:tabs>
          <w:tab w:leader="none" w:pos="11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4" w:right="339" w:bottom="1440" w:gutter="0" w:footer="0" w:header="0"/>
        </w:sectPr>
      </w:pPr>
    </w:p>
    <w:bookmarkStart w:id="42" w:name="page43"/>
    <w:bookmarkEnd w:id="42"/>
    <w:p>
      <w:pPr>
        <w:ind w:firstLine="1166"/>
        <w:spacing w:after="0" w:line="266"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1663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1663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1663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Pre-Funded Common Stock Purchase Warrant]</w:t>
      </w:r>
    </w:p>
    <w:p>
      <w:pPr>
        <w:sectPr>
          <w:pgSz w:w="11900" w:h="16838" w:orient="portrait"/>
          <w:cols w:equalWidth="0" w:num="1">
            <w:col w:w="11220"/>
          </w:cols>
          <w:pgMar w:left="320" w:top="1404" w:right="359" w:bottom="1440" w:gutter="0" w:footer="0" w:header="0"/>
        </w:sectPr>
      </w:pPr>
    </w:p>
    <w:bookmarkStart w:id="43" w:name="page44"/>
    <w:bookmarkEnd w:id="43"/>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79"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b w:val="1"/>
          <w:bCs w:val="1"/>
          <w:color w:val="auto"/>
        </w:rPr>
        <w:t>BAKKT HOLDINGS, INC.</w:t>
      </w:r>
    </w:p>
    <w:p>
      <w:pPr>
        <w:spacing w:after="0" w:line="324" w:lineRule="exact"/>
        <w:rPr>
          <w:sz w:val="20"/>
          <w:szCs w:val="20"/>
          <w:color w:val="auto"/>
        </w:rPr>
      </w:pPr>
    </w:p>
    <w:p>
      <w:pPr>
        <w:ind w:firstLine="656"/>
        <w:spacing w:after="0" w:line="266" w:lineRule="auto"/>
        <w:tabs>
          <w:tab w:leader="none" w:pos="9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1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 lawful money of the United States; or</w:t>
      </w:r>
    </w:p>
    <w:p>
      <w:pPr>
        <w:spacing w:after="0" w:line="212" w:lineRule="exact"/>
        <w:rPr>
          <w:sz w:val="20"/>
          <w:szCs w:val="20"/>
          <w:color w:val="auto"/>
        </w:rPr>
      </w:pPr>
    </w:p>
    <w:p>
      <w:pPr>
        <w:jc w:val="both"/>
        <w:ind w:left="660" w:firstLine="644"/>
        <w:spacing w:after="0" w:line="250" w:lineRule="auto"/>
        <w:tabs>
          <w:tab w:leader="none" w:pos="1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294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69691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69691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19202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spacing w:after="0" w:line="55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(Please Print)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(Please Print)</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8890</wp:posOffset>
            </wp:positionV>
            <wp:extent cx="208280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8280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_______________ __, ______</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860"/>
          </w:cols>
          <w:pgMar w:left="320" w:top="1440" w:right="7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383" w:lineRule="exact"/>
        <w:rPr>
          <w:sz w:val="20"/>
          <w:szCs w:val="20"/>
          <w:color w:val="auto"/>
        </w:rPr>
      </w:pPr>
    </w:p>
    <w:p>
      <w:pPr>
        <w:ind w:left="7820"/>
        <w:spacing w:after="0"/>
        <w:rPr>
          <w:sz w:val="20"/>
          <w:szCs w:val="20"/>
          <w:color w:val="auto"/>
        </w:rPr>
      </w:pPr>
      <w:r>
        <w:rPr>
          <w:rFonts w:ascii="Georgia" w:cs="Georgia" w:eastAsia="Georgia" w:hAnsi="Georgia"/>
          <w:sz w:val="14"/>
          <w:szCs w:val="14"/>
          <w:color w:val="003D4C"/>
        </w:rPr>
        <w:t>Wilson Sonsini Goodrich &amp; Rosati</w:t>
      </w:r>
    </w:p>
    <w:p>
      <w:pPr>
        <w:ind w:left="7820"/>
        <w:spacing w:after="0"/>
        <w:rPr>
          <w:sz w:val="20"/>
          <w:szCs w:val="20"/>
          <w:color w:val="auto"/>
        </w:rPr>
      </w:pPr>
      <w:r>
        <w:rPr>
          <w:rFonts w:ascii="Georgia" w:cs="Georgia" w:eastAsia="Georgia" w:hAnsi="Georgia"/>
          <w:sz w:val="14"/>
          <w:szCs w:val="14"/>
          <w:color w:val="003D4C"/>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-50800</wp:posOffset>
            </wp:positionV>
            <wp:extent cx="109728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Georgia" w:cs="Georgia" w:eastAsia="Georgia" w:hAnsi="Georgia"/>
          <w:sz w:val="14"/>
          <w:szCs w:val="14"/>
          <w:color w:val="003D4C"/>
        </w:rPr>
        <w:t>900 South Capital of Texas Highway</w:t>
      </w:r>
    </w:p>
    <w:p>
      <w:pPr>
        <w:ind w:left="7820"/>
        <w:spacing w:after="0" w:line="224" w:lineRule="auto"/>
        <w:rPr>
          <w:sz w:val="20"/>
          <w:szCs w:val="20"/>
          <w:color w:val="auto"/>
        </w:rPr>
      </w:pPr>
      <w:r>
        <w:rPr>
          <w:rFonts w:ascii="Georgia" w:cs="Georgia" w:eastAsia="Georgia" w:hAnsi="Georgia"/>
          <w:sz w:val="14"/>
          <w:szCs w:val="14"/>
          <w:color w:val="003D4C"/>
        </w:rPr>
        <w:t>Las Cimas IV, Fifth Floor</w:t>
      </w:r>
    </w:p>
    <w:p>
      <w:pPr>
        <w:ind w:left="7820"/>
        <w:spacing w:after="0"/>
        <w:rPr>
          <w:sz w:val="20"/>
          <w:szCs w:val="20"/>
          <w:color w:val="auto"/>
        </w:rPr>
      </w:pPr>
      <w:r>
        <w:rPr>
          <w:rFonts w:ascii="Georgia" w:cs="Georgia" w:eastAsia="Georgia" w:hAnsi="Georgia"/>
          <w:sz w:val="14"/>
          <w:szCs w:val="14"/>
          <w:color w:val="003D4C"/>
        </w:rPr>
        <w:t>Austin, Texas 78746-5546</w:t>
      </w:r>
    </w:p>
    <w:p>
      <w:pPr>
        <w:spacing w:after="0" w:line="33" w:lineRule="exact"/>
        <w:rPr>
          <w:sz w:val="20"/>
          <w:szCs w:val="20"/>
          <w:color w:val="auto"/>
        </w:rPr>
      </w:pPr>
    </w:p>
    <w:p>
      <w:pPr>
        <w:ind w:left="7820"/>
        <w:spacing w:after="0"/>
        <w:rPr>
          <w:sz w:val="20"/>
          <w:szCs w:val="20"/>
          <w:color w:val="auto"/>
        </w:rPr>
      </w:pPr>
      <w:r>
        <w:rPr>
          <w:rFonts w:ascii="Georgia" w:cs="Georgia" w:eastAsia="Georgia" w:hAnsi="Georgia"/>
          <w:sz w:val="14"/>
          <w:szCs w:val="14"/>
          <w:color w:val="003D4C"/>
        </w:rPr>
        <w:t>o: 512.338.5400</w:t>
      </w:r>
    </w:p>
    <w:p>
      <w:pPr>
        <w:ind w:left="7820"/>
        <w:spacing w:after="0"/>
        <w:rPr>
          <w:sz w:val="20"/>
          <w:szCs w:val="20"/>
          <w:color w:val="auto"/>
        </w:rPr>
      </w:pPr>
      <w:r>
        <w:rPr>
          <w:rFonts w:ascii="Georgia" w:cs="Georgia" w:eastAsia="Georgia" w:hAnsi="Georgia"/>
          <w:sz w:val="14"/>
          <w:szCs w:val="14"/>
          <w:color w:val="003D4C"/>
        </w:rPr>
        <w:t>f: 512.338.5499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4,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 Avalon Boulevard, Suite 1000</w:t>
      </w:r>
    </w:p>
    <w:p>
      <w:pPr>
        <w:spacing w:after="0"/>
        <w:rPr>
          <w:sz w:val="20"/>
          <w:szCs w:val="20"/>
          <w:color w:val="auto"/>
        </w:rPr>
      </w:pPr>
      <w:r>
        <w:rPr>
          <w:rFonts w:ascii="Times New Roman" w:cs="Times New Roman" w:eastAsia="Times New Roman" w:hAnsi="Times New Roman"/>
          <w:sz w:val="20"/>
          <w:szCs w:val="20"/>
          <w:color w:val="auto"/>
        </w:rPr>
        <w:t>Alpharetta, Georgia 30009</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Registration Statement on Form S-3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3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We have acted as counsel to Bakkt Holdings,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connection with the registration of the offer and sale of (a) up to 34,917,532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of the Class A Common Stock of the Company, par value $0.0001 per share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including the 4,917,532 shares of Common Stock to be issued upon exercise of certain of the Pre-Funded Warrants (as defined below) prior to the Closing (as defined in the Securities Purchase Agreement) (the “</w:t>
      </w:r>
      <w:r>
        <w:rPr>
          <w:rFonts w:ascii="Times New Roman" w:cs="Times New Roman" w:eastAsia="Times New Roman" w:hAnsi="Times New Roman"/>
          <w:sz w:val="20"/>
          <w:szCs w:val="20"/>
          <w:b w:val="1"/>
          <w:bCs w:val="1"/>
          <w:i w:val="1"/>
          <w:iCs w:val="1"/>
          <w:color w:val="auto"/>
        </w:rPr>
        <w:t>Exercised Pre-Funded Warrant Shares</w:t>
      </w:r>
      <w:r>
        <w:rPr>
          <w:rFonts w:ascii="Times New Roman" w:cs="Times New Roman" w:eastAsia="Times New Roman" w:hAnsi="Times New Roman"/>
          <w:sz w:val="20"/>
          <w:szCs w:val="20"/>
          <w:color w:val="auto"/>
        </w:rPr>
        <w:t>”), (b) Class 1 Warrants to purchase up to 23,068,051 shares of Common Stock (the “</w:t>
      </w:r>
      <w:r>
        <w:rPr>
          <w:rFonts w:ascii="Times New Roman" w:cs="Times New Roman" w:eastAsia="Times New Roman" w:hAnsi="Times New Roman"/>
          <w:sz w:val="20"/>
          <w:szCs w:val="20"/>
          <w:b w:val="1"/>
          <w:bCs w:val="1"/>
          <w:i w:val="1"/>
          <w:iCs w:val="1"/>
          <w:color w:val="auto"/>
        </w:rPr>
        <w:t>Class 1 Warrants</w:t>
      </w:r>
      <w:r>
        <w:rPr>
          <w:rFonts w:ascii="Times New Roman" w:cs="Times New Roman" w:eastAsia="Times New Roman" w:hAnsi="Times New Roman"/>
          <w:sz w:val="20"/>
          <w:szCs w:val="20"/>
          <w:color w:val="auto"/>
        </w:rPr>
        <w:t>”), (c) Class 2 Warrants to purchase up to 23,068,051 shares of Common Stock (the “</w:t>
      </w:r>
      <w:r>
        <w:rPr>
          <w:rFonts w:ascii="Times New Roman" w:cs="Times New Roman" w:eastAsia="Times New Roman" w:hAnsi="Times New Roman"/>
          <w:sz w:val="20"/>
          <w:szCs w:val="20"/>
          <w:b w:val="1"/>
          <w:bCs w:val="1"/>
          <w:i w:val="1"/>
          <w:iCs w:val="1"/>
          <w:color w:val="auto"/>
        </w:rPr>
        <w:t>Class 2 Warrants</w:t>
      </w:r>
      <w:r>
        <w:rPr>
          <w:rFonts w:ascii="Times New Roman" w:cs="Times New Roman" w:eastAsia="Times New Roman" w:hAnsi="Times New Roman"/>
          <w:sz w:val="20"/>
          <w:szCs w:val="20"/>
          <w:color w:val="auto"/>
        </w:rPr>
        <w:t>” and together with the Class 1 Warrants, the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 (d) 46,136,102 shares of Common Stock issuable upon exercise of the Warrants (the “</w:t>
      </w:r>
      <w:r>
        <w:rPr>
          <w:rFonts w:ascii="Times New Roman" w:cs="Times New Roman" w:eastAsia="Times New Roman" w:hAnsi="Times New Roman"/>
          <w:sz w:val="20"/>
          <w:szCs w:val="20"/>
          <w:b w:val="1"/>
          <w:bCs w:val="1"/>
          <w:i w:val="1"/>
          <w:iCs w:val="1"/>
          <w:color w:val="auto"/>
        </w:rPr>
        <w:t>Warrant Shares</w:t>
      </w:r>
      <w:r>
        <w:rPr>
          <w:rFonts w:ascii="Times New Roman" w:cs="Times New Roman" w:eastAsia="Times New Roman" w:hAnsi="Times New Roman"/>
          <w:sz w:val="20"/>
          <w:szCs w:val="20"/>
          <w:color w:val="auto"/>
        </w:rPr>
        <w:t>”), (e) Pre-Funded Warrants to purchase up to 11,218,570 shares of Common Stock (the “</w:t>
      </w:r>
      <w:r>
        <w:rPr>
          <w:rFonts w:ascii="Times New Roman" w:cs="Times New Roman" w:eastAsia="Times New Roman" w:hAnsi="Times New Roman"/>
          <w:sz w:val="20"/>
          <w:szCs w:val="20"/>
          <w:b w:val="1"/>
          <w:bCs w:val="1"/>
          <w:i w:val="1"/>
          <w:iCs w:val="1"/>
          <w:color w:val="auto"/>
        </w:rPr>
        <w:t>Pre-Funded Warrants</w:t>
      </w:r>
      <w:r>
        <w:rPr>
          <w:rFonts w:ascii="Times New Roman" w:cs="Times New Roman" w:eastAsia="Times New Roman" w:hAnsi="Times New Roman"/>
          <w:sz w:val="20"/>
          <w:szCs w:val="20"/>
          <w:color w:val="auto"/>
        </w:rPr>
        <w:t>”), which excludes Pre-Funded Warrants exercised prior to the Closing and (e) 11,218,570 shares of Common Stock issuable upon exercise of the Pre-Funded Warrants (the “</w:t>
      </w:r>
      <w:r>
        <w:rPr>
          <w:rFonts w:ascii="Times New Roman" w:cs="Times New Roman" w:eastAsia="Times New Roman" w:hAnsi="Times New Roman"/>
          <w:sz w:val="20"/>
          <w:szCs w:val="20"/>
          <w:b w:val="1"/>
          <w:bCs w:val="1"/>
          <w:i w:val="1"/>
          <w:iCs w:val="1"/>
          <w:color w:val="auto"/>
        </w:rPr>
        <w:t>Pre-Funded Warrant Shares</w:t>
      </w:r>
      <w:r>
        <w:rPr>
          <w:rFonts w:ascii="Times New Roman" w:cs="Times New Roman" w:eastAsia="Times New Roman" w:hAnsi="Times New Roman"/>
          <w:sz w:val="20"/>
          <w:szCs w:val="20"/>
          <w:color w:val="auto"/>
        </w:rPr>
        <w:t>” and, together with the Shares, Warrants, Warrant Shares, and Pre-Funded Warrants, the “</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which excludes the Exercised Pre-Funded Warrant Shares, pursuant to the Company’s Registration Statement on Form S-3 (File No. 333-271361) initially filed on April 21, 2023 and declared effective by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on February 14, 2024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The offering and sale of the Securities are being made pursuant to the Securities Purchase Agreement (the “</w:t>
      </w:r>
      <w:r>
        <w:rPr>
          <w:rFonts w:ascii="Times New Roman" w:cs="Times New Roman" w:eastAsia="Times New Roman" w:hAnsi="Times New Roman"/>
          <w:sz w:val="20"/>
          <w:szCs w:val="20"/>
          <w:b w:val="1"/>
          <w:bCs w:val="1"/>
          <w:i w:val="1"/>
          <w:iCs w:val="1"/>
          <w:color w:val="auto"/>
        </w:rPr>
        <w:t>Securities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February 29, 2024, by and among the Company and the purchasers identified on the signature pages thereto.</w:t>
      </w:r>
    </w:p>
    <w:p>
      <w:pPr>
        <w:spacing w:after="0" w:line="1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We have examined copies of the Securities Purchase Agreement, the form of Class 1 Warrant, the form of Class 2 Warrant, the form of Pre-Funded Warrant, the Registration Statement, the base prospectus that forms a part thereof (the “</w:t>
      </w:r>
      <w:r>
        <w:rPr>
          <w:rFonts w:ascii="Times New Roman" w:cs="Times New Roman" w:eastAsia="Times New Roman" w:hAnsi="Times New Roman"/>
          <w:sz w:val="20"/>
          <w:szCs w:val="20"/>
          <w:b w:val="1"/>
          <w:bCs w:val="1"/>
          <w:i w:val="1"/>
          <w:iCs w:val="1"/>
          <w:color w:val="auto"/>
        </w:rPr>
        <w:t>Base Prospectus</w:t>
      </w:r>
      <w:r>
        <w:rPr>
          <w:rFonts w:ascii="Times New Roman" w:cs="Times New Roman" w:eastAsia="Times New Roman" w:hAnsi="Times New Roman"/>
          <w:sz w:val="20"/>
          <w:szCs w:val="20"/>
          <w:color w:val="auto"/>
        </w:rPr>
        <w:t>”) as supplemented by the prospectus supplement to be dated February 29, 2024, in the form filed with the Commission pursuant to Rule 424(b) of the Rules and Regulations, together with the documents or portions thereof incorporated by reference therein, as modified or superseded as described therein (the “</w:t>
      </w:r>
      <w:r>
        <w:rPr>
          <w:rFonts w:ascii="Times New Roman" w:cs="Times New Roman" w:eastAsia="Times New Roman" w:hAnsi="Times New Roman"/>
          <w:sz w:val="20"/>
          <w:szCs w:val="20"/>
          <w:b w:val="1"/>
          <w:bCs w:val="1"/>
          <w:i w:val="1"/>
          <w:iCs w:val="1"/>
          <w:color w:val="auto"/>
        </w:rPr>
        <w:t>Prospectus Supplement</w:t>
      </w:r>
      <w:r>
        <w:rPr>
          <w:rFonts w:ascii="Times New Roman" w:cs="Times New Roman" w:eastAsia="Times New Roman" w:hAnsi="Times New Roman"/>
          <w:sz w:val="20"/>
          <w:szCs w:val="20"/>
          <w:color w:val="auto"/>
        </w:rPr>
        <w:t>” and, together with the Base Prospectus,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We have also examined instruments, documents and records that we deemed relevant and necessary for the basis of our opinion hereinafter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AUSTIN BEIJING BOSTON BOULDER BRUSSELS HONG KONG LONDON LOS ANGELES NEW YORK PALO ALTO</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SALT LAKE CITY SAN DIEGO SAN FRANCISCO SEATTLE SHANGHAI WASHINGTON, DC WILMINGTON, DE</w:t>
      </w:r>
    </w:p>
    <w:p>
      <w:pPr>
        <w:sectPr>
          <w:pgSz w:w="11900" w:h="16838" w:orient="portrait"/>
          <w:cols w:equalWidth="0" w:num="1">
            <w:col w:w="11240"/>
          </w:cols>
          <w:pgMar w:left="320" w:top="1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Page 2</w:t>
      </w:r>
    </w:p>
    <w:p>
      <w:pPr>
        <w:spacing w:after="0"/>
        <w:rPr>
          <w:sz w:val="20"/>
          <w:szCs w:val="20"/>
          <w:color w:val="auto"/>
        </w:rPr>
      </w:pPr>
      <w:r>
        <w:rPr>
          <w:rFonts w:ascii="Times New Roman" w:cs="Times New Roman" w:eastAsia="Times New Roman" w:hAnsi="Times New Roman"/>
          <w:sz w:val="20"/>
          <w:szCs w:val="20"/>
          <w:color w:val="auto"/>
        </w:rPr>
        <w:t>March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and (iv) the legal capacity of all natural persons. As to any facts material to the opinions expressed herein that were not independently established or verified, we have relied upon oral or written statements and representations of officers and other representatives of the Company. In making our examination of documents executed or to be executed, we have assumed that the counterparties thereto, excluding the Company, have been duly incorporated or organized and are, and will continue to be, validly existing and in good standing, and have or will have the 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except as expressly set forth in the paragraphs below, the validity and binding effect thereof on such parties.</w:t>
      </w:r>
    </w:p>
    <w:p>
      <w:pPr>
        <w:spacing w:after="0" w:line="19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Based upon and subject to the foregoing qualifications, assumptions and limitations and the further limitations set out below, we are of the opinion that:</w:t>
      </w:r>
    </w:p>
    <w:p>
      <w:pPr>
        <w:spacing w:after="0" w:line="173" w:lineRule="exact"/>
        <w:rPr>
          <w:sz w:val="20"/>
          <w:szCs w:val="20"/>
          <w:color w:val="auto"/>
        </w:rPr>
      </w:pPr>
    </w:p>
    <w:p>
      <w:pPr>
        <w:jc w:val="both"/>
        <w:ind w:left="980" w:right="20" w:hanging="324"/>
        <w:spacing w:after="0"/>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have been duly authorized by the Company and, when issued and delivered by the Company against payment therefor in accordance with the terms of and in the manner contemplated by the Securities Purchase Agreement and the Prospectus, will be validly issued, fully paid and nonassessable.</w:t>
      </w:r>
    </w:p>
    <w:p>
      <w:pPr>
        <w:spacing w:after="0" w:line="201" w:lineRule="exact"/>
        <w:rPr>
          <w:rFonts w:ascii="Times New Roman" w:cs="Times New Roman" w:eastAsia="Times New Roman" w:hAnsi="Times New Roman"/>
          <w:sz w:val="20"/>
          <w:szCs w:val="20"/>
          <w:color w:val="auto"/>
        </w:rPr>
      </w:pPr>
    </w:p>
    <w:p>
      <w:pPr>
        <w:jc w:val="both"/>
        <w:ind w:left="980" w:hanging="324"/>
        <w:spacing w:after="0" w:line="247"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Warrants and Pre-Funded Warrants have been duly authorized by the Company and, when issued and delivered by the Company against payment therefor in accordance with the terms of the Securities Purchase Agreement, will constitute valid and binding obligations of the Company, enforceable against the Company in accordance with their terms; and</w:t>
      </w:r>
    </w:p>
    <w:p>
      <w:pPr>
        <w:spacing w:after="0" w:line="194" w:lineRule="exact"/>
        <w:rPr>
          <w:rFonts w:ascii="Times New Roman" w:cs="Times New Roman" w:eastAsia="Times New Roman" w:hAnsi="Times New Roman"/>
          <w:sz w:val="20"/>
          <w:szCs w:val="20"/>
          <w:color w:val="auto"/>
        </w:rPr>
      </w:pPr>
    </w:p>
    <w:p>
      <w:pPr>
        <w:jc w:val="both"/>
        <w:ind w:left="980" w:hanging="324"/>
        <w:spacing w:after="0" w:line="247" w:lineRule="auto"/>
        <w:tabs>
          <w:tab w:leader="none" w:pos="9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and Pre-Funded Warrant Shares have been duly authorized by the Company and, when issued and delivered by the Company against payment of the exercise price therefor in accordance with the terms of the Warrants and Pre-Funded Warrants, respectively, will have been validly issued, fully paid and nonassessable.</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express no opinion as to the laws of any other jurisdiction other than the federal laws of the United States of America and the General Corporation Law of the State of Delaware and, solely as to the Warrants and Pre-Funded Warrants constituting valid and binding obligations of the Company, the laws of the State of New York.</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opinion that any document is legal, valid, binding and enforceable is qualified as to:</w:t>
      </w:r>
    </w:p>
    <w:p>
      <w:pPr>
        <w:spacing w:after="0" w:line="229" w:lineRule="exact"/>
        <w:rPr>
          <w:sz w:val="20"/>
          <w:szCs w:val="20"/>
          <w:color w:val="auto"/>
        </w:rPr>
      </w:pPr>
    </w:p>
    <w:p>
      <w:pPr>
        <w:ind w:left="980" w:hanging="324"/>
        <w:spacing w:after="0" w:line="255" w:lineRule="auto"/>
        <w:tabs>
          <w:tab w:leader="none" w:pos="9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imposed by bankruptcy, insolvency, reorganization, arrangement, fraudulent transfer, moratorium or other similar laws relating to or affecting the rights of creditors generally;</w:t>
      </w:r>
    </w:p>
    <w:p>
      <w:pPr>
        <w:spacing w:after="0" w:line="18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to indemnification and contribution, which may be limited by applicable law or equitable principles; and</w:t>
      </w:r>
    </w:p>
    <w:p>
      <w:pPr>
        <w:sectPr>
          <w:pgSz w:w="11900" w:h="16838" w:orient="portrait"/>
          <w:cols w:equalWidth="0" w:num="1">
            <w:col w:w="11240"/>
          </w:cols>
          <w:pgMar w:left="320" w:top="74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Page 3</w:t>
      </w:r>
    </w:p>
    <w:p>
      <w:pPr>
        <w:spacing w:after="0"/>
        <w:rPr>
          <w:sz w:val="20"/>
          <w:szCs w:val="20"/>
          <w:color w:val="auto"/>
        </w:rPr>
      </w:pPr>
      <w:r>
        <w:rPr>
          <w:rFonts w:ascii="Times New Roman" w:cs="Times New Roman" w:eastAsia="Times New Roman" w:hAnsi="Times New Roman"/>
          <w:sz w:val="20"/>
          <w:szCs w:val="20"/>
          <w:color w:val="auto"/>
        </w:rPr>
        <w:t>March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980" w:hanging="324"/>
        <w:spacing w:after="0" w:line="247" w:lineRule="auto"/>
        <w:tabs>
          <w:tab w:leader="none" w:pos="97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we express no opinion as to whether a state court outside of the State of New York or a federal court of the United States would give effect to the choice of New York law provided for in the Warrants and Pre-Funded Warrants. For purposes of our opinion in paragraph 2, we have assumed the Exercise Price (as defined in the Warrants and the Pre-Funded Warrants) will not be adjusted to an amount below the par value per share of the Common Stock.</w:t>
      </w:r>
    </w:p>
    <w:p>
      <w:pPr>
        <w:spacing w:after="0" w:line="21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hereby consent to the use of this opinion as an exhibit to the Company’s Current Report on Form 8-K filed on or about the date hereof, for incorporation by reference into the Registration Statement. In giving this consent, we do not admit that we are in the category of persons whose consent is required under Section 7 of the Securities Act.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WILSON SONSINI GOODRICH &amp; ROSATI</w:t>
      </w:r>
    </w:p>
    <w:p>
      <w:pPr>
        <w:ind w:left="3900"/>
        <w:spacing w:after="0"/>
        <w:rPr>
          <w:sz w:val="20"/>
          <w:szCs w:val="20"/>
          <w:color w:val="auto"/>
        </w:rPr>
      </w:pPr>
      <w:r>
        <w:rPr>
          <w:rFonts w:ascii="Times New Roman" w:cs="Times New Roman" w:eastAsia="Times New Roman" w:hAnsi="Times New Roman"/>
          <w:sz w:val="20"/>
          <w:szCs w:val="20"/>
          <w:color w:val="auto"/>
        </w:rPr>
        <w:t>Professional Corporation</w:t>
      </w:r>
    </w:p>
    <w:p>
      <w:pPr>
        <w:sectPr>
          <w:pgSz w:w="11900" w:h="16838" w:orient="portrait"/>
          <w:cols w:equalWidth="0" w:num="1">
            <w:col w:w="11240"/>
          </w:cols>
          <w:pgMar w:left="320" w:top="74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5.2</w:t>
      </w:r>
    </w:p>
    <w:p>
      <w:pPr>
        <w:spacing w:after="0" w:line="383" w:lineRule="exact"/>
        <w:rPr>
          <w:sz w:val="20"/>
          <w:szCs w:val="20"/>
          <w:color w:val="auto"/>
        </w:rPr>
      </w:pPr>
    </w:p>
    <w:p>
      <w:pPr>
        <w:ind w:left="7820"/>
        <w:spacing w:after="0"/>
        <w:rPr>
          <w:sz w:val="20"/>
          <w:szCs w:val="20"/>
          <w:color w:val="auto"/>
        </w:rPr>
      </w:pPr>
      <w:r>
        <w:rPr>
          <w:rFonts w:ascii="Georgia" w:cs="Georgia" w:eastAsia="Georgia" w:hAnsi="Georgia"/>
          <w:sz w:val="14"/>
          <w:szCs w:val="14"/>
          <w:color w:val="003D4C"/>
        </w:rPr>
        <w:t>Wilson Sonsini Goodrich &amp; Rosati</w:t>
      </w:r>
    </w:p>
    <w:p>
      <w:pPr>
        <w:ind w:left="7820"/>
        <w:spacing w:after="0"/>
        <w:rPr>
          <w:sz w:val="20"/>
          <w:szCs w:val="20"/>
          <w:color w:val="auto"/>
        </w:rPr>
      </w:pPr>
      <w:r>
        <w:rPr>
          <w:rFonts w:ascii="Georgia" w:cs="Georgia" w:eastAsia="Georgia" w:hAnsi="Georgia"/>
          <w:sz w:val="14"/>
          <w:szCs w:val="14"/>
          <w:color w:val="003D4C"/>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-50800</wp:posOffset>
            </wp:positionV>
            <wp:extent cx="109728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Georgia" w:cs="Georgia" w:eastAsia="Georgia" w:hAnsi="Georgia"/>
          <w:sz w:val="14"/>
          <w:szCs w:val="14"/>
          <w:color w:val="003D4C"/>
        </w:rPr>
        <w:t>900 South Capital of Texas Highway</w:t>
      </w:r>
    </w:p>
    <w:p>
      <w:pPr>
        <w:ind w:left="7820"/>
        <w:spacing w:after="0" w:line="224" w:lineRule="auto"/>
        <w:rPr>
          <w:sz w:val="20"/>
          <w:szCs w:val="20"/>
          <w:color w:val="auto"/>
        </w:rPr>
      </w:pPr>
      <w:r>
        <w:rPr>
          <w:rFonts w:ascii="Georgia" w:cs="Georgia" w:eastAsia="Georgia" w:hAnsi="Georgia"/>
          <w:sz w:val="14"/>
          <w:szCs w:val="14"/>
          <w:color w:val="003D4C"/>
        </w:rPr>
        <w:t>Las Cimas IV, Fifth Floor</w:t>
      </w:r>
    </w:p>
    <w:p>
      <w:pPr>
        <w:ind w:left="7820"/>
        <w:spacing w:after="0"/>
        <w:rPr>
          <w:sz w:val="20"/>
          <w:szCs w:val="20"/>
          <w:color w:val="auto"/>
        </w:rPr>
      </w:pPr>
      <w:r>
        <w:rPr>
          <w:rFonts w:ascii="Georgia" w:cs="Georgia" w:eastAsia="Georgia" w:hAnsi="Georgia"/>
          <w:sz w:val="14"/>
          <w:szCs w:val="14"/>
          <w:color w:val="003D4C"/>
        </w:rPr>
        <w:t>Austin, Texas 78746-5546</w:t>
      </w:r>
    </w:p>
    <w:p>
      <w:pPr>
        <w:spacing w:after="0" w:line="33" w:lineRule="exact"/>
        <w:rPr>
          <w:sz w:val="20"/>
          <w:szCs w:val="20"/>
          <w:color w:val="auto"/>
        </w:rPr>
      </w:pPr>
    </w:p>
    <w:p>
      <w:pPr>
        <w:ind w:left="7820"/>
        <w:spacing w:after="0"/>
        <w:rPr>
          <w:sz w:val="20"/>
          <w:szCs w:val="20"/>
          <w:color w:val="auto"/>
        </w:rPr>
      </w:pPr>
      <w:r>
        <w:rPr>
          <w:rFonts w:ascii="Georgia" w:cs="Georgia" w:eastAsia="Georgia" w:hAnsi="Georgia"/>
          <w:sz w:val="14"/>
          <w:szCs w:val="14"/>
          <w:color w:val="003D4C"/>
        </w:rPr>
        <w:t>o: 512.338.5400</w:t>
      </w:r>
    </w:p>
    <w:p>
      <w:pPr>
        <w:ind w:left="7820"/>
        <w:spacing w:after="0"/>
        <w:rPr>
          <w:sz w:val="20"/>
          <w:szCs w:val="20"/>
          <w:color w:val="auto"/>
        </w:rPr>
      </w:pPr>
      <w:r>
        <w:rPr>
          <w:rFonts w:ascii="Georgia" w:cs="Georgia" w:eastAsia="Georgia" w:hAnsi="Georgia"/>
          <w:sz w:val="14"/>
          <w:szCs w:val="14"/>
          <w:color w:val="003D4C"/>
        </w:rPr>
        <w:t>f: 512.338.5499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4,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 Avalon Boulevard, Suite 1000</w:t>
      </w:r>
    </w:p>
    <w:p>
      <w:pPr>
        <w:spacing w:after="0"/>
        <w:rPr>
          <w:sz w:val="20"/>
          <w:szCs w:val="20"/>
          <w:color w:val="auto"/>
        </w:rPr>
      </w:pPr>
      <w:r>
        <w:rPr>
          <w:rFonts w:ascii="Times New Roman" w:cs="Times New Roman" w:eastAsia="Times New Roman" w:hAnsi="Times New Roman"/>
          <w:sz w:val="20"/>
          <w:szCs w:val="20"/>
          <w:color w:val="auto"/>
        </w:rPr>
        <w:t>Alpharetta, Georgia 30009</w:t>
      </w:r>
    </w:p>
    <w:p>
      <w:pPr>
        <w:spacing w:after="0" w:line="2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color w:val="auto"/>
        </w:rPr>
        <w:t>Registration Statement on Form S-3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3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We have acted as counsel to Bakkt Holdings,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connection with the registration of the offer and sale of (a) up to 11,534,025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of the Class A Common Stock of the Company, par value $0.0001 per share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(b) Class 1 Warrants to purchase up to 5,767,012 shares of Common Stock (the “</w:t>
      </w:r>
      <w:r>
        <w:rPr>
          <w:rFonts w:ascii="Times New Roman" w:cs="Times New Roman" w:eastAsia="Times New Roman" w:hAnsi="Times New Roman"/>
          <w:sz w:val="20"/>
          <w:szCs w:val="20"/>
          <w:b w:val="1"/>
          <w:bCs w:val="1"/>
          <w:i w:val="1"/>
          <w:iCs w:val="1"/>
          <w:color w:val="auto"/>
        </w:rPr>
        <w:t>Class 1 Warrants</w:t>
      </w:r>
      <w:r>
        <w:rPr>
          <w:rFonts w:ascii="Times New Roman" w:cs="Times New Roman" w:eastAsia="Times New Roman" w:hAnsi="Times New Roman"/>
          <w:sz w:val="20"/>
          <w:szCs w:val="20"/>
          <w:color w:val="auto"/>
        </w:rPr>
        <w:t>”), (c) Class 2 Warrants to purchase up to 5,767,012 shares of Common Stock (the “</w:t>
      </w:r>
      <w:r>
        <w:rPr>
          <w:rFonts w:ascii="Times New Roman" w:cs="Times New Roman" w:eastAsia="Times New Roman" w:hAnsi="Times New Roman"/>
          <w:sz w:val="20"/>
          <w:szCs w:val="20"/>
          <w:b w:val="1"/>
          <w:bCs w:val="1"/>
          <w:i w:val="1"/>
          <w:iCs w:val="1"/>
          <w:color w:val="auto"/>
        </w:rPr>
        <w:t>Class 2 Warrants</w:t>
      </w:r>
      <w:r>
        <w:rPr>
          <w:rFonts w:ascii="Times New Roman" w:cs="Times New Roman" w:eastAsia="Times New Roman" w:hAnsi="Times New Roman"/>
          <w:sz w:val="20"/>
          <w:szCs w:val="20"/>
          <w:color w:val="auto"/>
        </w:rPr>
        <w:t>” and together with the Class 1 Warrants, the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 (d) 11,534,024 shares of Common Stock issuable upon exercise of the Warrants (the “</w:t>
      </w:r>
      <w:r>
        <w:rPr>
          <w:rFonts w:ascii="Times New Roman" w:cs="Times New Roman" w:eastAsia="Times New Roman" w:hAnsi="Times New Roman"/>
          <w:sz w:val="20"/>
          <w:szCs w:val="20"/>
          <w:b w:val="1"/>
          <w:bCs w:val="1"/>
          <w:i w:val="1"/>
          <w:iCs w:val="1"/>
          <w:color w:val="auto"/>
        </w:rPr>
        <w:t>Warrant Shares</w:t>
      </w:r>
      <w:r>
        <w:rPr>
          <w:rFonts w:ascii="Times New Roman" w:cs="Times New Roman" w:eastAsia="Times New Roman" w:hAnsi="Times New Roman"/>
          <w:sz w:val="20"/>
          <w:szCs w:val="20"/>
          <w:color w:val="auto"/>
        </w:rPr>
        <w:t>” and together with the Shares and Warrants, the “</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pursuant to the Company’s Registration Statement on Form S-3 (File No. 333-271361) initially filed on April 21, 2023 and declared effective by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on February 14, 2024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The offering and sale of the Securities are being made pursuant to the Securities Purchase Agreement (the “</w:t>
      </w:r>
      <w:r>
        <w:rPr>
          <w:rFonts w:ascii="Times New Roman" w:cs="Times New Roman" w:eastAsia="Times New Roman" w:hAnsi="Times New Roman"/>
          <w:sz w:val="20"/>
          <w:szCs w:val="20"/>
          <w:b w:val="1"/>
          <w:bCs w:val="1"/>
          <w:i w:val="1"/>
          <w:iCs w:val="1"/>
          <w:color w:val="auto"/>
        </w:rPr>
        <w:t>Securities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February 29, 2024, by and among the Company and Intercontinental Exchange Holdings, Inc.</w:t>
      </w:r>
    </w:p>
    <w:p>
      <w:pPr>
        <w:spacing w:after="0" w:line="18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We have examined copies of the Securities Purchase Agreement, the form of Class 1 Warrant, the form of Class 2 Warrant, the Registration Statement, the base prospectus that forms a part thereof (the “</w:t>
      </w:r>
      <w:r>
        <w:rPr>
          <w:rFonts w:ascii="Times New Roman" w:cs="Times New Roman" w:eastAsia="Times New Roman" w:hAnsi="Times New Roman"/>
          <w:sz w:val="20"/>
          <w:szCs w:val="20"/>
          <w:b w:val="1"/>
          <w:bCs w:val="1"/>
          <w:i w:val="1"/>
          <w:iCs w:val="1"/>
          <w:color w:val="auto"/>
        </w:rPr>
        <w:t>Base Prospectus</w:t>
      </w:r>
      <w:r>
        <w:rPr>
          <w:rFonts w:ascii="Times New Roman" w:cs="Times New Roman" w:eastAsia="Times New Roman" w:hAnsi="Times New Roman"/>
          <w:sz w:val="20"/>
          <w:szCs w:val="20"/>
          <w:color w:val="auto"/>
        </w:rPr>
        <w:t>”) as supplemented by the prospectus supplement to be dated February 29, 2024, in the form filed with the Commission pursuant to Rule 424(b) of the Rules and Regulations, together with the documents or portions thereof incorporated by reference therein, as modified or superseded as described therein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Supplement</w:t>
      </w:r>
      <w:r>
        <w:rPr>
          <w:rFonts w:ascii="Times New Roman" w:cs="Times New Roman" w:eastAsia="Times New Roman" w:hAnsi="Times New Roman"/>
          <w:sz w:val="20"/>
          <w:szCs w:val="20"/>
          <w:color w:val="auto"/>
        </w:rPr>
        <w:t>” and, together with the Base Prospectus,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We have also examined instruments, documents and records that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deemed relevant and necessary for the basis of our opinion hereinafter expressed.</w:t>
      </w:r>
    </w:p>
    <w:p>
      <w:pPr>
        <w:spacing w:after="0" w:line="21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and (iv) the legal capacity of all natural persons. As to any facts material to the opinions expressed herein that were not independently established or verified, we have relied upon oral or written statements and representations of officers and other representatives of the Company. In making our examination of documents executed or to be executed, we have assumed that the counterparties thereto, excluding the Company,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AUSTIN BEIJING BOSTON BOULDER BRUSSELS HONG KONG LONDON LOS ANGELES NEW YORK PALO ALTO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SALT LAKE CITY SAN DIEGO SAN FRANCISCO SEATTLE SHANGHAI WASHINGTON, DC WILMINGTON, DE</w:t>
      </w:r>
    </w:p>
    <w:p>
      <w:pPr>
        <w:sectPr>
          <w:pgSz w:w="11900" w:h="16838" w:orient="portrait"/>
          <w:cols w:equalWidth="0" w:num="1">
            <w:col w:w="11240"/>
          </w:cols>
          <w:pgMar w:left="320" w:top="1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Page 2</w:t>
      </w:r>
    </w:p>
    <w:p>
      <w:pPr>
        <w:spacing w:after="0"/>
        <w:rPr>
          <w:sz w:val="20"/>
          <w:szCs w:val="20"/>
          <w:color w:val="auto"/>
        </w:rPr>
      </w:pPr>
      <w:r>
        <w:rPr>
          <w:rFonts w:ascii="Times New Roman" w:cs="Times New Roman" w:eastAsia="Times New Roman" w:hAnsi="Times New Roman"/>
          <w:sz w:val="20"/>
          <w:szCs w:val="20"/>
          <w:color w:val="auto"/>
        </w:rPr>
        <w:t>March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duly incorporated or organized and are, and will continue to be, validly existing and in good standing, and have or will have the 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except as expressly set forth in the paragraphs below, the validity and binding effect thereof on such parties.</w:t>
      </w:r>
    </w:p>
    <w:p>
      <w:pPr>
        <w:spacing w:after="0" w:line="21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Based upon and subject to the foregoing qualifications, assumptions and limitations and the further limitations set out below, we are of the opinion that:</w:t>
      </w:r>
    </w:p>
    <w:p>
      <w:pPr>
        <w:spacing w:after="0" w:line="186" w:lineRule="exact"/>
        <w:rPr>
          <w:sz w:val="20"/>
          <w:szCs w:val="20"/>
          <w:color w:val="auto"/>
        </w:rPr>
      </w:pPr>
    </w:p>
    <w:p>
      <w:pPr>
        <w:jc w:val="both"/>
        <w:ind w:left="980" w:right="20" w:hanging="324"/>
        <w:spacing w:after="0" w:line="247" w:lineRule="auto"/>
        <w:tabs>
          <w:tab w:leader="none" w:pos="9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have been duly authorized by the Company and, when issued and delivered by the Company against payment therefor in accordance with the terms of and in the manner contemplated by the Securities Purchase Agreement and the Prospectus, will be validly issued, fully paid and nonassessable.</w:t>
      </w:r>
    </w:p>
    <w:p>
      <w:pPr>
        <w:spacing w:after="0" w:line="207" w:lineRule="exact"/>
        <w:rPr>
          <w:rFonts w:ascii="Times New Roman" w:cs="Times New Roman" w:eastAsia="Times New Roman" w:hAnsi="Times New Roman"/>
          <w:sz w:val="20"/>
          <w:szCs w:val="20"/>
          <w:color w:val="auto"/>
        </w:rPr>
      </w:pPr>
    </w:p>
    <w:p>
      <w:pPr>
        <w:jc w:val="both"/>
        <w:ind w:left="980" w:hanging="324"/>
        <w:spacing w:after="0"/>
        <w:tabs>
          <w:tab w:leader="none" w:pos="9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Warrants have been duly authorized by the Company and, when issued and delivered by the Company against payment therefor in accordance with the terms of the Securities Purchase Agreement, will constitute valid and binding obligations of the Company, enforceable against the Company in accordance with their terms; and</w:t>
      </w:r>
    </w:p>
    <w:p>
      <w:pPr>
        <w:spacing w:after="0" w:line="228" w:lineRule="exact"/>
        <w:rPr>
          <w:rFonts w:ascii="Times New Roman" w:cs="Times New Roman" w:eastAsia="Times New Roman" w:hAnsi="Times New Roman"/>
          <w:sz w:val="20"/>
          <w:szCs w:val="20"/>
          <w:color w:val="auto"/>
        </w:rPr>
      </w:pPr>
    </w:p>
    <w:p>
      <w:pPr>
        <w:jc w:val="both"/>
        <w:ind w:left="980" w:hanging="324"/>
        <w:spacing w:after="0"/>
        <w:tabs>
          <w:tab w:leader="none" w:pos="9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Shares have been duly authorized by the Company and, when issued and delivered by the Company against payment of the exercise price therefor in accordance with the terms of the Warrants will have been validly issued, fully paid and nonassessable.</w:t>
      </w:r>
    </w:p>
    <w:p>
      <w:pPr>
        <w:spacing w:after="0" w:line="21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express no opinion as to the laws of any other jurisdiction other than the federal laws of the United States of America and the General Corporation Law of the State of Delaware and, solely as to the Warrants constituting valid and binding obligations of the Company, the laws of the State of New York.</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opinion that any document is legal, valid, binding and enforceable is qualified as to:</w:t>
      </w:r>
    </w:p>
    <w:p>
      <w:pPr>
        <w:spacing w:after="0" w:line="243" w:lineRule="exact"/>
        <w:rPr>
          <w:sz w:val="20"/>
          <w:szCs w:val="20"/>
          <w:color w:val="auto"/>
        </w:rPr>
      </w:pPr>
    </w:p>
    <w:p>
      <w:pPr>
        <w:ind w:left="980" w:hanging="324"/>
        <w:spacing w:after="0" w:line="269" w:lineRule="auto"/>
        <w:tabs>
          <w:tab w:leader="none" w:pos="97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imposed by bankruptcy, insolvency, reorganization, arrangement, fraudulent transfer, moratorium or other similar laws relating to or affecting the rights of creditors generally;</w:t>
      </w:r>
    </w:p>
    <w:p>
      <w:pPr>
        <w:spacing w:after="0" w:line="18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to indemnification and contribution, which may be limited by applicable law or equitable principles; and</w:t>
      </w:r>
    </w:p>
    <w:p>
      <w:pPr>
        <w:spacing w:after="0" w:line="242" w:lineRule="exact"/>
        <w:rPr>
          <w:rFonts w:ascii="Times New Roman" w:cs="Times New Roman" w:eastAsia="Times New Roman" w:hAnsi="Times New Roman"/>
          <w:sz w:val="20"/>
          <w:szCs w:val="20"/>
          <w:color w:val="auto"/>
        </w:rPr>
      </w:pPr>
    </w:p>
    <w:p>
      <w:pPr>
        <w:jc w:val="both"/>
        <w:ind w:left="980" w:hanging="324"/>
        <w:spacing w:after="0" w:line="247" w:lineRule="auto"/>
        <w:tabs>
          <w:tab w:leader="none" w:pos="97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 addition, we express no opinion as to whether a state court outside of the State of New York or a federal court of the United States would give effect to the choice of New York law provided for in the Warrants. For purposes of our opinion in paragraph 2, we have assumed the Exercise Price (as defined in the Warrants) will not be adjusted to an amount below the par value per share of the Common Stock.</w:t>
      </w:r>
    </w:p>
    <w:p>
      <w:pPr>
        <w:sectPr>
          <w:pgSz w:w="11900" w:h="16838" w:orient="portrait"/>
          <w:cols w:equalWidth="0" w:num="1">
            <w:col w:w="11240"/>
          </w:cols>
          <w:pgMar w:left="320" w:top="74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Page 3</w:t>
      </w:r>
    </w:p>
    <w:p>
      <w:pPr>
        <w:spacing w:after="0"/>
        <w:rPr>
          <w:sz w:val="20"/>
          <w:szCs w:val="20"/>
          <w:color w:val="auto"/>
        </w:rPr>
      </w:pPr>
      <w:r>
        <w:rPr>
          <w:rFonts w:ascii="Times New Roman" w:cs="Times New Roman" w:eastAsia="Times New Roman" w:hAnsi="Times New Roman"/>
          <w:sz w:val="20"/>
          <w:szCs w:val="20"/>
          <w:color w:val="auto"/>
        </w:rPr>
        <w:t>March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hereby consent to the use of this opinion as an exhibit to the Company’s Current Report on Form 8-K filed on or about the date hereof, for incorporation by reference into the Registration Statement. In giving this consent, we do not admit that we are in the category of persons whose consent is required under Section 7 of the Securities Act.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Wilson Sonsini Goodrich &amp; Rosati, P.C.</w:t>
      </w:r>
    </w:p>
    <w:p>
      <w:pPr>
        <w:ind w:left="3900"/>
        <w:spacing w:after="0" w:line="197" w:lineRule="auto"/>
        <w:rPr>
          <w:sz w:val="20"/>
          <w:szCs w:val="20"/>
          <w:color w:val="auto"/>
        </w:rPr>
      </w:pPr>
      <w:r>
        <w:rPr>
          <w:rFonts w:ascii="Times New Roman" w:cs="Times New Roman" w:eastAsia="Times New Roman" w:hAnsi="Times New Roman"/>
          <w:sz w:val="20"/>
          <w:szCs w:val="20"/>
          <w:b w:val="1"/>
          <w:bCs w:val="1"/>
          <w:color w:val="auto"/>
        </w:rPr>
        <w:t>WILSON SONSINI GOODRICH &amp; ROSATI</w:t>
      </w:r>
    </w:p>
    <w:p>
      <w:pPr>
        <w:ind w:left="3900"/>
        <w:spacing w:after="0"/>
        <w:rPr>
          <w:sz w:val="20"/>
          <w:szCs w:val="20"/>
          <w:color w:val="auto"/>
        </w:rPr>
      </w:pPr>
      <w:r>
        <w:rPr>
          <w:rFonts w:ascii="Times New Roman" w:cs="Times New Roman" w:eastAsia="Times New Roman" w:hAnsi="Times New Roman"/>
          <w:sz w:val="20"/>
          <w:szCs w:val="20"/>
          <w:color w:val="auto"/>
        </w:rPr>
        <w:t>Professional Corporation</w:t>
      </w:r>
    </w:p>
    <w:p>
      <w:pPr>
        <w:sectPr>
          <w:pgSz w:w="11900" w:h="16838" w:orient="portrait"/>
          <w:cols w:equalWidth="0" w:num="1">
            <w:col w:w="11240"/>
          </w:cols>
          <w:pgMar w:left="320" w:top="746" w:right="33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16"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29, 2024, among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purchasers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thereunder, the Company desires to issue and sell to each Purchaser, and each Purchaser, severally and not jointly, desires to purchase from the Company, securities of the Company as more fully described in this Agreement.</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subject to the terms and conditions set forth in a separate securities purchase agreement (the “</w:t>
      </w:r>
      <w:r>
        <w:rPr>
          <w:rFonts w:ascii="Times New Roman" w:cs="Times New Roman" w:eastAsia="Times New Roman" w:hAnsi="Times New Roman"/>
          <w:sz w:val="18"/>
          <w:szCs w:val="18"/>
          <w:u w:val="single" w:color="auto"/>
          <w:color w:val="auto"/>
        </w:rPr>
        <w:t>Concurrent Placement Agreement</w:t>
      </w:r>
      <w:r>
        <w:rPr>
          <w:rFonts w:ascii="Times New Roman" w:cs="Times New Roman" w:eastAsia="Times New Roman" w:hAnsi="Times New Roman"/>
          <w:sz w:val="18"/>
          <w:szCs w:val="18"/>
          <w:color w:val="auto"/>
        </w:rPr>
        <w:t>”) and pursuant to a separate prospectus supplement being filed with the Commission under the Registration Statement (as defined below), the Company is issuing securities of the Company to ICE (as defined below) (the “</w:t>
      </w:r>
      <w:r>
        <w:rPr>
          <w:rFonts w:ascii="Times New Roman" w:cs="Times New Roman" w:eastAsia="Times New Roman" w:hAnsi="Times New Roman"/>
          <w:sz w:val="18"/>
          <w:szCs w:val="18"/>
          <w:u w:val="single" w:color="auto"/>
          <w:color w:val="auto"/>
        </w:rPr>
        <w:t>Concurrent Placement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WHEREAS, the Per Unit Purchase Price (as defined below) under this Agreement and in the Concurrent Placement Agreement are the same and the terms of such agreements are substantively consistent other than differences resulting from the relationships of the applicable purchaser(s) with the Company.</w:t>
      </w:r>
    </w:p>
    <w:p>
      <w:pPr>
        <w:spacing w:after="0" w:line="211"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have the meanings set forth in this Section 1.1:</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3.1(h).</w:t>
      </w:r>
    </w:p>
    <w:p>
      <w:pPr>
        <w:spacing w:after="0" w:line="21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4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12" w:lineRule="exact"/>
        <w:rPr>
          <w:sz w:val="20"/>
          <w:szCs w:val="20"/>
          <w:color w:val="auto"/>
        </w:rPr>
      </w:pPr>
    </w:p>
    <w:p>
      <w:pPr>
        <w:jc w:val="both"/>
        <w:ind w:firstLine="583"/>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4" w:lineRule="exact"/>
        <w:rPr>
          <w:sz w:val="20"/>
          <w:szCs w:val="20"/>
          <w:color w:val="auto"/>
        </w:rPr>
      </w:pPr>
    </w:p>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1 Warrants</w:t>
      </w:r>
      <w:r>
        <w:rPr>
          <w:rFonts w:ascii="Times New Roman" w:cs="Times New Roman" w:eastAsia="Times New Roman" w:hAnsi="Times New Roman"/>
          <w:sz w:val="18"/>
          <w:szCs w:val="18"/>
          <w:color w:val="auto"/>
        </w:rPr>
        <w:t xml:space="preserve">” means the warrants delivered to each Purchaser at the Closing in accordance with Section 2.2(a)(vi) hereof, which Class 1 Warrants shall be exercisable at any time on or after the six (6) month anniversary of the Closing Date and generally be exercisable from the date of the six month anniversary of the issuance date through the date that is five and a half (5.5) years after the initial issuance date,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jc w:val="both"/>
        <w:ind w:firstLine="583"/>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2 Warrants</w:t>
      </w:r>
      <w:r>
        <w:rPr>
          <w:rFonts w:ascii="Times New Roman" w:cs="Times New Roman" w:eastAsia="Times New Roman" w:hAnsi="Times New Roman"/>
          <w:sz w:val="18"/>
          <w:szCs w:val="18"/>
          <w:color w:val="auto"/>
        </w:rPr>
        <w:t>” means the warrants delivered to each Purchaser at the Closing in accordance with Section 2.2(a)(vii) hereof, which Class 2 Warrants shall be exercisable at any time on or after the six (6) month anniversary of the Closing Date and generally be exercisable from the date of the six month anniversary of the</w:t>
      </w:r>
    </w:p>
    <w:p>
      <w:pPr>
        <w:sectPr>
          <w:pgSz w:w="11900" w:h="16838" w:orient="portrait"/>
          <w:cols w:equalWidth="0" w:num="1">
            <w:col w:w="11240"/>
          </w:cols>
          <w:pgMar w:left="320" w:top="1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xml:space="preserve">issuance date through the date that is five and a half (5.5) years after the initial issuance date,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attached hereto.</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1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1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176"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7"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Class 1 Warrants and Class 2 Warrants, with half of the Common Warrants for each Purchaser being Class 1 Warrants and the other half of the Common Warrants for each Purchaser being Class 2 Warrants.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Wilson Sonsini Goodrich &amp; Rosati, P.C.</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12" w:lineRule="exact"/>
        <w:rPr>
          <w:sz w:val="20"/>
          <w:szCs w:val="20"/>
          <w:color w:val="auto"/>
        </w:rPr>
      </w:pPr>
    </w:p>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9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(i) the issuance of securities to directors, officers, employees and consultants of the Company pursuant to employee benefit plans, equity incentive plans or other employee compensation plans or other arrangements approved by the Board of Directors or the Compensation Committee thereof, (ii) the issuance of securities upon the exercise or exchange of or conversion of any Securities issued hereunder and/or the issuance of securities pursuant to the exercise, exchange or conversion of any options, warrants, restricted stock units, rights or convertible or exchangeable securities outstanding on the date hereof, provided that such options, warrants, restricted stock units, rights or convertible or exchangeable securities have not been amended since the date of this Agreement to increase the number of such securities or to decrease the exercise price, exchange price or conversion price of such securities or to extend the term of such securities, (iii) securities issued in connection with any joint venture, commercial or collaborative relationship, or the acquisition or license by the Company of the securities, businesses, property or other assets of another person, provided that such issuance is approved by the majority of the disinterested directors of the Company and provided such securities are issued as “restricted securities” (as defined in Rule</w:t>
      </w:r>
    </w:p>
    <w:p>
      <w:pPr>
        <w:spacing w:after="0" w:line="3" w:lineRule="exact"/>
        <w:rPr>
          <w:sz w:val="20"/>
          <w:szCs w:val="20"/>
          <w:color w:val="auto"/>
        </w:rPr>
      </w:pPr>
    </w:p>
    <w:p>
      <w:pPr>
        <w:jc w:val="both"/>
        <w:ind w:firstLine="8"/>
        <w:spacing w:after="0" w:line="234" w:lineRule="auto"/>
        <w:tabs>
          <w:tab w:leader="none" w:pos="3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carry no registration rights that require or permit the filing of any registration statement during the 120 day period following the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(iv) securities issued pursuant to acquisitions or strategic transactions approved by a majority of the disinterested directors of the Company, provided that any such securities are issued as “restricted securities” (as defined in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53" w:name="page54"/>
    <w:bookmarkEnd w:id="53"/>
    <w:p>
      <w:pPr>
        <w:jc w:val="both"/>
        <w:ind w:firstLine="8"/>
        <w:spacing w:after="0" w:line="236" w:lineRule="auto"/>
        <w:tabs>
          <w:tab w:leader="none" w:pos="3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carry no registration rights that require or permit the filing of any registration statement during the 120 day period following the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(v) shares of Common Stock to consultants or vendors of the Company, provided that such securities are issued as “restricted securities” (as defined in Rule 144) and carry no registration rights that require or permit the filing of any registration statement in connection therewith during the 120 day period following the Closing Date (unless issued under the Company’s share or option plan whose issuances are registered under Form S-8), (vi) issuances of shares of Common Stock in compliance with the terms of agreements or instruments outstanding as of the date hereof,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(vii) issuances of shares of Common Stock upon the exercise or exchange of rights issued pursuant to any shareholder rights agreement entered into between the Company and Transfer Agent, (viii) the issuance of securities pursuant to an “at the market” offering, as defined in Rule 415 under the Securities Act, pursuant to an agreement executed on or after June 30, 2024,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(ix) the issuance of securities in the Concurrent Placement, and (x) the issuance of securities upon the exercise or exchange of or conversion of any securities issued in the Concurrent Placement.</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means Intercontinental Exchange Holdings, Inc.</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3.1(a).</w:t>
      </w:r>
    </w:p>
    <w:p>
      <w:pPr>
        <w:spacing w:after="0" w:line="25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Pre-Funded Warrant Unit Purchase Price</w:t>
      </w:r>
      <w:r>
        <w:rPr>
          <w:rFonts w:ascii="Times New Roman" w:cs="Times New Roman" w:eastAsia="Times New Roman" w:hAnsi="Times New Roman"/>
          <w:sz w:val="18"/>
          <w:szCs w:val="18"/>
          <w:color w:val="auto"/>
        </w:rPr>
        <w:t>” means $0.8669, subject to adjustment for reverse and forward share splits, share dividends, share combinations and other similar transactions of the shares of Common Stock that occur between the date of this Agreement and the Closing Date.</w:t>
      </w:r>
    </w:p>
    <w:p>
      <w:pPr>
        <w:spacing w:after="0" w:line="18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Unit Purchase Price</w:t>
      </w:r>
      <w:r>
        <w:rPr>
          <w:rFonts w:ascii="Times New Roman" w:cs="Times New Roman" w:eastAsia="Times New Roman" w:hAnsi="Times New Roman"/>
          <w:sz w:val="18"/>
          <w:szCs w:val="18"/>
          <w:color w:val="auto"/>
        </w:rPr>
        <w:t>” equals $0.8670, subject to adjustment for reverse and forward stock splits, stock dividends, stock combinations and other similar transactions of the Common Stock that occur between the date of this Agreement and the Closing Date.</w:t>
      </w:r>
    </w:p>
    <w:p>
      <w:pPr>
        <w:spacing w:after="0" w:line="20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Keefe, Bruyette &amp; Woods, Inc.</w:t>
      </w:r>
    </w:p>
    <w:p>
      <w:pPr>
        <w:spacing w:after="0" w:line="252"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8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the Company.</w:t>
      </w:r>
    </w:p>
    <w:p>
      <w:pPr>
        <w:spacing w:after="0" w:line="203"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prospectus supplement filed pursuant to the Registration Statement relating to the offering of Securities pursuant to this Agreement, including the base prospectus included in the Registration Statement at the time it was declared effective and all information, documents and exhibits filed with or incorporated by reference into such final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4.5.</w:t>
      </w:r>
    </w:p>
    <w:p>
      <w:pPr>
        <w:spacing w:after="0" w:line="21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filed with the Commission on February 14, 2024 (File No. 333-271361), including all information, documents and exhibits filed with or incorporated by reference into such registration statement, which registers the sale of the Shares, the Warrants and the Warrant Shares to the Purchaser.</w:t>
      </w:r>
    </w:p>
    <w:p>
      <w:pPr>
        <w:spacing w:after="0" w:line="17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1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Pre-Funded Warrants and Common Warrants purchased hereunder (which amount is exclusive of the exercise price payable upon the exercise of Common Warrants for Warrant Shares) as specified below the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1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6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Lock-Up Agreements, the Voting Support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the Pre-Funded Warrants.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at the Per Unit Purchase Price (i) the number of Shares set forth under the heading “Subscription Amount” on the Purchaser’s signature page and (ii) Common Warrants exercisable for shares of Common Stock as calculated pursuant to Section 2.2(a). Notwithstanding anything herein to the contrary, to the extent that any Purchaser determines, in its sole discretion, that such Purchaser (together with such Purchaser’s Affiliates, and any Person acting as a group together with such Purchaser or any of such Purchaser’s Affiliates) would beneficially own in excess of the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55" w:name="page56"/>
    <w:bookmarkEnd w:id="55"/>
    <w:p>
      <w:pPr>
        <w:jc w:val="both"/>
        <w:spacing w:after="0" w:line="236" w:lineRule="auto"/>
        <w:rPr>
          <w:sz w:val="20"/>
          <w:szCs w:val="20"/>
          <w:color w:val="auto"/>
        </w:rPr>
      </w:pPr>
      <w:r>
        <w:rPr>
          <w:rFonts w:ascii="Times New Roman" w:cs="Times New Roman" w:eastAsia="Times New Roman" w:hAnsi="Times New Roman"/>
          <w:sz w:val="18"/>
          <w:szCs w:val="18"/>
          <w:color w:val="auto"/>
        </w:rPr>
        <w:t>Limitation (as defined below), or as such Purchaser may otherwise choose, in lieu of purchasing Shares, such Purchaser may elect to purchase Pre-Funded Warrants in lieu of Shares in such manner to result in the full Subscription Amount being paid by such Purchaser to the Company.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 (or, at the election of each Purchaser at Closing, 9.99%) of the number of shares of Common Stock outstanding immediately after giving effect to the issuance of the Securities on the Closing Date. Notwithstanding the foregoing, with respect to any Notice(s) of Exercise (as defined in the Pre-Funded Warrants) delivered on or prior to 12:00 p.m. (New York City time) on the day before the Closing Date, which may be delivered at any time after the time of execution of this Agreement, the Company agrees to deliver the Pre-Funded Warrant Shares subject to such Notice(s) of Exercise by 4:00 p.m. (New York City time) on the Closing Date (adjusting the number of Warrant Shares issuable in respect of such Purchaser’s Pre-Funded Warrants accordingly) and the Closing Date shall be the Warrant Share Delivery Date (as defined in the Pre-Funded Warrants) for purposes hereunder, provided that payment of the aggregate Exercise Price (as defined in the Pre-Funded Warrants) (other than in the case of a cashless exercise) is received by such Warrant Share Delivery Date.</w:t>
      </w:r>
    </w:p>
    <w:p>
      <w:pPr>
        <w:spacing w:after="0" w:line="219" w:lineRule="exact"/>
        <w:rPr>
          <w:sz w:val="20"/>
          <w:szCs w:val="20"/>
          <w:color w:val="auto"/>
        </w:rPr>
      </w:pPr>
    </w:p>
    <w:p>
      <w:pPr>
        <w:jc w:val="both"/>
        <w:ind w:left="660" w:hanging="4"/>
        <w:spacing w:after="0" w:line="245" w:lineRule="auto"/>
        <w:tabs>
          <w:tab w:leader="none" w:pos="10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Purchaser shall deliver the other items set forth in Section 2.2 deliverable at the Closing. Upon satisfaction of the covenants and conditions set forth in Sections 2.2 and 2.3, the Closing shall occur remotely or at such location as the parties shall mutually agree. Unless otherwise agreed by the Company and the Purchasers, on the Closing Date, the Company shall issue the Shares registered in the Purchasers’ names and addresses and released by the Transfer Agent directly to the account(s) identified by each Purchaser.</w:t>
      </w:r>
    </w:p>
    <w:p>
      <w:pPr>
        <w:spacing w:after="0" w:line="207" w:lineRule="exact"/>
        <w:rPr>
          <w:rFonts w:ascii="Times New Roman" w:cs="Times New Roman" w:eastAsia="Times New Roman" w:hAnsi="Times New Roman"/>
          <w:sz w:val="18"/>
          <w:szCs w:val="18"/>
          <w:color w:val="auto"/>
        </w:rPr>
      </w:pPr>
    </w:p>
    <w:p>
      <w:pPr>
        <w:jc w:val="both"/>
        <w:ind w:left="660" w:hanging="4"/>
        <w:spacing w:after="0" w:line="236" w:lineRule="auto"/>
        <w:tabs>
          <w:tab w:leader="none" w:pos="11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Subscription Amount for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ind w:left="1040" w:hanging="384"/>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a form reasonably acceptable to the Placement Agent and the Purchasers;</w:t>
      </w:r>
    </w:p>
    <w:p>
      <w:pPr>
        <w:spacing w:after="0" w:line="225" w:lineRule="exact"/>
        <w:rPr>
          <w:rFonts w:ascii="Times New Roman" w:cs="Times New Roman" w:eastAsia="Times New Roman" w:hAnsi="Times New Roman"/>
          <w:sz w:val="18"/>
          <w:szCs w:val="18"/>
          <w:color w:val="auto"/>
        </w:rPr>
      </w:pPr>
    </w:p>
    <w:p>
      <w:pPr>
        <w:ind w:left="1300" w:firstLine="4"/>
        <w:spacing w:after="0" w:line="266" w:lineRule="auto"/>
        <w:tabs>
          <w:tab w:leader="none" w:pos="17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w:t>
      </w:r>
    </w:p>
    <w:p>
      <w:pPr>
        <w:spacing w:after="0" w:line="189" w:lineRule="exact"/>
        <w:rPr>
          <w:rFonts w:ascii="Times New Roman" w:cs="Times New Roman" w:eastAsia="Times New Roman" w:hAnsi="Times New Roman"/>
          <w:sz w:val="18"/>
          <w:szCs w:val="18"/>
          <w:color w:val="auto"/>
        </w:rPr>
      </w:pPr>
    </w:p>
    <w:p>
      <w:pPr>
        <w:jc w:val="both"/>
        <w:ind w:left="1300" w:firstLine="4"/>
        <w:spacing w:after="0" w:line="242" w:lineRule="auto"/>
        <w:tabs>
          <w:tab w:leader="none" w:pos="17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the Purchaser’s Subscription Amount paid at the Closing divided by the Per Unit Purchase Price, registered in the name of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56" w:name="page57"/>
    <w:bookmarkEnd w:id="56"/>
    <w:p>
      <w:pPr>
        <w:jc w:val="both"/>
        <w:ind w:left="1300" w:right="20" w:firstLine="4"/>
        <w:spacing w:after="0" w:line="250" w:lineRule="auto"/>
        <w:tabs>
          <w:tab w:leader="none" w:pos="1755"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each Purchaser to purchase up to a number of shares of Common Stock equal to the portion of such Purchaser’s Subscription Amount applicable to the Pre-Funded Warrants divided by the Per Pre-Funded Warrant Unit Purchase Price;</w:t>
      </w:r>
    </w:p>
    <w:p>
      <w:pPr>
        <w:spacing w:after="0" w:line="190"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742"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1 Warrant registered in the name of each Purchaser to purchase up to a number of shares of Common Stock equal to 50% of the Purchaser’s Shares purchased at the Closing, rounded down to the nearest whole share, as set forth on such Purchaser’s signature page hereto, with an exercise price equal to $1.0200, subject to adjustment therein;</w:t>
      </w:r>
    </w:p>
    <w:p>
      <w:pPr>
        <w:spacing w:after="0" w:line="190"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813"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2 Warrant registered in the name of each Purchaser to purchase up to a number of shares of Common Stock equal to 50% of the Purchaser’s Shares purchased at the Closing, rounded down to the nearest whole share, as set forth on such Purchaser’s signature page hereto, with an exercise price equal to $1.0200, subject to adjustment therein;</w:t>
      </w:r>
    </w:p>
    <w:p>
      <w:pPr>
        <w:spacing w:after="0" w:line="190"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(which may be delivered in accordance with Rule 172 under the Securities Act);</w:t>
      </w:r>
    </w:p>
    <w:p>
      <w:pPr>
        <w:spacing w:after="0" w:line="23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Placement Agent;</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in form and substance reasonably satisfactory to the Placement Agent;</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duly executed by each executive officer and director of the Company; and</w:t>
      </w:r>
    </w:p>
    <w:p>
      <w:pPr>
        <w:spacing w:after="0" w:line="22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876"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executed voting support agreement between the Company and ICE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(except as noted below) shall deliver or cause to be delivered to the Company the following:</w:t>
      </w:r>
    </w:p>
    <w:p>
      <w:pPr>
        <w:spacing w:after="0" w:line="238" w:lineRule="exact"/>
        <w:rPr>
          <w:rFonts w:ascii="Times New Roman" w:cs="Times New Roman" w:eastAsia="Times New Roman" w:hAnsi="Times New Roman"/>
          <w:sz w:val="18"/>
          <w:szCs w:val="18"/>
          <w:color w:val="auto"/>
        </w:rPr>
      </w:pPr>
    </w:p>
    <w:p>
      <w:pPr>
        <w:ind w:left="1180" w:hanging="344"/>
        <w:spacing w:after="0"/>
        <w:tabs>
          <w:tab w:leader="none" w:pos="11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Subscription Amount in respect of the Securities purchased by such Purchaser.</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40" w:hanging="384"/>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38" w:lineRule="exact"/>
        <w:rPr>
          <w:rFonts w:ascii="Times New Roman" w:cs="Times New Roman" w:eastAsia="Times New Roman" w:hAnsi="Times New Roman"/>
          <w:sz w:val="18"/>
          <w:szCs w:val="18"/>
          <w:color w:val="auto"/>
        </w:rPr>
      </w:pPr>
    </w:p>
    <w:p>
      <w:pPr>
        <w:jc w:val="both"/>
        <w:ind w:left="1300" w:firstLine="4"/>
        <w:spacing w:after="0"/>
        <w:tabs>
          <w:tab w:leader="none" w:pos="167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made as of a specific date therein in which case they shall be accurate in all material respects (or, to the extent representations or warranties are qualified by materiality or Material Adverse Effect, in all respects) as of such date);</w:t>
      </w:r>
    </w:p>
    <w:p>
      <w:pPr>
        <w:spacing w:after="0" w:line="21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in all material respects; and</w:t>
      </w:r>
    </w:p>
    <w:p>
      <w:pPr>
        <w:spacing w:after="0" w:line="17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4" w:right="339" w:bottom="1440" w:gutter="0" w:footer="0" w:header="0"/>
        </w:sectPr>
      </w:pPr>
    </w:p>
    <w:bookmarkStart w:id="57" w:name="page58"/>
    <w:bookmarkEnd w:id="57"/>
    <w:p>
      <w:pPr>
        <w:ind w:left="1040" w:hanging="384"/>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Purchaser in connection with the Closing are subject to the following conditions being met:</w:t>
      </w:r>
    </w:p>
    <w:p>
      <w:pPr>
        <w:spacing w:after="0" w:line="211"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6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made as of a specific date therein in which case they shall be accurate as of such date);</w:t>
      </w:r>
    </w:p>
    <w:p>
      <w:pPr>
        <w:spacing w:after="0" w:line="176"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71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2"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9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11" w:lineRule="exact"/>
        <w:rPr>
          <w:rFonts w:ascii="Times New Roman" w:cs="Times New Roman" w:eastAsia="Times New Roman" w:hAnsi="Times New Roman"/>
          <w:sz w:val="18"/>
          <w:szCs w:val="18"/>
          <w:color w:val="auto"/>
        </w:rPr>
      </w:pPr>
    </w:p>
    <w:p>
      <w:pPr>
        <w:jc w:val="both"/>
        <w:ind w:left="1300" w:firstLine="4"/>
        <w:spacing w:after="0"/>
        <w:tabs>
          <w:tab w:leader="none" w:pos="17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each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Closing.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77" w:lineRule="exact"/>
        <w:rPr>
          <w:sz w:val="20"/>
          <w:szCs w:val="20"/>
          <w:color w:val="auto"/>
        </w:rPr>
      </w:pPr>
    </w:p>
    <w:p>
      <w:pPr>
        <w:jc w:val="both"/>
        <w:ind w:left="660" w:hanging="4"/>
        <w:spacing w:after="0" w:line="236" w:lineRule="auto"/>
        <w:tabs>
          <w:tab w:leader="none" w:pos="105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xml:space="preserve">. Each of the subsidiaries of the Company are set forth on </w:t>
      </w:r>
      <w:r>
        <w:rPr>
          <w:rFonts w:ascii="Times New Roman" w:cs="Times New Roman" w:eastAsia="Times New Roman" w:hAnsi="Times New Roman"/>
          <w:sz w:val="18"/>
          <w:szCs w:val="18"/>
          <w:u w:val="single" w:color="auto"/>
          <w:color w:val="auto"/>
        </w:rPr>
        <w:t>Schedule 3.1(a), and</w:t>
      </w:r>
      <w:r>
        <w:rPr>
          <w:rFonts w:ascii="Times New Roman" w:cs="Times New Roman" w:eastAsia="Times New Roman" w:hAnsi="Times New Roman"/>
          <w:sz w:val="18"/>
          <w:szCs w:val="18"/>
          <w:color w:val="auto"/>
        </w:rPr>
        <w:t xml:space="preserve"> the Company owns, directly or indirectly, all of the capital stock or other equity interests of each such subsidiary, free and clear of any liens or encumbrances, and all of the issued and outstanding shares of capital stock of each such subsidiary are validly issued and are fully paid, non-assessable and free of preemptive and similar rights to subscribe for or purchase securities. Each of the Company and its subsidiaries has been duly incorporated or organized, as applicable, is validly existing and is in good standing (to the extent the concept of good standing is applicable in such jurisdiction) under the laws of its jurisdiction of incorporation or organization. Each of the Company and its subsidiaries has the requisite power and authority to own its properties and conduct its business as currently being carried on and as described in the Registration Statement and the Prospectus Supplement, and is duly qualified to do business as a foreign corporation or other entity in good standing in each jurisdiction in which the conduct of its business or ownership of property makes such qualification necessary, except where the failure to so qualify would not have or be reasonably expected to result in (a) a material adverse effect upon the business, properties, operations, financial condition or results of operations of the Company and its subsidiaries, taken as a whole, or (b) a material adverse effect on the Company’s ability to perform in any material respect on a timely basis its obligations under the Transaction Documents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16" w:lineRule="exact"/>
        <w:rPr>
          <w:rFonts w:ascii="Times New Roman" w:cs="Times New Roman" w:eastAsia="Times New Roman" w:hAnsi="Times New Roman"/>
          <w:sz w:val="18"/>
          <w:szCs w:val="18"/>
          <w:color w:val="auto"/>
        </w:rPr>
      </w:pPr>
    </w:p>
    <w:p>
      <w:pPr>
        <w:jc w:val="both"/>
        <w:ind w:left="660" w:hanging="4"/>
        <w:spacing w:after="0" w:line="242" w:lineRule="auto"/>
        <w:tabs>
          <w:tab w:leader="none" w:pos="107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 or Defaults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3.1(b)</w:t>
      </w:r>
      <w:r>
        <w:rPr>
          <w:rFonts w:ascii="Times New Roman" w:cs="Times New Roman" w:eastAsia="Times New Roman" w:hAnsi="Times New Roman"/>
          <w:sz w:val="18"/>
          <w:szCs w:val="18"/>
          <w:color w:val="auto"/>
        </w:rPr>
        <w:t>, neither the Company nor any of its subsidiaries (A) is in violation of its charters, bylaws or other organizational documents, (B) is in breach of or otherwise in default and no event has occurred which, with notice or lapse of time or both,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58" w:name="page59"/>
    <w:bookmarkEnd w:id="58"/>
    <w:p>
      <w:pPr>
        <w:spacing w:after="0" w:line="140" w:lineRule="exact"/>
        <w:rPr>
          <w:sz w:val="20"/>
          <w:szCs w:val="20"/>
          <w:color w:val="auto"/>
        </w:rPr>
      </w:pPr>
    </w:p>
    <w:p>
      <w:pPr>
        <w:jc w:val="both"/>
        <w:ind w:left="4"/>
        <w:spacing w:after="0" w:line="241" w:lineRule="auto"/>
        <w:rPr>
          <w:sz w:val="20"/>
          <w:szCs w:val="20"/>
          <w:color w:val="auto"/>
        </w:rPr>
      </w:pPr>
      <w:r>
        <w:rPr>
          <w:rFonts w:ascii="Times New Roman" w:cs="Times New Roman" w:eastAsia="Times New Roman" w:hAnsi="Times New Roman"/>
          <w:sz w:val="18"/>
          <w:szCs w:val="18"/>
          <w:color w:val="auto"/>
        </w:rPr>
        <w:t>constitute such a default, in the performance or observance of any term, covenant or condition contained in any contract, indenture, mortgage, deed of trust, loan agreement, lease or other agreement or instrument to which it is a party or by which it is bound or to which any of its material property or assets is subject, or (C) is in violation in any respect of any law, ordinance, governmental rule, regulation or court order, decree or judgment to which it or its property or assets may be subject, including the Sarbanes-Oxley Act and the Exchange Act; except, in the case of clauses (B) and (C) of this paragraph (b), for any breaches, violations or defaults which, singularly or in the aggregate, would not reasonably be expected to have a Material Adverse Effect.</w:t>
      </w:r>
    </w:p>
    <w:p>
      <w:pPr>
        <w:spacing w:after="0" w:line="197" w:lineRule="exact"/>
        <w:rPr>
          <w:sz w:val="20"/>
          <w:szCs w:val="20"/>
          <w:color w:val="auto"/>
        </w:rPr>
      </w:pPr>
    </w:p>
    <w:p>
      <w:pPr>
        <w:jc w:val="both"/>
        <w:ind w:left="4" w:hanging="4"/>
        <w:spacing w:after="0" w:line="235"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No Conflicts; Authority</w:t>
      </w:r>
      <w:r>
        <w:rPr>
          <w:rFonts w:ascii="Times New Roman" w:cs="Times New Roman" w:eastAsia="Times New Roman" w:hAnsi="Times New Roman"/>
          <w:sz w:val="18"/>
          <w:szCs w:val="18"/>
          <w:color w:val="auto"/>
        </w:rPr>
        <w:t>. This Agreement has been duly authorized, executed and delivered by the Company. The Warrants have been duly authorized, and when executed and delivered by the Company, shall constitute a valid, legal and binding obligation of the Company, enforceable in accordance with their terms, except as such enforceability may be limited by bankruptcy, insolvency, reorganization or similar laws affecting the rights of creditors generally and subject to general principles of equity. The execution, delivery and performance of the Transaction Documents and the consummation of the transactions herein and therein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and its subsidiaries taken as a whole,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in the case of clause (A) or (C)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Securities by the Company, except for the Stockholder Approval (solely with respect to the alternative cashless exercise option in the Class 2 Warrants and certain of the Securities issuable to ICE in the Concurrent Placement) and such as may be required under the Act, the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state securities or blue sky laws; and the Company has full power and authority to enter into the Transaction Documents and to consummate the transactions contemplated hereby and thereby, including the authorization, issuance and sale of the Securities as contemplated by this Agreement.</w:t>
      </w:r>
    </w:p>
    <w:p>
      <w:pPr>
        <w:spacing w:after="0" w:line="212" w:lineRule="exact"/>
        <w:rPr>
          <w:rFonts w:ascii="Times New Roman" w:cs="Times New Roman" w:eastAsia="Times New Roman" w:hAnsi="Times New Roman"/>
          <w:sz w:val="18"/>
          <w:szCs w:val="18"/>
          <w:color w:val="auto"/>
        </w:rPr>
      </w:pPr>
    </w:p>
    <w:p>
      <w:pPr>
        <w:jc w:val="both"/>
        <w:ind w:left="4" w:hanging="4"/>
        <w:spacing w:after="0" w:line="245" w:lineRule="auto"/>
        <w:tabs>
          <w:tab w:leader="none" w:pos="46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Warrant Shares are duly authorized and, when issued in accordance with the terms of the Warrants, will be validly issued, fully paid and nonassessable, free and clear of all Liens imposed by the Company.</w:t>
      </w:r>
    </w:p>
    <w:p>
      <w:pPr>
        <w:spacing w:after="0" w:line="194" w:lineRule="exact"/>
        <w:rPr>
          <w:sz w:val="20"/>
          <w:szCs w:val="20"/>
          <w:color w:val="auto"/>
        </w:rPr>
      </w:pPr>
    </w:p>
    <w:p>
      <w:pPr>
        <w:jc w:val="both"/>
        <w:ind w:left="4"/>
        <w:spacing w:after="0" w:line="236" w:lineRule="auto"/>
        <w:rPr>
          <w:sz w:val="20"/>
          <w:szCs w:val="20"/>
          <w:color w:val="auto"/>
        </w:rPr>
      </w:pPr>
      <w:r>
        <w:rPr>
          <w:rFonts w:ascii="Times New Roman" w:cs="Times New Roman" w:eastAsia="Times New Roman" w:hAnsi="Times New Roman"/>
          <w:sz w:val="18"/>
          <w:szCs w:val="18"/>
          <w:color w:val="auto"/>
        </w:rPr>
        <w:t>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Registration Statement became effective on February 14, 2024, including the related base prospectus, and such amendments and supplements thereto as may have been required to the date of this Agreement. The Company is eligible to sell the Securities under Instruction I.B.1 of Form S-3. The Registration Statement is effective under the Securities Act and no stop order preventing or suspending the effectiveness of the Registration Statement or suspending or preventing the use of the Prospectus Supplement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440" w:right="339" w:bottom="1440" w:gutter="0" w:footer="0" w:header="0"/>
        </w:sectPr>
      </w:pPr>
    </w:p>
    <w:bookmarkStart w:id="59" w:name="page60"/>
    <w:bookmarkEnd w:id="59"/>
    <w:p>
      <w:pPr>
        <w:spacing w:after="0" w:line="140" w:lineRule="exact"/>
        <w:rPr>
          <w:sz w:val="20"/>
          <w:szCs w:val="20"/>
          <w:color w:val="auto"/>
        </w:rPr>
      </w:pPr>
    </w:p>
    <w:p>
      <w:pPr>
        <w:jc w:val="both"/>
        <w:ind w:left="4"/>
        <w:spacing w:after="0" w:line="241" w:lineRule="auto"/>
        <w:rPr>
          <w:sz w:val="20"/>
          <w:szCs w:val="20"/>
          <w:color w:val="auto"/>
        </w:rPr>
      </w:pPr>
      <w:r>
        <w:rPr>
          <w:rFonts w:ascii="Times New Roman" w:cs="Times New Roman" w:eastAsia="Times New Roman" w:hAnsi="Times New Roman"/>
          <w:sz w:val="18"/>
          <w:szCs w:val="18"/>
          <w:color w:val="auto"/>
        </w:rPr>
        <w:t>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238" w:lineRule="exact"/>
        <w:rPr>
          <w:sz w:val="20"/>
          <w:szCs w:val="20"/>
          <w:color w:val="auto"/>
        </w:rPr>
      </w:pPr>
    </w:p>
    <w:p>
      <w:pPr>
        <w:jc w:val="both"/>
        <w:ind w:left="4" w:hanging="4"/>
        <w:spacing w:after="0" w:line="234" w:lineRule="auto"/>
        <w:tabs>
          <w:tab w:leader="none" w:pos="4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xml:space="preserve">). All of the issued and outstanding shares of capital stock of the Company, including the outstanding shares of Common Stock, are duly authorized and validly issued, fully paid and nonassessable, have been issued in compliance with all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the capital stock of the Company, including the Common Stock and the Warrants, conforms in all material respects to the description thereof in the Registration Statement and the Prospectus Supplement. Except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and except for the Concurrent Placement,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have been validly waived or complied with in connection with the sale of Securities as contemplated by this Agreement.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capital stock of any subsidiary of the Company, or contracts, commitments, understandings or arrangements by which the Company or any of its subsidiaries is or may become bound to issue additional shares of Common Stock, Common Stock Equivalents or capital stock of any such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of its subsidiaries. There are no outstanding securities or instruments of the Company or any of its subsidiaries that contain any redemption or similar provisions, and there are no contracts, commitments, understandings or arrangements by which the Company or any subsidiary of the Company is or may become bound to redeem a security of the Company or such subsidiary. The Company does not have any stock appreciation rights or “phantom stock” plans or agreements or any similar plan or agreement. Except for the Stockholder Approval (solely with respect to the alternative cashless exercise option in the Class 2 Warrants and certain of the Securities issuable to ICE in the Concurrent Placement), no further approval or authorization of any stockholder, the Board of Directors or others is required for the issuance and sale of the Securities. Except as set forth in the SEC Reports (as defined below) and the Voting Support Agreement,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63" w:lineRule="exact"/>
        <w:rPr>
          <w:rFonts w:ascii="Times New Roman" w:cs="Times New Roman" w:eastAsia="Times New Roman" w:hAnsi="Times New Roman"/>
          <w:sz w:val="18"/>
          <w:szCs w:val="18"/>
          <w:color w:val="auto"/>
        </w:rPr>
      </w:pPr>
    </w:p>
    <w:p>
      <w:pPr>
        <w:jc w:val="both"/>
        <w:ind w:left="4" w:hanging="4"/>
        <w:spacing w:after="0" w:line="237" w:lineRule="auto"/>
        <w:tabs>
          <w:tab w:leader="none" w:pos="4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Since January 1, 2022, as of their respective dates, the SEC Reports comply in all material respects with the requirements of the Securities Act and the Exchange Act, as applicable, and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4"/>
          </w:cols>
          <w:pgMar w:left="976" w:top="1440" w:right="339" w:bottom="1440" w:gutter="0" w:footer="0" w:header="0"/>
        </w:sectPr>
      </w:pPr>
    </w:p>
    <w:bookmarkStart w:id="60" w:name="page61"/>
    <w:bookmarkEnd w:id="60"/>
    <w:p>
      <w:pPr>
        <w:spacing w:after="0" w:line="140" w:lineRule="exact"/>
        <w:rPr>
          <w:sz w:val="20"/>
          <w:szCs w:val="20"/>
          <w:color w:val="auto"/>
        </w:rPr>
      </w:pPr>
    </w:p>
    <w:p>
      <w:pPr>
        <w:jc w:val="both"/>
        <w:ind w:left="4"/>
        <w:spacing w:after="0" w:line="238" w:lineRule="auto"/>
        <w:rPr>
          <w:sz w:val="20"/>
          <w:szCs w:val="20"/>
          <w:color w:val="auto"/>
        </w:rPr>
      </w:pPr>
      <w:r>
        <w:rPr>
          <w:rFonts w:ascii="Times New Roman" w:cs="Times New Roman" w:eastAsia="Times New Roman" w:hAnsi="Times New Roman"/>
          <w:sz w:val="18"/>
          <w:szCs w:val="18"/>
          <w:color w:val="auto"/>
        </w:rPr>
        <w:t>Reports, taken as a whole, as of the date hereof, do not contain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45" w:lineRule="exact"/>
        <w:rPr>
          <w:sz w:val="20"/>
          <w:szCs w:val="20"/>
          <w:color w:val="auto"/>
        </w:rPr>
      </w:pPr>
    </w:p>
    <w:p>
      <w:pPr>
        <w:jc w:val="both"/>
        <w:ind w:left="4" w:hanging="4"/>
        <w:spacing w:after="0" w:line="236" w:lineRule="auto"/>
        <w:tabs>
          <w:tab w:leader="none" w:pos="4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Events; Undisclosed Events, Liabilities or Developments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since the date of the latest financial statements filed by the Company with the SEC, the Company has not (i) incurred any material liabilities, direct or contingent, other than trade payables and accrued expenses incurred in the ordinary course of business consistent with past practices and liabilities not required to be reflected in the Company’s financial statements pursuant to generally accepted accounting principles or disclosed in filings made with the SEC,</w:t>
      </w:r>
    </w:p>
    <w:p>
      <w:pPr>
        <w:spacing w:after="0" w:line="2" w:lineRule="exact"/>
        <w:rPr>
          <w:rFonts w:ascii="Times New Roman" w:cs="Times New Roman" w:eastAsia="Times New Roman" w:hAnsi="Times New Roman"/>
          <w:sz w:val="18"/>
          <w:szCs w:val="18"/>
          <w:color w:val="auto"/>
        </w:rPr>
      </w:pPr>
    </w:p>
    <w:p>
      <w:pPr>
        <w:jc w:val="both"/>
        <w:ind w:left="4" w:hanging="4"/>
        <w:spacing w:after="0" w:line="236" w:lineRule="auto"/>
        <w:tabs>
          <w:tab w:leader="none" w:pos="2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declared or paid any dividends or made any distribution of any kind with respect to its capital stock, (iii) had any change in the capital stock of the Company (other than a change in the number of outstanding shares of Common Stock due to the issuance of shares upon the exercise of outstanding options or warrants, the issuance of Common Stock in accordance with exchanges made under the Company’s Amended &amp; Restated Exchange Agreement dated May 3, 2022, settlement of restricted stock units or conversion of convertible securities), or (iv) other than pursuant to the Concurrent Placement, had any issuance of options, warrants, restricted stock units, convertible securities or other rights to purchase the capital stock of the Company or any of its subsidiaries. Except for (i) the issuance of the Securities contemplated by this Agreement and the issuance of the securities in the Concurrent Placement, or (ii)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225" w:lineRule="exact"/>
        <w:rPr>
          <w:rFonts w:ascii="Times New Roman" w:cs="Times New Roman" w:eastAsia="Times New Roman" w:hAnsi="Times New Roman"/>
          <w:sz w:val="18"/>
          <w:szCs w:val="18"/>
          <w:color w:val="auto"/>
        </w:rPr>
      </w:pPr>
    </w:p>
    <w:p>
      <w:pPr>
        <w:jc w:val="both"/>
        <w:ind w:left="4" w:hanging="4"/>
        <w:spacing w:after="0" w:line="238" w:lineRule="auto"/>
        <w:tabs>
          <w:tab w:leader="none" w:pos="42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3.1(h)</w:t>
      </w:r>
      <w:r>
        <w:rPr>
          <w:rFonts w:ascii="Times New Roman" w:cs="Times New Roman" w:eastAsia="Times New Roman" w:hAnsi="Times New Roman"/>
          <w:sz w:val="18"/>
          <w:szCs w:val="18"/>
          <w:color w:val="auto"/>
        </w:rPr>
        <w:t>, there is not pending or, to the knowledge of the Company, threatened,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individually or in the aggregate, would reasonably be expected to result in any Material Adverse Effect, or would materially and adversely affect the ability of the Company to perform its obligations under the Transaction Documents.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and the Prospectus Supplement by the Securities Act or by the Rules and Regulations and that have not been so described in all material respects.</w:t>
      </w:r>
    </w:p>
    <w:p>
      <w:pPr>
        <w:spacing w:after="0" w:line="239" w:lineRule="exact"/>
        <w:rPr>
          <w:rFonts w:ascii="Times New Roman" w:cs="Times New Roman" w:eastAsia="Times New Roman" w:hAnsi="Times New Roman"/>
          <w:sz w:val="18"/>
          <w:szCs w:val="18"/>
          <w:color w:val="auto"/>
        </w:rPr>
      </w:pPr>
    </w:p>
    <w:p>
      <w:pPr>
        <w:jc w:val="both"/>
        <w:ind w:left="4" w:hanging="4"/>
        <w:spacing w:after="0" w:line="242" w:lineRule="auto"/>
        <w:tabs>
          <w:tab w:leader="none" w:pos="4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material labor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976" w:top="1440" w:right="339" w:bottom="1440" w:gutter="0" w:footer="0" w:header="0"/>
        </w:sectPr>
      </w:pPr>
    </w:p>
    <w:bookmarkStart w:id="61" w:name="page62"/>
    <w:bookmarkEnd w:id="61"/>
    <w:p>
      <w:pPr>
        <w:spacing w:after="0" w:line="140" w:lineRule="exact"/>
        <w:rPr>
          <w:sz w:val="20"/>
          <w:szCs w:val="20"/>
          <w:color w:val="auto"/>
        </w:rPr>
      </w:pPr>
    </w:p>
    <w:p>
      <w:pPr>
        <w:jc w:val="both"/>
        <w:ind w:left="4" w:hanging="4"/>
        <w:spacing w:after="0" w:line="239" w:lineRule="auto"/>
        <w:tabs>
          <w:tab w:leader="none" w:pos="3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its subsidiaries possess or own all licenses, certificates, permits and other authorizations (collectively, “Permits”) issued by, and have made all declarations and filings with, the applicable federal, state, local or foreign governmental or regulatory authorities that are necessary for the current ownership or lease of its properties or the conduct of its businesses as described in the Registration Statement, except where the failure to possess such Permits would not reasonably be expected to result in a Material Adverse Effect; the Company and its subsidiaries are not in violation of, or in default under, any such Permit, except where such violation would not reasonably be expected to result in a Material Adverse Effect; and the Company and its subsidiaries have not received written notice of any revocation or modification of any such Permit and do not have any reason to believe that any such Permit will not be renewed in the ordinary course, except in each case as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left="4" w:hanging="4"/>
        <w:spacing w:after="0" w:line="238" w:lineRule="auto"/>
        <w:tabs>
          <w:tab w:leader="none" w:pos="46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disclosed in the Prospectus Supplement or that would not result in a Material Adverse Effect, neither the Company nor any of its subsidiaries is (i)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owns or operates any real property contaminated with any substance that is subject to any Environmental Laws, (iii) is liable for any off-site disposal or contamination pursuant to any Environmental Laws, or (iv) is subject to any claim relating to any Environmental Laws.</w:t>
      </w:r>
    </w:p>
    <w:p>
      <w:pPr>
        <w:spacing w:after="0" w:line="185" w:lineRule="exact"/>
        <w:rPr>
          <w:rFonts w:ascii="Times New Roman" w:cs="Times New Roman" w:eastAsia="Times New Roman" w:hAnsi="Times New Roman"/>
          <w:sz w:val="18"/>
          <w:szCs w:val="18"/>
          <w:color w:val="auto"/>
        </w:rPr>
      </w:pPr>
    </w:p>
    <w:p>
      <w:pPr>
        <w:jc w:val="both"/>
        <w:ind w:left="4" w:hanging="4"/>
        <w:spacing w:after="0"/>
        <w:tabs>
          <w:tab w:leader="none" w:pos="3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Assets</w:t>
      </w:r>
      <w:r>
        <w:rPr>
          <w:rFonts w:ascii="Times New Roman" w:cs="Times New Roman" w:eastAsia="Times New Roman" w:hAnsi="Times New Roman"/>
          <w:sz w:val="18"/>
          <w:szCs w:val="18"/>
          <w:color w:val="auto"/>
        </w:rPr>
        <w:t>. The Company and its subsidiaries have good and marketable title to all property (whether real or personal) described in the Registration Statement and the Prospectus Supplement as being owned by them which is material to the Company and its subsidiaries taken as a whole, in each case free and clear of all liens, claims, security interests, other encumbrances or defects except such as are described in the Registration Statement and the Prospectus Supplement or as would not, individually or in the aggregate, be reasonably expected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84" w:lineRule="exact"/>
        <w:rPr>
          <w:rFonts w:ascii="Times New Roman" w:cs="Times New Roman" w:eastAsia="Times New Roman" w:hAnsi="Times New Roman"/>
          <w:sz w:val="18"/>
          <w:szCs w:val="18"/>
          <w:color w:val="auto"/>
        </w:rPr>
      </w:pPr>
    </w:p>
    <w:p>
      <w:pPr>
        <w:jc w:val="both"/>
        <w:ind w:left="4" w:hanging="4"/>
        <w:spacing w:after="0" w:line="235" w:lineRule="auto"/>
        <w:tabs>
          <w:tab w:leader="none" w:pos="5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each of its subsidiaries owns, possesses, or can acquire on reasonable terms, all Intellectual Property (as defined below) necessary for the conduct of the Company’s and it subsidiaries’ business as now conducted or as described in the Registration Statement and the Prospectus Supplement to be conducted, except as such failure to own, possess, or acquire such rights would not reasonably be expected to result in a Material Adverse Effect. Furthermore, except as described in the Registration Statement and the Prospectus Supplement, (A) to the knowledge of the Company, there is no infringement, misappropriation or violation by third parties of any such Intellectual Property, except as such infringement, misappropriation or violation would not result in a Material Adverse Effect; (B) there is no pending or, to the knowledge of the Company, threatened, action, suit, proceeding or claim by others challenging the Company’s or any of its subsidiaries’ rights in or to any such Intellectual Property, and the Company is unaware of any material objective facts which would form a reasonable basis for any such claim, except as such action, suit, proceeding or claim would not reasonably be expected to result in a Material Adverse Effect; (C) the Intellectual Property owned by the Company and its subsidiaries, and to the knowledge of the Company, the Intellectual Property licensed to the Company and its subsidiaries, has not been adjudged invalid or unenforceable, in whole or in part, except as such adjudgment would not result in a Material Adverse Effect, and there is no pending or, to the knowledge of the Company, threatened action, suit, proceeding or claim by others challenging the validity or scope of any such Intellectual Property, except as such action, suit, proceeding or claim would not reasonably be expected to result in a Material Adverse Effect;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except as such action, suit, proceeding or claim would not reasonably be expected to result in a Material Adverse Effect;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976" w:top="1440" w:right="339" w:bottom="1440" w:gutter="0" w:footer="0" w:header="0"/>
        </w:sectPr>
      </w:pPr>
    </w:p>
    <w:bookmarkStart w:id="62" w:name="page63"/>
    <w:bookmarkEnd w:id="62"/>
    <w:p>
      <w:pPr>
        <w:spacing w:after="0" w:line="140" w:lineRule="exact"/>
        <w:rPr>
          <w:sz w:val="20"/>
          <w:szCs w:val="20"/>
          <w:color w:val="auto"/>
        </w:rPr>
      </w:pPr>
    </w:p>
    <w:p>
      <w:pPr>
        <w:jc w:val="both"/>
        <w:ind w:left="45"/>
        <w:spacing w:after="0" w:line="242" w:lineRule="auto"/>
        <w:rPr>
          <w:sz w:val="20"/>
          <w:szCs w:val="20"/>
          <w:color w:val="auto"/>
        </w:rPr>
      </w:pPr>
      <w:r>
        <w:rPr>
          <w:rFonts w:ascii="Times New Roman" w:cs="Times New Roman" w:eastAsia="Times New Roman" w:hAnsi="Times New Roman"/>
          <w:sz w:val="18"/>
          <w:szCs w:val="18"/>
          <w:color w:val="auto"/>
        </w:rPr>
        <w:t>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patents, patent applications, trademarks, trademark registrations, service marks, service mark registrations, trade names, copyrights, copyright registrations, licenses, inventions, trade secrets, Internet domain names, Internet domain name registrations, technology, registrations, trade secret rights, know-how and other intellectual property.</w:t>
      </w:r>
    </w:p>
    <w:p>
      <w:pPr>
        <w:spacing w:after="0" w:line="185" w:lineRule="exact"/>
        <w:rPr>
          <w:sz w:val="20"/>
          <w:szCs w:val="20"/>
          <w:color w:val="auto"/>
        </w:rPr>
      </w:pPr>
    </w:p>
    <w:p>
      <w:pPr>
        <w:jc w:val="both"/>
        <w:ind w:left="45" w:hanging="4"/>
        <w:spacing w:after="0" w:line="237" w:lineRule="auto"/>
        <w:tabs>
          <w:tab w:leader="none" w:pos="43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have a Material Adverse Effect, the Company and each of its subsidiaries carries, or is covered by, insurance from insurers of recognized financial responsibility in such amounts and covering such risks as is customary for companies engaged in similar businesses in similar industries; all policies of insurance and any fidelity or surety bonds insuring the Company or any of its subsidiaries or its business, assets, employees, officers and directors are in full force and effect, except as would not have a Material Adverse Effect; the Company and its subsidiaries are in compliance with the terms of such policies and instruments in all material respects;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9" w:lineRule="exact"/>
        <w:rPr>
          <w:rFonts w:ascii="Times New Roman" w:cs="Times New Roman" w:eastAsia="Times New Roman" w:hAnsi="Times New Roman"/>
          <w:sz w:val="18"/>
          <w:szCs w:val="18"/>
          <w:color w:val="auto"/>
        </w:rPr>
      </w:pPr>
    </w:p>
    <w:p>
      <w:pPr>
        <w:jc w:val="both"/>
        <w:ind w:left="45" w:hanging="4"/>
        <w:spacing w:after="0"/>
        <w:tabs>
          <w:tab w:leader="none" w:pos="47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and its subsidiaries maintain a system of internal accounting controls in compliance with the Sarbanes-Oxley Act of 2022. Since the end of the latest audited fiscal year, except as disclosed in the SEC Reports,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84" w:lineRule="exact"/>
        <w:rPr>
          <w:rFonts w:ascii="Times New Roman" w:cs="Times New Roman" w:eastAsia="Times New Roman" w:hAnsi="Times New Roman"/>
          <w:sz w:val="18"/>
          <w:szCs w:val="18"/>
          <w:color w:val="auto"/>
        </w:rPr>
      </w:pPr>
    </w:p>
    <w:p>
      <w:pPr>
        <w:jc w:val="both"/>
        <w:ind w:left="45" w:hanging="4"/>
        <w:spacing w:after="0" w:line="242" w:lineRule="auto"/>
        <w:tabs>
          <w:tab w:leader="none" w:pos="46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Other than for Persons engaged by any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1" w:lineRule="exact"/>
        <w:rPr>
          <w:rFonts w:ascii="Times New Roman" w:cs="Times New Roman" w:eastAsia="Times New Roman" w:hAnsi="Times New Roman"/>
          <w:sz w:val="18"/>
          <w:szCs w:val="18"/>
          <w:color w:val="auto"/>
        </w:rPr>
      </w:pPr>
    </w:p>
    <w:p>
      <w:pPr>
        <w:ind w:left="5" w:hanging="5"/>
        <w:spacing w:after="0" w:line="266" w:lineRule="auto"/>
        <w:tabs>
          <w:tab w:leader="none" w:pos="39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required to register as an “investment company” within the meaning of the Investment Company Act of 1940, as amended.</w:t>
      </w:r>
    </w:p>
    <w:p>
      <w:pPr>
        <w:spacing w:after="0" w:line="135" w:lineRule="exact"/>
        <w:rPr>
          <w:rFonts w:ascii="Times New Roman" w:cs="Times New Roman" w:eastAsia="Times New Roman" w:hAnsi="Times New Roman"/>
          <w:sz w:val="18"/>
          <w:szCs w:val="18"/>
          <w:color w:val="auto"/>
        </w:rPr>
      </w:pPr>
    </w:p>
    <w:p>
      <w:pPr>
        <w:jc w:val="both"/>
        <w:ind w:left="45" w:hanging="4"/>
        <w:spacing w:after="0" w:line="237" w:lineRule="auto"/>
        <w:tabs>
          <w:tab w:leader="none" w:pos="44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2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25"/>
          </w:cols>
          <w:pgMar w:left="935" w:top="1440" w:right="339" w:bottom="1440" w:gutter="0" w:footer="0" w:header="0"/>
        </w:sectPr>
      </w:pPr>
    </w:p>
    <w:bookmarkStart w:id="63" w:name="page64"/>
    <w:bookmarkEnd w:id="63"/>
    <w:p>
      <w:pPr>
        <w:spacing w:after="0" w:line="140" w:lineRule="exact"/>
        <w:rPr>
          <w:sz w:val="20"/>
          <w:szCs w:val="20"/>
          <w:color w:val="auto"/>
        </w:rPr>
      </w:pPr>
    </w:p>
    <w:p>
      <w:pPr>
        <w:jc w:val="both"/>
        <w:ind w:left="45" w:hanging="4"/>
        <w:spacing w:after="0"/>
        <w:tabs>
          <w:tab w:leader="none" w:pos="48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(A) have timely filed all federal, state, local and foreign income and franchise tax returns required to be filed and (B) are not in default in the payment of any taxes which were payable pursuant to said returns or any assessments with respect thereto, other than any which the Company or any of its subsidiaries is contesting in good faith; except those, in each of the cases described in clauses (A) and (B) of this paragraph (x), that would not, singularly or in the aggregate, reasonably be expected to have a Material Adverse Effect. There is no pending material dispute with any taxing authority relating to any of such returns, and the Company has no knowledge of any proposed material liability for any tax to be imposed upon the properties or assets of the Company for which there is not an adequate reserve reflected in the Company’s financial statements included in the Registration Statement and the Prospectus Supplement.</w:t>
      </w:r>
    </w:p>
    <w:p>
      <w:pPr>
        <w:spacing w:after="0" w:line="238" w:lineRule="exact"/>
        <w:rPr>
          <w:rFonts w:ascii="Times New Roman" w:cs="Times New Roman" w:eastAsia="Times New Roman" w:hAnsi="Times New Roman"/>
          <w:sz w:val="18"/>
          <w:szCs w:val="18"/>
          <w:color w:val="auto"/>
        </w:rPr>
      </w:pPr>
    </w:p>
    <w:p>
      <w:pPr>
        <w:jc w:val="both"/>
        <w:ind w:left="45" w:hanging="4"/>
        <w:spacing w:after="0" w:line="237" w:lineRule="auto"/>
        <w:tabs>
          <w:tab w:leader="none" w:pos="40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Purchaser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each Purchaser or any of its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41" w:lineRule="exact"/>
        <w:rPr>
          <w:rFonts w:ascii="Times New Roman" w:cs="Times New Roman" w:eastAsia="Times New Roman" w:hAnsi="Times New Roman"/>
          <w:sz w:val="18"/>
          <w:szCs w:val="18"/>
          <w:color w:val="auto"/>
        </w:rPr>
      </w:pPr>
    </w:p>
    <w:p>
      <w:pPr>
        <w:jc w:val="both"/>
        <w:ind w:left="5" w:hanging="5"/>
        <w:spacing w:after="0"/>
        <w:tabs>
          <w:tab w:leader="none" w:pos="4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Each of the Company and its subsidiaries and, to the Company’s knowledge, its affiliates and any of their respective officers, directors, or employees, each in their respective roles with the Company, has not violated, and the Company has instituted and maintains policies and procedures designed to ensure continued compliance in all material respects with, each of the following laws: applicable anti-bribery laws, including but not limited to any applicable law, rule, or regulation promulgated to implement the OECD Convention on Combating Bribery of Foreign Public Officials in International Business Transactions, signed December 17, 1997, including the U.S. Foreign Corrupt Practices Act of 1977 (the “FCPA”), as amended, the U.K. Bribery Act 2010 (to the extent applicable), or any other applicable law, rule or regulation of similar purposes and scope.</w:t>
      </w:r>
    </w:p>
    <w:p>
      <w:pPr>
        <w:spacing w:after="0" w:line="238" w:lineRule="exact"/>
        <w:rPr>
          <w:rFonts w:ascii="Times New Roman" w:cs="Times New Roman" w:eastAsia="Times New Roman" w:hAnsi="Times New Roman"/>
          <w:sz w:val="18"/>
          <w:szCs w:val="18"/>
          <w:color w:val="auto"/>
        </w:rPr>
      </w:pPr>
    </w:p>
    <w:p>
      <w:pPr>
        <w:jc w:val="both"/>
        <w:ind w:left="45" w:hanging="4"/>
        <w:spacing w:after="0" w:line="236" w:lineRule="auto"/>
        <w:tabs>
          <w:tab w:leader="none" w:pos="46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4.10 hereof), it is understood and acknowledged by the Company that: (i) each Purchaser has not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if any, to which each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each Purchaser may engage in hedging activities at various times during the period that the Securities are outstanding, and (z) such hedging activities (if any) would reduce the value of the existing stockholders’ equity interests in the Company at and after the time that the hedging activities are being conducted. The Company acknowledges that such aforementioned hedging activities, if otherwise conducted in compliance with Sections 3.2(f) and 4.10 hereof, do not constitute a breach of any of the Transaction Documents.</w:t>
      </w:r>
    </w:p>
    <w:p>
      <w:pPr>
        <w:spacing w:after="0" w:line="243" w:lineRule="exact"/>
        <w:rPr>
          <w:rFonts w:ascii="Times New Roman" w:cs="Times New Roman" w:eastAsia="Times New Roman" w:hAnsi="Times New Roman"/>
          <w:sz w:val="18"/>
          <w:szCs w:val="18"/>
          <w:color w:val="auto"/>
        </w:rPr>
      </w:pPr>
    </w:p>
    <w:p>
      <w:pPr>
        <w:jc w:val="both"/>
        <w:ind w:left="45" w:hanging="4"/>
        <w:spacing w:after="0"/>
        <w:tabs>
          <w:tab w:leader="none" w:pos="48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2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5"/>
          </w:cols>
          <w:pgMar w:left="935" w:top="1440" w:right="339" w:bottom="1440" w:gutter="0" w:footer="0" w:header="0"/>
        </w:sectPr>
      </w:pPr>
    </w:p>
    <w:bookmarkStart w:id="64" w:name="page65"/>
    <w:bookmarkEnd w:id="64"/>
    <w:p>
      <w:pPr>
        <w:spacing w:after="0" w:line="140"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any other securities of the Company, other than, in the case of clauses (ii) and (iii), compensation paid to the Company’s Placement Agent in connection with the placement of the Securities.</w:t>
      </w:r>
    </w:p>
    <w:p>
      <w:pPr>
        <w:spacing w:after="0" w:line="216" w:lineRule="exact"/>
        <w:rPr>
          <w:sz w:val="20"/>
          <w:szCs w:val="20"/>
          <w:color w:val="auto"/>
        </w:rPr>
      </w:pPr>
    </w:p>
    <w:p>
      <w:pPr>
        <w:jc w:val="both"/>
        <w:ind w:left="660" w:hanging="4"/>
        <w:spacing w:after="0" w:line="236" w:lineRule="auto"/>
        <w:tabs>
          <w:tab w:leader="none" w:pos="107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have a Material Adverse Effect, (i)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to the protection of such IT Systems and Data from unauthorized use, access, misappropriation or modification, (ii) the Company and the Subsidiaries have implemented and maintained commercially reasonable safeguards to maintain and protect its material confidential information and the integrity, continuous operation, redundancy and security of all IT Systems and Data, and (iii) the Company and the Subsidiaries have implemented backup and disaster recovery technology consistent with commercially reasonable industry standards and practices.</w:t>
      </w:r>
    </w:p>
    <w:p>
      <w:pPr>
        <w:spacing w:after="0" w:line="246"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107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Except as described in the Registration Statement and the Prospectus Supplement, since September 30, 2023, there are no options, warrants, restricted stock units, agreements, contracts or other rights in existence to purchase or acquire from the Company or any subsidiary of the Company any shares of the capital stock of the Company or any subsidiary of the Company.</w:t>
      </w:r>
    </w:p>
    <w:p>
      <w:pPr>
        <w:spacing w:after="0" w:line="230"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109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jc w:val="both"/>
        <w:ind w:left="660" w:hanging="4"/>
        <w:spacing w:after="0" w:line="245" w:lineRule="auto"/>
        <w:tabs>
          <w:tab w:leader="none" w:pos="122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its subsidiaries are and have been conducted in compliance with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w:t>
      </w:r>
    </w:p>
    <w:p>
      <w:pPr>
        <w:spacing w:after="0" w:line="234" w:lineRule="exact"/>
        <w:rPr>
          <w:rFonts w:ascii="Times New Roman" w:cs="Times New Roman" w:eastAsia="Times New Roman" w:hAnsi="Times New Roman"/>
          <w:sz w:val="18"/>
          <w:szCs w:val="18"/>
          <w:color w:val="auto"/>
        </w:rPr>
      </w:pPr>
    </w:p>
    <w:p>
      <w:pPr>
        <w:jc w:val="both"/>
        <w:ind w:left="660" w:hanging="4"/>
        <w:spacing w:after="0" w:line="238"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 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Securities and the Purchaser’s ownership of the Securities.</w:t>
      </w:r>
    </w:p>
    <w:p>
      <w:pPr>
        <w:spacing w:after="0" w:line="239" w:lineRule="exact"/>
        <w:rPr>
          <w:rFonts w:ascii="Times New Roman" w:cs="Times New Roman" w:eastAsia="Times New Roman" w:hAnsi="Times New Roman"/>
          <w:sz w:val="18"/>
          <w:szCs w:val="18"/>
          <w:color w:val="auto"/>
        </w:rPr>
      </w:pPr>
    </w:p>
    <w:p>
      <w:pPr>
        <w:jc w:val="both"/>
        <w:ind w:left="660" w:hanging="4"/>
        <w:spacing w:after="0" w:line="241" w:lineRule="auto"/>
        <w:tabs>
          <w:tab w:leader="none" w:pos="1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will not otherwise be disclosed pursuant to Section 4.3 in the press release. The Company understands and confirms that the Purchasers will rely on the foregoing representation in effecting transactions in securities of the Company. The Company acknowledges and believes, to its best knowledge, that no Purchaser makes or has made any representations or warranties with respect to the transactions contemplated hereby other than those specifically set forth in Section 3.2 hereof.</w:t>
      </w:r>
    </w:p>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5" w:name="page66"/>
    <w:bookmarkEnd w:id="65"/>
    <w:p>
      <w:pPr>
        <w:jc w:val="both"/>
        <w:ind w:left="4" w:hanging="4"/>
        <w:spacing w:after="0" w:line="236" w:lineRule="auto"/>
        <w:tabs>
          <w:tab w:leader="none" w:pos="4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the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 w:hanging="4"/>
        <w:spacing w:after="0"/>
        <w:tabs>
          <w:tab w:leader="none" w:pos="3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hereunder in the ordinary course of its business. Each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84" w:lineRule="exact"/>
        <w:rPr>
          <w:rFonts w:ascii="Times New Roman" w:cs="Times New Roman" w:eastAsia="Times New Roman" w:hAnsi="Times New Roman"/>
          <w:sz w:val="18"/>
          <w:szCs w:val="18"/>
          <w:color w:val="auto"/>
        </w:rPr>
      </w:pPr>
    </w:p>
    <w:p>
      <w:pPr>
        <w:jc w:val="both"/>
        <w:ind w:left="4" w:hanging="4"/>
        <w:spacing w:after="0"/>
        <w:tabs>
          <w:tab w:leader="none" w:pos="41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(1) either: (i) an “accredited investor” as defined in Rule 501(a)(1), (a)(2), (a)(3), (a)(7), (a)(8), (a)(9), (a)(12) or (a)(13) under the Securities Act, or (ii) a “qualified institutional buyer” as defined in Rule 144A(a) under the Securities Act; and (2) an “institutional account” as defined in FINRA Rule 4512(c).</w:t>
      </w:r>
    </w:p>
    <w:p>
      <w:pPr>
        <w:spacing w:after="0" w:line="184" w:lineRule="exact"/>
        <w:rPr>
          <w:rFonts w:ascii="Times New Roman" w:cs="Times New Roman" w:eastAsia="Times New Roman" w:hAnsi="Times New Roman"/>
          <w:sz w:val="18"/>
          <w:szCs w:val="18"/>
          <w:color w:val="auto"/>
        </w:rPr>
      </w:pPr>
    </w:p>
    <w:p>
      <w:pPr>
        <w:jc w:val="both"/>
        <w:ind w:left="4" w:hanging="4"/>
        <w:spacing w:after="0" w:line="245" w:lineRule="auto"/>
        <w:tabs>
          <w:tab w:leader="none" w:pos="4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rFonts w:ascii="Times New Roman" w:cs="Times New Roman" w:eastAsia="Times New Roman" w:hAnsi="Times New Roman"/>
          <w:sz w:val="18"/>
          <w:szCs w:val="18"/>
          <w:color w:val="auto"/>
        </w:rPr>
      </w:pPr>
    </w:p>
    <w:p>
      <w:pPr>
        <w:jc w:val="both"/>
        <w:ind w:left="4" w:hanging="4"/>
        <w:spacing w:after="0" w:line="236" w:lineRule="auto"/>
        <w:tabs>
          <w:tab w:leader="none" w:pos="45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SEC Reports, the Registration Statement and the Prospectus Supplement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have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has not provided any advice or recommendation in connection with the execution, delivery and performance of this Agreement and the purchase of the Securities.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4"/>
          </w:cols>
          <w:pgMar w:left="976" w:top="1404" w:right="339" w:bottom="1440" w:gutter="0" w:footer="0" w:header="0"/>
        </w:sectPr>
      </w:pPr>
    </w:p>
    <w:bookmarkStart w:id="66" w:name="page67"/>
    <w:bookmarkEnd w:id="66"/>
    <w:p>
      <w:pPr>
        <w:jc w:val="both"/>
        <w:ind w:left="660" w:hanging="4"/>
        <w:spacing w:after="0" w:line="23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8" w:lineRule="exact"/>
        <w:rPr>
          <w:rFonts w:ascii="Times New Roman" w:cs="Times New Roman" w:eastAsia="Times New Roman" w:hAnsi="Times New Roman"/>
          <w:sz w:val="18"/>
          <w:szCs w:val="18"/>
          <w:color w:val="auto"/>
        </w:rPr>
      </w:pPr>
    </w:p>
    <w:p>
      <w:pPr>
        <w:jc w:val="both"/>
        <w:ind w:left="620" w:right="20" w:hanging="5"/>
        <w:spacing w:after="0" w:line="250" w:lineRule="auto"/>
        <w:tabs>
          <w:tab w:leader="none" w:pos="102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rFonts w:ascii="Times New Roman" w:cs="Times New Roman" w:eastAsia="Times New Roman" w:hAnsi="Times New Roman"/>
          <w:sz w:val="18"/>
          <w:szCs w:val="18"/>
          <w:color w:val="auto"/>
        </w:rPr>
      </w:pPr>
    </w:p>
    <w:p>
      <w:pPr>
        <w:jc w:val="both"/>
        <w:ind w:left="620" w:hanging="5"/>
        <w:spacing w:after="0"/>
        <w:tabs>
          <w:tab w:leader="none" w:pos="107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Advice</w:t>
      </w:r>
      <w:r>
        <w:rPr>
          <w:rFonts w:ascii="Times New Roman" w:cs="Times New Roman" w:eastAsia="Times New Roman" w:hAnsi="Times New Roman"/>
          <w:sz w:val="18"/>
          <w:szCs w:val="18"/>
          <w:color w:val="auto"/>
        </w:rPr>
        <w:t>. Such Purchaser understands that nothing in this Agreement or any other materials presented by or on behalf of the Company to such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w:t>
      </w:r>
    </w:p>
    <w:p>
      <w:pPr>
        <w:spacing w:after="0" w:line="185" w:lineRule="exact"/>
        <w:rPr>
          <w:sz w:val="20"/>
          <w:szCs w:val="20"/>
          <w:color w:val="auto"/>
        </w:rPr>
      </w:pPr>
    </w:p>
    <w:p>
      <w:pPr>
        <w:jc w:val="both"/>
        <w:ind w:firstLine="583"/>
        <w:spacing w:after="0" w:line="24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spacing w:after="0" w:line="1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ARTICLE IV.</w:t>
      </w:r>
    </w:p>
    <w:p>
      <w:pPr>
        <w:jc w:val="center"/>
        <w:ind w:left="58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 Furnishing of Information</w:t>
      </w:r>
      <w:r>
        <w:rPr>
          <w:rFonts w:ascii="Times New Roman" w:cs="Times New Roman" w:eastAsia="Times New Roman" w:hAnsi="Times New Roman"/>
          <w:sz w:val="18"/>
          <w:szCs w:val="18"/>
          <w:color w:val="auto"/>
        </w:rPr>
        <w:t>. The Shares, the Warrants and, if all or any portion of a Warrant is exercised at a time when there is an effective registration statement to cover the issuance or resale of the Warrant Shares or if the Warrant is exercised via cashless exercise or alternative cashless exercise, the Warrant Shares shall be issued free of legends. If at any time following the date hereof the Registration Statement is not effective or is not otherwise available for the sale of the shares of Common Stock, the Warrants or the Warrant Shares, the Company shall promptly notify the holders of the Warrants in writing that such registration statement is not then effective and thereafter shall promptly notify such holders when the registration statement is effective again and available for the sale of the Shares, the Warrants or the Warrant Shares (it being understood and agreed that the foregoing shall not limit the ability of the Company to issue, or any Purchaser to sell, any of the Shares, the Warrants or the Warrant Shares in compliance with applicable federal and state securities laws). The Company shall use reasonable best efforts to keep a registration statement (including the Registration Statement) registering the issuance of the Warrant Shares effective during the term of the Warrants. Until the earlier of the time that (i) no Purchaser owns Securities, (ii) the Common Warrants have expired or (iii) the Purchasers may sell their Shares and Warrant Shares pursuant to Rule 144 of the Securities Act, the Company covenants to use commercially reasonable effort to timely file (or obtain extensions in respect thereof and file within the applicable grace period) all reports required to be filed by the Company after the date hereof pursuant to the Exchange Act even if the Company is not then subject to the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4"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of the Exchange Act, except in the event of a merger or acquisition transaction approved by the Board of Directors that results in the Company not being subject to such reporting requirements.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Other than the Concurrent Placement,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other than the Stockholder Approval.</w:t>
      </w:r>
    </w:p>
    <w:p>
      <w:pPr>
        <w:spacing w:after="0" w:line="2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by the Disclosure Time, issue a press release disclosing the material terms of the transactions contemplated hereby, and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The Company covenants and agrees that neither it, nor any other Person acting on its behalf will provide each Purchaser or its agents or counsel with any information that the Company reasonably believes constitutes material non-public information, unless prior thereto each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In addition, effective upon the date of such filing, the Company acknowledges and agrees that any and all confidentiality or similar obligations under any agreement, whether written or oral, between the Company, any of its subsidiaries or any of their respective officers, directors, employees or Affiliates or agents, including, without limitation, the Placement Agent, on the one hand, and any of the Purchasers or any of their Affiliates on the other hand, shall terminate and be of no further force or effect.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(other than the press release described in the first sentence of this Section 4.4), which consent shall not unreasonably be withheld or delayed, except if such disclosure is required by law, in which case the disclosing party shall promptly provide the other party with prior notice of such public statement or communication, or if such disclosure is consistent with the Form 8-K. The Company shall not publicly disclose the name of the Purchaser, or include the name of each Purchaser in any press release or filing with the Commission or any regulatory agency or Trading Market, without the prior written consent of the Purchaser, except (a) as required by federal securities law in connection with the filing of final Transaction Documents with the Commission and (b) to the extent such disclosure is required by law or Trading Market regulations, in which case the Company shall provide each Purchaser with prior notice of such disclosure permitted under this clause (b).</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other general corporate purposes but shall not use such proceeds: (a) for the redemption of any Common Stock or Common Stock Equivalents or (b) in violation of FCPA or OFAC regulations.</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Indemnification of the Purchaser</w:t>
      </w:r>
      <w:r>
        <w:rPr>
          <w:rFonts w:ascii="Times New Roman" w:cs="Times New Roman" w:eastAsia="Times New Roman" w:hAnsi="Times New Roman"/>
          <w:sz w:val="18"/>
          <w:szCs w:val="18"/>
          <w:color w:val="auto"/>
        </w:rPr>
        <w:t>. Subject to the provisions of this Section 4.5, the Company will indemnify and hold each Purchaser and its directors, officers, shareholders, members, partners, employees, agents and Affiliates (and any other Persons with a functionally equivalent role of a Person holding such titles notwithstanding a lack of such title or any other title), each Person who controls each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and documented out-of-pocket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04" w:right="339" w:bottom="1440" w:gutter="0" w:footer="0" w:header="0"/>
        </w:sectPr>
      </w:pPr>
    </w:p>
    <w:bookmarkStart w:id="68" w:name="page69"/>
    <w:bookmarkEnd w:id="68"/>
    <w:p>
      <w:pPr>
        <w:jc w:val="both"/>
        <w:spacing w:after="0" w:line="235" w:lineRule="auto"/>
        <w:rPr>
          <w:sz w:val="20"/>
          <w:szCs w:val="20"/>
          <w:color w:val="auto"/>
        </w:rPr>
      </w:pPr>
      <w:r>
        <w:rPr>
          <w:rFonts w:ascii="Times New Roman" w:cs="Times New Roman" w:eastAsia="Times New Roman" w:hAnsi="Times New Roman"/>
          <w:sz w:val="18"/>
          <w:szCs w:val="18"/>
          <w:color w:val="auto"/>
        </w:rPr>
        <w:t>any capacity (including a Purchaser Party’s status as an investor), or any of them or their respective Affiliates, by the Company or any stockholder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to the applicable Purchaser Party,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4.5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each Purchaser was not entitled to receive such payments, each Purchaser shall promptly (but in no event later than five</w:t>
      </w:r>
    </w:p>
    <w:p>
      <w:pPr>
        <w:spacing w:after="0" w:line="3" w:lineRule="exact"/>
        <w:rPr>
          <w:sz w:val="20"/>
          <w:szCs w:val="20"/>
          <w:color w:val="auto"/>
        </w:rPr>
      </w:pPr>
    </w:p>
    <w:p>
      <w:pPr>
        <w:ind w:firstLine="8"/>
        <w:spacing w:after="0" w:line="233" w:lineRule="auto"/>
        <w:tabs>
          <w:tab w:leader="none" w:pos="2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2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Prior to or in connection with the Closing, the Company will reserve and the Company shall continue to reserve and keep available at all times, free of preemptive rights, a sufficient number of shares of Common Stock for the purpose of enabling the Company to issue Shares pursuant to this Agreement and the Warrant Shares pursuant to any exercise of the Warrants.</w:t>
      </w:r>
    </w:p>
    <w:p>
      <w:pPr>
        <w:spacing w:after="0" w:line="23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Concurrently with the Closing, the Company shall apply to list or quote all of the Shares and Warrant Shares on such Trading Market and promptly secure the listing of all of the Shares and Warrant Shares on such Trading Market, subject to the Company obtaining Stockholder Approval (solely with respect to the Warrant Shares relating to the alternative cashless exercise option in the Class 2 Warrants and certain of the Securities issuable to ICE in the Concurrent Placement).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For so long as the Company maintains a listing or quotation of the Common Stock on a Trading Market, and the Company agrees to comply in all material respects with the Company’s reporting, filing and other obligations under the bylaws or rules of the Trading Market, and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ind w:left="660" w:hanging="4"/>
        <w:spacing w:after="0" w:line="250" w:lineRule="auto"/>
        <w:tabs>
          <w:tab w:leader="none" w:pos="10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hundred and twenty (120) days after the Closing Date, neither the Company nor any Subsidiary shall (i) issue, enter into any agreement to issue or announce the issuance or proposed issuance of any shares of Common Stock or Common Stock Equivalents (each, a “</w:t>
      </w:r>
      <w:r>
        <w:rPr>
          <w:rFonts w:ascii="Times New Roman" w:cs="Times New Roman" w:eastAsia="Times New Roman" w:hAnsi="Times New Roman"/>
          <w:sz w:val="18"/>
          <w:szCs w:val="18"/>
          <w:u w:val="single" w:color="auto"/>
          <w:color w:val="auto"/>
        </w:rPr>
        <w:t>Subsequent Placement</w:t>
      </w:r>
      <w:r>
        <w:rPr>
          <w:rFonts w:ascii="Times New Roman" w:cs="Times New Roman" w:eastAsia="Times New Roman" w:hAnsi="Times New Roman"/>
          <w:sz w:val="18"/>
          <w:szCs w:val="18"/>
          <w:color w:val="auto"/>
        </w:rPr>
        <w:t>”), or (ii) file any registration statement or amendment or supplement thereto,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04" w:right="339" w:bottom="1440" w:gutter="0" w:footer="0" w:header="0"/>
        </w:sectPr>
      </w:pPr>
    </w:p>
    <w:bookmarkStart w:id="69" w:name="page70"/>
    <w:bookmarkEnd w:id="69"/>
    <w:p>
      <w:pPr>
        <w:ind w:left="660" w:right="20"/>
        <w:spacing w:after="0" w:line="266" w:lineRule="auto"/>
        <w:rPr>
          <w:sz w:val="20"/>
          <w:szCs w:val="20"/>
          <w:color w:val="auto"/>
        </w:rPr>
      </w:pPr>
      <w:r>
        <w:rPr>
          <w:rFonts w:ascii="Times New Roman" w:cs="Times New Roman" w:eastAsia="Times New Roman" w:hAnsi="Times New Roman"/>
          <w:sz w:val="18"/>
          <w:szCs w:val="18"/>
          <w:color w:val="auto"/>
        </w:rPr>
        <w:t>Prospectus Supplement, filing a registration statement on Form S-8 in connection with any employee benefit plan, or filing a registration statement on Form S-4 in connection with any acquisition.</w:t>
      </w:r>
    </w:p>
    <w:p>
      <w:pPr>
        <w:spacing w:after="0" w:line="189" w:lineRule="exact"/>
        <w:rPr>
          <w:sz w:val="20"/>
          <w:szCs w:val="20"/>
          <w:color w:val="auto"/>
        </w:rPr>
      </w:pPr>
    </w:p>
    <w:p>
      <w:pPr>
        <w:jc w:val="both"/>
        <w:ind w:left="660" w:hanging="4"/>
        <w:spacing w:after="0" w:line="236" w:lineRule="auto"/>
        <w:tabs>
          <w:tab w:leader="none" w:pos="113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eighteen (18) month anniversary of the Closing Date, the Company shall be prohibited from effecting or entering into an agreement to effect any issuance by the Company or any of its subsidiaries of shares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shares of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spacing w:after="0" w:line="217" w:lineRule="exact"/>
        <w:rPr>
          <w:rFonts w:ascii="Times New Roman" w:cs="Times New Roman" w:eastAsia="Times New Roman" w:hAnsi="Times New Roman"/>
          <w:sz w:val="18"/>
          <w:szCs w:val="18"/>
          <w:color w:val="auto"/>
        </w:rPr>
      </w:pPr>
    </w:p>
    <w:p>
      <w:pPr>
        <w:ind w:left="660" w:right="20" w:hanging="4"/>
        <w:spacing w:after="0" w:line="266" w:lineRule="auto"/>
        <w:tabs>
          <w:tab w:leader="none" w:pos="10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4.8 shall not apply in respect of, nor shall the definition of Subsequent Placement be deemed to include, an Exempt Issuance.</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Except as contemplated by this Agreement,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disclosed by the Company pursuant to Section 4.3. Each Purchaser, severally and not jointly with the other Purchasers, covenants that until such time as the transactions contemplated by this Agreement are publicly disclosed by the Company as described in Section 4.3,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disclosed by the Company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disclosed by the Company as described in Section 4.3, and (iii) no Purchaser shall have any duty of confidentiality or duty not to trade in the securities of the Company to the Company or its Subsidiaries or any of their respective officers, directors, employees, Affiliates or agents after the public disclosure by the Company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04" w:right="339" w:bottom="1440" w:gutter="0" w:footer="0" w:header="0"/>
        </w:sectPr>
      </w:pPr>
    </w:p>
    <w:bookmarkStart w:id="70" w:name="page71"/>
    <w:bookmarkEnd w:id="70"/>
    <w:p>
      <w:pPr>
        <w:jc w:val="both"/>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(or any successor lock-up agreements signed by transferees of the initial parties to the Lock-Up Agreements), except to extend the term of the lock-up period and shall enforce the provisions of each Lock-Up Agreement (or any successor lock-up agreements signed by transferees of the initial parties to the Lock-Up Agreements) in accordance with its terms. If any party to a Lock-Up Agreement (or any successor lock-up agreements signed by transferees of the initial parties to the Lock-Up Agreements) breaches any provision of a Lock-Up Agreement (or any successor lock-up agreements signed by transferees of the initial parties to the Lock-Up Agreements), the Company shall promptly use its reasonable efforts to seek specific performance of the terms of such agreement.</w:t>
      </w:r>
    </w:p>
    <w:p>
      <w:pPr>
        <w:spacing w:after="0" w:line="1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Within sixty (60) calendar days after the Closing Date, the Company shall use commercially reasonable efforts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definitive proxy statement, at the expense of the Company, for a meeting (special or otherwise) of holders of Common Stock (the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to be held within ninety (90) calendar days after the Closing Date, soliciting each such stockholder’s affirmative vote at the Stockholder Meeting for approval of resolutions providing for the Company’s issuance of Common Stock (including, to the maximum extent allowable under the rules and regulations of the Trading Market, the Warrant Shares) in accordance with applicable law and the rules and regulations of the Trading Market without giving effect to any limitation on the exercise of the Warrants and the Common Stock to be issued or that may be issuable under the purchase agreement and the related warrants in the Concurrent Placement (such affirmative approval being referred to herein collectively as the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 the Company shall use commercially reasonable efforts to solicit its stockholders’ approval of such resolutions in connection with the Stockholder Approval.</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From the date hereof until the date that is 18 months after the Closing Date, neither the Company nor any of its subsidiaries shall, directly or indirectly, effect any Subsequent Placement unless the Company shall have first complied with this Section 4.13.</w:t>
      </w:r>
    </w:p>
    <w:p>
      <w:pPr>
        <w:spacing w:after="0" w:line="162" w:lineRule="exact"/>
        <w:rPr>
          <w:sz w:val="20"/>
          <w:szCs w:val="20"/>
          <w:color w:val="auto"/>
        </w:rPr>
      </w:pPr>
    </w:p>
    <w:p>
      <w:pPr>
        <w:jc w:val="both"/>
        <w:ind w:left="660" w:hanging="4"/>
        <w:spacing w:after="0" w:line="235" w:lineRule="auto"/>
        <w:tabs>
          <w:tab w:leader="none" w:pos="10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days prior to any proposed or intended Subsequent Placement, the Company shall deliver to each Purchaser a written notice of its proposal or intention to effect a Subsequent Placement (each such notice, a “</w:t>
      </w:r>
      <w:r>
        <w:rPr>
          <w:rFonts w:ascii="Times New Roman" w:cs="Times New Roman" w:eastAsia="Times New Roman" w:hAnsi="Times New Roman"/>
          <w:sz w:val="18"/>
          <w:szCs w:val="18"/>
          <w:u w:val="single" w:color="auto"/>
          <w:color w:val="auto"/>
        </w:rPr>
        <w:t>Pre-Notice</w:t>
      </w:r>
      <w:r>
        <w:rPr>
          <w:rFonts w:ascii="Times New Roman" w:cs="Times New Roman" w:eastAsia="Times New Roman" w:hAnsi="Times New Roman"/>
          <w:sz w:val="18"/>
          <w:szCs w:val="18"/>
          <w:color w:val="auto"/>
        </w:rPr>
        <w:t>”), which Pre-Notice shall not contain any information (including, without limitation, material, non-public information) other than: (A) if the Company believes that the proposed Offer Notice (as defined below) constitutes or contains material, non-public information, a statement asking whether the Purchaser is willing to accept material non-public information or (B) if the Company believes that the proposed Offer Notice does not constitute or contain material, non-public information, (y) a statement that the Company proposes or intends to effect a Subsequent Placement and (z) a statement informing such Purchaser that it is entitled to receive an Offer Notice (as defined below) with respect to such Subsequent Placement upon its written request. Upon the written request of a Purchaser within one (1) day after the Company’s delivery to such Purchaser of such Pre-Notice, and only upon a written request by such Purchaser, the Company shall promptly deliver to such Purchaser an irrevocable written notice (the “</w:t>
      </w: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 of any proposed or intended issuance or sale or exchange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of the securities being offered (the “</w:t>
      </w:r>
      <w:r>
        <w:rPr>
          <w:rFonts w:ascii="Times New Roman" w:cs="Times New Roman" w:eastAsia="Times New Roman" w:hAnsi="Times New Roman"/>
          <w:sz w:val="18"/>
          <w:szCs w:val="18"/>
          <w:u w:val="single" w:color="auto"/>
          <w:color w:val="auto"/>
        </w:rPr>
        <w:t>Offered Securities</w:t>
      </w:r>
      <w:r>
        <w:rPr>
          <w:rFonts w:ascii="Times New Roman" w:cs="Times New Roman" w:eastAsia="Times New Roman" w:hAnsi="Times New Roman"/>
          <w:sz w:val="18"/>
          <w:szCs w:val="18"/>
          <w:color w:val="auto"/>
        </w:rPr>
        <w:t>”) in a Subsequent Placement, which Offer Notice shall (A) identify and describe the Offered Securities, (B) describe the price and other terms upon which they are to be issued, sold or exchanged, and the number or amount of the Offered Securities to be issued, sold or exchanged, and (C) offer to issue and sell to or exchange with such Purchaser in accordance with the terms of the Offer thirty-five percent (35%) in total of the Offered Securities, provided that the number of Offered Securities which such Purchaser shall have the right to subscribe for under this Section 4.13 shall be (x) based on such Purchaser’s pro rata portion of the aggregate number of shares of Common Stock (including any Pre-Funded Warrants) purchased hereunder by all Purchasers (the “</w:t>
      </w:r>
      <w:r>
        <w:rPr>
          <w:rFonts w:ascii="Times New Roman" w:cs="Times New Roman" w:eastAsia="Times New Roman" w:hAnsi="Times New Roman"/>
          <w:sz w:val="18"/>
          <w:szCs w:val="18"/>
          <w:u w:val="single" w:color="auto"/>
          <w:color w:val="auto"/>
        </w:rPr>
        <w:t>Basic Amount</w:t>
      </w:r>
      <w:r>
        <w:rPr>
          <w:rFonts w:ascii="Times New Roman" w:cs="Times New Roman" w:eastAsia="Times New Roman" w:hAnsi="Times New Roman"/>
          <w:sz w:val="18"/>
          <w:szCs w:val="18"/>
          <w:color w:val="auto"/>
        </w:rPr>
        <w:t>”), and (y) with respect to each Purchaser that elects to purchase its Basic Amount, any additional portion of the Offered Securities attributable to the Basic Amounts of other Purchasers as such Purchaser shall indicate it will purchase or acquire should the</w:t>
      </w:r>
    </w:p>
    <w:p>
      <w:pPr>
        <w:spacing w:after="0" w:line="1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other Purchasers subscribe for less than their Basic Amounts (the “</w:t>
      </w:r>
      <w:r>
        <w:rPr>
          <w:rFonts w:ascii="Times New Roman" w:cs="Times New Roman" w:eastAsia="Times New Roman" w:hAnsi="Times New Roman"/>
          <w:sz w:val="18"/>
          <w:szCs w:val="18"/>
          <w:u w:val="single" w:color="auto"/>
          <w:color w:val="auto"/>
        </w:rPr>
        <w:t>Undersubscription Amount</w:t>
      </w:r>
      <w:r>
        <w:rPr>
          <w:rFonts w:ascii="Times New Roman" w:cs="Times New Roman" w:eastAsia="Times New Roman" w:hAnsi="Times New Roman"/>
          <w:sz w:val="18"/>
          <w:szCs w:val="18"/>
          <w:color w:val="auto"/>
        </w:rPr>
        <w:t>”). The Company shall not be permitted to deliver more than one such Offer Notice to a Purchaser in any sixty (60) day period nor shall the Company be permitted to effect a Subsequent Placement within 18 months of the Closing Date without providing such Purchaser with an Offer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04" w:right="339" w:bottom="1440" w:gutter="0" w:footer="0" w:header="0"/>
        </w:sectPr>
      </w:pPr>
    </w:p>
    <w:bookmarkStart w:id="71" w:name="page72"/>
    <w:bookmarkEnd w:id="71"/>
    <w:p>
      <w:pPr>
        <w:jc w:val="both"/>
        <w:ind w:left="4" w:hanging="4"/>
        <w:spacing w:after="0" w:line="231" w:lineRule="auto"/>
        <w:tabs>
          <w:tab w:leader="none" w:pos="3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an Offer, in whole or in part, such Purchaser must deliver a written notice to the Company prior to the end of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after such Purchaser’s receipt of the Offer Notice (the “</w:t>
      </w:r>
      <w:r>
        <w:rPr>
          <w:rFonts w:ascii="Times New Roman" w:cs="Times New Roman" w:eastAsia="Times New Roman" w:hAnsi="Times New Roman"/>
          <w:sz w:val="18"/>
          <w:szCs w:val="18"/>
          <w:u w:val="single" w:color="auto"/>
          <w:color w:val="auto"/>
        </w:rPr>
        <w:t>Offer Period</w:t>
      </w:r>
      <w:r>
        <w:rPr>
          <w:rFonts w:ascii="Times New Roman" w:cs="Times New Roman" w:eastAsia="Times New Roman" w:hAnsi="Times New Roman"/>
          <w:sz w:val="18"/>
          <w:szCs w:val="18"/>
          <w:color w:val="auto"/>
        </w:rPr>
        <w:t>”), setting forth the portion of such Purchaser’s Basic Amount that such Purchaser elects to purchase and, if such Purchaser shall elect to purchase all of its Basic Amount, the Undersubscription Amount, if any, that such Purchaser elects to purchase (in either case, the “</w:t>
      </w:r>
      <w:r>
        <w:rPr>
          <w:rFonts w:ascii="Times New Roman" w:cs="Times New Roman" w:eastAsia="Times New Roman" w:hAnsi="Times New Roman"/>
          <w:sz w:val="18"/>
          <w:szCs w:val="18"/>
          <w:u w:val="single" w:color="auto"/>
          <w:color w:val="auto"/>
        </w:rPr>
        <w:t>Notice of Acceptance</w:t>
      </w:r>
      <w:r>
        <w:rPr>
          <w:rFonts w:ascii="Times New Roman" w:cs="Times New Roman" w:eastAsia="Times New Roman" w:hAnsi="Times New Roman"/>
          <w:sz w:val="18"/>
          <w:szCs w:val="18"/>
          <w:color w:val="auto"/>
        </w:rPr>
        <w:t>”). If the Basic Amounts subscribed for by all Purchasers are less than the total of all of the Basic Amounts, then each Purchaser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cs="Times New Roman" w:eastAsia="Times New Roman" w:hAnsi="Times New Roman"/>
          <w:sz w:val="18"/>
          <w:szCs w:val="18"/>
          <w:u w:val="single" w:color="auto"/>
          <w:color w:val="auto"/>
        </w:rPr>
        <w:t>Available Undersubscription Amount</w:t>
      </w:r>
      <w:r>
        <w:rPr>
          <w:rFonts w:ascii="Times New Roman" w:cs="Times New Roman" w:eastAsia="Times New Roman" w:hAnsi="Times New Roman"/>
          <w:sz w:val="18"/>
          <w:szCs w:val="18"/>
          <w:color w:val="auto"/>
        </w:rPr>
        <w:t>”), each Purchaser who has subscribed for any Undersubscription Amount shall be entitled to purchase only that portion of the Available Undersubscription Amount as the Basic Amount of such Purchaser bears to the total Basic Amounts of all Purchasers that have subscribed for Undersubscription Amounts, subject to rounding by the Company to the extent it deems reasonably appropriate.</w:t>
      </w:r>
    </w:p>
    <w:p>
      <w:pPr>
        <w:spacing w:after="0" w:line="213" w:lineRule="exact"/>
        <w:rPr>
          <w:rFonts w:ascii="Times New Roman" w:cs="Times New Roman" w:eastAsia="Times New Roman" w:hAnsi="Times New Roman"/>
          <w:sz w:val="18"/>
          <w:szCs w:val="18"/>
          <w:color w:val="auto"/>
        </w:rPr>
      </w:pPr>
    </w:p>
    <w:p>
      <w:pPr>
        <w:jc w:val="both"/>
        <w:ind w:left="4" w:hanging="4"/>
        <w:spacing w:after="0" w:line="245" w:lineRule="auto"/>
        <w:tabs>
          <w:tab w:leader="none" w:pos="3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ten (10) Business Days from the expiration of the Offer Period above (A) to offer, issue, sell or exchange all or any part of such Offered Securities as to which a Notice of Acceptance has not been given by a Purchaser (the “</w:t>
      </w:r>
      <w:r>
        <w:rPr>
          <w:rFonts w:ascii="Times New Roman" w:cs="Times New Roman" w:eastAsia="Times New Roman" w:hAnsi="Times New Roman"/>
          <w:sz w:val="18"/>
          <w:szCs w:val="18"/>
          <w:u w:val="single" w:color="auto"/>
          <w:color w:val="auto"/>
        </w:rPr>
        <w:t>Refused Securities</w:t>
      </w:r>
      <w:r>
        <w:rPr>
          <w:rFonts w:ascii="Times New Roman" w:cs="Times New Roman" w:eastAsia="Times New Roman" w:hAnsi="Times New Roman"/>
          <w:sz w:val="18"/>
          <w:szCs w:val="18"/>
          <w:color w:val="auto"/>
        </w:rPr>
        <w:t>”) pursuant to a definitive agreement(s) (the “</w:t>
      </w:r>
      <w:r>
        <w:rPr>
          <w:rFonts w:ascii="Times New Roman" w:cs="Times New Roman" w:eastAsia="Times New Roman" w:hAnsi="Times New Roman"/>
          <w:sz w:val="18"/>
          <w:szCs w:val="18"/>
          <w:u w:val="single" w:color="auto"/>
          <w:color w:val="auto"/>
        </w:rPr>
        <w:t>Subsequent Placement Agreement</w:t>
      </w:r>
      <w:r>
        <w:rPr>
          <w:rFonts w:ascii="Times New Roman" w:cs="Times New Roman" w:eastAsia="Times New Roman" w:hAnsi="Times New Roman"/>
          <w:sz w:val="18"/>
          <w:szCs w:val="18"/>
          <w:color w:val="auto"/>
        </w:rPr>
        <w:t>”) and (B) to publicly announce the execution of such Subsequent Placement Agreement.</w:t>
      </w:r>
    </w:p>
    <w:p>
      <w:pPr>
        <w:spacing w:after="0" w:line="180" w:lineRule="exact"/>
        <w:rPr>
          <w:rFonts w:ascii="Times New Roman" w:cs="Times New Roman" w:eastAsia="Times New Roman" w:hAnsi="Times New Roman"/>
          <w:sz w:val="18"/>
          <w:szCs w:val="18"/>
          <w:color w:val="auto"/>
        </w:rPr>
      </w:pPr>
    </w:p>
    <w:p>
      <w:pPr>
        <w:jc w:val="both"/>
        <w:ind w:left="4" w:hanging="4"/>
        <w:spacing w:after="0" w:line="237" w:lineRule="auto"/>
        <w:tabs>
          <w:tab w:leader="none" w:pos="4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shall propose to sell less than all the Refused Securities (any such sale to be in the manner and on the terms specified in Section 4.13(c) above), then each Purchaser may, at its sole option and in its sole discretion, reduce the number or amount of the Offered Securities specified in its Notice of Acceptance to an amount that shall be not less than the number or amount of the Offered Securities that such Purchaser elected to purchase pursuant to Section 4.13(b) above multiplied by a fraction, (A) the numerator of which shall be the number or amount of Offered Securities the Company actually proposes to issue, sell or exchange (including Offered Securities to be issued or sold to Purchasers pursuant to this Section 4.13 prior to such reduction) and (B) the denominator of which shall be the original amount of the Offered Securities.</w:t>
      </w:r>
    </w:p>
    <w:p>
      <w:pPr>
        <w:spacing w:after="0" w:line="189" w:lineRule="exact"/>
        <w:rPr>
          <w:rFonts w:ascii="Times New Roman" w:cs="Times New Roman" w:eastAsia="Times New Roman" w:hAnsi="Times New Roman"/>
          <w:sz w:val="18"/>
          <w:szCs w:val="18"/>
          <w:color w:val="auto"/>
        </w:rPr>
      </w:pPr>
    </w:p>
    <w:p>
      <w:pPr>
        <w:jc w:val="both"/>
        <w:ind w:left="4" w:hanging="4"/>
        <w:spacing w:after="0" w:line="241" w:lineRule="auto"/>
        <w:tabs>
          <w:tab w:leader="none" w:pos="4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issuance, sale or exchange of all or less than all of the Refused Securities, such Purchaser shall acquire from the Company, and the Company shall issue to such Purchaser, the number or amount of Offered Securities specified in its Notice of Acceptance, as reduced pursuant to Section 4.13(d) above if such Purchaser has so elected, upon the terms and conditions specified in the Offer. The purchase by such Purchaser of any Offered Securities is subject in all cases to the preparation, execution and delivery by the Company and such Purchaser of a separate purchase agreement relating to such Offered Securities reasonably satisfactory in form and substance to the Company and such Purchaser and their respective counsels.</w:t>
      </w:r>
    </w:p>
    <w:p>
      <w:pPr>
        <w:spacing w:after="0" w:line="183" w:lineRule="exact"/>
        <w:rPr>
          <w:rFonts w:ascii="Times New Roman" w:cs="Times New Roman" w:eastAsia="Times New Roman" w:hAnsi="Times New Roman"/>
          <w:sz w:val="18"/>
          <w:szCs w:val="18"/>
          <w:color w:val="auto"/>
        </w:rPr>
      </w:pPr>
    </w:p>
    <w:p>
      <w:pPr>
        <w:jc w:val="both"/>
        <w:ind w:left="4" w:hanging="4"/>
        <w:spacing w:after="0" w:line="228" w:lineRule="auto"/>
        <w:tabs>
          <w:tab w:leader="none" w:pos="4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4.13 and unless otherwise agreed to by such Purchaser, the Company shall either confirm in writing to such Purchaser that the transaction with respect to the Subsequent Placement has been abandoned or shall publicly disclose its intention to issue the Offered Securities, in either case, in such a manner such that such Purchaser will not be in possession of any material, non-public information, by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following delivery of the Offer Notice. If by such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no public disclosure regarding a transaction with respect to the Offered Securities has been made, and no notice regarding the abandonment of such transaction has been received by such Purchaser, such transaction shall be deemed to have been abandoned and such Purchaser shall not be in possession of any material, non-public information with respect to the Company or any of its subsidiaries.</w:t>
      </w:r>
    </w:p>
    <w:p>
      <w:pPr>
        <w:spacing w:after="0" w:line="188" w:lineRule="exact"/>
        <w:rPr>
          <w:rFonts w:ascii="Times New Roman" w:cs="Times New Roman" w:eastAsia="Times New Roman" w:hAnsi="Times New Roman"/>
          <w:sz w:val="18"/>
          <w:szCs w:val="18"/>
          <w:color w:val="auto"/>
        </w:rPr>
      </w:pPr>
    </w:p>
    <w:p>
      <w:pPr>
        <w:jc w:val="both"/>
        <w:ind w:left="4" w:hanging="4"/>
        <w:spacing w:after="0" w:line="245" w:lineRule="auto"/>
        <w:tabs>
          <w:tab w:leader="none" w:pos="43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Purchaser agree that if any Purchaser elects to participate in the Subsequent Placement, the transaction documents related to the Subsequent Placement shall not include any term or provision whereby such Purchaser shall be required to agree to any restrictions on trading as to any of the Securities purchased hereunder or be required to consent to any amendment to or termination of, or grant any waiver, release or the like under or in connection with, this Agreement, without the prior written consent of such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4"/>
          </w:cols>
          <w:pgMar w:left="976" w:top="1400" w:right="339" w:bottom="1440" w:gutter="0" w:footer="0" w:header="0"/>
        </w:sectPr>
      </w:pPr>
    </w:p>
    <w:bookmarkStart w:id="72" w:name="page73"/>
    <w:bookmarkEnd w:id="72"/>
    <w:p>
      <w:pPr>
        <w:ind w:left="660" w:hanging="4"/>
        <w:spacing w:after="0" w:line="266" w:lineRule="auto"/>
        <w:tabs>
          <w:tab w:leader="none" w:pos="108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4.13 shall not apply in connection with any Exempt Issuance. Furthermore, notwithstanding any provision in this Section 4.13, the Company shall not be obligated to take any action that would violate applicable securities laws.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Limitation on Delivery of MNPI</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each Purchaser by written notice to the Company and the other parties to this Agreement, if the Closing has not been consummated on or before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Trading Day following the date hereof; provided, however, that no such termination will affect the right of any party to sue for any breach by any other party (or parties).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20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Purchasers who purchased at least 50.1% in interest of the sum of the Shares issued or issuable under the Agreement (or, prior to the Closing, the Company and each Purchaser), or, in the case of a waiver, by the party against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04" w:right="339" w:bottom="1440" w:gutter="0" w:footer="0" w:header="0"/>
        </w:sectPr>
      </w:pPr>
    </w:p>
    <w:bookmarkStart w:id="73" w:name="page74"/>
    <w:bookmarkEnd w:id="73"/>
    <w:p>
      <w:pPr>
        <w:jc w:val="both"/>
        <w:spacing w:after="0" w:line="241" w:lineRule="auto"/>
        <w:rPr>
          <w:sz w:val="20"/>
          <w:szCs w:val="20"/>
          <w:color w:val="auto"/>
        </w:rPr>
      </w:pPr>
      <w:r>
        <w:rPr>
          <w:rFonts w:ascii="Times New Roman" w:cs="Times New Roman" w:eastAsia="Times New Roman" w:hAnsi="Times New Roman"/>
          <w:sz w:val="18"/>
          <w:szCs w:val="18"/>
          <w:color w:val="auto"/>
        </w:rPr>
        <w:t>enforcement of any such waived provision is sought; provided, that if any amendment, modification or waiver disproportionately and adversely impacts a Purchaser (or multiple Purchasers), the consent of such disproportionately impacted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spacing w:after="0" w:line="21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permitted assigns. The Company may not assign this Agreement or any rights or obligations hereunder without the prior written consent of each Purchaser (other than by merger). Each Purchaser may assign any or all of its rights under this Agreement to any Person to whom each Purchaser assigns or transfers any Securities, provided that such transferee agrees in writing to be bound, with respect to the transferred Securities, by the provisions of the Transaction Documents that apply to the “Purchaser.”</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third-party beneficiary of the representations and warranties of the Company in Section 3.1 and the representations and warranties of each Purchaser in Section 3.2. This Agreement is intended for the benefit of the parties hereto and their respective successors and permitted assigns and is not for the benefit of, nor may any provision hereof be enforced by, any other Person, except as otherwise set forth in Section 4.5 and this Section 5.8.</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and warranties contained herein shall survive the Closing for a period of six (6) years.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facsimile or “.pdf” signature page were an original thereof. Notwithstanding anything to the contrary contained herein, upon the request of any Purchaser, the Company shall deliver “wet ink” originals of each Warrant, which shall not contain any electronic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04" w:right="339" w:bottom="1440" w:gutter="0" w:footer="0" w:header="0"/>
        </w:sectPr>
      </w:pPr>
    </w:p>
    <w:bookmarkStart w:id="74" w:name="page75"/>
    <w:bookmarkEnd w:id="74"/>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04" w:right="339" w:bottom="1440" w:gutter="0" w:footer="0" w:header="0"/>
        </w:sectPr>
      </w:pPr>
    </w:p>
    <w:bookmarkStart w:id="75" w:name="page76"/>
    <w:bookmarkEnd w:id="75"/>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20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 PARTY</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76" w:name="page77"/>
    <w:bookmarkEnd w:id="76"/>
    <w:p>
      <w:pPr>
        <w:ind w:firstLine="1166"/>
        <w:spacing w:after="0" w:line="266" w:lineRule="auto"/>
        <w:rPr>
          <w:sz w:val="20"/>
          <w:szCs w:val="20"/>
          <w:color w:val="auto"/>
        </w:rPr>
      </w:pPr>
      <w:r>
        <w:rPr>
          <w:rFonts w:ascii="Times New Roman" w:cs="Times New Roman" w:eastAsia="Times New Roman" w:hAnsi="Times New Roman"/>
          <w:sz w:val="18"/>
          <w:szCs w:val="18"/>
          <w:color w:val="auto"/>
        </w:rPr>
        <w:t>IN WITNESS WHEREOF, the undersigned has caused this Securities Purchase Agreement to be duly executed by its authorized signatory as of the date first indicated above.</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1663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ind w:left="4540"/>
        <w:spacing w:after="0" w:line="203" w:lineRule="auto"/>
        <w:rPr>
          <w:sz w:val="20"/>
          <w:szCs w:val="20"/>
          <w:color w:val="auto"/>
        </w:rPr>
      </w:pPr>
      <w:r>
        <w:rPr>
          <w:rFonts w:ascii="Times New Roman" w:cs="Times New Roman" w:eastAsia="Times New Roman" w:hAnsi="Times New Roman"/>
          <w:sz w:val="18"/>
          <w:szCs w:val="18"/>
          <w:color w:val="auto"/>
        </w:rPr>
        <w:t>1000 Avalon Boulevard, Suite 1000</w:t>
      </w:r>
    </w:p>
    <w:p>
      <w:pPr>
        <w:ind w:left="4540"/>
        <w:spacing w:after="0" w:line="203" w:lineRule="auto"/>
        <w:rPr>
          <w:sz w:val="20"/>
          <w:szCs w:val="20"/>
          <w:color w:val="auto"/>
        </w:rPr>
      </w:pPr>
      <w:r>
        <w:rPr>
          <w:rFonts w:ascii="Times New Roman" w:cs="Times New Roman" w:eastAsia="Times New Roman" w:hAnsi="Times New Roman"/>
          <w:sz w:val="18"/>
          <w:szCs w:val="18"/>
          <w:color w:val="auto"/>
        </w:rPr>
        <w:t>Alpharetta, Georgia 30009</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E-mail: legal-notices@bakkt.com</w:t>
      </w:r>
    </w:p>
    <w:p>
      <w:pPr>
        <w:spacing w:after="0" w:line="1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p>
    <w:p>
      <w:pPr>
        <w:ind w:left="4540"/>
        <w:spacing w:after="0" w:line="203" w:lineRule="auto"/>
        <w:rPr>
          <w:sz w:val="20"/>
          <w:szCs w:val="20"/>
          <w:color w:val="auto"/>
        </w:rPr>
      </w:pPr>
      <w:r>
        <w:rPr>
          <w:rFonts w:ascii="Times New Roman" w:cs="Times New Roman" w:eastAsia="Times New Roman" w:hAnsi="Times New Roman"/>
          <w:sz w:val="18"/>
          <w:szCs w:val="18"/>
          <w:color w:val="auto"/>
        </w:rPr>
        <w:t>Wilson Sonsini Goodrich &amp; Rosati,</w:t>
      </w:r>
    </w:p>
    <w:p>
      <w:pPr>
        <w:ind w:left="4540"/>
        <w:spacing w:after="0" w:line="219" w:lineRule="auto"/>
        <w:rPr>
          <w:sz w:val="20"/>
          <w:szCs w:val="20"/>
          <w:color w:val="auto"/>
        </w:rPr>
      </w:pPr>
      <w:r>
        <w:rPr>
          <w:rFonts w:ascii="Times New Roman" w:cs="Times New Roman" w:eastAsia="Times New Roman" w:hAnsi="Times New Roman"/>
          <w:sz w:val="18"/>
          <w:szCs w:val="18"/>
          <w:color w:val="auto"/>
        </w:rPr>
        <w:t>Professional Corporation</w:t>
      </w:r>
    </w:p>
    <w:p>
      <w:pPr>
        <w:ind w:left="4540"/>
        <w:spacing w:after="0" w:line="204" w:lineRule="auto"/>
        <w:rPr>
          <w:sz w:val="20"/>
          <w:szCs w:val="20"/>
          <w:color w:val="auto"/>
        </w:rPr>
      </w:pPr>
      <w:r>
        <w:rPr>
          <w:rFonts w:ascii="Times New Roman" w:cs="Times New Roman" w:eastAsia="Times New Roman" w:hAnsi="Times New Roman"/>
          <w:sz w:val="18"/>
          <w:szCs w:val="18"/>
          <w:color w:val="auto"/>
        </w:rPr>
        <w:t>650 Page Mill Road</w:t>
      </w:r>
    </w:p>
    <w:p>
      <w:pPr>
        <w:ind w:left="4540"/>
        <w:spacing w:after="0" w:line="203" w:lineRule="auto"/>
        <w:rPr>
          <w:sz w:val="20"/>
          <w:szCs w:val="20"/>
          <w:color w:val="auto"/>
        </w:rPr>
      </w:pPr>
      <w:r>
        <w:rPr>
          <w:rFonts w:ascii="Times New Roman" w:cs="Times New Roman" w:eastAsia="Times New Roman" w:hAnsi="Times New Roman"/>
          <w:sz w:val="18"/>
          <w:szCs w:val="18"/>
          <w:color w:val="auto"/>
        </w:rPr>
        <w:t>Palo Alto, CA 94304</w:t>
      </w:r>
    </w:p>
    <w:p>
      <w:pPr>
        <w:ind w:left="4540"/>
        <w:spacing w:after="0" w:line="219" w:lineRule="auto"/>
        <w:rPr>
          <w:sz w:val="20"/>
          <w:szCs w:val="20"/>
          <w:color w:val="auto"/>
        </w:rPr>
      </w:pPr>
      <w:r>
        <w:rPr>
          <w:rFonts w:ascii="Times New Roman" w:cs="Times New Roman" w:eastAsia="Times New Roman" w:hAnsi="Times New Roman"/>
          <w:sz w:val="18"/>
          <w:szCs w:val="18"/>
          <w:color w:val="auto"/>
        </w:rPr>
        <w:t>Attn: J. Matthew Lyons</w:t>
      </w:r>
    </w:p>
    <w:p>
      <w:pPr>
        <w:spacing w:after="0" w:line="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Email: mlyons@wsgr.com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ectPr>
          <w:pgSz w:w="11900" w:h="16838" w:orient="portrait"/>
          <w:cols w:equalWidth="0" w:num="1">
            <w:col w:w="11220"/>
          </w:cols>
          <w:pgMar w:left="320" w:top="1404" w:right="359" w:bottom="1440" w:gutter="0" w:footer="0" w:header="0"/>
        </w:sectPr>
      </w:pPr>
    </w:p>
    <w:bookmarkStart w:id="77" w:name="page78"/>
    <w:bookmarkEnd w:id="77"/>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 TO SECURITIES PURCHASE AGREEMENT]</w:t>
      </w:r>
    </w:p>
    <w:p>
      <w:pPr>
        <w:spacing w:after="0" w:line="200" w:lineRule="exact"/>
        <w:rPr>
          <w:sz w:val="20"/>
          <w:szCs w:val="20"/>
          <w:color w:val="auto"/>
        </w:rPr>
      </w:pPr>
    </w:p>
    <w:p>
      <w:pPr>
        <w:spacing w:after="0" w:line="255" w:lineRule="exact"/>
        <w:rPr>
          <w:sz w:val="20"/>
          <w:szCs w:val="20"/>
          <w:color w:val="auto"/>
        </w:rPr>
      </w:pPr>
    </w:p>
    <w:p>
      <w:pPr>
        <w:ind w:firstLine="583"/>
        <w:spacing w:after="0" w:line="250" w:lineRule="auto"/>
        <w:rPr>
          <w:sz w:val="20"/>
          <w:szCs w:val="20"/>
          <w:color w:val="auto"/>
        </w:rPr>
      </w:pPr>
      <w:r>
        <w:rPr>
          <w:rFonts w:ascii="Times New Roman" w:cs="Times New Roman" w:eastAsia="Times New Roman" w:hAnsi="Times New Roman"/>
          <w:sz w:val="18"/>
          <w:szCs w:val="18"/>
          <w:color w:val="auto"/>
        </w:rPr>
        <w:t>IN WITNESS WHEREOF, the undersigned has caused this Securities Purchase Agreement to be duly executed by its authorized signatory as of the date first indicated above.</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18415</wp:posOffset>
            </wp:positionV>
            <wp:extent cx="22885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 address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notice):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DWAC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885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1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2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Pre-Funded Warrant Shares: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1 Warrant Shares: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2 Warrant Shares: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Beneficial Ownership Blocker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4.99%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9.99%</w:t>
      </w:r>
    </w:p>
    <w:p>
      <w:pPr>
        <w:spacing w:after="0" w:line="9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Beneficial Ownership Blocker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4.99%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9.99%</w:t>
      </w:r>
    </w:p>
    <w:p>
      <w:pPr>
        <w:spacing w:after="0" w:line="3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Beneficial Ownership Blocker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4.99%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9.99%</w:t>
      </w:r>
    </w:p>
    <w:p>
      <w:pPr>
        <w:spacing w:after="0" w:line="200" w:lineRule="exact"/>
        <w:rPr>
          <w:sz w:val="20"/>
          <w:szCs w:val="20"/>
          <w:color w:val="auto"/>
        </w:rPr>
      </w:pPr>
    </w:p>
    <w:p>
      <w:pPr>
        <w:sectPr>
          <w:pgSz w:w="11900" w:h="16838" w:orient="portrait"/>
          <w:cols w:equalWidth="0" w:num="2">
            <w:col w:w="6680" w:space="720"/>
            <w:col w:w="3840"/>
          </w:cols>
          <w:pgMar w:left="320" w:top="1440" w:right="339" w:bottom="1440" w:gutter="0" w:footer="0" w:header="0"/>
          <w:type w:val="continuous"/>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22885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347" w:lineRule="exact"/>
        <w:rPr>
          <w:sz w:val="20"/>
          <w:szCs w:val="20"/>
          <w:color w:val="auto"/>
        </w:rPr>
      </w:pPr>
    </w:p>
    <w:p>
      <w:pPr>
        <w:jc w:val="both"/>
        <w:ind w:firstLine="8"/>
        <w:spacing w:after="0" w:line="217" w:lineRule="auto"/>
        <w:tabs>
          <w:tab w:leader="none" w:pos="228" w:val="left"/>
        </w:tabs>
        <w:numPr>
          <w:ilvl w:val="0"/>
          <w:numId w:val="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ectPr>
          <w:pgSz w:w="11900" w:h="16838" w:orient="portrait"/>
          <w:cols w:equalWidth="0" w:num="1">
            <w:col w:w="11240"/>
          </w:cols>
          <w:pgMar w:left="320" w:top="1440" w:right="339"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Lock-Up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0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Pre-Funded Warrant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00" w:right="144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Class 1 Warrant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00" w:right="1440" w:bottom="1440" w:gutter="0" w:footer="0" w:header="0"/>
        </w:sectPr>
      </w:pPr>
    </w:p>
    <w:bookmarkStart w:id="81" w:name="page82"/>
    <w:bookmarkEnd w:id="81"/>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Class 2 Warrant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Voting Support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83" w:name="page84"/>
    <w:bookmarkEnd w:id="83"/>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16"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29, 2024, between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Intercontinental Exchange Holdings, Inc. (including its successors and assigns,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thereunder, the Company desires to issue and sell to the Purchaser, and the Purchaser desires to purchase from the Company, securities of the Company as more fully described in this Agreement.</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subject to the terms and conditions set forth in a separate securities purchase agreement (the “</w:t>
      </w:r>
      <w:r>
        <w:rPr>
          <w:rFonts w:ascii="Times New Roman" w:cs="Times New Roman" w:eastAsia="Times New Roman" w:hAnsi="Times New Roman"/>
          <w:sz w:val="18"/>
          <w:szCs w:val="18"/>
          <w:u w:val="single" w:color="auto"/>
          <w:color w:val="auto"/>
        </w:rPr>
        <w:t>Concurrent Placement Agreement</w:t>
      </w:r>
      <w:r>
        <w:rPr>
          <w:rFonts w:ascii="Times New Roman" w:cs="Times New Roman" w:eastAsia="Times New Roman" w:hAnsi="Times New Roman"/>
          <w:sz w:val="18"/>
          <w:szCs w:val="18"/>
          <w:color w:val="auto"/>
        </w:rPr>
        <w:t>”) and pursuant to a separate prospectus supplement being filed with the Commission under the Registration Statement (as defined below), the Company is issuing securities of the Company to certain other purchasers as identified on the signature pages thereto (the “</w:t>
      </w:r>
      <w:r>
        <w:rPr>
          <w:rFonts w:ascii="Times New Roman" w:cs="Times New Roman" w:eastAsia="Times New Roman" w:hAnsi="Times New Roman"/>
          <w:sz w:val="18"/>
          <w:szCs w:val="18"/>
          <w:u w:val="single" w:color="auto"/>
          <w:color w:val="auto"/>
        </w:rPr>
        <w:t>Concurrent Placement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WHEREAS, the Per Unit Purchase Price (as defined below) under this Agreement and in the Concurrent Placement Agreement are the same and the terms of such agreements are substantively consistent other than differences resulting from the relationships of the applicable purchaser(s) with the Company.</w:t>
      </w:r>
    </w:p>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the Concurrent Placement Agreement, the Company and the Purchaser have agreed to provide a voting support agreement (the “</w:t>
      </w:r>
      <w:r>
        <w:rPr>
          <w:rFonts w:ascii="Times New Roman" w:cs="Times New Roman" w:eastAsia="Times New Roman" w:hAnsi="Times New Roman"/>
          <w:sz w:val="18"/>
          <w:szCs w:val="18"/>
          <w:u w:val="single" w:color="auto"/>
          <w:color w:val="auto"/>
        </w:rPr>
        <w:t>Voting Support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have the meanings set forth in this Section 1.1:</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3.1(h).</w:t>
      </w:r>
    </w:p>
    <w:p>
      <w:pPr>
        <w:spacing w:after="0" w:line="21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4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12" w:lineRule="exact"/>
        <w:rPr>
          <w:sz w:val="20"/>
          <w:szCs w:val="20"/>
          <w:color w:val="auto"/>
        </w:rPr>
      </w:pPr>
    </w:p>
    <w:p>
      <w:pPr>
        <w:jc w:val="both"/>
        <w:ind w:firstLine="583"/>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4" w:lineRule="exact"/>
        <w:rPr>
          <w:sz w:val="20"/>
          <w:szCs w:val="20"/>
          <w:color w:val="auto"/>
        </w:rPr>
      </w:pPr>
    </w:p>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1 Warrants</w:t>
      </w:r>
      <w:r>
        <w:rPr>
          <w:rFonts w:ascii="Times New Roman" w:cs="Times New Roman" w:eastAsia="Times New Roman" w:hAnsi="Times New Roman"/>
          <w:sz w:val="18"/>
          <w:szCs w:val="18"/>
          <w:color w:val="auto"/>
        </w:rPr>
        <w:t xml:space="preserve">” means the warrants delivered to the Purchaser at each Closing in accordance with Section 2.2(a)(v) and Section 2.2(c)(iii) hereof, which Class 1 Warrants shall be exercisable at any time on or after the six (6) month anniversary of each Closing Date and generally be exercisable from the date of the six month anniversary of the issuance date through the date that is five and a half (5.5) years after the initial issuance date,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w:t>
      </w:r>
    </w:p>
    <w:p>
      <w:pPr>
        <w:sectPr>
          <w:pgSz w:w="11900" w:h="16838" w:orient="portrait"/>
          <w:cols w:equalWidth="0" w:num="1">
            <w:col w:w="11240"/>
          </w:cols>
          <w:pgMar w:left="320" w:top="104" w:right="339" w:bottom="1440" w:gutter="0" w:footer="0" w:header="0"/>
        </w:sectPr>
      </w:pPr>
    </w:p>
    <w:bookmarkStart w:id="84" w:name="page85"/>
    <w:bookmarkEnd w:id="84"/>
    <w:p>
      <w:pPr>
        <w:jc w:val="both"/>
        <w:ind w:firstLine="583"/>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2 Warrants</w:t>
      </w:r>
      <w:r>
        <w:rPr>
          <w:rFonts w:ascii="Times New Roman" w:cs="Times New Roman" w:eastAsia="Times New Roman" w:hAnsi="Times New Roman"/>
          <w:sz w:val="18"/>
          <w:szCs w:val="18"/>
          <w:color w:val="auto"/>
        </w:rPr>
        <w:t xml:space="preserve">” means the warrants delivered to the Purchaser at each Closing in accordance with Section 2.2(a)(vi) and Section 2.2(c)(iv) hereof, which Class 2 Warrants shall be exercisable at any time on or after the six (6) month anniversary of each Closing Date and generally be exercisable from the date of the six month anniversary of the issuance date through the date that is five and a half (5.5) years after the initial issuance date,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a closing of the purchase and sale of the Securities as defined in Section 2.1.</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Initial Closing Date or the Subsequent Closing Date, as applicable.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98"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7"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Class 1 Warrants and Class 2 Warrants, with half of the Common Warrants for the Purchaser being Class 1 Warrants and the other half of the Common Warrants for the Purchaser being Class 2 Warrants.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Wilson Sonsini Goodrich &amp; Rosati, P.C.</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(i) the issuance of securities to directors, officers, employees and consultants of the Company pursuant to employee benefit plans, equity incentive plans or other employee compensation plans or other arrangements approved by the Board of Directors or the Compensation Committee thereof, (ii) the issuance of securities upon the exercise or exchange of or conversion of any Securities issued hereunder and/or the issuance of securities pursuant to the exercise, exchange or conversion of any options, warrants, restricted stock units, rights or convertible or exchangeable securities outstanding on the date hereof, provided that such options, warrants, restricted stock units, rights or convertible or exchangeable securities have not been amended since the date of this Agreement to increase the number of such securities or to decrease the exercise price, exchange price or conversion price of such securities or to extend the term of such securities, (iii) securities issued in connection with any joint venture, commercial or collaborative relationship, or the acquisition or license by the Company of the securities, businesses, property or other assets of another person, provided that such issuance is approved by the majority of the disinterested directors of the Company and provided such securities are issued as “restricted securities” (as defined in Rule</w:t>
      </w:r>
    </w:p>
    <w:p>
      <w:pPr>
        <w:spacing w:after="0" w:line="5" w:lineRule="exact"/>
        <w:rPr>
          <w:sz w:val="20"/>
          <w:szCs w:val="20"/>
          <w:color w:val="auto"/>
        </w:rPr>
      </w:pPr>
    </w:p>
    <w:p>
      <w:pPr>
        <w:jc w:val="both"/>
        <w:ind w:firstLine="8"/>
        <w:spacing w:after="0" w:line="234" w:lineRule="auto"/>
        <w:tabs>
          <w:tab w:leader="none" w:pos="3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carry no registration rights that require or permit the filing of any registration statement during the 120 day period following the Initial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(iv) securities issued pursuant to acquisitions or strategic transactions approved by a majority of the disinterested directors of the Company, provided that any such securities are issued as “restricted securities” (as defined in Rule 144) and carry no registration rights that require or permit the filing of any registration statement during the 120 day period following the Initial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85" w:name="page86"/>
    <w:bookmarkEnd w:id="85"/>
    <w:p>
      <w:pPr>
        <w:jc w:val="both"/>
        <w:spacing w:after="0" w:line="236" w:lineRule="auto"/>
        <w:rPr>
          <w:sz w:val="20"/>
          <w:szCs w:val="20"/>
          <w:color w:val="auto"/>
        </w:rPr>
      </w:pPr>
      <w:r>
        <w:rPr>
          <w:rFonts w:ascii="Times New Roman" w:cs="Times New Roman" w:eastAsia="Times New Roman" w:hAnsi="Times New Roman"/>
          <w:sz w:val="18"/>
          <w:szCs w:val="18"/>
          <w:color w:val="auto"/>
        </w:rPr>
        <w:t>securities, (v) shares of Common Stock to consultants or vendors of the Company, provided that such securities are issued as “restricted securities” (as defined in Rule 144) and carry no registration rights that require or permit the filing of any registration statement in connection therewith during the 120 day period following the Initial Closing Date (unless issued under the Company’s share or option plan whose issuances are registered under Form S-8), (vi) issuances of shares of Common Stock in compliance with the terms of agreements or instruments outstanding as of the date hereof,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(vii) issuances of shares of Common Stock upon the exercise or exchange of rights issued pursuant to any shareholder rights agreement entered into between the Company and Transfer Agent, (viii) the issuance of securities pursuant to an “at the market” offering, as defined in Rule 415 under the Securities Act, pursuant to an agreement executed on or after June 30, 2024,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(ix) the issuance of securities in the Concurrent Placement, and (x) the issuance of securities upon the exercise or exchange of or conversion of any securities issued in the Concurrent Placement.</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3.1(a).</w:t>
      </w:r>
    </w:p>
    <w:p>
      <w:pPr>
        <w:spacing w:after="0" w:line="23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Unit Purchase Price</w:t>
      </w:r>
      <w:r>
        <w:rPr>
          <w:rFonts w:ascii="Times New Roman" w:cs="Times New Roman" w:eastAsia="Times New Roman" w:hAnsi="Times New Roman"/>
          <w:sz w:val="18"/>
          <w:szCs w:val="18"/>
          <w:color w:val="auto"/>
        </w:rPr>
        <w:t>” equals $0.8670, subject to adjustment for reverse and forward stock splits, stock dividends, stock combinations and other similar transactions of the Common Stock that occur between the date of this Agreement and the applicable Closing Date.</w:t>
      </w:r>
    </w:p>
    <w:p>
      <w:pPr>
        <w:spacing w:after="0" w:line="20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the Company.</w:t>
      </w:r>
    </w:p>
    <w:p>
      <w:pPr>
        <w:spacing w:after="0" w:line="203"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prospectus supplement filed pursuant to the Registration Statement relating to the offering of Securities pursuant to this Agreement, including the base prospectus included in the Registration Statement at the time it was declared effective and all information, documents and exhibits filed with or incorporated by reference into such final prospectus supplement.</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4.5.</w:t>
      </w:r>
    </w:p>
    <w:p>
      <w:pPr>
        <w:spacing w:after="0" w:line="25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filed with the Commission on February 14, 2024 (File No. 333-271361), including all information, documents and exhibits filed with or incorporated by reference into such registration statement, which registers the sale of the Shares, the Warrants and the Warrant Shares to the Purchaser.</w:t>
      </w:r>
    </w:p>
    <w:p>
      <w:pPr>
        <w:spacing w:after="0" w:line="204"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means any statute (including the Hart-Scott-Rodino Antitrust Improvements Act of 1976, as amended), rule, regulation, executive order, decree, ruling or injunction enacted, entered, promulgated or endorsed by any court or other Governmental Authority of competent jurisdiction.</w:t>
      </w:r>
    </w:p>
    <w:p>
      <w:pPr>
        <w:spacing w:after="0" w:line="20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86" w:name="page87"/>
    <w:bookmarkEnd w:id="86"/>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the Purchaser pursuant to this Agreement.</w:t>
      </w:r>
    </w:p>
    <w:p>
      <w:pPr>
        <w:spacing w:after="0" w:line="212"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583"/>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the Purchaser, the aggregate amount to be paid for Shares and Common Warrants purchased hereunder (which amount is exclusive of the exercise price payable upon the exercise of Common Warrants for Warrant Shares) as specified below the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12" w:lineRule="exact"/>
        <w:rPr>
          <w:sz w:val="20"/>
          <w:szCs w:val="20"/>
          <w:color w:val="auto"/>
        </w:rPr>
      </w:pPr>
    </w:p>
    <w:p>
      <w:pPr>
        <w:jc w:val="both"/>
        <w:ind w:firstLine="583"/>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7"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Lock-Up Agreements, the Voting Support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Common Warrants.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660" w:hanging="4"/>
        <w:spacing w:after="0" w:line="236" w:lineRule="auto"/>
        <w:tabs>
          <w:tab w:leader="none" w:pos="10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sale and issuance of the Shares and the Common Warrants pursuant to this Agreement shall take place at two closings, each of which is referred to in this Agreement as a closing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initial Closing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shall be held two (2) Trading Days after the date hereof, subject to the satisfaction or waiver of all applicable conditions set forth in Section 2.3 (the “</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At the Initial Closing, subject to the satisfaction of the conditions and limitations otherwise set forth herein, the Company shall issue and deliver, and the Purchaser shall purchase, the full amount of the Shares and the Common Warrants set forth on Schedule 1 hereto; provided that the Purchaser’s subscription at the Initial Closing shall be equal to the maximum amount allowable under the Listed Company Manual of the New York Stock Exchange (including Section 312.03 any other relevant limiting provision thereof) (together, the “</w:t>
      </w:r>
      <w:r>
        <w:rPr>
          <w:rFonts w:ascii="Times New Roman" w:cs="Times New Roman" w:eastAsia="Times New Roman" w:hAnsi="Times New Roman"/>
          <w:sz w:val="18"/>
          <w:szCs w:val="18"/>
          <w:u w:val="single" w:color="auto"/>
          <w:color w:val="auto"/>
        </w:rPr>
        <w:t>LCM</w:t>
      </w:r>
      <w:r>
        <w:rPr>
          <w:rFonts w:ascii="Times New Roman" w:cs="Times New Roman" w:eastAsia="Times New Roman" w:hAnsi="Times New Roman"/>
          <w:sz w:val="18"/>
          <w:szCs w:val="18"/>
          <w:color w:val="auto"/>
        </w:rPr>
        <w:t>”) prior to obtaining Stockholder Approval, taking into account the concurrent closings occurring pursuant to the Concurrent Placement Agreement; provided further that the amounts listed on Schedule 1 hereto under the heading “Initial Closing” shall be adjusted to the extent that the amounts listed on Schedule 1 under the heading “Initial Closing” exceed the maximum amount allowable under the LCM and, in such case, any excess amounts removed from Schedule 1 under the heading “Initial Closing” shall be added to Schedule 1 under the heading “Subsequent Closing”. The Purchaser shall purchase the full amount of the Shares and Common Warrants set forth on Schedule 1 hereto not otherwise purchased at the Initial Closing promptly after the Company obtains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4" w:right="339" w:bottom="1440" w:gutter="0" w:footer="0" w:header="0"/>
        </w:sectPr>
      </w:pPr>
    </w:p>
    <w:bookmarkStart w:id="87" w:name="page88"/>
    <w:bookmarkEnd w:id="87"/>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Approval at a subsequent Closing (the “</w:t>
      </w:r>
      <w:r>
        <w:rPr>
          <w:rFonts w:ascii="Times New Roman" w:cs="Times New Roman" w:eastAsia="Times New Roman" w:hAnsi="Times New Roman"/>
          <w:sz w:val="18"/>
          <w:szCs w:val="18"/>
          <w:u w:val="single" w:color="auto"/>
          <w:color w:val="auto"/>
        </w:rPr>
        <w:t>Subsequent Closing</w:t>
      </w:r>
      <w:r>
        <w:rPr>
          <w:rFonts w:ascii="Times New Roman" w:cs="Times New Roman" w:eastAsia="Times New Roman" w:hAnsi="Times New Roman"/>
          <w:sz w:val="18"/>
          <w:szCs w:val="18"/>
          <w:color w:val="auto"/>
        </w:rPr>
        <w:t>”). The sale and issuance in the Subsequent Closing shall be held two (2) Trading Days after receipt of the Stockholder Approval, subject to the satisfaction or waiver of all applicable conditions set forth in Section 2.3 (the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left="660" w:hanging="4"/>
        <w:spacing w:after="0" w:line="237" w:lineRule="auto"/>
        <w:tabs>
          <w:tab w:leader="none" w:pos="10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Closing Date, upon the terms and subject to the conditions set forth herein, including under Section 2.1(a), the Company agrees to sell, and the Purchaser agrees to purchase, at the Per Unit Purchase Price (i) the number of Shares set forth under the heading “Initial Closing” or “Subsequent Closing” on Schedule 1 hereto, as applicable, at the Per Unit Purchase Price and (ii) Common Warrants exercisable for shares of Common Stock as calculated pursuant to Section 2.2(a) and as set forth on Schedule 1 hereto. The Company and the Purchaser shall deliver the other items set forth in Section 2.2 deliverable at a Closing. Upon satisfaction of the covenants and conditions set forth in Sections 2.2 and 2.3, a Closing shall occur remotely or at such location as the parties shall mutually agree. Unless otherwise agreed by the Company and the Purchaser, on each Closing Date, the Company shall issue the Shares registered in the Purchaser’s name and address and released by the Transfer Agent directly to the account(s) identified by the Purchaser.</w:t>
      </w:r>
    </w:p>
    <w:p>
      <w:pPr>
        <w:spacing w:after="0" w:line="1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1040" w:hanging="384"/>
        <w:spacing w:after="0"/>
        <w:tabs>
          <w:tab w:leader="none" w:pos="1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Initial Closing Date, the Company shall deliver or cause to be delivered to the Purchaser the following:</w:t>
      </w:r>
    </w:p>
    <w:p>
      <w:pPr>
        <w:spacing w:after="0" w:line="21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substantially in the form delivered under the Concurrent Placement Agreement;</w:t>
      </w:r>
    </w:p>
    <w:p>
      <w:pPr>
        <w:spacing w:after="0" w:line="211" w:lineRule="exact"/>
        <w:rPr>
          <w:rFonts w:ascii="Times New Roman" w:cs="Times New Roman" w:eastAsia="Times New Roman" w:hAnsi="Times New Roman"/>
          <w:sz w:val="18"/>
          <w:szCs w:val="18"/>
          <w:color w:val="auto"/>
        </w:rPr>
      </w:pPr>
    </w:p>
    <w:p>
      <w:pPr>
        <w:ind w:left="1300" w:firstLine="4"/>
        <w:spacing w:after="0" w:line="266" w:lineRule="auto"/>
        <w:tabs>
          <w:tab w:leader="none" w:pos="17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the Purchaser with the Company’s wire instructions, on Company letterhead and executed by the Chief Executive Officer or Chief Financial Officer;</w:t>
      </w:r>
    </w:p>
    <w:p>
      <w:pPr>
        <w:spacing w:after="0" w:line="162" w:lineRule="exact"/>
        <w:rPr>
          <w:rFonts w:ascii="Times New Roman" w:cs="Times New Roman" w:eastAsia="Times New Roman" w:hAnsi="Times New Roman"/>
          <w:sz w:val="18"/>
          <w:szCs w:val="18"/>
          <w:color w:val="auto"/>
        </w:rPr>
      </w:pPr>
    </w:p>
    <w:p>
      <w:pPr>
        <w:jc w:val="both"/>
        <w:ind w:left="1300" w:firstLine="4"/>
        <w:spacing w:after="0"/>
        <w:tabs>
          <w:tab w:leader="none" w:pos="177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the Purchaser’s Subscription Amount paid at the Initial Closing divided by the Per Unit Purchase Price, registered in the name of the Purchaser;</w:t>
      </w:r>
    </w:p>
    <w:p>
      <w:pPr>
        <w:spacing w:after="0" w:line="184"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71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1 Warrant registered in the name of the Purchaser to purchase up to a number of shares of Common Stock equal to 50% of the Purchaser’s Shares purchased at the Initial Closing, rounded down to the nearest whole share, as set forth on Schedule 1 hereto, with an exercise price equal to $1.0200, subject to adjustment therein;</w:t>
      </w:r>
    </w:p>
    <w:p>
      <w:pPr>
        <w:spacing w:after="0" w:line="203"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75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2 Warrant registered in the name of the Purchaser to purchase up to a number of shares of Common Stock equal to 50% of the Purchaser’s Shares purchased at the Initial Closing, rounded down to the nearest whole share, as set forth on Schedule 1 hereto, with an exercise price equal to $1.0200, subject to adjustment therein;</w:t>
      </w:r>
    </w:p>
    <w:p>
      <w:pPr>
        <w:spacing w:after="0" w:line="203"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(which may be delivered in accordance with Rule 172 under the Securities Act);</w:t>
      </w:r>
    </w:p>
    <w:p>
      <w:pPr>
        <w:spacing w:after="0" w:line="238"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substantially in the form delivered under the Concurrent Placement Agreement;</w:t>
      </w:r>
    </w:p>
    <w:p>
      <w:pPr>
        <w:spacing w:after="0" w:line="238"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substantially in the form delivered under the Concurrent Placement Agreement; and</w:t>
      </w:r>
    </w:p>
    <w:p>
      <w:pPr>
        <w:spacing w:after="0" w:line="23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duly executed by each executive officer and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4" w:right="339" w:bottom="1440" w:gutter="0" w:footer="0" w:header="0"/>
        </w:sectPr>
      </w:pPr>
    </w:p>
    <w:bookmarkStart w:id="88" w:name="page89"/>
    <w:bookmarkEnd w:id="88"/>
    <w:p>
      <w:pPr>
        <w:spacing w:after="0" w:line="207" w:lineRule="exact"/>
        <w:rPr>
          <w:sz w:val="20"/>
          <w:szCs w:val="20"/>
          <w:color w:val="auto"/>
        </w:rPr>
      </w:pPr>
    </w:p>
    <w:p>
      <w:pPr>
        <w:ind w:left="1040" w:hanging="384"/>
        <w:spacing w:after="0"/>
        <w:tabs>
          <w:tab w:leader="none" w:pos="10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Initial Closing Date, the Purchaser shall deliver or cause to be delivered to the Company the following:</w:t>
      </w:r>
    </w:p>
    <w:p>
      <w:pPr>
        <w:spacing w:after="0" w:line="211" w:lineRule="exact"/>
        <w:rPr>
          <w:rFonts w:ascii="Times New Roman" w:cs="Times New Roman" w:eastAsia="Times New Roman" w:hAnsi="Times New Roman"/>
          <w:sz w:val="18"/>
          <w:szCs w:val="18"/>
          <w:color w:val="auto"/>
        </w:rPr>
      </w:pPr>
    </w:p>
    <w:p>
      <w:pPr>
        <w:ind w:left="1180" w:hanging="344"/>
        <w:spacing w:after="0"/>
        <w:tabs>
          <w:tab w:leader="none" w:pos="11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Purchaser; and</w:t>
      </w:r>
    </w:p>
    <w:p>
      <w:pPr>
        <w:spacing w:after="0" w:line="21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Subscription Amount in respect of the Securities to be purchased by the Purchaser at the Initial Closing.</w:t>
      </w:r>
    </w:p>
    <w:p>
      <w:pPr>
        <w:spacing w:after="0" w:line="211" w:lineRule="exact"/>
        <w:rPr>
          <w:rFonts w:ascii="Times New Roman" w:cs="Times New Roman" w:eastAsia="Times New Roman" w:hAnsi="Times New Roman"/>
          <w:sz w:val="18"/>
          <w:szCs w:val="18"/>
          <w:color w:val="auto"/>
        </w:rPr>
      </w:pPr>
    </w:p>
    <w:p>
      <w:pPr>
        <w:ind w:left="660" w:hanging="4"/>
        <w:spacing w:after="0" w:line="266" w:lineRule="auto"/>
        <w:tabs>
          <w:tab w:leader="none" w:pos="11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Subsequent Closing Date, the Company shall deliver or cause to be delivered to the Purchaser purchasing in such Subsequent Closing the following:</w:t>
      </w:r>
    </w:p>
    <w:p>
      <w:pPr>
        <w:spacing w:after="0" w:line="162" w:lineRule="exact"/>
        <w:rPr>
          <w:rFonts w:ascii="Times New Roman" w:cs="Times New Roman" w:eastAsia="Times New Roman" w:hAnsi="Times New Roman"/>
          <w:sz w:val="18"/>
          <w:szCs w:val="18"/>
          <w:color w:val="auto"/>
        </w:rPr>
      </w:pPr>
    </w:p>
    <w:p>
      <w:pPr>
        <w:jc w:val="both"/>
        <w:ind w:left="1300" w:firstLine="4"/>
        <w:spacing w:after="0" w:line="242" w:lineRule="auto"/>
        <w:tabs>
          <w:tab w:leader="none" w:pos="169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DWAC Shares equal to the Purchaser’s Subscription Amount paid at such Subsequent Closing divided by the Per Unit Purchase Price, registered in the name of the Purchaser;</w:t>
      </w:r>
    </w:p>
    <w:p>
      <w:pPr>
        <w:spacing w:after="0" w:line="183" w:lineRule="exact"/>
        <w:rPr>
          <w:rFonts w:ascii="Times New Roman" w:cs="Times New Roman" w:eastAsia="Times New Roman" w:hAnsi="Times New Roman"/>
          <w:sz w:val="18"/>
          <w:szCs w:val="18"/>
          <w:color w:val="auto"/>
        </w:rPr>
      </w:pPr>
    </w:p>
    <w:p>
      <w:pPr>
        <w:ind w:left="1300" w:firstLine="4"/>
        <w:spacing w:after="0" w:line="266" w:lineRule="auto"/>
        <w:tabs>
          <w:tab w:leader="none" w:pos="1734"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bringdown letter reasonably satisfactory to the Purchaser relating to the legal opinion of Company Counsel issued in connection with the Initial Closing;</w:t>
      </w:r>
    </w:p>
    <w:p>
      <w:pPr>
        <w:spacing w:after="0" w:line="162"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bringdown Officer Certificate reasonably satisfactory to the Purchaser;</w:t>
      </w:r>
    </w:p>
    <w:p>
      <w:pPr>
        <w:spacing w:after="0" w:line="211" w:lineRule="exact"/>
        <w:rPr>
          <w:rFonts w:ascii="Times New Roman" w:cs="Times New Roman" w:eastAsia="Times New Roman" w:hAnsi="Times New Roman"/>
          <w:sz w:val="18"/>
          <w:szCs w:val="18"/>
          <w:color w:val="auto"/>
        </w:rPr>
      </w:pPr>
    </w:p>
    <w:p>
      <w:pPr>
        <w:jc w:val="both"/>
        <w:ind w:left="1300" w:right="20" w:firstLine="4"/>
        <w:spacing w:after="0" w:line="250" w:lineRule="auto"/>
        <w:tabs>
          <w:tab w:leader="none" w:pos="1756"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1 Warrant registered in the name of the Purchaser to purchase up to a number of shares of Common Stock equal to 50% of the Purchaser’s Shares purchased at such Subsequent Closing, rounded down to the nearest whole share, as set forth on Schedule 1 hereto, with an exercise price equal to $1.0200, subject to adjustment therein; and</w:t>
      </w:r>
    </w:p>
    <w:p>
      <w:pPr>
        <w:spacing w:after="0" w:line="176"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714"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2 Warrant registered in the name of the Purchaser to purchase up to a number of shares of Common Stock equal to 50% of the Purchaser’s Shares purchased at such Subsequent Closing, rounded down to the nearest whole share, as set forth on Schedule 1 hereto, with an exercise price equal to $1.0200, subject to adjustment therein.</w:t>
      </w:r>
    </w:p>
    <w:p>
      <w:pPr>
        <w:spacing w:after="0" w:line="176" w:lineRule="exact"/>
        <w:rPr>
          <w:rFonts w:ascii="Times New Roman" w:cs="Times New Roman" w:eastAsia="Times New Roman" w:hAnsi="Times New Roman"/>
          <w:sz w:val="18"/>
          <w:szCs w:val="18"/>
          <w:color w:val="auto"/>
        </w:rPr>
      </w:pPr>
    </w:p>
    <w:p>
      <w:pPr>
        <w:ind w:left="660" w:hanging="4"/>
        <w:spacing w:after="0" w:line="266" w:lineRule="auto"/>
        <w:tabs>
          <w:tab w:leader="none" w:pos="105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Subsequent Closing Date, the Purchaser shall deliver or cause to be delivered to the Company the Purchaser’s Subscription Amount in respect of the Securities to be purchased by the Purchaser at the Subsequent Closing.</w:t>
      </w:r>
    </w:p>
    <w:p>
      <w:pPr>
        <w:spacing w:after="0" w:line="1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1040" w:hanging="384"/>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applicable Closing are subject to the following conditions being met:</w:t>
      </w:r>
    </w:p>
    <w:p>
      <w:pPr>
        <w:spacing w:after="0" w:line="211" w:lineRule="exact"/>
        <w:rPr>
          <w:rFonts w:ascii="Times New Roman" w:cs="Times New Roman" w:eastAsia="Times New Roman" w:hAnsi="Times New Roman"/>
          <w:sz w:val="18"/>
          <w:szCs w:val="18"/>
          <w:color w:val="auto"/>
        </w:rPr>
      </w:pPr>
    </w:p>
    <w:p>
      <w:pPr>
        <w:jc w:val="both"/>
        <w:ind w:left="1300" w:firstLine="4"/>
        <w:spacing w:after="0" w:line="245" w:lineRule="auto"/>
        <w:tabs>
          <w:tab w:leader="none" w:pos="166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when made and on such Closing Date of the representations and warranties of the Purchaser contained herein (unless made as of a specific date therein in which case they shall be accurate in all material respects (or, to the extent representations or warranties are qualified by materiality, in all respects) as of such date);</w:t>
      </w:r>
    </w:p>
    <w:p>
      <w:pPr>
        <w:spacing w:after="0" w:line="180"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7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Purchaser required to be performed at or prior to such Closing Date shall have been performed in all material respects;</w:t>
      </w:r>
    </w:p>
    <w:p>
      <w:pPr>
        <w:spacing w:after="0" w:line="162"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Purchaser of the items set forth in Section 2.2(b) or Section 2.2(d), as applicable, of this Agreement;</w:t>
      </w:r>
    </w:p>
    <w:p>
      <w:pPr>
        <w:spacing w:after="0" w:line="21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Restraint shall be in effect which prohibits the consummation of any of the transactions contemplated by the Transaction</w:t>
      </w:r>
    </w:p>
    <w:p>
      <w:pPr>
        <w:spacing w:after="0" w:line="1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89" w:name="page90"/>
    <w:bookmarkEnd w:id="89"/>
    <w:p>
      <w:pPr>
        <w:ind w:left="1700" w:hanging="396"/>
        <w:spacing w:after="0"/>
        <w:tabs>
          <w:tab w:leader="none" w:pos="17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Subsequent Closing, the Stockholder Approval shall have been obtained and become effective.</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 in connection with the applicable Closing are subject to the following conditions being met:</w:t>
      </w:r>
    </w:p>
    <w:p>
      <w:pPr>
        <w:spacing w:after="0" w:line="238" w:lineRule="exact"/>
        <w:rPr>
          <w:rFonts w:ascii="Times New Roman" w:cs="Times New Roman" w:eastAsia="Times New Roman" w:hAnsi="Times New Roman"/>
          <w:sz w:val="18"/>
          <w:szCs w:val="18"/>
          <w:color w:val="auto"/>
        </w:rPr>
      </w:pPr>
    </w:p>
    <w:p>
      <w:pPr>
        <w:jc w:val="both"/>
        <w:ind w:left="1300" w:firstLine="4"/>
        <w:spacing w:after="0" w:line="245" w:lineRule="auto"/>
        <w:tabs>
          <w:tab w:leader="none" w:pos="167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such Closing Date of the representations and warranties of the Company contained herein (unless made as of a specific date therein in which case they shall be accurate in all material respects (or, to the extent representations or warranties are qualified by materiality or Material Adverse Effect, in all respects) as of such date);</w:t>
      </w:r>
    </w:p>
    <w:p>
      <w:pPr>
        <w:spacing w:after="0" w:line="221" w:lineRule="exact"/>
        <w:rPr>
          <w:sz w:val="20"/>
          <w:szCs w:val="20"/>
          <w:color w:val="auto"/>
        </w:rPr>
      </w:pPr>
    </w:p>
    <w:p>
      <w:pPr>
        <w:ind w:left="1300" w:firstLine="4"/>
        <w:spacing w:after="0" w:line="250" w:lineRule="auto"/>
        <w:tabs>
          <w:tab w:leader="none" w:pos="170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such Closing Date shall have been performed;</w:t>
      </w:r>
    </w:p>
    <w:p>
      <w:pPr>
        <w:spacing w:after="0" w:line="21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or Section 2.2(c), as applicable, of this Agreement;</w:t>
      </w:r>
    </w:p>
    <w:p>
      <w:pPr>
        <w:spacing w:after="0" w:line="252" w:lineRule="exact"/>
        <w:rPr>
          <w:rFonts w:ascii="Times New Roman" w:cs="Times New Roman" w:eastAsia="Times New Roman" w:hAnsi="Times New Roman"/>
          <w:sz w:val="18"/>
          <w:szCs w:val="18"/>
          <w:color w:val="auto"/>
        </w:rPr>
      </w:pPr>
    </w:p>
    <w:p>
      <w:pPr>
        <w:jc w:val="both"/>
        <w:ind w:left="1300" w:right="20" w:firstLine="4"/>
        <w:spacing w:after="0" w:line="242" w:lineRule="auto"/>
        <w:tabs>
          <w:tab w:leader="none" w:pos="179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Initial Closing, the Closing (as defined under the Concurrent Placement Agreement) shall be occurring simultaneously with the Initial Closing hereunder on terms consistent in all material respects with the terms set forth in the Concurrent Placement Agreement upon its execution on the date of this Agreement;</w:t>
      </w:r>
    </w:p>
    <w:p>
      <w:pPr>
        <w:spacing w:after="0" w:line="22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52" w:lineRule="exact"/>
        <w:rPr>
          <w:rFonts w:ascii="Times New Roman" w:cs="Times New Roman" w:eastAsia="Times New Roman" w:hAnsi="Times New Roman"/>
          <w:sz w:val="18"/>
          <w:szCs w:val="18"/>
          <w:color w:val="auto"/>
        </w:rPr>
      </w:pPr>
    </w:p>
    <w:p>
      <w:pPr>
        <w:jc w:val="both"/>
        <w:ind w:left="1300" w:firstLine="4"/>
        <w:spacing w:after="0" w:line="237" w:lineRule="auto"/>
        <w:tabs>
          <w:tab w:leader="none" w:pos="18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each applicable Closing Date, trading in the Common Stock shall not have been suspended by the Commission or the Company’s principal Trading Market, and, at any time prior to a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a Closing;</w:t>
      </w:r>
    </w:p>
    <w:p>
      <w:pPr>
        <w:spacing w:after="0" w:line="229" w:lineRule="exact"/>
        <w:rPr>
          <w:rFonts w:ascii="Times New Roman" w:cs="Times New Roman" w:eastAsia="Times New Roman" w:hAnsi="Times New Roman"/>
          <w:sz w:val="18"/>
          <w:szCs w:val="18"/>
          <w:color w:val="auto"/>
        </w:rPr>
      </w:pPr>
    </w:p>
    <w:p>
      <w:pPr>
        <w:ind w:left="1300" w:firstLine="4"/>
        <w:spacing w:after="0" w:line="266" w:lineRule="auto"/>
        <w:tabs>
          <w:tab w:leader="none" w:pos="188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Restraint shall be in effect which prohibits the consummation of any of the transactions contemplated by the Transaction Documents; and</w:t>
      </w:r>
    </w:p>
    <w:p>
      <w:pPr>
        <w:spacing w:after="0" w:line="189"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Subsequent Closing, the Stockholder Approval shall have been obtained and become effective.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238" w:lineRule="exact"/>
        <w:rPr>
          <w:sz w:val="20"/>
          <w:szCs w:val="20"/>
          <w:color w:val="auto"/>
        </w:rPr>
      </w:pPr>
    </w:p>
    <w:p>
      <w:pPr>
        <w:jc w:val="both"/>
        <w:ind w:left="660" w:hanging="4"/>
        <w:spacing w:after="0" w:line="250" w:lineRule="auto"/>
        <w:tabs>
          <w:tab w:leader="none" w:pos="10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xml:space="preserve">. Each of the subsidiaries of the Company are set forth on </w:t>
      </w:r>
      <w:r>
        <w:rPr>
          <w:rFonts w:ascii="Times New Roman" w:cs="Times New Roman" w:eastAsia="Times New Roman" w:hAnsi="Times New Roman"/>
          <w:sz w:val="18"/>
          <w:szCs w:val="18"/>
          <w:u w:val="single" w:color="auto"/>
          <w:color w:val="auto"/>
        </w:rPr>
        <w:t>Schedule 3.1(a), and</w:t>
      </w:r>
      <w:r>
        <w:rPr>
          <w:rFonts w:ascii="Times New Roman" w:cs="Times New Roman" w:eastAsia="Times New Roman" w:hAnsi="Times New Roman"/>
          <w:sz w:val="18"/>
          <w:szCs w:val="18"/>
          <w:color w:val="auto"/>
        </w:rPr>
        <w:t xml:space="preserve"> the Company owns, directly or indirectly, all of the capital stock or other equity interests of each such subsidiary, free and clear of any liens or encumbrances, and all of the issued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4" w:right="339" w:bottom="1440" w:gutter="0" w:footer="0" w:header="0"/>
        </w:sectPr>
      </w:pPr>
    </w:p>
    <w:bookmarkStart w:id="90" w:name="page91"/>
    <w:bookmarkEnd w:id="90"/>
    <w:p>
      <w:pPr>
        <w:spacing w:after="0" w:line="140" w:lineRule="exact"/>
        <w:rPr>
          <w:sz w:val="20"/>
          <w:szCs w:val="20"/>
          <w:color w:val="auto"/>
        </w:rPr>
      </w:pPr>
    </w:p>
    <w:p>
      <w:pPr>
        <w:jc w:val="both"/>
        <w:ind w:left="4"/>
        <w:spacing w:after="0" w:line="238" w:lineRule="auto"/>
        <w:rPr>
          <w:sz w:val="20"/>
          <w:szCs w:val="20"/>
          <w:color w:val="auto"/>
        </w:rPr>
      </w:pPr>
      <w:r>
        <w:rPr>
          <w:rFonts w:ascii="Times New Roman" w:cs="Times New Roman" w:eastAsia="Times New Roman" w:hAnsi="Times New Roman"/>
          <w:sz w:val="18"/>
          <w:szCs w:val="18"/>
          <w:color w:val="auto"/>
        </w:rPr>
        <w:t>outstanding shares of capital stock of each such subsidiary are validly issued and are fully paid, non-assessable and free of preemptive and similar rights to subscribe for or purchase securities. Each of the Company and its subsidiaries has been duly incorporated or organized, as applicable, is validly existing and is in good standing (to the extent the concept of good standing is applicable in such jurisdiction) under the laws of its jurisdiction of incorporation or organization. Each of the Company and its subsidiaries has the requisite power and authority to own its properties and conduct its business as currently being carried on and as described in the Registration Statement and the Prospectus Supplement, and is duly qualified to do business as a foreign corporation or other entity in good standing in each jurisdiction in which the conduct of its business or ownership of property makes such qualification necessary, except where the failure to so qualify would not have or be reasonably expected to result in (a) a material adverse effect upon the business, properties, operations, financial condition or results of operations of the Company and its subsidiaries, taken as a whole, or (b) a material adverse effect on the Company’s ability to perform in any material respect on a timely basis its obligations under the Transaction Documents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26" w:lineRule="exact"/>
        <w:rPr>
          <w:sz w:val="20"/>
          <w:szCs w:val="20"/>
          <w:color w:val="auto"/>
        </w:rPr>
      </w:pPr>
    </w:p>
    <w:p>
      <w:pPr>
        <w:jc w:val="both"/>
        <w:ind w:left="4" w:hanging="4"/>
        <w:spacing w:after="0" w:line="239" w:lineRule="auto"/>
        <w:tabs>
          <w:tab w:leader="none" w:pos="42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Violations or Defaults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3.1(b)</w:t>
      </w:r>
      <w:r>
        <w:rPr>
          <w:rFonts w:ascii="Times New Roman" w:cs="Times New Roman" w:eastAsia="Times New Roman" w:hAnsi="Times New Roman"/>
          <w:sz w:val="18"/>
          <w:szCs w:val="18"/>
          <w:color w:val="auto"/>
        </w:rPr>
        <w:t>, neither the Company nor any of its subsidiaries (A) is in violation of its charters, bylaws or other organizational documents, (B) is in breach of or otherwise in default and no event has occurred which, with notice or lapse of time or both, would constitute such a default, in the performance or observance of any term, covenant or condition contained in any contract, indenture, mortgage, deed of trust, loan agreement, lease or other agreement or instrument to which it is a party or by which it is bound or to which any of its material property or assets is subject, or (C) is in violation in any respect of any law, ordinance, governmental rule, regulation or court order, decree or judgment to which it or its property or assets may be subject, including the Sarbanes-Oxley Act and the Exchange Act; except, in the case of clauses (B) and (C) of this paragraph (b), for any breaches, violations or defaults which, singularly or in the aggregate, would not reasonably be expected to have a Material Adverse Effect.</w:t>
      </w:r>
    </w:p>
    <w:p>
      <w:pPr>
        <w:spacing w:after="0" w:line="241" w:lineRule="exact"/>
        <w:rPr>
          <w:rFonts w:ascii="Times New Roman" w:cs="Times New Roman" w:eastAsia="Times New Roman" w:hAnsi="Times New Roman"/>
          <w:sz w:val="18"/>
          <w:szCs w:val="18"/>
          <w:color w:val="auto"/>
        </w:rPr>
      </w:pPr>
    </w:p>
    <w:p>
      <w:pPr>
        <w:jc w:val="both"/>
        <w:ind w:left="4" w:hanging="4"/>
        <w:spacing w:after="0" w:line="235" w:lineRule="auto"/>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No Conflicts; Authority</w:t>
      </w:r>
      <w:r>
        <w:rPr>
          <w:rFonts w:ascii="Times New Roman" w:cs="Times New Roman" w:eastAsia="Times New Roman" w:hAnsi="Times New Roman"/>
          <w:sz w:val="18"/>
          <w:szCs w:val="18"/>
          <w:color w:val="auto"/>
        </w:rPr>
        <w:t>. This Agreement has been duly authorized, executed and delivered by the Company. The Warrants have been duly authorized, and when executed and delivered by the Company, shall constitute a valid, legal and binding obligation of the Company, enforceable in accordance with their terms, except as such enforceability may be limited by bankruptcy, insolvency, reorganization or similar laws affecting the rights of creditors generally and subject to general principles of equity. The execution, delivery and performance of the Transaction Documents and the consummation of the transactions herein and therein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and its subsidiaries taken as a whole,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except in the case of clause (A) or (C)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Securities by the Company, except for the Stockholder Approval (solely with respect to the alternative cashless exercise option in the Class 2 Warrants and certain of the Securities issuable hereunder) and such as may be required under the Act, the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state securities or blue sky laws; and the Company has full power and authority to enter into the Transaction Documents and to consummate the transactions contemplated hereby and thereby, including the authorization, issuance and sale of the Securities as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440" w:right="339" w:bottom="1440" w:gutter="0" w:footer="0" w:header="0"/>
        </w:sectPr>
      </w:pPr>
    </w:p>
    <w:bookmarkStart w:id="91" w:name="page92"/>
    <w:bookmarkEnd w:id="91"/>
    <w:p>
      <w:pPr>
        <w:spacing w:after="0" w:line="140" w:lineRule="exact"/>
        <w:rPr>
          <w:sz w:val="20"/>
          <w:szCs w:val="20"/>
          <w:color w:val="auto"/>
        </w:rPr>
      </w:pPr>
    </w:p>
    <w:p>
      <w:pPr>
        <w:jc w:val="both"/>
        <w:ind w:left="4" w:hanging="4"/>
        <w:spacing w:after="0" w:line="245" w:lineRule="auto"/>
        <w:tabs>
          <w:tab w:leader="none" w:pos="4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Warrant Shares are duly authorized and, when issued in accordance with the terms of the Warrants, will be validly issued, fully paid and nonassessable, free and clear of all Liens imposed by the Company.</w:t>
      </w:r>
    </w:p>
    <w:p>
      <w:pPr>
        <w:spacing w:after="0" w:line="235" w:lineRule="exact"/>
        <w:rPr>
          <w:sz w:val="20"/>
          <w:szCs w:val="20"/>
          <w:color w:val="auto"/>
        </w:rPr>
      </w:pPr>
    </w:p>
    <w:p>
      <w:pPr>
        <w:jc w:val="both"/>
        <w:ind w:left="4"/>
        <w:spacing w:after="0" w:line="236" w:lineRule="auto"/>
        <w:rPr>
          <w:sz w:val="20"/>
          <w:szCs w:val="20"/>
          <w:color w:val="auto"/>
        </w:rPr>
      </w:pPr>
      <w:r>
        <w:rPr>
          <w:rFonts w:ascii="Times New Roman" w:cs="Times New Roman" w:eastAsia="Times New Roman" w:hAnsi="Times New Roman"/>
          <w:sz w:val="18"/>
          <w:szCs w:val="18"/>
          <w:color w:val="auto"/>
        </w:rPr>
        <w:t>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Registration Statement became effective on February 14, 2024, including the related base prospectus, and such amendments and supplements thereto as may have been required to the date of this Agreement. The Company is eligible to sell the Securities under Instruction I.B.1 of Form S-3. The Registration Statement is effective under the Securities Act and no stop order preventing or suspending the effectiveness of the Registration Statement or suspending or preventing the use of the Prospectus Supplement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each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each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240" w:lineRule="exact"/>
        <w:rPr>
          <w:sz w:val="20"/>
          <w:szCs w:val="20"/>
          <w:color w:val="auto"/>
        </w:rPr>
      </w:pPr>
    </w:p>
    <w:p>
      <w:pPr>
        <w:jc w:val="both"/>
        <w:ind w:left="4" w:hanging="4"/>
        <w:spacing w:after="0" w:line="235" w:lineRule="auto"/>
        <w:tabs>
          <w:tab w:leader="none" w:pos="41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xml:space="preserve">). All of the issued and outstanding shares of capital stock of the Company, including the outstanding shares of Common Stock, are duly authorized and validly issued, fully paid and nonassessable, have been issued in compliance with all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the capital stock of the Company, including the Common Stock and the Warrants, conforms in all material respects to the description thereof in the Registration Statement and the Prospectus Supplement. Except as set forth on </w:t>
      </w:r>
      <w:r>
        <w:rPr>
          <w:rFonts w:ascii="Times New Roman" w:cs="Times New Roman" w:eastAsia="Times New Roman" w:hAnsi="Times New Roman"/>
          <w:sz w:val="18"/>
          <w:szCs w:val="18"/>
          <w:u w:val="single" w:color="auto"/>
          <w:color w:val="auto"/>
        </w:rPr>
        <w:t>Schedule 3.1(e</w:t>
      </w:r>
      <w:r>
        <w:rPr>
          <w:rFonts w:ascii="Times New Roman" w:cs="Times New Roman" w:eastAsia="Times New Roman" w:hAnsi="Times New Roman"/>
          <w:sz w:val="18"/>
          <w:szCs w:val="18"/>
          <w:color w:val="auto"/>
        </w:rPr>
        <w:t>) and except for the Concurrent Placement,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have been validly waived or complied with in connection with the sale of Securities as contemplated by this Agreement.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capital stock of any subsidiary of the Company, or contracts, commitments, understandings or arrangements by which the Company or any of its subsidiaries is or may become bound to issue additional shares of Common Stock, Common Stock Equivalents or capital stock of any such subsidiary. The issuance and sale of the Securities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of its subsidiaries. There are no outstanding securities or instruments of the Company or any of its subsidiaries that contain any redemption or similar provisions, and there are no contracts,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4"/>
          </w:cols>
          <w:pgMar w:left="976" w:top="1440" w:right="339" w:bottom="1440" w:gutter="0" w:footer="0" w:header="0"/>
        </w:sectPr>
      </w:pPr>
    </w:p>
    <w:bookmarkStart w:id="92" w:name="page93"/>
    <w:bookmarkEnd w:id="92"/>
    <w:p>
      <w:pPr>
        <w:spacing w:after="0" w:line="140" w:lineRule="exact"/>
        <w:rPr>
          <w:sz w:val="20"/>
          <w:szCs w:val="20"/>
          <w:color w:val="auto"/>
        </w:rPr>
      </w:pPr>
    </w:p>
    <w:p>
      <w:pPr>
        <w:jc w:val="both"/>
        <w:ind w:left="4"/>
        <w:spacing w:after="0"/>
        <w:rPr>
          <w:sz w:val="20"/>
          <w:szCs w:val="20"/>
          <w:color w:val="auto"/>
        </w:rPr>
      </w:pPr>
      <w:r>
        <w:rPr>
          <w:rFonts w:ascii="Times New Roman" w:cs="Times New Roman" w:eastAsia="Times New Roman" w:hAnsi="Times New Roman"/>
          <w:sz w:val="18"/>
          <w:szCs w:val="18"/>
          <w:color w:val="auto"/>
        </w:rPr>
        <w:t>understandings or arrangements by which the Company or any subsidiary of the Company is or may become bound to redeem a security of the Company or such subsidiary. The Company does not have any stock appreciation rights or “phantom stock” plans or agreements or any similar plan or agreement. Except for the Stockholder Approval (solely with respect to the alternative cashless exercise option in the Class 2 Warrants and certain of the Securities issuable hereunder), no further approval or authorization of any stockholder, the Board of Directors or others is required for the issuance and sale of the Securities. Except as set forth in the SEC Reports (as defined below) and the Voting Support Agreement,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39" w:lineRule="exact"/>
        <w:rPr>
          <w:sz w:val="20"/>
          <w:szCs w:val="20"/>
          <w:color w:val="auto"/>
        </w:rPr>
      </w:pPr>
    </w:p>
    <w:p>
      <w:pPr>
        <w:jc w:val="both"/>
        <w:ind w:left="4" w:hanging="4"/>
        <w:spacing w:after="0" w:line="236" w:lineRule="auto"/>
        <w:tabs>
          <w:tab w:leader="none" w:pos="4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Since January 1, 2022, as of their respective dates, the SEC Reports comply in all material respects with the requirements of the Securities Act and the Exchange Act, as applicable, and the SEC Reports, taken as a whole, as of the date hereof, do not contain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39" w:lineRule="exact"/>
        <w:rPr>
          <w:rFonts w:ascii="Times New Roman" w:cs="Times New Roman" w:eastAsia="Times New Roman" w:hAnsi="Times New Roman"/>
          <w:sz w:val="18"/>
          <w:szCs w:val="18"/>
          <w:color w:val="auto"/>
        </w:rPr>
      </w:pPr>
    </w:p>
    <w:p>
      <w:pPr>
        <w:jc w:val="both"/>
        <w:ind w:left="4" w:hanging="4"/>
        <w:spacing w:after="0" w:line="236" w:lineRule="auto"/>
        <w:tabs>
          <w:tab w:leader="none" w:pos="43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Events; Undisclosed Events, Liabilities or Developments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since the date of the latest financial statements filed by the Company with the SEC, the Company has not (i) incurred any material liabilities, direct or contingent, other than trade payables and accrued expenses incurred in the ordinary course of business consistent with past practices and liabilities not required to be reflected in the Company’s financial statements pursuant to generally accepted accounting principles or disclosed in filings made with the SEC,</w:t>
      </w:r>
    </w:p>
    <w:p>
      <w:pPr>
        <w:spacing w:after="0" w:line="2" w:lineRule="exact"/>
        <w:rPr>
          <w:rFonts w:ascii="Times New Roman" w:cs="Times New Roman" w:eastAsia="Times New Roman" w:hAnsi="Times New Roman"/>
          <w:sz w:val="18"/>
          <w:szCs w:val="18"/>
          <w:color w:val="auto"/>
        </w:rPr>
      </w:pPr>
    </w:p>
    <w:p>
      <w:pPr>
        <w:jc w:val="both"/>
        <w:ind w:left="4" w:hanging="4"/>
        <w:spacing w:after="0" w:line="234" w:lineRule="auto"/>
        <w:tabs>
          <w:tab w:leader="none" w:pos="27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declared or paid any dividends or made any distribution of any kind with respect to its capital stock, (iii) had any change in the capital stock of the Company (other than a change in the number of outstanding shares of Common Stock due to the issuance of shares upon the exercise of outstanding options or warrants, the issuance of Common Stock in accordance with exchanges made under the Company’s Amended &amp; Restated Exchange Agreement dated May 3, 2022, settlement of restricted stock units or conversion of convertible securities), or (iv) other than pursuant to the Concurrent Placement, had any issuance of options, warrants, restricted stock units, convertible securities or other rights to purchase the capital stock of the Company or any of its subsidiaries. Except for (i) the issuance of the Securities contemplated by this Agreement and the issuance of the securities in the Concurrent Placement, or (ii)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244"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42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3.1(h)</w:t>
      </w:r>
      <w:r>
        <w:rPr>
          <w:rFonts w:ascii="Times New Roman" w:cs="Times New Roman" w:eastAsia="Times New Roman" w:hAnsi="Times New Roman"/>
          <w:sz w:val="18"/>
          <w:szCs w:val="18"/>
          <w:color w:val="auto"/>
        </w:rPr>
        <w:t>, there is not pending or, to the knowledge of the Company, threatened, any action, suit or proceeding (a) to which the Company or any of its subsidiaries is a party or (b) which has as the subject thereof any officer or director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976" w:top="1440" w:right="339" w:bottom="1440" w:gutter="0" w:footer="0" w:header="0"/>
        </w:sectPr>
      </w:pPr>
    </w:p>
    <w:bookmarkStart w:id="93" w:name="page94"/>
    <w:bookmarkEnd w:id="93"/>
    <w:p>
      <w:pPr>
        <w:spacing w:after="0" w:line="140"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18"/>
          <w:szCs w:val="18"/>
          <w:color w:val="auto"/>
        </w:rPr>
        <w:t>any subsidiary, any employee benefit plan sponsored by the Company or any subsidiary or any property or assets owned or leased by the Company or any subsidiary before or by any court or Governmental Authority, or any arbitrator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individually or in the aggregate, would reasonably be expected to result in any Material Adverse Effect, or would materially and adversely affect the ability of the Company to perform its obligations under the Transaction Documents.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and the Prospectus Supplement by the Securities Act or by the Rules and Regulations and that have not been so described in all material respects.</w:t>
      </w:r>
    </w:p>
    <w:p>
      <w:pPr>
        <w:spacing w:after="0" w:line="241" w:lineRule="exact"/>
        <w:rPr>
          <w:sz w:val="20"/>
          <w:szCs w:val="20"/>
          <w:color w:val="auto"/>
        </w:rPr>
      </w:pPr>
    </w:p>
    <w:p>
      <w:pPr>
        <w:jc w:val="both"/>
        <w:ind w:left="4" w:hanging="4"/>
        <w:spacing w:after="0" w:line="250" w:lineRule="auto"/>
        <w:tabs>
          <w:tab w:leader="none" w:pos="4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material labor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w:t>
      </w:r>
    </w:p>
    <w:p>
      <w:pPr>
        <w:spacing w:after="0" w:line="217" w:lineRule="exact"/>
        <w:rPr>
          <w:rFonts w:ascii="Times New Roman" w:cs="Times New Roman" w:eastAsia="Times New Roman" w:hAnsi="Times New Roman"/>
          <w:sz w:val="18"/>
          <w:szCs w:val="18"/>
          <w:color w:val="auto"/>
        </w:rPr>
      </w:pPr>
    </w:p>
    <w:p>
      <w:pPr>
        <w:jc w:val="both"/>
        <w:ind w:left="4" w:hanging="4"/>
        <w:spacing w:after="0" w:line="239" w:lineRule="auto"/>
        <w:tabs>
          <w:tab w:leader="none" w:pos="3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its subsidiaries possess or own all licenses, certificates, permits and other authorizations (collectively, “Permits”) issued by, and have made all declarations and filings with, the applicable federal, state, local or foreign governmental or regulatory authorities that are necessary for the current ownership or lease of its properties or the conduct of its businesses as described in the Registration Statement, except where the failure to possess such Permits would not reasonably be expected to result in a Material Adverse Effect; the Company and its subsidiaries are not in violation of, or in default under, any such Permit, except where such violation would not reasonably be expected to result in a Material Adverse Effect; and the Company and its subsidiaries have not received written notice of any revocation or modification of any such Permit and do not have any reason to believe that any such Permit will not be renewed in the ordinary course, except in each case as would not reasonably be expected to result in a Material Adverse Effect.</w:t>
      </w:r>
    </w:p>
    <w:p>
      <w:pPr>
        <w:spacing w:after="0" w:line="241" w:lineRule="exact"/>
        <w:rPr>
          <w:rFonts w:ascii="Times New Roman" w:cs="Times New Roman" w:eastAsia="Times New Roman" w:hAnsi="Times New Roman"/>
          <w:sz w:val="18"/>
          <w:szCs w:val="18"/>
          <w:color w:val="auto"/>
        </w:rPr>
      </w:pPr>
    </w:p>
    <w:p>
      <w:pPr>
        <w:jc w:val="both"/>
        <w:ind w:left="4" w:hanging="4"/>
        <w:spacing w:after="0" w:line="238" w:lineRule="auto"/>
        <w:tabs>
          <w:tab w:leader="none" w:pos="4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disclosed in the Prospectus Supplement or that would not result in a Material Adverse Effect, neither the Company nor any of its subsidiaries is (i)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owns or operates any real property contaminated with any substance that is subject to any Environmental Laws, (iii) is liable for any off-site disposal or contamination pursuant to any Environmental Laws, or (iv) is subject to any claim relating to any Environmental Laws.</w:t>
      </w:r>
    </w:p>
    <w:p>
      <w:pPr>
        <w:spacing w:after="0" w:line="239" w:lineRule="exact"/>
        <w:rPr>
          <w:rFonts w:ascii="Times New Roman" w:cs="Times New Roman" w:eastAsia="Times New Roman" w:hAnsi="Times New Roman"/>
          <w:sz w:val="18"/>
          <w:szCs w:val="18"/>
          <w:color w:val="auto"/>
        </w:rPr>
      </w:pPr>
    </w:p>
    <w:p>
      <w:pPr>
        <w:jc w:val="both"/>
        <w:ind w:left="4" w:hanging="4"/>
        <w:spacing w:after="0"/>
        <w:tabs>
          <w:tab w:leader="none" w:pos="3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Assets</w:t>
      </w:r>
      <w:r>
        <w:rPr>
          <w:rFonts w:ascii="Times New Roman" w:cs="Times New Roman" w:eastAsia="Times New Roman" w:hAnsi="Times New Roman"/>
          <w:sz w:val="18"/>
          <w:szCs w:val="18"/>
          <w:color w:val="auto"/>
        </w:rPr>
        <w:t>. The Company and its subsidiaries have good and marketable title to all property (whether real or personal) described in the Registration Statement and the Prospectus Supplement as being owned by them which is material to the Company and its subsidiaries taken as a whole, in each case free and clear of all liens, claims, security interests, other encumbrances or defects except such as are described in the Registration Statement and the Prospectus Supplement or as would not, individually or in the aggregate, be reasonably expected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238" w:lineRule="exact"/>
        <w:rPr>
          <w:rFonts w:ascii="Times New Roman" w:cs="Times New Roman" w:eastAsia="Times New Roman" w:hAnsi="Times New Roman"/>
          <w:sz w:val="18"/>
          <w:szCs w:val="18"/>
          <w:color w:val="auto"/>
        </w:rPr>
      </w:pPr>
    </w:p>
    <w:p>
      <w:pPr>
        <w:jc w:val="both"/>
        <w:ind w:left="4" w:hanging="4"/>
        <w:spacing w:after="0" w:line="238" w:lineRule="auto"/>
        <w:tabs>
          <w:tab w:leader="none" w:pos="5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each of its subsidiaries owns, possesses, or can acquire on reasonable terms, all Intellectual Property (as defined below) necessary for the conduct of the Company’s and it subsidiaries’ business as now conducted or as described in the Registration Statement and the Prospectus Supplement to be conducted, except as such failure to own, possess, or acquire such rights would not reasonably be expected to result in a Material Adverse Effect. Furthermore, except as described in the Registration Statement and the Prospectus Supplement, (A) to the knowledge of the Company, there is no infringement, misappropriation or violation by third parties of any such Intellectual Property,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976" w:top="1440" w:right="339" w:bottom="1440" w:gutter="0" w:footer="0" w:header="0"/>
        </w:sectPr>
      </w:pPr>
    </w:p>
    <w:bookmarkStart w:id="94" w:name="page95"/>
    <w:bookmarkEnd w:id="94"/>
    <w:p>
      <w:pPr>
        <w:spacing w:after="0" w:line="140" w:lineRule="exact"/>
        <w:rPr>
          <w:sz w:val="20"/>
          <w:szCs w:val="20"/>
          <w:color w:val="auto"/>
        </w:rPr>
      </w:pPr>
    </w:p>
    <w:p>
      <w:pPr>
        <w:jc w:val="both"/>
        <w:ind w:left="4"/>
        <w:spacing w:after="0" w:line="235" w:lineRule="auto"/>
        <w:rPr>
          <w:sz w:val="20"/>
          <w:szCs w:val="20"/>
          <w:color w:val="auto"/>
        </w:rPr>
      </w:pPr>
      <w:r>
        <w:rPr>
          <w:rFonts w:ascii="Times New Roman" w:cs="Times New Roman" w:eastAsia="Times New Roman" w:hAnsi="Times New Roman"/>
          <w:sz w:val="18"/>
          <w:szCs w:val="18"/>
          <w:color w:val="auto"/>
        </w:rPr>
        <w:t>as such infringement, misappropriation or violation would not result in a Material Adverse Effect; (B) there is no pending or, to the knowledge of the Company, threatened, action, suit, proceeding or claim by others challenging the Company’s or any of its subsidiaries’ rights in or to any such Intellectual Property, and the Company is unaware of any material objective facts which would form a reasonable basis for any such claim, except as such action, suit, proceeding or claim would not reasonably be expected to result in a Material Adverse Effect; (C) the Intellectual Property owned by the Company and its subsidiaries, and to the knowledge of the Company, the Intellectual Property licensed to the Company and its subsidiaries, has not been adjudged invalid or unenforceable, in whole or in part, except as such adjudgment would not result in a Material Adverse Effect, and there is no pending or, to the knowledge of the Company, threatened action, suit, proceeding or claim by others challenging the validity or scope of any such Intellectual Property, except as such action, suit, proceeding or claim would not reasonably be expected to result in a Material Adverse Effect;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except as such action, suit, proceeding or claim would not reasonably be expected to result in a Material Adverse Effect;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patents, patent applications, trademarks, trademark registrations, service marks, service mark registrations, trade names, copyrights, copyright registrations, licenses, inventions, trade secrets, Internet domain names, Internet domain name registrations, technology, registrations, trade secret rights, know-how and other intellectual property.</w:t>
      </w:r>
    </w:p>
    <w:p>
      <w:pPr>
        <w:spacing w:after="0" w:line="253" w:lineRule="exact"/>
        <w:rPr>
          <w:sz w:val="20"/>
          <w:szCs w:val="20"/>
          <w:color w:val="auto"/>
        </w:rPr>
      </w:pPr>
    </w:p>
    <w:p>
      <w:pPr>
        <w:jc w:val="both"/>
        <w:ind w:left="4" w:hanging="4"/>
        <w:spacing w:after="0" w:line="237" w:lineRule="auto"/>
        <w:tabs>
          <w:tab w:leader="none" w:pos="3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have a Material Adverse Effect, the Company and each of its subsidiaries carries, or is covered by, insurance from insurers of recognized financial responsibility in such amounts and covering such risks as is customary for companies engaged in similar businesses in similar industries; all policies of insurance and any fidelity or surety bonds insuring the Company or any of its subsidiaries or its business, assets, employees, officers and directors are in full force and effect, except as would not have a Material Adverse Effect; the Company and its subsidiaries are in compliance with the terms of such policies and instruments in all material respects;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43" w:lineRule="exact"/>
        <w:rPr>
          <w:rFonts w:ascii="Times New Roman" w:cs="Times New Roman" w:eastAsia="Times New Roman" w:hAnsi="Times New Roman"/>
          <w:sz w:val="18"/>
          <w:szCs w:val="18"/>
          <w:color w:val="auto"/>
        </w:rPr>
      </w:pPr>
    </w:p>
    <w:p>
      <w:pPr>
        <w:jc w:val="both"/>
        <w:ind w:left="4" w:hanging="4"/>
        <w:spacing w:after="0"/>
        <w:tabs>
          <w:tab w:leader="none" w:pos="43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and its subsidiaries maintain a system of internal accounting controls in compliance with the Sarbanes-Oxley Act of 2022. Since the end of the latest audited fiscal year, except as disclosed in the SEC Reports,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Exchange Rules</w:t>
      </w:r>
      <w:r>
        <w:rPr>
          <w:rFonts w:ascii="Times New Roman" w:cs="Times New Roman" w:eastAsia="Times New Roman" w:hAnsi="Times New Roman"/>
          <w:sz w:val="18"/>
          <w:szCs w:val="18"/>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238" w:lineRule="exact"/>
        <w:rPr>
          <w:rFonts w:ascii="Times New Roman" w:cs="Times New Roman" w:eastAsia="Times New Roman" w:hAnsi="Times New Roman"/>
          <w:sz w:val="18"/>
          <w:szCs w:val="18"/>
          <w:color w:val="auto"/>
        </w:rPr>
      </w:pPr>
    </w:p>
    <w:p>
      <w:pPr>
        <w:jc w:val="both"/>
        <w:ind w:left="4" w:hanging="4"/>
        <w:spacing w:after="0" w:line="238" w:lineRule="auto"/>
        <w:tabs>
          <w:tab w:leader="none" w:pos="42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(for the avoidance of doubt, except for such placement agent fees as may be payable in connection with the Concurrent Placement). Other than for Persons engaged by the Purchaser, if any,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4"/>
          </w:cols>
          <w:pgMar w:left="976" w:top="1440" w:right="339" w:bottom="1440" w:gutter="0" w:footer="0" w:header="0"/>
        </w:sectPr>
      </w:pPr>
    </w:p>
    <w:bookmarkStart w:id="95" w:name="page96"/>
    <w:bookmarkEnd w:id="95"/>
    <w:p>
      <w:pPr>
        <w:ind w:left="5" w:right="80" w:hanging="5"/>
        <w:spacing w:after="0" w:line="266" w:lineRule="auto"/>
        <w:tabs>
          <w:tab w:leader="none" w:pos="3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required to register as an “investment company” within the meaning of the Investment Company Act of 1940, as amended.</w:t>
      </w:r>
    </w:p>
    <w:p>
      <w:pPr>
        <w:spacing w:after="0" w:line="121" w:lineRule="exact"/>
        <w:rPr>
          <w:rFonts w:ascii="Times New Roman" w:cs="Times New Roman" w:eastAsia="Times New Roman" w:hAnsi="Times New Roman"/>
          <w:sz w:val="18"/>
          <w:szCs w:val="18"/>
          <w:color w:val="auto"/>
        </w:rPr>
      </w:pPr>
    </w:p>
    <w:p>
      <w:pPr>
        <w:jc w:val="both"/>
        <w:ind w:left="45" w:hanging="4"/>
        <w:spacing w:after="0" w:line="238" w:lineRule="auto"/>
        <w:tabs>
          <w:tab w:leader="none" w:pos="44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77" w:lineRule="exact"/>
        <w:rPr>
          <w:rFonts w:ascii="Times New Roman" w:cs="Times New Roman" w:eastAsia="Times New Roman" w:hAnsi="Times New Roman"/>
          <w:sz w:val="18"/>
          <w:szCs w:val="18"/>
          <w:color w:val="auto"/>
        </w:rPr>
      </w:pPr>
    </w:p>
    <w:p>
      <w:pPr>
        <w:jc w:val="both"/>
        <w:ind w:left="45" w:hanging="4"/>
        <w:spacing w:after="0"/>
        <w:tabs>
          <w:tab w:leader="none" w:pos="48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(A) have timely filed all federal, state, local and foreign income and franchise tax returns required to be filed and (B) are not in default in the payment of any taxes which were payable pursuant to said returns or any assessments with respect thereto, other than any which the Company or any of its subsidiaries is contesting in good faith; except those, in each of the cases described in clauses (A) and (B) of this paragraph (x), that would not, singularly or in the aggregate, reasonably be expected to have a Material Adverse Effect. There is no pending material dispute with any taxing authority relating to any of such returns, and the Company has no knowledge of any proposed material liability for any tax to be imposed upon the properties or assets of the Company for which there is not an adequate reserve reflected in the Company’s financial statements included in the Registration Statement and the Prospectus Supplement.</w:t>
      </w:r>
    </w:p>
    <w:p>
      <w:pPr>
        <w:spacing w:after="0" w:line="238" w:lineRule="exact"/>
        <w:rPr>
          <w:rFonts w:ascii="Times New Roman" w:cs="Times New Roman" w:eastAsia="Times New Roman" w:hAnsi="Times New Roman"/>
          <w:sz w:val="18"/>
          <w:szCs w:val="18"/>
          <w:color w:val="auto"/>
        </w:rPr>
      </w:pPr>
    </w:p>
    <w:p>
      <w:pPr>
        <w:jc w:val="both"/>
        <w:ind w:left="45" w:hanging="4"/>
        <w:spacing w:after="0" w:line="237" w:lineRule="auto"/>
        <w:tabs>
          <w:tab w:leader="none" w:pos="39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its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241" w:lineRule="exact"/>
        <w:rPr>
          <w:sz w:val="20"/>
          <w:szCs w:val="20"/>
          <w:color w:val="auto"/>
        </w:rPr>
      </w:pPr>
    </w:p>
    <w:p>
      <w:pPr>
        <w:jc w:val="both"/>
        <w:ind w:left="5" w:hanging="5"/>
        <w:spacing w:after="0"/>
        <w:tabs>
          <w:tab w:leader="none" w:pos="46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Each of the Company and its subsidiaries and, to the Company’s knowledge, its affiliates and any of their respective officers, directors, or employees, each in their respective roles with the Company, has not violated, and the Company has instituted and maintains policies and procedures designed to ensure continued compliance in all material respects with, each of the following laws: applicable anti-bribery laws, including but not limited to any applicable law, rule, or regulation promulgated to implement the OECD Convention on Combating Bribery of Foreign Public Officials in International Business Transactions, signed December 17, 1997, including the U.S.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as amended, the U.K. Bribery Act 2010 (to the extent applicable), or any other applicable law, rule or regulation of similar purposes and scope.</w:t>
      </w:r>
    </w:p>
    <w:p>
      <w:pPr>
        <w:spacing w:after="0" w:line="238" w:lineRule="exact"/>
        <w:rPr>
          <w:rFonts w:ascii="Times New Roman" w:cs="Times New Roman" w:eastAsia="Times New Roman" w:hAnsi="Times New Roman"/>
          <w:sz w:val="18"/>
          <w:szCs w:val="18"/>
          <w:color w:val="auto"/>
        </w:rPr>
      </w:pPr>
    </w:p>
    <w:p>
      <w:pPr>
        <w:jc w:val="both"/>
        <w:ind w:left="45" w:hanging="4"/>
        <w:spacing w:after="0" w:line="238" w:lineRule="auto"/>
        <w:tabs>
          <w:tab w:leader="none" w:pos="46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4.10 hereof),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25"/>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5"/>
          </w:cols>
          <w:pgMar w:left="935" w:top="1404" w:right="339" w:bottom="1440" w:gutter="0" w:footer="0" w:header="0"/>
        </w:sectPr>
      </w:pPr>
    </w:p>
    <w:bookmarkStart w:id="96" w:name="page97"/>
    <w:bookmarkEnd w:id="96"/>
    <w:p>
      <w:pPr>
        <w:spacing w:after="0" w:line="140" w:lineRule="exact"/>
        <w:rPr>
          <w:sz w:val="20"/>
          <w:szCs w:val="20"/>
          <w:color w:val="auto"/>
        </w:rPr>
      </w:pPr>
    </w:p>
    <w:p>
      <w:pPr>
        <w:jc w:val="both"/>
        <w:ind w:left="4"/>
        <w:spacing w:after="0" w:line="239" w:lineRule="auto"/>
        <w:rPr>
          <w:sz w:val="20"/>
          <w:szCs w:val="20"/>
          <w:color w:val="auto"/>
        </w:rPr>
      </w:pPr>
      <w:r>
        <w:rPr>
          <w:rFonts w:ascii="Times New Roman" w:cs="Times New Roman" w:eastAsia="Times New Roman" w:hAnsi="Times New Roman"/>
          <w:sz w:val="18"/>
          <w:szCs w:val="18"/>
          <w:color w:val="auto"/>
        </w:rPr>
        <w:t>future private placement transactions, may negatively impact the market price of the Company’s publicly-traded securities, (iii) the Purchaser, and counter-parties in “derivative” transactions, if any, to which the Purchaser is a party, directly or indirectly, presently may have a “short” position in the Common Stock, and (iv) the Purchaser shall not be deemed to have any affiliation with or control over any arm’s length counter-party in any “derivative” transaction. The Company further understands and acknowledges that (y) the Purchaser may engage in hedging activities at various times during the period that the Securities are outstanding, and (z) such hedging activities (if any) would reduce the value of the existing stockholders’ equity interests in the Company at and after the time that the hedging activities are being conducted. The Company acknowledges that such aforementioned hedging activities, if otherwise conducted in compliance with Sections 3.2(f) and 4.10 hereof, do not constitute a breach of any of the Transaction Documents.</w:t>
      </w:r>
    </w:p>
    <w:p>
      <w:pPr>
        <w:spacing w:after="0" w:line="241" w:lineRule="exact"/>
        <w:rPr>
          <w:sz w:val="20"/>
          <w:szCs w:val="20"/>
          <w:color w:val="auto"/>
        </w:rPr>
      </w:pPr>
    </w:p>
    <w:p>
      <w:pPr>
        <w:jc w:val="both"/>
        <w:ind w:left="4" w:hanging="4"/>
        <w:spacing w:after="0" w:line="239" w:lineRule="auto"/>
        <w:tabs>
          <w:tab w:leader="none" w:pos="44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Concurrent Placement.</w:t>
      </w:r>
    </w:p>
    <w:p>
      <w:pPr>
        <w:spacing w:after="0" w:line="238" w:lineRule="exact"/>
        <w:rPr>
          <w:rFonts w:ascii="Times New Roman" w:cs="Times New Roman" w:eastAsia="Times New Roman" w:hAnsi="Times New Roman"/>
          <w:sz w:val="18"/>
          <w:szCs w:val="18"/>
          <w:color w:val="auto"/>
        </w:rPr>
      </w:pPr>
    </w:p>
    <w:p>
      <w:pPr>
        <w:jc w:val="both"/>
        <w:ind w:left="4" w:hanging="4"/>
        <w:spacing w:after="0" w:line="238" w:lineRule="auto"/>
        <w:tabs>
          <w:tab w:leader="none" w:pos="42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have a Material Adverse Effect, (i)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to the protection of such IT Systems and Data from unauthorized use, access, misappropriation or modification, (ii) the Company and the Subsidiaries have implemented and maintained commercially reasonable safeguards to maintain and protect its material confidential information and the integrity, continuous operation, redundancy and security of all IT Systems and Data, and (iii) the Company and the Subsidiaries have implemented backup and disaster recovery technology consistent with commercially reasonable industry standards and practices.</w:t>
      </w:r>
    </w:p>
    <w:p>
      <w:pPr>
        <w:spacing w:after="0" w:line="242" w:lineRule="exact"/>
        <w:rPr>
          <w:rFonts w:ascii="Times New Roman" w:cs="Times New Roman" w:eastAsia="Times New Roman" w:hAnsi="Times New Roman"/>
          <w:sz w:val="18"/>
          <w:szCs w:val="18"/>
          <w:color w:val="auto"/>
        </w:rPr>
      </w:pPr>
    </w:p>
    <w:p>
      <w:pPr>
        <w:jc w:val="both"/>
        <w:ind w:left="4" w:hanging="4"/>
        <w:spacing w:after="0" w:line="242" w:lineRule="auto"/>
        <w:tabs>
          <w:tab w:leader="none" w:pos="42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Except as described in the Registration Statement and the Prospectus Supplement, since September 30, 2023, there are no options, warrants, restricted stock units, agreements, contracts or other rights in existence to purchase or acquire from the Company or any subsidiary of the Company any shares of the capital stock of the Company or any subsidiary of the Company.</w:t>
      </w:r>
    </w:p>
    <w:p>
      <w:pPr>
        <w:spacing w:after="0" w:line="237"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43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231" w:lineRule="exact"/>
        <w:rPr>
          <w:sz w:val="20"/>
          <w:szCs w:val="20"/>
          <w:color w:val="auto"/>
        </w:rPr>
      </w:pPr>
    </w:p>
    <w:p>
      <w:pPr>
        <w:jc w:val="both"/>
        <w:ind w:left="4" w:hanging="4"/>
        <w:spacing w:after="0" w:line="245" w:lineRule="auto"/>
        <w:tabs>
          <w:tab w:leader="none" w:pos="5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its subsidiaries are and have been conducted in compliance with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w:t>
      </w:r>
    </w:p>
    <w:p>
      <w:pPr>
        <w:spacing w:after="0" w:line="234" w:lineRule="exact"/>
        <w:rPr>
          <w:rFonts w:ascii="Times New Roman" w:cs="Times New Roman" w:eastAsia="Times New Roman" w:hAnsi="Times New Roman"/>
          <w:sz w:val="18"/>
          <w:szCs w:val="18"/>
          <w:color w:val="auto"/>
        </w:rPr>
      </w:pPr>
    </w:p>
    <w:p>
      <w:pPr>
        <w:jc w:val="both"/>
        <w:ind w:left="4" w:hanging="4"/>
        <w:spacing w:after="0" w:line="239" w:lineRule="auto"/>
        <w:tabs>
          <w:tab w:leader="none" w:pos="5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 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4"/>
          </w:cols>
          <w:pgMar w:left="976" w:top="1440" w:right="339" w:bottom="1440" w:gutter="0" w:footer="0" w:header="0"/>
        </w:sectPr>
      </w:pPr>
    </w:p>
    <w:bookmarkStart w:id="97" w:name="page98"/>
    <w:bookmarkEnd w:id="97"/>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limitation as a result of the Company’s issuance of the Securities and the Purchaser’s ownership of the Securities.</w:t>
      </w:r>
    </w:p>
    <w:p>
      <w:pPr>
        <w:spacing w:after="0" w:line="2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 applicable Closing Date to the Company as follows (unless as of a specific date therein, in which case they shall be accurate as of such date):</w:t>
      </w:r>
    </w:p>
    <w:p>
      <w:pPr>
        <w:spacing w:after="0" w:line="216" w:lineRule="exact"/>
        <w:rPr>
          <w:sz w:val="20"/>
          <w:szCs w:val="20"/>
          <w:color w:val="auto"/>
        </w:rPr>
      </w:pPr>
    </w:p>
    <w:p>
      <w:pPr>
        <w:jc w:val="both"/>
        <w:ind w:left="660" w:hanging="4"/>
        <w:spacing w:after="0" w:line="236" w:lineRule="auto"/>
        <w:tabs>
          <w:tab w:leader="none" w:pos="10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45" w:lineRule="exact"/>
        <w:rPr>
          <w:rFonts w:ascii="Times New Roman" w:cs="Times New Roman" w:eastAsia="Times New Roman" w:hAnsi="Times New Roman"/>
          <w:sz w:val="18"/>
          <w:szCs w:val="18"/>
          <w:color w:val="auto"/>
        </w:rPr>
      </w:pPr>
    </w:p>
    <w:p>
      <w:pPr>
        <w:jc w:val="both"/>
        <w:ind w:left="660" w:hanging="4"/>
        <w:spacing w:after="0" w:line="238" w:lineRule="auto"/>
        <w:tabs>
          <w:tab w:leader="none" w:pos="111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The Purchaser is acquiring the Securities as principal for its own account and has no direct or indirect arrangement or understandings with any other persons to distribute or regarding the distribution of such Securities (this representation and warranty not limiting the Purchaser’s right to sell the Securities pursuant to the Registration Statement or otherwise in compliance with applicable federal and state securities laws). The Purchaser is acquiring the Securities hereunder in the ordinary course of its business. The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Purchaser’s right to sell such Securities pursuant to a registration statement or otherwise in compliance with applicable federal and state securities laws).</w:t>
      </w:r>
    </w:p>
    <w:p>
      <w:pPr>
        <w:spacing w:after="0" w:line="228" w:lineRule="exact"/>
        <w:rPr>
          <w:rFonts w:ascii="Times New Roman" w:cs="Times New Roman" w:eastAsia="Times New Roman" w:hAnsi="Times New Roman"/>
          <w:sz w:val="18"/>
          <w:szCs w:val="18"/>
          <w:color w:val="auto"/>
        </w:rPr>
      </w:pPr>
    </w:p>
    <w:p>
      <w:pPr>
        <w:jc w:val="both"/>
        <w:ind w:left="660" w:hanging="4"/>
        <w:spacing w:after="0" w:line="245"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the Purchaser was offered the Securities, it was, and as of the date hereof it is, and on each date on which it exercises any Warrants, it will be (1) either: (i) an “accredited investor” as defined in Rule 501(a)(1), (a)(2), (a)(3), (a)(7),(a)(8), (a)(9), (a)(12) or (a)(13) under the Securities Act, or (ii) a “qualified institutional buyer” as defined in Rule 144A(a) under the Securities Act; and (2) an “institutional account” as defined in FINRA Rule 4512(c).</w:t>
      </w:r>
    </w:p>
    <w:p>
      <w:pPr>
        <w:spacing w:after="0" w:line="234" w:lineRule="exact"/>
        <w:rPr>
          <w:rFonts w:ascii="Times New Roman" w:cs="Times New Roman" w:eastAsia="Times New Roman" w:hAnsi="Times New Roman"/>
          <w:sz w:val="18"/>
          <w:szCs w:val="18"/>
          <w:color w:val="auto"/>
        </w:rPr>
      </w:pPr>
    </w:p>
    <w:p>
      <w:pPr>
        <w:jc w:val="both"/>
        <w:ind w:left="660" w:hanging="4"/>
        <w:spacing w:after="0" w:line="245" w:lineRule="auto"/>
        <w:tabs>
          <w:tab w:leader="none" w:pos="117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the Purchaser</w:t>
      </w:r>
      <w:r>
        <w:rPr>
          <w:rFonts w:ascii="Times New Roman" w:cs="Times New Roman" w:eastAsia="Times New Roman" w:hAnsi="Times New Roman"/>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234" w:lineRule="exact"/>
        <w:rPr>
          <w:rFonts w:ascii="Times New Roman" w:cs="Times New Roman" w:eastAsia="Times New Roman" w:hAnsi="Times New Roman"/>
          <w:sz w:val="18"/>
          <w:szCs w:val="18"/>
          <w:color w:val="auto"/>
        </w:rPr>
      </w:pPr>
    </w:p>
    <w:p>
      <w:pPr>
        <w:jc w:val="both"/>
        <w:ind w:left="660" w:hanging="4"/>
        <w:spacing w:after="0" w:line="238" w:lineRule="auto"/>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Purchaser acknowledges that it has had the opportunity to review the Transaction Documents (including all exhibits and schedules thereto), the SEC Reports, the Registration Statement and the Prospectus Supplement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98" w:name="page99"/>
    <w:bookmarkEnd w:id="98"/>
    <w:p>
      <w:pPr>
        <w:ind w:left="660" w:right="20"/>
        <w:spacing w:after="0" w:line="266" w:lineRule="auto"/>
        <w:rPr>
          <w:sz w:val="20"/>
          <w:szCs w:val="20"/>
          <w:color w:val="auto"/>
        </w:rPr>
      </w:pPr>
      <w:r>
        <w:rPr>
          <w:rFonts w:ascii="Times New Roman" w:cs="Times New Roman" w:eastAsia="Times New Roman" w:hAnsi="Times New Roman"/>
          <w:sz w:val="18"/>
          <w:szCs w:val="18"/>
          <w:color w:val="auto"/>
        </w:rPr>
        <w:t>opportunity to obtain such additional information that the Company possesses or can acquire without unreasonable effort or expense that is necessary to make an informed investment decision with respect to the investment.</w:t>
      </w:r>
    </w:p>
    <w:p>
      <w:pPr>
        <w:spacing w:after="0" w:line="216" w:lineRule="exact"/>
        <w:rPr>
          <w:sz w:val="20"/>
          <w:szCs w:val="20"/>
          <w:color w:val="auto"/>
        </w:rPr>
      </w:pPr>
    </w:p>
    <w:p>
      <w:pPr>
        <w:jc w:val="both"/>
        <w:ind w:left="660" w:hanging="4"/>
        <w:spacing w:after="0" w:line="252" w:lineRule="auto"/>
        <w:tabs>
          <w:tab w:leader="none" w:pos="1047"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31" w:lineRule="exact"/>
        <w:rPr>
          <w:rFonts w:ascii="Times New Roman" w:cs="Times New Roman" w:eastAsia="Times New Roman" w:hAnsi="Times New Roman"/>
          <w:sz w:val="17"/>
          <w:szCs w:val="17"/>
          <w:color w:val="auto"/>
        </w:rPr>
      </w:pPr>
    </w:p>
    <w:p>
      <w:pPr>
        <w:jc w:val="both"/>
        <w:ind w:left="620" w:hanging="5"/>
        <w:spacing w:after="0" w:line="250" w:lineRule="auto"/>
        <w:tabs>
          <w:tab w:leader="none" w:pos="103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the Purchaser, any other general solicitation or general advertisement.</w:t>
      </w:r>
    </w:p>
    <w:p>
      <w:pPr>
        <w:spacing w:after="0" w:line="230" w:lineRule="exact"/>
        <w:rPr>
          <w:rFonts w:ascii="Times New Roman" w:cs="Times New Roman" w:eastAsia="Times New Roman" w:hAnsi="Times New Roman"/>
          <w:sz w:val="18"/>
          <w:szCs w:val="18"/>
          <w:color w:val="auto"/>
        </w:rPr>
      </w:pPr>
    </w:p>
    <w:p>
      <w:pPr>
        <w:jc w:val="both"/>
        <w:ind w:left="620" w:hanging="5"/>
        <w:spacing w:after="0" w:line="245" w:lineRule="auto"/>
        <w:tabs>
          <w:tab w:leader="none" w:pos="109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Advice</w:t>
      </w:r>
      <w:r>
        <w:rPr>
          <w:rFonts w:ascii="Times New Roman" w:cs="Times New Roman" w:eastAsia="Times New Roman" w:hAnsi="Times New Roman"/>
          <w:sz w:val="18"/>
          <w:szCs w:val="18"/>
          <w:color w:val="auto"/>
        </w:rPr>
        <w:t>. The Purchaser understands that nothing in this Agreement or any other materials presented by or on behalf of the Company to the Purchaser in connection with the purchase of the Securities constitutes legal, tax or investment advice. The Purchaser has consulted such legal, tax and investment advisors as it, in its sole discretion, has deemed necessary or appropriate in connection with its purchase of the Securities.</w:t>
      </w:r>
    </w:p>
    <w:p>
      <w:pPr>
        <w:spacing w:after="0" w:line="235" w:lineRule="exact"/>
        <w:rPr>
          <w:sz w:val="20"/>
          <w:szCs w:val="20"/>
          <w:color w:val="auto"/>
        </w:rPr>
      </w:pPr>
    </w:p>
    <w:p>
      <w:pPr>
        <w:jc w:val="both"/>
        <w:ind w:firstLine="583"/>
        <w:spacing w:after="0" w:line="23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spacing w:after="0" w:line="23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Shares and the Warrants shall be issued free of legends.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Other than the Concurrent Placement,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other than the Stockholder Approval.</w:t>
      </w:r>
    </w:p>
    <w:p>
      <w:pPr>
        <w:spacing w:after="0" w:line="2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file a Current Report on Form 8-K, including the Transaction Documents as exhibits thereto, with the Commission within the time required by the Exchange Act.</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other general corporate purposes but shall not use such proceeds: (a) for the redemption of any Common Stock or Common Stock Equivalents or (b) in violation of FCPA or OFAC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04" w:right="339" w:bottom="1440" w:gutter="0" w:footer="0" w:header="0"/>
        </w:sectPr>
      </w:pPr>
    </w:p>
    <w:bookmarkStart w:id="99" w:name="page100"/>
    <w:bookmarkEnd w:id="99"/>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Indemnification of the Purchaser</w:t>
      </w:r>
      <w:r>
        <w:rPr>
          <w:rFonts w:ascii="Times New Roman" w:cs="Times New Roman" w:eastAsia="Times New Roman" w:hAnsi="Times New Roman"/>
          <w:sz w:val="18"/>
          <w:szCs w:val="18"/>
          <w:color w:val="auto"/>
        </w:rPr>
        <w:t>. Subject to the provisions of this Section 4.5, the Company will indemnify and hold the Purchaser and its directors, officers, employees and Affiliates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and documented out-of-pocket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4.5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the Purchaser was not entitled to receive such payments, the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spacing w:after="0" w:line="20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Prior to or in connection with the Initial Closing, the Company will reserve and the Company shall continue to reserve and keep available at all times, free of preemptive rights, a sufficient number of shares of Common Stock for the purpose of enabling the Company to issue Shares pursuant to this Agreement and the Warrant Shares pursuant to any exercise of the Warrants.</w:t>
      </w:r>
    </w:p>
    <w:p>
      <w:pPr>
        <w:spacing w:after="0" w:line="20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Concurrently with the Initial Closing, the Company shall apply to list or quote all of the Shares and Warrant Shares on such Trading Market and promptly secure the listing of all of the Shares and Warrant Shares on such Trading Market, subject to the Company obtaining Stockholder Approval (solely with respect to the Warrant Shares relating to the alternative cashless exercise option in the Class 2 Warrants and certain of the Securities issuable hereunder).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For so long as the Company maintains a listing or quotation of the Common Stock on a Trading Market, and the Company agrees to comply in all material respects with the Company’s reporting, filing and other obligations under the bylaws or rules of the Trading Market, and to use commercially reasonable efforts to maintain the eligibility of the Common Stock for electronic transfer through the Depository Trust Company or another established clearing corporation, including, without limitation, by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payment of fees to the Depository Trust Company or such other established clearing corporation in connection with such electronic transfer.</w:t>
      </w:r>
    </w:p>
    <w:p>
      <w:pPr>
        <w:spacing w:after="0" w:line="2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both"/>
        <w:ind w:left="660" w:hanging="4"/>
        <w:spacing w:after="0" w:line="242" w:lineRule="auto"/>
        <w:tabs>
          <w:tab w:leader="none" w:pos="10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hundred and twenty (120) days after the Initial Closing Date, neither the Company nor any Subsidiary shall (i) issue, enter into any agreement to issue or announce the issuance or proposed issuance of any shares of Common Stock or Common Stock Equivalents (each, a “</w:t>
      </w:r>
      <w:r>
        <w:rPr>
          <w:rFonts w:ascii="Times New Roman" w:cs="Times New Roman" w:eastAsia="Times New Roman" w:hAnsi="Times New Roman"/>
          <w:sz w:val="18"/>
          <w:szCs w:val="18"/>
          <w:u w:val="single" w:color="auto"/>
          <w:color w:val="auto"/>
        </w:rPr>
        <w:t>Subsequent Placement</w:t>
      </w:r>
      <w:r>
        <w:rPr>
          <w:rFonts w:ascii="Times New Roman" w:cs="Times New Roman" w:eastAsia="Times New Roman" w:hAnsi="Times New Roman"/>
          <w:sz w:val="18"/>
          <w:szCs w:val="18"/>
          <w:color w:val="auto"/>
        </w:rPr>
        <w:t>”), or (ii) file any registration statement or amendment or supplement thereto, other than the Prospectus Supplement, filing a registration statement on Form S-8 in connection with any employee benefit plan, or filing a registration statement on Form S-4 in connection with any acquisition.</w:t>
      </w:r>
    </w:p>
    <w:p>
      <w:pPr>
        <w:spacing w:after="0" w:line="198" w:lineRule="exact"/>
        <w:rPr>
          <w:rFonts w:ascii="Times New Roman" w:cs="Times New Roman" w:eastAsia="Times New Roman" w:hAnsi="Times New Roman"/>
          <w:sz w:val="18"/>
          <w:szCs w:val="18"/>
          <w:color w:val="auto"/>
        </w:rPr>
      </w:pPr>
    </w:p>
    <w:p>
      <w:pPr>
        <w:jc w:val="both"/>
        <w:ind w:left="660" w:hanging="4"/>
        <w:spacing w:after="0" w:line="237" w:lineRule="auto"/>
        <w:tabs>
          <w:tab w:leader="none" w:pos="10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eighteen (18) month anniversary of the Initial Closing Date, the Company shall be prohibited from effecting or entering into an agreement to effect any issuance by the Company or any of its subsidiaries of shares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shares of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spacing w:after="0" w:line="220" w:lineRule="exact"/>
        <w:rPr>
          <w:rFonts w:ascii="Times New Roman" w:cs="Times New Roman" w:eastAsia="Times New Roman" w:hAnsi="Times New Roman"/>
          <w:sz w:val="18"/>
          <w:szCs w:val="18"/>
          <w:color w:val="auto"/>
        </w:rPr>
      </w:pPr>
    </w:p>
    <w:p>
      <w:pPr>
        <w:ind w:left="660" w:right="20" w:hanging="4"/>
        <w:spacing w:after="0" w:line="250" w:lineRule="auto"/>
        <w:tabs>
          <w:tab w:leader="none" w:pos="10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4.8 shall not apply in respect of, nor shall the definition of Subsequent Placement be deemed to include, an Exempt Issuance.</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[Reserved]</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disclosed by the Company pursuant to Section 4.3. The Purchaser covenants that until such time as the transactions contemplated by this Agreement are publicly disclosed by the Company as described in Section 4.3, the Purchaser will maintain the confidentiality of the existence and terms of this transaction and the information included in the Disclosure Schedules (other than as disclosed to its legal and other representatives).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(or any successor lock-up agreements signed by transferees of the initial parties to the Lock-Up Agreements), except to extend the term of the lock-up period and shall enforce the provisions of each Lock-Up Agreement (or any successor lock-up agreements signed by transferees of the initial parties to the Lock-Up Agreements) in accordance with its terms. If any party to a Lock-Up Agreement (or any successor lock-up agreements signed by transferees of the initial parties to the Lock-Up Agreements) breaches any provision of a Lock-Up Agreement (or any successor lock-up agreements signed by transferees of the initial parties to the Lock-Up Agreements), the Company shall promptly use its reasonable efforts to seek specific performance of the terms of such agreement.</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Within sixty (60) calendar days after the Initial Closing Date, the Company shall use commercially reasonable efforts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definitive proxy statement, at the expense of the Company, for a meeting (special or otherwise) of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04" w:right="339" w:bottom="1440" w:gutter="0" w:footer="0" w:header="0"/>
        </w:sectPr>
      </w:pPr>
    </w:p>
    <w:bookmarkStart w:id="101" w:name="page102"/>
    <w:bookmarkEnd w:id="101"/>
    <w:p>
      <w:pPr>
        <w:jc w:val="both"/>
        <w:spacing w:after="0" w:line="23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to be held within ninety (90) calendar days after the Initial Closing Date, soliciting each such stockholder’s affirmative vote at the Stockholder Meeting for approval of resolutions approving the issuance and listing of (i) the Securities to be issued to the Purchaser at the Subsequent Closing, pursuant to Section 312.03 and any other relevant limiting provisions of the LCM, and (ii) the shares of Common Stock issuable pursuant to the alternative cashless exercise provision in Section 2(d) of the Class 2 Warrants in accordance with applicable law and the rules and regulations of the Trading Market without giving effect to any limitation on the exercise of the Warrants and the Common Stock to be issued or that may be issuable under the purchase agreement and the related warrants in the Concurrent Placement (such affirmative approval being referred to herein collectively as the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and the Company shall use commercially reasonable efforts to solicit its stockholders’ approval of such resolutions in connection with the Stockholder Approval.</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From the date hereof until the date that is 18 months after the Initial Closing Date, neither the Company nor any of its subsidiaries shall, directly or indirectly, effect any Subsequent Placement unless the Company shall have first complied with this Section 4.13.</w:t>
      </w:r>
    </w:p>
    <w:p>
      <w:pPr>
        <w:spacing w:after="0" w:line="216" w:lineRule="exact"/>
        <w:rPr>
          <w:sz w:val="20"/>
          <w:szCs w:val="20"/>
          <w:color w:val="auto"/>
        </w:rPr>
      </w:pPr>
    </w:p>
    <w:p>
      <w:pPr>
        <w:jc w:val="both"/>
        <w:ind w:left="660" w:hanging="4"/>
        <w:spacing w:after="0" w:line="236" w:lineRule="auto"/>
        <w:tabs>
          <w:tab w:leader="none" w:pos="1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days prior to any proposed or intended Subsequent Placement, the Company shall deliver to the Purchaser a written notice of its proposal or intention to effect a Subsequent Placement (each such notice, a “</w:t>
      </w:r>
      <w:r>
        <w:rPr>
          <w:rFonts w:ascii="Times New Roman" w:cs="Times New Roman" w:eastAsia="Times New Roman" w:hAnsi="Times New Roman"/>
          <w:sz w:val="18"/>
          <w:szCs w:val="18"/>
          <w:u w:val="single" w:color="auto"/>
          <w:color w:val="auto"/>
        </w:rPr>
        <w:t>Pre-Notice</w:t>
      </w:r>
      <w:r>
        <w:rPr>
          <w:rFonts w:ascii="Times New Roman" w:cs="Times New Roman" w:eastAsia="Times New Roman" w:hAnsi="Times New Roman"/>
          <w:sz w:val="18"/>
          <w:szCs w:val="18"/>
          <w:color w:val="auto"/>
        </w:rPr>
        <w:t>”), which Pre-Notice shall not contain any information (including, without limitation, material, non-public information) other than: (A) if the Company believes that the proposed Offer Notice (as defined below) constitutes or contains material, non-public information, a statement asking whether the Purchaser is willing to accept material non-public information or (B) if the Company believes that the proposed Offer Notice does not constitute or contain material, non-public information, (y) a statement that the Company proposes or intends to effect a Subsequent Placement and (z) a statement informing the Purchaser that it is entitled to receive an Offer Notice (as defined below) with respect to such Subsequent Placement upon its written request. Upon the written request of a Purchaser within one (1) day after the Company’s delivery to the Purchaser of such Pre-Notice, and only upon a written request by the Purchaser, the Company shall promptly deliver to the Purchaser an irrevocable written notice (the “</w:t>
      </w: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 of any proposed or intended issuance or sale or exchange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of the securities being offered (the “</w:t>
      </w:r>
      <w:r>
        <w:rPr>
          <w:rFonts w:ascii="Times New Roman" w:cs="Times New Roman" w:eastAsia="Times New Roman" w:hAnsi="Times New Roman"/>
          <w:sz w:val="18"/>
          <w:szCs w:val="18"/>
          <w:u w:val="single" w:color="auto"/>
          <w:color w:val="auto"/>
        </w:rPr>
        <w:t>Offered Securities</w:t>
      </w:r>
      <w:r>
        <w:rPr>
          <w:rFonts w:ascii="Times New Roman" w:cs="Times New Roman" w:eastAsia="Times New Roman" w:hAnsi="Times New Roman"/>
          <w:sz w:val="18"/>
          <w:szCs w:val="18"/>
          <w:color w:val="auto"/>
        </w:rPr>
        <w:t>”) in a Subsequent Placement, which Offer Notice shall (A) identify and describe the Offered Securities, (B) describe the price and other terms upon which they are to be issued, sold or exchanged, and the number or amount of the Offered Securities to be issued, sold or exchanged, and (C) offer to issue and sell to or exchange with the Purchaser in accordance with the terms of the Offer 8.75% in total of the Offered Securities. The Company shall not be permitted to deliver more than one such Offer Notice to a Purchaser in any sixty (60) day period nor shall the Company be permitted to effect a Subsequent Placement within 18 months of the Initial Closing Date without providing such Purchaser with an Offer Notice.</w:t>
      </w:r>
    </w:p>
    <w:p>
      <w:pPr>
        <w:spacing w:after="0" w:line="240" w:lineRule="exact"/>
        <w:rPr>
          <w:rFonts w:ascii="Times New Roman" w:cs="Times New Roman" w:eastAsia="Times New Roman" w:hAnsi="Times New Roman"/>
          <w:sz w:val="18"/>
          <w:szCs w:val="18"/>
          <w:color w:val="auto"/>
        </w:rPr>
      </w:pPr>
    </w:p>
    <w:p>
      <w:pPr>
        <w:jc w:val="both"/>
        <w:ind w:left="660" w:hanging="4"/>
        <w:spacing w:after="0" w:line="245" w:lineRule="auto"/>
        <w:tabs>
          <w:tab w:leader="none" w:pos="106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fifteen (15) Business Days from the expiration of the Offer Period above (A) to offer, issue, sell or exchange all or any part of such Offered Securities as to which a Notice of Acceptance has not been given by the Purchaser (the “</w:t>
      </w:r>
      <w:r>
        <w:rPr>
          <w:rFonts w:ascii="Times New Roman" w:cs="Times New Roman" w:eastAsia="Times New Roman" w:hAnsi="Times New Roman"/>
          <w:sz w:val="18"/>
          <w:szCs w:val="18"/>
          <w:u w:val="single" w:color="auto"/>
          <w:color w:val="auto"/>
        </w:rPr>
        <w:t>Refused Securities</w:t>
      </w:r>
      <w:r>
        <w:rPr>
          <w:rFonts w:ascii="Times New Roman" w:cs="Times New Roman" w:eastAsia="Times New Roman" w:hAnsi="Times New Roman"/>
          <w:sz w:val="18"/>
          <w:szCs w:val="18"/>
          <w:color w:val="auto"/>
        </w:rPr>
        <w:t>”) pursuant to a definitive agreement(s) (the “</w:t>
      </w:r>
      <w:r>
        <w:rPr>
          <w:rFonts w:ascii="Times New Roman" w:cs="Times New Roman" w:eastAsia="Times New Roman" w:hAnsi="Times New Roman"/>
          <w:sz w:val="18"/>
          <w:szCs w:val="18"/>
          <w:u w:val="single" w:color="auto"/>
          <w:color w:val="auto"/>
        </w:rPr>
        <w:t>Subsequent Placement Agreement</w:t>
      </w:r>
      <w:r>
        <w:rPr>
          <w:rFonts w:ascii="Times New Roman" w:cs="Times New Roman" w:eastAsia="Times New Roman" w:hAnsi="Times New Roman"/>
          <w:sz w:val="18"/>
          <w:szCs w:val="18"/>
          <w:color w:val="auto"/>
        </w:rPr>
        <w:t>”) and (B) to publicly announce the execution of such Subsequent Placement Agreement.</w:t>
      </w:r>
    </w:p>
    <w:p>
      <w:pPr>
        <w:spacing w:after="0" w:line="234" w:lineRule="exact"/>
        <w:rPr>
          <w:rFonts w:ascii="Times New Roman" w:cs="Times New Roman" w:eastAsia="Times New Roman" w:hAnsi="Times New Roman"/>
          <w:sz w:val="18"/>
          <w:szCs w:val="18"/>
          <w:color w:val="auto"/>
        </w:rPr>
      </w:pPr>
    </w:p>
    <w:p>
      <w:pPr>
        <w:jc w:val="both"/>
        <w:ind w:left="660" w:hanging="4"/>
        <w:spacing w:after="0" w:line="238" w:lineRule="auto"/>
        <w:tabs>
          <w:tab w:leader="none" w:pos="111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shall propose to sell less than all the Refused Securities (any such sale to be in the manner and on the terms specified in Section 4.13(b) above), then the Purchaser may, at its sole option and in its sole discretion, reduce the number or amount of the Offered Securities specified in its Notice of Acceptance to an amount that shall be not less than the number or amount of the Offered Securities that the Purchaser elected to purchase pursuant to Section 4.13(a) above multiplied by a fraction, (A) the numerator of which shall be the number or amount of Offered Securities the Company actually proposes to issue, sell or exchange and (B) the denominator of which shall be the original amount of the Offered Securities.</w:t>
      </w:r>
    </w:p>
    <w:p>
      <w:pPr>
        <w:spacing w:after="0" w:line="239"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11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issuance, sale or exchange of all or less than all of the Refused Securities, the Purchaser shall acquire from the Company, and the Company shall issue to the Purchaser, the number or amount of Offered Securities specified in its Notice of Acceptance, as reduced pursuant to Section 4.13(c) above if the Purchaser has so elected, upon the terms and conditions specified in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04" w:right="339" w:bottom="1440" w:gutter="0" w:footer="0" w:header="0"/>
        </w:sectPr>
      </w:pPr>
    </w:p>
    <w:bookmarkStart w:id="102" w:name="page103"/>
    <w:bookmarkEnd w:id="102"/>
    <w:p>
      <w:pPr>
        <w:jc w:val="both"/>
        <w:ind w:left="660" w:right="20"/>
        <w:spacing w:after="0" w:line="250" w:lineRule="auto"/>
        <w:rPr>
          <w:sz w:val="20"/>
          <w:szCs w:val="20"/>
          <w:color w:val="auto"/>
        </w:rPr>
      </w:pPr>
      <w:r>
        <w:rPr>
          <w:rFonts w:ascii="Times New Roman" w:cs="Times New Roman" w:eastAsia="Times New Roman" w:hAnsi="Times New Roman"/>
          <w:sz w:val="18"/>
          <w:szCs w:val="18"/>
          <w:color w:val="auto"/>
        </w:rPr>
        <w:t>The purchase by the Purchaser of any Offered Securities is subject in all cases to the preparation, execution and delivery by the Company and the Purchaser of a separate purchase agreement relating to such Offered Securities reasonably satisfactory in form and substance to the Company and the Purchaser and its counsel.</w:t>
      </w:r>
    </w:p>
    <w:p>
      <w:pPr>
        <w:spacing w:after="0" w:line="231" w:lineRule="exact"/>
        <w:rPr>
          <w:sz w:val="20"/>
          <w:szCs w:val="20"/>
          <w:color w:val="auto"/>
        </w:rPr>
      </w:pPr>
    </w:p>
    <w:p>
      <w:pPr>
        <w:jc w:val="both"/>
        <w:ind w:left="660" w:hanging="4"/>
        <w:spacing w:after="0" w:line="228" w:lineRule="auto"/>
        <w:tabs>
          <w:tab w:leader="none" w:pos="11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4.13 and unless otherwise agreed to by the Purchaser, the Company shall either confirm in writing to the Purchaser that the transaction with respect to the Subsequent Placement has been abandoned or shall publicly disclose its intention to issue the Offered Securities, in either case, in such a manner such that the Purchaser will not be in possession of any material, non-public information, by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following delivery of the Offer Notice. If by such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business day, no public disclosure regarding a transaction with respect to the Offered Securities has been made, and no notice regarding the abandonment of such transaction has been received by the Purchaser, such transaction shall be deemed to have been abandoned and the Purchaser shall not be in possession of any material, non-public information with respect to the Company or any of its subsidiaries.</w:t>
      </w:r>
    </w:p>
    <w:p>
      <w:pPr>
        <w:spacing w:after="0" w:line="242" w:lineRule="exact"/>
        <w:rPr>
          <w:rFonts w:ascii="Times New Roman" w:cs="Times New Roman" w:eastAsia="Times New Roman" w:hAnsi="Times New Roman"/>
          <w:sz w:val="18"/>
          <w:szCs w:val="18"/>
          <w:color w:val="auto"/>
        </w:rPr>
      </w:pPr>
    </w:p>
    <w:p>
      <w:pPr>
        <w:jc w:val="both"/>
        <w:ind w:left="660" w:hanging="4"/>
        <w:spacing w:after="0" w:line="245" w:lineRule="auto"/>
        <w:tabs>
          <w:tab w:leader="none" w:pos="106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Purchaser agree that if any Purchaser elects to participate in the Subsequent Placement, the transaction documents related to the Subsequent Placement shall not include any term or provision whereby such Purchaser shall be required to consent to any amendment to or termination of, or grant any waiver, release or the like under or in connection with, this Agreement, without the prior written consent of such Purchaser.</w:t>
      </w:r>
    </w:p>
    <w:p>
      <w:pPr>
        <w:spacing w:after="0" w:line="234" w:lineRule="exact"/>
        <w:rPr>
          <w:rFonts w:ascii="Times New Roman" w:cs="Times New Roman" w:eastAsia="Times New Roman" w:hAnsi="Times New Roman"/>
          <w:sz w:val="18"/>
          <w:szCs w:val="18"/>
          <w:color w:val="auto"/>
        </w:rPr>
      </w:pPr>
    </w:p>
    <w:p>
      <w:pPr>
        <w:ind w:left="660" w:hanging="4"/>
        <w:spacing w:after="0" w:line="266" w:lineRule="auto"/>
        <w:tabs>
          <w:tab w:leader="none" w:pos="108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Section 4.13 shall not apply in connection with any Exempt Issuance. Furthermore, notwithstanding any provision in this Section 4.13, the Company shall not be obligated to take any action that would violate applicable securities laws.</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and the Purchaser are parties to a Registration Rights Agreement, dated as of October 15, 2021 (as amended from time to time, the “</w:t>
      </w:r>
      <w:r>
        <w:rPr>
          <w:rFonts w:ascii="Times New Roman" w:cs="Times New Roman" w:eastAsia="Times New Roman" w:hAnsi="Times New Roman"/>
          <w:sz w:val="18"/>
          <w:szCs w:val="18"/>
          <w:u w:val="single" w:color="auto"/>
          <w:color w:val="auto"/>
        </w:rPr>
        <w:t>RRA</w:t>
      </w:r>
      <w:r>
        <w:rPr>
          <w:rFonts w:ascii="Times New Roman" w:cs="Times New Roman" w:eastAsia="Times New Roman" w:hAnsi="Times New Roman"/>
          <w:sz w:val="18"/>
          <w:szCs w:val="18"/>
          <w:color w:val="auto"/>
        </w:rPr>
        <w:t>”). In the event that the Purchaser (or its Affiliate) elects, after the date of this Agreement, to exercise any rights under the RRA in respect of Registrable Securities (as defined in the RRA) and desires to also include, in the transaction that is subject to such exercise, any shares of Common Stock acquired by the Purchaser (or its Affiliate) from the Company that are not Registrable Securities, the Company shall, upon the reasonable request of the Purchaser (or its Affiliate), cooperate in good faith with the Purchaser (or its Affiliate) and use commercially reasonable efforts (in each case, in a manner consistent with the terms of the RRA) to facilitate the inclusion of such shares in such transaction.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6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the Purchaser by written notice to the Company if (a) the Initial Closing has not been consummated on or before the fifth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Trading Day following the date hereof or (b) the Subsequent Closing has not been consummated on or before the date that is the earlier of (i) the one-year anniversary of the date of this Agreement and (ii) 120 days after the Stockholder Meeting (if the requisite approvals are not received at such Stockholder Meeting held pursuant to Section 4.12); provided, however, that no such termination will affect the right of any party to sue for any breach by any other party (or parties).</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04" w:right="339" w:bottom="1440" w:gutter="0" w:footer="0" w:header="0"/>
        </w:sectPr>
      </w:pPr>
    </w:p>
    <w:bookmarkStart w:id="103" w:name="page104"/>
    <w:bookmarkEnd w:id="103"/>
    <w:p>
      <w:pPr>
        <w:spacing w:after="0" w:line="20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 of Securities and the Company.</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Securities, provided that such transferee agrees in writing to be bound, with respect to the transferred Securities, by the provisions of the Transaction Documents that apply to the “Purchaser.”</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4.5.</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Initial Closing for a period of six (6)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104" w:name="page105"/>
    <w:bookmarkEnd w:id="104"/>
    <w:p>
      <w:pPr>
        <w:jc w:val="both"/>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facsimile or “.pdf” signature page were an original thereof. Notwithstanding anything to the contrary contained herein, upon the request of any Purchaser, the Company shall deliver “wet ink” originals of each Warrant, which shall not contain any electronic signatures.</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200" w:lineRule="exact"/>
        <w:rPr>
          <w:sz w:val="20"/>
          <w:szCs w:val="20"/>
          <w:color w:val="auto"/>
        </w:rPr>
      </w:pPr>
    </w:p>
    <w:p>
      <w:pPr>
        <w:spacing w:after="0" w:line="2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20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 PARTY</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04" w:right="339" w:bottom="1440" w:gutter="0" w:footer="0" w:header="0"/>
        </w:sectPr>
      </w:pPr>
    </w:p>
    <w:bookmarkStart w:id="105" w:name="page106"/>
    <w:bookmarkEnd w:id="105"/>
    <w:p>
      <w:pPr>
        <w:ind w:firstLine="1166"/>
        <w:spacing w:after="0" w:line="266" w:lineRule="auto"/>
        <w:rPr>
          <w:sz w:val="20"/>
          <w:szCs w:val="20"/>
          <w:color w:val="auto"/>
        </w:rPr>
      </w:pPr>
      <w:r>
        <w:rPr>
          <w:rFonts w:ascii="Times New Roman" w:cs="Times New Roman" w:eastAsia="Times New Roman" w:hAnsi="Times New Roman"/>
          <w:sz w:val="18"/>
          <w:szCs w:val="18"/>
          <w:color w:val="auto"/>
        </w:rPr>
        <w:t>IN WITNESS WHEREOF, the undersigned has caused this Securities Purchase Agreement to be duly executed by its authorized signatory as of the date first indicated above.</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1663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16630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ind w:left="4540"/>
        <w:spacing w:after="0" w:line="203" w:lineRule="auto"/>
        <w:rPr>
          <w:sz w:val="20"/>
          <w:szCs w:val="20"/>
          <w:color w:val="auto"/>
        </w:rPr>
      </w:pPr>
      <w:r>
        <w:rPr>
          <w:rFonts w:ascii="Times New Roman" w:cs="Times New Roman" w:eastAsia="Times New Roman" w:hAnsi="Times New Roman"/>
          <w:sz w:val="18"/>
          <w:szCs w:val="18"/>
          <w:color w:val="auto"/>
        </w:rPr>
        <w:t>1000 Avalon Boulevard, Suite 1000</w:t>
      </w:r>
    </w:p>
    <w:p>
      <w:pPr>
        <w:ind w:left="4540"/>
        <w:spacing w:after="0" w:line="203" w:lineRule="auto"/>
        <w:rPr>
          <w:sz w:val="20"/>
          <w:szCs w:val="20"/>
          <w:color w:val="auto"/>
        </w:rPr>
      </w:pPr>
      <w:r>
        <w:rPr>
          <w:rFonts w:ascii="Times New Roman" w:cs="Times New Roman" w:eastAsia="Times New Roman" w:hAnsi="Times New Roman"/>
          <w:sz w:val="18"/>
          <w:szCs w:val="18"/>
          <w:color w:val="auto"/>
        </w:rPr>
        <w:t>Alpharetta, Georgia 30009</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E-mail: legal-notices@bakkt.com</w:t>
      </w:r>
    </w:p>
    <w:p>
      <w:pPr>
        <w:spacing w:after="0" w:line="1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p>
    <w:p>
      <w:pPr>
        <w:ind w:left="4540"/>
        <w:spacing w:after="0" w:line="203" w:lineRule="auto"/>
        <w:rPr>
          <w:sz w:val="20"/>
          <w:szCs w:val="20"/>
          <w:color w:val="auto"/>
        </w:rPr>
      </w:pPr>
      <w:r>
        <w:rPr>
          <w:rFonts w:ascii="Times New Roman" w:cs="Times New Roman" w:eastAsia="Times New Roman" w:hAnsi="Times New Roman"/>
          <w:sz w:val="18"/>
          <w:szCs w:val="18"/>
          <w:color w:val="auto"/>
        </w:rPr>
        <w:t>Wilson Sonsini Goodrich &amp; Rosati,</w:t>
      </w:r>
    </w:p>
    <w:p>
      <w:pPr>
        <w:ind w:left="4540"/>
        <w:spacing w:after="0" w:line="219" w:lineRule="auto"/>
        <w:rPr>
          <w:sz w:val="20"/>
          <w:szCs w:val="20"/>
          <w:color w:val="auto"/>
        </w:rPr>
      </w:pPr>
      <w:r>
        <w:rPr>
          <w:rFonts w:ascii="Times New Roman" w:cs="Times New Roman" w:eastAsia="Times New Roman" w:hAnsi="Times New Roman"/>
          <w:sz w:val="18"/>
          <w:szCs w:val="18"/>
          <w:color w:val="auto"/>
        </w:rPr>
        <w:t>Professional Corporation</w:t>
      </w:r>
    </w:p>
    <w:p>
      <w:pPr>
        <w:ind w:left="4540"/>
        <w:spacing w:after="0" w:line="204" w:lineRule="auto"/>
        <w:rPr>
          <w:sz w:val="20"/>
          <w:szCs w:val="20"/>
          <w:color w:val="auto"/>
        </w:rPr>
      </w:pPr>
      <w:r>
        <w:rPr>
          <w:rFonts w:ascii="Times New Roman" w:cs="Times New Roman" w:eastAsia="Times New Roman" w:hAnsi="Times New Roman"/>
          <w:sz w:val="18"/>
          <w:szCs w:val="18"/>
          <w:color w:val="auto"/>
        </w:rPr>
        <w:t>650 Page Mill Road</w:t>
      </w:r>
    </w:p>
    <w:p>
      <w:pPr>
        <w:ind w:left="4540"/>
        <w:spacing w:after="0" w:line="203" w:lineRule="auto"/>
        <w:rPr>
          <w:sz w:val="20"/>
          <w:szCs w:val="20"/>
          <w:color w:val="auto"/>
        </w:rPr>
      </w:pPr>
      <w:r>
        <w:rPr>
          <w:rFonts w:ascii="Times New Roman" w:cs="Times New Roman" w:eastAsia="Times New Roman" w:hAnsi="Times New Roman"/>
          <w:sz w:val="18"/>
          <w:szCs w:val="18"/>
          <w:color w:val="auto"/>
        </w:rPr>
        <w:t>Palo Alto, CA 94304</w:t>
      </w:r>
    </w:p>
    <w:p>
      <w:pPr>
        <w:ind w:left="4540"/>
        <w:spacing w:after="0" w:line="219" w:lineRule="auto"/>
        <w:rPr>
          <w:sz w:val="20"/>
          <w:szCs w:val="20"/>
          <w:color w:val="auto"/>
        </w:rPr>
      </w:pPr>
      <w:r>
        <w:rPr>
          <w:rFonts w:ascii="Times New Roman" w:cs="Times New Roman" w:eastAsia="Times New Roman" w:hAnsi="Times New Roman"/>
          <w:sz w:val="18"/>
          <w:szCs w:val="18"/>
          <w:color w:val="auto"/>
        </w:rPr>
        <w:t>Attn: J. Matthew Lyons</w:t>
      </w:r>
    </w:p>
    <w:p>
      <w:pPr>
        <w:spacing w:after="0" w:line="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Email: mlyons@wsgr.com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ectPr>
          <w:pgSz w:w="11900" w:h="16838" w:orient="portrait"/>
          <w:cols w:equalWidth="0" w:num="1">
            <w:col w:w="11220"/>
          </w:cols>
          <w:pgMar w:left="320" w:top="1404" w:right="359" w:bottom="1440" w:gutter="0" w:footer="0" w:header="0"/>
        </w:sectPr>
      </w:pPr>
    </w:p>
    <w:bookmarkStart w:id="106" w:name="page107"/>
    <w:bookmarkEnd w:id="106"/>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[PURCHASER SIGNATURE PAGE TO SECURITIES PURCHASE AGREEMENT]</w:t>
      </w:r>
    </w:p>
    <w:p>
      <w:pPr>
        <w:spacing w:after="0" w:line="200" w:lineRule="exact"/>
        <w:rPr>
          <w:sz w:val="20"/>
          <w:szCs w:val="20"/>
          <w:color w:val="auto"/>
        </w:rPr>
      </w:pPr>
    </w:p>
    <w:p>
      <w:pPr>
        <w:spacing w:after="0" w:line="255" w:lineRule="exact"/>
        <w:rPr>
          <w:sz w:val="20"/>
          <w:szCs w:val="20"/>
          <w:color w:val="auto"/>
        </w:rPr>
      </w:pPr>
    </w:p>
    <w:p>
      <w:pPr>
        <w:ind w:firstLine="583"/>
        <w:spacing w:after="0" w:line="250" w:lineRule="auto"/>
        <w:rPr>
          <w:sz w:val="20"/>
          <w:szCs w:val="20"/>
          <w:color w:val="auto"/>
        </w:rPr>
      </w:pPr>
      <w:r>
        <w:rPr>
          <w:rFonts w:ascii="Times New Roman" w:cs="Times New Roman" w:eastAsia="Times New Roman" w:hAnsi="Times New Roman"/>
          <w:sz w:val="18"/>
          <w:szCs w:val="18"/>
          <w:color w:val="auto"/>
        </w:rPr>
        <w:t>IN WITNESS WHEREOF, the undersigned has caused this Securities Purchase Agreement to be duly executed by its authorized signatory as of the date first indicated above.</w:t>
      </w:r>
    </w:p>
    <w:p>
      <w:pPr>
        <w:spacing w:after="0" w:line="230" w:lineRule="exact"/>
        <w:rPr>
          <w:sz w:val="20"/>
          <w:szCs w:val="20"/>
          <w:color w:val="auto"/>
        </w:rPr>
      </w:pPr>
    </w:p>
    <w:p>
      <w:pPr>
        <w:ind w:left="20"/>
        <w:spacing w:after="0"/>
        <w:tabs>
          <w:tab w:leader="none" w:pos="6280" w:val="left"/>
        </w:tabs>
        <w:rPr>
          <w:sz w:val="20"/>
          <w:szCs w:val="20"/>
          <w:color w:val="auto"/>
        </w:rPr>
      </w:pPr>
      <w:r>
        <w:rPr>
          <w:rFonts w:ascii="Times New Roman" w:cs="Times New Roman" w:eastAsia="Times New Roman" w:hAnsi="Times New Roman"/>
          <w:sz w:val="18"/>
          <w:szCs w:val="18"/>
          <w:color w:val="auto"/>
        </w:rPr>
        <w:t>Name of Purchaser:</w:t>
      </w:r>
      <w:r>
        <w:rPr>
          <w:sz w:val="20"/>
          <w:szCs w:val="20"/>
          <w:color w:val="auto"/>
        </w:rPr>
        <w:tab/>
      </w:r>
      <w:r>
        <w:rPr>
          <w:rFonts w:ascii="Times New Roman" w:cs="Times New Roman" w:eastAsia="Times New Roman" w:hAnsi="Times New Roman"/>
          <w:sz w:val="17"/>
          <w:szCs w:val="17"/>
          <w:color w:val="auto"/>
        </w:rPr>
        <w:t>Intercontinental Exchange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18415</wp:posOffset>
            </wp:positionV>
            <wp:extent cx="31546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both"/>
        <w:ind w:firstLine="8"/>
        <w:spacing w:after="0" w:line="205" w:lineRule="exact"/>
        <w:tabs>
          <w:tab w:leader="none" w:pos="228" w:val="left"/>
        </w:tabs>
        <w:numPr>
          <w:ilvl w:val="0"/>
          <w:numId w:val="1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signed, shall be unconditional and all conditions to Closing shall be disregarded, (ii) the Initial Closing shall occur by the second (2nd) Trading Day following the date of this Agreement, (iii) the Subsequent Closing shall occur promptly after Stockholder Approval, and (iv)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Initial Closing Date.</w:t>
      </w:r>
    </w:p>
    <w:p>
      <w:pPr>
        <w:sectPr>
          <w:pgSz w:w="11900" w:h="16838" w:orient="portrait"/>
          <w:cols w:equalWidth="0" w:num="1">
            <w:col w:w="11240"/>
          </w:cols>
          <w:pgMar w:left="320" w:top="144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740" w:type="dxa"/>
            <w:vAlign w:val="bottom"/>
            <w:gridSpan w:val="3"/>
          </w:tcPr>
          <w:p>
            <w:pPr>
              <w:jc w:val="right"/>
              <w:ind w:right="5110"/>
              <w:spacing w:after="0"/>
              <w:rPr>
                <w:sz w:val="20"/>
                <w:szCs w:val="20"/>
                <w:color w:val="auto"/>
              </w:rPr>
            </w:pPr>
            <w:r>
              <w:rPr>
                <w:rFonts w:ascii="Times New Roman" w:cs="Times New Roman" w:eastAsia="Times New Roman" w:hAnsi="Times New Roman"/>
                <w:sz w:val="18"/>
                <w:szCs w:val="18"/>
                <w:b w:val="1"/>
                <w:bCs w:val="1"/>
                <w:color w:val="auto"/>
              </w:rPr>
              <w:t>Schedule 1</w:t>
            </w:r>
          </w:p>
        </w:tc>
      </w:tr>
      <w:tr>
        <w:trPr>
          <w:trHeight w:val="378"/>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 Closing</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507"/>
        </w:trPr>
        <w:tc>
          <w:tcPr>
            <w:tcW w:w="10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2460" w:type="dxa"/>
            <w:vAlign w:val="bottom"/>
            <w:gridSpan w:val="2"/>
          </w:tcPr>
          <w:p>
            <w:pPr>
              <w:spacing w:after="0"/>
              <w:rPr>
                <w:sz w:val="24"/>
                <w:szCs w:val="24"/>
                <w:color w:val="auto"/>
              </w:rPr>
            </w:pPr>
          </w:p>
        </w:tc>
        <w:tc>
          <w:tcPr>
            <w:tcW w:w="3520" w:type="dxa"/>
            <w:vAlign w:val="bottom"/>
          </w:tcPr>
          <w:p>
            <w:pPr>
              <w:spacing w:after="0"/>
              <w:rPr>
                <w:sz w:val="24"/>
                <w:szCs w:val="24"/>
                <w:color w:val="auto"/>
              </w:rPr>
            </w:pPr>
          </w:p>
        </w:tc>
        <w:tc>
          <w:tcPr>
            <w:tcW w:w="4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2,762,009</w:t>
            </w:r>
          </w:p>
        </w:tc>
      </w:tr>
      <w:tr>
        <w:trPr>
          <w:trHeight w:val="425"/>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1 Warrant Shares:</w:t>
            </w:r>
          </w:p>
        </w:tc>
        <w:tc>
          <w:tcPr>
            <w:tcW w:w="3520" w:type="dxa"/>
            <w:vAlign w:val="bottom"/>
          </w:tcPr>
          <w:p>
            <w:pPr>
              <w:spacing w:after="0"/>
              <w:rPr>
                <w:sz w:val="24"/>
                <w:szCs w:val="24"/>
                <w:color w:val="auto"/>
              </w:rPr>
            </w:pPr>
          </w:p>
        </w:tc>
        <w:tc>
          <w:tcPr>
            <w:tcW w:w="4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1,381,004</w:t>
            </w:r>
          </w:p>
        </w:tc>
      </w:tr>
      <w:tr>
        <w:trPr>
          <w:trHeight w:val="433"/>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2 Warrant Shares:</w:t>
            </w:r>
          </w:p>
        </w:tc>
        <w:tc>
          <w:tcPr>
            <w:tcW w:w="7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1,381,004</w:t>
            </w:r>
          </w:p>
        </w:tc>
      </w:tr>
      <w:tr>
        <w:trPr>
          <w:trHeight w:val="729"/>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Subsequent Closing</w:t>
            </w:r>
          </w:p>
        </w:tc>
        <w:tc>
          <w:tcPr>
            <w:tcW w:w="3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r>
      <w:tr>
        <w:trPr>
          <w:trHeight w:val="507"/>
        </w:trPr>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2060" w:type="dxa"/>
            <w:vAlign w:val="bottom"/>
          </w:tcPr>
          <w:p>
            <w:pPr>
              <w:spacing w:after="0"/>
              <w:rPr>
                <w:sz w:val="24"/>
                <w:szCs w:val="24"/>
                <w:color w:val="auto"/>
              </w:rPr>
            </w:pPr>
          </w:p>
        </w:tc>
        <w:tc>
          <w:tcPr>
            <w:tcW w:w="3640" w:type="dxa"/>
            <w:vAlign w:val="bottom"/>
            <w:gridSpan w:val="2"/>
          </w:tcPr>
          <w:p>
            <w:pPr>
              <w:spacing w:after="0"/>
              <w:rPr>
                <w:sz w:val="24"/>
                <w:szCs w:val="24"/>
                <w:color w:val="auto"/>
              </w:rPr>
            </w:pPr>
          </w:p>
        </w:tc>
        <w:tc>
          <w:tcPr>
            <w:tcW w:w="4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8,772,016</w:t>
            </w:r>
          </w:p>
        </w:tc>
      </w:tr>
      <w:tr>
        <w:trPr>
          <w:trHeight w:val="425"/>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1 Warrant Shares:</w:t>
            </w:r>
          </w:p>
        </w:tc>
        <w:tc>
          <w:tcPr>
            <w:tcW w:w="3640" w:type="dxa"/>
            <w:vAlign w:val="bottom"/>
            <w:gridSpan w:val="2"/>
          </w:tcPr>
          <w:p>
            <w:pPr>
              <w:spacing w:after="0"/>
              <w:rPr>
                <w:sz w:val="24"/>
                <w:szCs w:val="24"/>
                <w:color w:val="auto"/>
              </w:rPr>
            </w:pPr>
          </w:p>
        </w:tc>
        <w:tc>
          <w:tcPr>
            <w:tcW w:w="4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4,386,008</w:t>
            </w:r>
          </w:p>
        </w:tc>
      </w:tr>
      <w:tr>
        <w:trPr>
          <w:trHeight w:val="4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2 Warrant Shares:</w:t>
            </w:r>
          </w:p>
        </w:tc>
        <w:tc>
          <w:tcPr>
            <w:tcW w:w="3640" w:type="dxa"/>
            <w:vAlign w:val="bottom"/>
            <w:gridSpan w:val="2"/>
          </w:tcPr>
          <w:p>
            <w:pPr>
              <w:spacing w:after="0"/>
              <w:rPr>
                <w:sz w:val="24"/>
                <w:szCs w:val="24"/>
                <w:color w:val="auto"/>
              </w:rPr>
            </w:pPr>
          </w:p>
        </w:tc>
        <w:tc>
          <w:tcPr>
            <w:tcW w:w="4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4,386,008</w:t>
            </w:r>
          </w:p>
        </w:tc>
      </w:tr>
    </w:tbl>
    <w:p>
      <w:pPr>
        <w:sectPr>
          <w:pgSz w:w="11900" w:h="16838" w:orient="portrait"/>
          <w:cols w:equalWidth="0" w:num="1">
            <w:col w:w="11240"/>
          </w:cols>
          <w:pgMar w:left="320" w:top="1400" w:right="339" w:bottom="1440" w:gutter="0" w:footer="0" w:header="0"/>
        </w:sectPr>
      </w:pPr>
    </w:p>
    <w:bookmarkStart w:id="108" w:name="page109"/>
    <w:bookmarkEnd w:id="108"/>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Lock-Up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Class 1 Warrant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00" w:right="1440" w:bottom="1440" w:gutter="0" w:footer="0" w:header="0"/>
        </w:sectPr>
      </w:pPr>
    </w:p>
    <w:bookmarkStart w:id="110" w:name="page111"/>
    <w:bookmarkEnd w:id="110"/>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Class 2 Warrant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Voting Support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SUPPORT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Voting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29, 2024, is entered into by and between Bakkt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Intercontinental Exchange Holdings, Inc. (the “</w:t>
      </w:r>
      <w:r>
        <w:rPr>
          <w:rFonts w:ascii="Times New Roman" w:cs="Times New Roman" w:eastAsia="Times New Roman" w:hAnsi="Times New Roman"/>
          <w:sz w:val="18"/>
          <w:szCs w:val="18"/>
          <w:b w:val="1"/>
          <w:bCs w:val="1"/>
          <w:color w:val="auto"/>
        </w:rPr>
        <w:t>Supporting Stockholder</w:t>
      </w:r>
      <w:r>
        <w:rPr>
          <w:rFonts w:ascii="Times New Roman" w:cs="Times New Roman" w:eastAsia="Times New Roman" w:hAnsi="Times New Roman"/>
          <w:sz w:val="18"/>
          <w:szCs w:val="18"/>
          <w:color w:val="auto"/>
        </w:rPr>
        <w:t>”). Capitalized terms used but not otherwise defined in this Agreement shall have the meanings ascribed to them in the Securities Purchase Agreements (as defined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WHEREAS, the Company is entering into, or has entered into two Securities Purchase Agreements (together,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with certain investors identified on the signature pages thereto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pursuant to which (and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therein) the Company will issue and sell to the Investors, and the Investors will purchase from the Company, certain shares of the Company’s Class A common stock (or, in lieu of such shares, pre-funded warrants to purchase shares of the Company’s Class A common stock) and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the Company’s Class A common stock;</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WHEREAS, as of the date hereof, the Supporting Stockholder is the record and/or “beneficial owner” (within the meaning of Rule 13d-3 under the Securities Exchange Act of 1934, as amended (together with the rules and regulations promulgated thereunder,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and is entitled to dispose of, or to direct the disposition of, and vote, or to direct the voting of, the shares of the Company’s Class A common stock or Class V common stock indicated, the currently owned amount of which is on the Supporting Stockholder’s signature page below (the “</w:t>
      </w:r>
      <w:r>
        <w:rPr>
          <w:rFonts w:ascii="Times New Roman" w:cs="Times New Roman" w:eastAsia="Times New Roman" w:hAnsi="Times New Roman"/>
          <w:sz w:val="18"/>
          <w:szCs w:val="18"/>
          <w:b w:val="1"/>
          <w:bCs w:val="1"/>
          <w:color w:val="auto"/>
        </w:rPr>
        <w:t>Owned Shares</w:t>
      </w:r>
      <w:r>
        <w:rPr>
          <w:rFonts w:ascii="Times New Roman" w:cs="Times New Roman" w:eastAsia="Times New Roman" w:hAnsi="Times New Roman"/>
          <w:sz w:val="18"/>
          <w:szCs w:val="18"/>
          <w:color w:val="auto"/>
        </w:rPr>
        <w:t>”; the Owned Shares and any additional securities of the Company (or any securities convertible into or exercisable or exchangeable for shares of the Company’s Class A common stock or Class V common stock) in which the Supporting Stockholder acquires record and/or beneficial ownership after the date hereof, including, without limitation, by purchase, as a result of a stock dividend, stock split, recapitalization, combination, reclassification, exchange or change of such securities, or upon exercise or conversion of any securities, the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as a condition and inducement to the willingness of the Investors (other than the Supporting Stockholder) to enter into the applicable Securities Purchase Agreement, the Company agreed to deliver this Agreement executed by the Supporting Stockholder to such Investors at or prior to the closing of the consummation of the transactions contemplated by the Securities Purchase Agreements.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for other good and valuable consideration, the receipt and sufficiency of which are hereby acknowledged, and intending to be legally bound hereby, the Company and the Supporting Stockholder hereby agree as follows:</w:t>
      </w:r>
    </w:p>
    <w:p>
      <w:pPr>
        <w:spacing w:after="0" w:line="163" w:lineRule="exact"/>
        <w:rPr>
          <w:sz w:val="20"/>
          <w:szCs w:val="20"/>
          <w:color w:val="auto"/>
        </w:rPr>
      </w:pPr>
    </w:p>
    <w:p>
      <w:pPr>
        <w:jc w:val="both"/>
        <w:ind w:firstLine="656"/>
        <w:spacing w:after="0"/>
        <w:tabs>
          <w:tab w:leader="none" w:pos="12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Subject to the earlier termination of this Agreement in accordance with Section 2, and, as applicable, except to the extent limited by the terms of the Voting Agreement, dated October 15, 2021, by and between the Company and Intercontinental Exchange Holdings, Inc. (the “</w:t>
      </w:r>
      <w:r>
        <w:rPr>
          <w:rFonts w:ascii="Times New Roman" w:cs="Times New Roman" w:eastAsia="Times New Roman" w:hAnsi="Times New Roman"/>
          <w:sz w:val="18"/>
          <w:szCs w:val="18"/>
          <w:b w:val="1"/>
          <w:bCs w:val="1"/>
          <w:color w:val="auto"/>
        </w:rPr>
        <w:t>ICE Voting Amendment</w:t>
      </w:r>
      <w:r>
        <w:rPr>
          <w:rFonts w:ascii="Times New Roman" w:cs="Times New Roman" w:eastAsia="Times New Roman" w:hAnsi="Times New Roman"/>
          <w:sz w:val="18"/>
          <w:szCs w:val="18"/>
          <w:color w:val="auto"/>
        </w:rPr>
        <w:t>”), the Supporting Stockholder, in its direct or indirect capacity as a stockholder of the Company, irrevocably and unconditionally agrees that, at any meeting of the Company’s Stockholders (whether annual or special and whether or not an adjourned or postponed meeting, however called and including any adjournment or postponement thereof) convened pursuant to Section 4.12 of the Securities Purchase Agreement to which the Supporting Stockholder is a party (the “</w:t>
      </w:r>
      <w:r>
        <w:rPr>
          <w:rFonts w:ascii="Times New Roman" w:cs="Times New Roman" w:eastAsia="Times New Roman" w:hAnsi="Times New Roman"/>
          <w:sz w:val="18"/>
          <w:szCs w:val="18"/>
          <w:b w:val="1"/>
          <w:bCs w:val="1"/>
          <w:color w:val="auto"/>
        </w:rPr>
        <w:t>ICE SPA</w:t>
      </w:r>
      <w:r>
        <w:rPr>
          <w:rFonts w:ascii="Times New Roman" w:cs="Times New Roman" w:eastAsia="Times New Roman" w:hAnsi="Times New Roman"/>
          <w:sz w:val="18"/>
          <w:szCs w:val="18"/>
          <w:color w:val="auto"/>
        </w:rPr>
        <w:t>”), the Supporting Stockholder shall, and shall cause any other holder of record of any of the Supporting Stockholder’s Covered Shares to:</w:t>
      </w:r>
    </w:p>
    <w:p>
      <w:pPr>
        <w:spacing w:after="0" w:line="184" w:lineRule="exact"/>
        <w:rPr>
          <w:rFonts w:ascii="Times New Roman" w:cs="Times New Roman" w:eastAsia="Times New Roman" w:hAnsi="Times New Roman"/>
          <w:sz w:val="18"/>
          <w:szCs w:val="18"/>
          <w:color w:val="auto"/>
        </w:rPr>
      </w:pPr>
    </w:p>
    <w:p>
      <w:pPr>
        <w:ind w:left="660" w:firstLine="644"/>
        <w:spacing w:after="0" w:line="266" w:lineRule="auto"/>
        <w:tabs>
          <w:tab w:leader="none" w:pos="195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such meeting is held, appear at such meeting (and at every adjournment or postponement thereof) or otherwise cause the Covered Shares to be counted as present thereat for the purpose of establishing a quorum;</w:t>
      </w:r>
    </w:p>
    <w:p>
      <w:pPr>
        <w:spacing w:after="0" w:line="162" w:lineRule="exact"/>
        <w:rPr>
          <w:rFonts w:ascii="Times New Roman" w:cs="Times New Roman" w:eastAsia="Times New Roman" w:hAnsi="Times New Roman"/>
          <w:sz w:val="18"/>
          <w:szCs w:val="18"/>
          <w:color w:val="auto"/>
        </w:rPr>
      </w:pPr>
    </w:p>
    <w:p>
      <w:pPr>
        <w:ind w:left="660" w:firstLine="644"/>
        <w:spacing w:after="0" w:line="266" w:lineRule="auto"/>
        <w:tabs>
          <w:tab w:leader="none" w:pos="195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cause to be voted (including via proxy), at such meeting all of the Covered Shares owned as of the record date for such meeting to approve any matters necessary or reasonably</w:t>
      </w:r>
    </w:p>
    <w:p>
      <w:pPr>
        <w:sectPr>
          <w:pgSz w:w="11900" w:h="16838" w:orient="portrait"/>
          <w:cols w:equalWidth="0" w:num="1">
            <w:col w:w="11240"/>
          </w:cols>
          <w:pgMar w:left="320" w:top="104" w:right="339" w:bottom="1440" w:gutter="0" w:footer="0" w:header="0"/>
        </w:sectPr>
      </w:pPr>
    </w:p>
    <w:bookmarkStart w:id="113" w:name="page114"/>
    <w:bookmarkEnd w:id="113"/>
    <w:p>
      <w:pPr>
        <w:spacing w:after="0" w:line="180"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requested by the Company to enable the Company to issue any shares of Class A common stock and the shares of Class A common stock underlying the related Warrants (as defined in the Securities Purchase Agreements) that may not be issued pursuant the Securities Purchase Agreements without first obtaining stockholder approval under the rules and regulations of the New York Stock Exchange and to enable the Company to issue the shares of Class A common stock under the alternative cashless exercise provision of the Class 2 Warrants (as defined in the Securities Purchase Agreements); and</w:t>
      </w:r>
    </w:p>
    <w:p>
      <w:pPr>
        <w:spacing w:after="0" w:line="185" w:lineRule="exact"/>
        <w:rPr>
          <w:sz w:val="20"/>
          <w:szCs w:val="20"/>
          <w:color w:val="auto"/>
        </w:rPr>
      </w:pPr>
    </w:p>
    <w:p>
      <w:pPr>
        <w:jc w:val="both"/>
        <w:ind w:left="660" w:firstLine="644"/>
        <w:spacing w:after="0" w:line="242" w:lineRule="auto"/>
        <w:tabs>
          <w:tab w:leader="none" w:pos="19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Stockholder hereby revokes any and all previous proxies granted or has caused the holder(s) of record of any Covered Shares to revoke any and all previous proxies granted with respect to the Covered Shares, other than the ICE Voting Agreement, as applicable.</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clarity, any vote cast pursuant to this Section (1) will (i) give effect to the ICE Voting Agreement and (ii) be calculated consistent with the Listed Company Manual of the New York Stock Exchange, in each case, as applicable.</w:t>
      </w:r>
    </w:p>
    <w:p>
      <w:pPr>
        <w:spacing w:after="0" w:line="160" w:lineRule="exact"/>
        <w:rPr>
          <w:sz w:val="20"/>
          <w:szCs w:val="20"/>
          <w:color w:val="auto"/>
        </w:rPr>
      </w:pPr>
    </w:p>
    <w:p>
      <w:pPr>
        <w:jc w:val="both"/>
        <w:ind w:firstLine="656"/>
        <w:spacing w:after="0" w:line="243" w:lineRule="auto"/>
        <w:tabs>
          <w:tab w:leader="none" w:pos="129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parties hereto,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no parties hereto shall have any further obligations or liabilities under this Agreement, upon the earliest of (a) the Company obtaining Stockholder Approval and (b) the termination of the ICE SPA (the earliest such date under clause (a) or (b) being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termination of this Agreement shall not relieve any parties hereto from any liability for any breach of, or actual and intentional fraud in connection with, this Agreement prior to such termination.</w:t>
      </w:r>
    </w:p>
    <w:p>
      <w:pPr>
        <w:spacing w:after="0" w:line="18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Supporting Stockholder</w:t>
      </w:r>
      <w:r>
        <w:rPr>
          <w:rFonts w:ascii="Times New Roman" w:cs="Times New Roman" w:eastAsia="Times New Roman" w:hAnsi="Times New Roman"/>
          <w:sz w:val="18"/>
          <w:szCs w:val="18"/>
          <w:color w:val="auto"/>
        </w:rPr>
        <w:t>. The Supporting Stockholder hereby represents and warrants as follows:</w:t>
      </w:r>
    </w:p>
    <w:p>
      <w:pPr>
        <w:spacing w:after="0" w:line="211" w:lineRule="exact"/>
        <w:rPr>
          <w:rFonts w:ascii="Times New Roman" w:cs="Times New Roman" w:eastAsia="Times New Roman" w:hAnsi="Times New Roman"/>
          <w:sz w:val="18"/>
          <w:szCs w:val="18"/>
          <w:color w:val="auto"/>
        </w:rPr>
      </w:pPr>
    </w:p>
    <w:p>
      <w:pPr>
        <w:jc w:val="both"/>
        <w:ind w:firstLine="1304"/>
        <w:spacing w:after="0" w:line="239" w:lineRule="auto"/>
        <w:tabs>
          <w:tab w:leader="none" w:pos="194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Stockholder is the beneficial owner (within the meaning of Rule 13d-3 under the Exchange Act) and/or record owner of, and, directly or indirectly, has good, valid and marketable title to, the Owned Shares, free and clear of liens (other than as created by this Agreement or the organizational documents of the Company or arising under applicable securities laws). As of the date hereof, other than the Owned Shares, the Supporting Stockholder does not own beneficially or of record any shares of capital stock of the Company (or any securities convertible into shares of capital stock of the Company).</w:t>
      </w:r>
    </w:p>
    <w:p>
      <w:pPr>
        <w:spacing w:after="0" w:line="184" w:lineRule="exact"/>
        <w:rPr>
          <w:rFonts w:ascii="Times New Roman" w:cs="Times New Roman" w:eastAsia="Times New Roman" w:hAnsi="Times New Roman"/>
          <w:sz w:val="18"/>
          <w:szCs w:val="18"/>
          <w:color w:val="auto"/>
        </w:rPr>
      </w:pPr>
    </w:p>
    <w:p>
      <w:pPr>
        <w:jc w:val="both"/>
        <w:ind w:firstLine="1304"/>
        <w:spacing w:after="0" w:line="239" w:lineRule="auto"/>
        <w:tabs>
          <w:tab w:leader="none" w:pos="193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Stockholder, other than as set forth in the ICE Voting Agreement, (i) except as provided in this Agreement, has full or, with an Affiliate of the Supporting Stockholder, shared voting power, full power of disposition and full power to issue instructions with respect to the matters set forth herein, in each case, with respect to the Supporting Stockholder’s Covered Shares, (ii) has not entered into or caused or permitted any Affiliate to enter into any voting agreement or voting trust with respect to any of the Supporting Stockholder’s Covered Shares that is inconsistent with the Supporting Stockholder’s obligations pursuant to this Agreement, (iii) has not granted or caused or permitted any Affiliate to grant a proxy or power of attorney with respect to any of the Supporting Stockholder’s Covered Shares that is inconsistent with the Supporting Stockholder’s obligations pursuant to this Agreement and (iv) has not entered into or caused or permitted any Affiliate to enter into any agreement or undertaking that is otherwise inconsistent with, or would interfere with, or prohibit or prevent it from satisfying, its obligations pursuant to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37" w:lineRule="auto"/>
        <w:tabs>
          <w:tab w:leader="none" w:pos="194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Stockholder, (i) if a legal entity, is duly organized, validly existing and, to the extent such concept is applicable, in good standing under the laws of the jurisdiction of its organization and has all requisite corporate or other power and authority and has taken all corporate or other action necessary in order to, execute, deliver and perform its obligations under this Agreement and to consummate the transactions contemplated hereby or, (ii) if an individual, has legal competence and capacity to enter into this Agreement and all necessary authority to execute, deliver and perform its obligations under this Agreement and to consummate the transactions contemplated hereby. This Agreement has been duly executed and delivered by the Supporting Stockholder and constitutes a valid and binding agreement of the Supporting Stockholder enforceable against the Supporting Stockholder in accordance with its terms, subject to the exceptions set forth in the last sentence of Section 3.2(a) of the ICE SPA.</w:t>
      </w:r>
    </w:p>
    <w:p>
      <w:pPr>
        <w:spacing w:after="0" w:line="189" w:lineRule="exact"/>
        <w:rPr>
          <w:rFonts w:ascii="Times New Roman" w:cs="Times New Roman" w:eastAsia="Times New Roman" w:hAnsi="Times New Roman"/>
          <w:sz w:val="18"/>
          <w:szCs w:val="18"/>
          <w:color w:val="auto"/>
        </w:rPr>
      </w:pPr>
    </w:p>
    <w:p>
      <w:pPr>
        <w:ind w:firstLine="1304"/>
        <w:spacing w:after="0" w:line="266" w:lineRule="auto"/>
        <w:tabs>
          <w:tab w:leader="none" w:pos="193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Supporting Stockholder do not, and the consummation of the transactions contemplated hereby, will not, constitute or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0" w:lineRule="exact"/>
        <w:rPr>
          <w:sz w:val="20"/>
          <w:szCs w:val="20"/>
          <w:color w:val="auto"/>
        </w:rPr>
      </w:pPr>
    </w:p>
    <w:p>
      <w:pPr>
        <w:jc w:val="both"/>
        <w:ind w:firstLine="8"/>
        <w:spacing w:after="0" w:line="236" w:lineRule="auto"/>
        <w:tabs>
          <w:tab w:leader="none" w:pos="23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Supporting Stockholder is a legal entity, a breach or violation of, or a default under, the certificate of incorporation, bylaws, limited liability company agreement or similar governing documents of the Supporting Stockholder, (ii) with or without notice, lapse of time or both, a breach or violation of, a termination (or right of termination) of or a default under, the loss of any benefit under, the creation, modification or acceleration of any obligations under or the creation of a lien (other than as created by this Agreement or the organizational documents of the Company or arising under applicable securities laws) on the Covered Shares pursuant to any contract binding upon the Supporting Stockholder or under any applicable law to which the Supporting Stockholder is subject, (iii) a conflict with, or constitute breach, violation, or default (or an event which with notice or lapse of time or both would become a default) in any respect under, or give to others any rights of termination, amendment, acceleration or cancellation of, any contract, agreement, indenture or instrument to which the Supporting Stockholder is a party, or (iv) any change in the rights or obligations of any parties hereto under any contract legally binding upon the Supporting Stockholder, except, in the case of clauses (ii) through (iv) directly above, for any such breach, violation, termination, default, creation, loss, acceleration, lien or change that would not, individually or in the aggregate, reasonably be expected to prevent or materially delay or impair the Supporting Stockholder’s ability to perform its obligations hereunder or to consummate the transactions contemplated hereby.</w:t>
      </w:r>
    </w:p>
    <w:p>
      <w:pPr>
        <w:spacing w:after="0" w:line="190" w:lineRule="exact"/>
        <w:rPr>
          <w:rFonts w:ascii="Times New Roman" w:cs="Times New Roman" w:eastAsia="Times New Roman" w:hAnsi="Times New Roman"/>
          <w:sz w:val="18"/>
          <w:szCs w:val="18"/>
          <w:color w:val="auto"/>
        </w:rPr>
      </w:pPr>
    </w:p>
    <w:p>
      <w:pPr>
        <w:jc w:val="both"/>
        <w:ind w:firstLine="1304"/>
        <w:spacing w:after="0" w:line="245" w:lineRule="auto"/>
        <w:tabs>
          <w:tab w:leader="none" w:pos="194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action, proceeding or, to the Supporting Stockholder’s knowledge, investigation pending against the Supporting Stockholder or, to the knowledge of the Supporting Stockholder, threatened against the Supporting Stockholder that questions the beneficial or record ownership of the Supporting Stockholder’s Owned Shares, the validity of this Agreement or the performance by the Supporting Stockholder of its obligations under this Agreement.</w:t>
      </w:r>
    </w:p>
    <w:p>
      <w:pPr>
        <w:spacing w:after="0" w:line="180" w:lineRule="exact"/>
        <w:rPr>
          <w:rFonts w:ascii="Times New Roman" w:cs="Times New Roman" w:eastAsia="Times New Roman" w:hAnsi="Times New Roman"/>
          <w:sz w:val="18"/>
          <w:szCs w:val="18"/>
          <w:color w:val="auto"/>
        </w:rPr>
      </w:pPr>
    </w:p>
    <w:p>
      <w:pPr>
        <w:jc w:val="both"/>
        <w:ind w:firstLine="656"/>
        <w:spacing w:after="0" w:line="237" w:lineRule="auto"/>
        <w:tabs>
          <w:tab w:leader="none" w:pos="129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Covenants of the Supporting Stockholder</w:t>
      </w:r>
      <w:r>
        <w:rPr>
          <w:rFonts w:ascii="Times New Roman" w:cs="Times New Roman" w:eastAsia="Times New Roman" w:hAnsi="Times New Roman"/>
          <w:sz w:val="18"/>
          <w:szCs w:val="18"/>
          <w:color w:val="auto"/>
        </w:rPr>
        <w:t>. Except in accordance with the terms of this Agreement, the Supporting Stockholder shall not, and shall cause each of its Affiliates not to, at any time prior to the Termination Date, (i) enter into any voting agreement or voting trust with respect to any of the Supporting Stockholder’s Covered Shares that is inconsistent with the Supporting Stockholder’s obligations pursuant to this Agreement, (ii) grant a proxy or power of attorney with respect to any of the Supporting Stockholder’s Covered Shares that is inconsistent with the Supporting Stockholder’s obligations pursuant to this Agreement, or (iii) enter into any agreement or undertaking that is otherwise inconsistent with, or would interfere with, or prohibit or prevent it from satisfying, its obligations pursuant to this Agreement. Such covenant shall in no way impact the Supporting Stockholder’s obligations under and its ability to comply with the terms of the ICE Voting Agreement, as applicable.</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mean with respect to any Person, any other Person that,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no case shall the Company or any of its Subsidiaries be deemed to be an Affiliate of the Supporting Stockholder. For purposes of this definition,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172" w:lineRule="exact"/>
        <w:rPr>
          <w:sz w:val="20"/>
          <w:szCs w:val="20"/>
          <w:color w:val="auto"/>
        </w:rPr>
      </w:pPr>
    </w:p>
    <w:p>
      <w:pPr>
        <w:jc w:val="both"/>
        <w:ind w:firstLine="656"/>
        <w:spacing w:after="0" w:line="250"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the Company’s request and without further consideration, the Supporting Stockholder shall execute and deliver such additional documents and take all such further action as may be reasonably necessary or reasonably requested to effect the actions and consummate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0" w:lineRule="exact"/>
        <w:rPr>
          <w:sz w:val="20"/>
          <w:szCs w:val="20"/>
          <w:color w:val="auto"/>
        </w:rPr>
      </w:pPr>
    </w:p>
    <w:p>
      <w:pPr>
        <w:ind w:right="20" w:firstLine="656"/>
        <w:spacing w:after="0" w:line="266" w:lineRule="auto"/>
        <w:tabs>
          <w:tab w:leader="none" w:pos="12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 This Agreement may not be amended, modified or supplemented in any manner, whether by course of conduct or otherwise, except by an instrument in writing signed the Company and the Supporting Stockholder.</w:t>
      </w:r>
    </w:p>
    <w:p>
      <w:pPr>
        <w:spacing w:after="0" w:line="162" w:lineRule="exact"/>
        <w:rPr>
          <w:rFonts w:ascii="Times New Roman" w:cs="Times New Roman" w:eastAsia="Times New Roman" w:hAnsi="Times New Roman"/>
          <w:sz w:val="18"/>
          <w:szCs w:val="18"/>
          <w:color w:val="auto"/>
        </w:rPr>
      </w:pPr>
    </w:p>
    <w:p>
      <w:pPr>
        <w:ind w:right="20" w:firstLine="656"/>
        <w:spacing w:after="0" w:line="266" w:lineRule="auto"/>
        <w:tabs>
          <w:tab w:leader="none" w:pos="12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other communications to any of the parties hereto shall be in writing (including email transmission, so long as a receipt of such email is requested and received) and shall be given,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the Company: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1000 Avalon Boulevard, Suite 1000</w:t>
      </w:r>
    </w:p>
    <w:p>
      <w:pPr>
        <w:ind w:left="1300"/>
        <w:spacing w:after="0" w:line="234" w:lineRule="auto"/>
        <w:rPr>
          <w:sz w:val="20"/>
          <w:szCs w:val="20"/>
          <w:color w:val="auto"/>
        </w:rPr>
      </w:pPr>
      <w:r>
        <w:rPr>
          <w:rFonts w:ascii="Times New Roman" w:cs="Times New Roman" w:eastAsia="Times New Roman" w:hAnsi="Times New Roman"/>
          <w:sz w:val="18"/>
          <w:szCs w:val="18"/>
          <w:color w:val="auto"/>
        </w:rPr>
        <w:t>Alpharetta, Georgia 30009</w:t>
      </w:r>
    </w:p>
    <w:p>
      <w:pPr>
        <w:ind w:left="1300"/>
        <w:spacing w:after="0" w:line="235" w:lineRule="auto"/>
        <w:rPr>
          <w:sz w:val="20"/>
          <w:szCs w:val="20"/>
          <w:color w:val="auto"/>
        </w:rPr>
      </w:pPr>
      <w:r>
        <w:rPr>
          <w:rFonts w:ascii="Times New Roman" w:cs="Times New Roman" w:eastAsia="Times New Roman" w:hAnsi="Times New Roman"/>
          <w:sz w:val="18"/>
          <w:szCs w:val="18"/>
          <w:color w:val="auto"/>
        </w:rPr>
        <w:t>Telephone: 678-534-5849</w:t>
      </w:r>
    </w:p>
    <w:p>
      <w:pPr>
        <w:ind w:left="1300"/>
        <w:spacing w:after="0" w:line="235" w:lineRule="auto"/>
        <w:rPr>
          <w:sz w:val="20"/>
          <w:szCs w:val="20"/>
          <w:color w:val="auto"/>
        </w:rPr>
      </w:pPr>
      <w:r>
        <w:rPr>
          <w:rFonts w:ascii="Times New Roman" w:cs="Times New Roman" w:eastAsia="Times New Roman" w:hAnsi="Times New Roman"/>
          <w:sz w:val="18"/>
          <w:szCs w:val="18"/>
          <w:color w:val="auto"/>
        </w:rPr>
        <w:t>Attention: General Counsel</w:t>
      </w: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legal-notices@bakkt.com</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Professional Corporation</w:t>
      </w:r>
    </w:p>
    <w:p>
      <w:pPr>
        <w:ind w:left="1300"/>
        <w:spacing w:after="0" w:line="234" w:lineRule="auto"/>
        <w:rPr>
          <w:sz w:val="20"/>
          <w:szCs w:val="20"/>
          <w:color w:val="auto"/>
        </w:rPr>
      </w:pPr>
      <w:r>
        <w:rPr>
          <w:rFonts w:ascii="Times New Roman" w:cs="Times New Roman" w:eastAsia="Times New Roman" w:hAnsi="Times New Roman"/>
          <w:sz w:val="18"/>
          <w:szCs w:val="18"/>
          <w:color w:val="auto"/>
        </w:rPr>
        <w:t>900 South Capital of Texas Highway</w:t>
      </w:r>
    </w:p>
    <w:p>
      <w:pPr>
        <w:ind w:left="1300"/>
        <w:spacing w:after="0" w:line="235" w:lineRule="auto"/>
        <w:rPr>
          <w:sz w:val="20"/>
          <w:szCs w:val="20"/>
          <w:color w:val="auto"/>
        </w:rPr>
      </w:pPr>
      <w:r>
        <w:rPr>
          <w:rFonts w:ascii="Times New Roman" w:cs="Times New Roman" w:eastAsia="Times New Roman" w:hAnsi="Times New Roman"/>
          <w:sz w:val="18"/>
          <w:szCs w:val="18"/>
          <w:color w:val="auto"/>
        </w:rPr>
        <w:t>Las Cimas IV, Fifth Floor</w:t>
      </w:r>
    </w:p>
    <w:p>
      <w:pPr>
        <w:ind w:left="1300"/>
        <w:spacing w:after="0" w:line="235" w:lineRule="auto"/>
        <w:rPr>
          <w:sz w:val="20"/>
          <w:szCs w:val="20"/>
          <w:color w:val="auto"/>
        </w:rPr>
      </w:pPr>
      <w:r>
        <w:rPr>
          <w:rFonts w:ascii="Times New Roman" w:cs="Times New Roman" w:eastAsia="Times New Roman" w:hAnsi="Times New Roman"/>
          <w:sz w:val="18"/>
          <w:szCs w:val="18"/>
          <w:color w:val="auto"/>
        </w:rPr>
        <w:t>Austin, Texas 78746</w:t>
      </w:r>
    </w:p>
    <w:p>
      <w:pPr>
        <w:ind w:left="1300"/>
        <w:spacing w:after="0" w:line="235" w:lineRule="auto"/>
        <w:rPr>
          <w:sz w:val="20"/>
          <w:szCs w:val="20"/>
          <w:color w:val="auto"/>
        </w:rPr>
      </w:pPr>
      <w:r>
        <w:rPr>
          <w:rFonts w:ascii="Times New Roman" w:cs="Times New Roman" w:eastAsia="Times New Roman" w:hAnsi="Times New Roman"/>
          <w:sz w:val="18"/>
          <w:szCs w:val="18"/>
          <w:color w:val="auto"/>
        </w:rPr>
        <w:t>Attention: J. Matthew Lyons</w:t>
      </w:r>
    </w:p>
    <w:p>
      <w:pPr>
        <w:ind w:left="1300"/>
        <w:spacing w:after="0"/>
        <w:rPr>
          <w:sz w:val="20"/>
          <w:szCs w:val="20"/>
          <w:color w:val="auto"/>
        </w:rPr>
      </w:pPr>
      <w:r>
        <w:rPr>
          <w:rFonts w:ascii="Times New Roman" w:cs="Times New Roman" w:eastAsia="Times New Roman" w:hAnsi="Times New Roman"/>
          <w:sz w:val="18"/>
          <w:szCs w:val="18"/>
          <w:color w:val="auto"/>
        </w:rPr>
        <w:t>Email: mlyons@wsgr.com</w:t>
      </w:r>
    </w:p>
    <w:p>
      <w:pPr>
        <w:spacing w:after="0" w:line="192" w:lineRule="exact"/>
        <w:rPr>
          <w:sz w:val="20"/>
          <w:szCs w:val="20"/>
          <w:color w:val="auto"/>
        </w:rPr>
      </w:pPr>
    </w:p>
    <w:p>
      <w:pPr>
        <w:ind w:left="1620" w:right="20" w:hanging="316"/>
        <w:spacing w:after="0" w:line="266" w:lineRule="auto"/>
        <w:tabs>
          <w:tab w:leader="none" w:pos="161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Supporting Stockholder, to such address indicated on the Company’s records with respect to the Supporting Stockholder or to such other address or addresses as the Supporting Stockholder may from time to time designate in writing.</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such notices, requests and other communications will be deemed to have been delivered: (i) upon receipt, when delivered personally; (iii) upon delivery, when sent by electronic mail; or (iii) two (2) Business Days after deposit with a U.S. nationally recognized overnight courier service, in each case properly addressed to the party to receive the same.</w:t>
      </w:r>
    </w:p>
    <w:p>
      <w:pPr>
        <w:spacing w:after="0" w:line="177" w:lineRule="exact"/>
        <w:rPr>
          <w:sz w:val="20"/>
          <w:szCs w:val="20"/>
          <w:color w:val="auto"/>
        </w:rPr>
      </w:pPr>
    </w:p>
    <w:p>
      <w:pPr>
        <w:jc w:val="both"/>
        <w:ind w:firstLine="656"/>
        <w:spacing w:after="0" w:line="242"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the parties hereto as contemplated by or referred to herein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42" w:lineRule="auto"/>
        <w:tabs>
          <w:tab w:leader="none" w:pos="12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Each of the Supporting Stockholder and the Company acknowledges and agrees that this Agreement is being entered into in order to induce the Investors (other than the Supporting Stockholder) to execute and deliver the Securities Purchase Agreements, and without the representations, warranties, covenants and agreements of the Supporting Stockholder set forth herein, the Investors would not enter into the Securities Purchase Agreements. Notwithstanding the foregoing, this Agreement is intended only for the benefit of the parties hereto and their respective permitted successors and assigns, and is not for the benefit of, nor may any provision hereof be enforced by, any other Person.</w:t>
      </w:r>
    </w:p>
    <w:p>
      <w:pPr>
        <w:spacing w:after="0" w:line="184" w:lineRule="exact"/>
        <w:rPr>
          <w:rFonts w:ascii="Times New Roman" w:cs="Times New Roman" w:eastAsia="Times New Roman" w:hAnsi="Times New Roman"/>
          <w:sz w:val="18"/>
          <w:szCs w:val="18"/>
          <w:color w:val="auto"/>
        </w:rPr>
      </w:pPr>
    </w:p>
    <w:p>
      <w:pPr>
        <w:ind w:right="40" w:firstLine="656"/>
        <w:spacing w:after="0" w:line="241" w:lineRule="auto"/>
        <w:tabs>
          <w:tab w:leader="none" w:pos="12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 Service of Process; Waiver of Jury Trial</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Each of the parties hereto irrevocably consents to the exclusive jurisdiction and venue of the Court of Chancery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subject matter jurisdiction over the matter that is the subject of the legal proceeding is vested exclusively in the U.S. federal courts, such legal proceeding shall be heard in the U.S. District Court for the District of Delaware (together with the Court of Chancery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Delaware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in connection with any matter based upon or arising out of this Agreement. Each party hereto hereby waives, and shall not assert as a defense in any legal dispute, that (a) such Person is not personally subject to the jurisdiction of the Chosen Courts for any reason, (b) such legal proceeding may not be brought or is not maintainable in the Chosen Courts, (c) such Person’s property is exempt or immune from execution, (d) such legal proceeding is brought in an inconvenient forum or (e) the venue of such legal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8"/>
          <w:szCs w:val="18"/>
          <w:b w:val="1"/>
          <w:bCs w:val="1"/>
          <w:color w:val="auto"/>
        </w:rPr>
        <w:t>EACH PARTY HEREBY</w:t>
      </w:r>
    </w:p>
    <w:p>
      <w:pPr>
        <w:spacing w:after="0" w:line="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IRREVOCABLY WAIVES ANY RIGHT IT MAY HAVE, AND AGREES NOT TO REQUEST, A JURY TRIAL FOR THE ADJUDICATION OF ANY DISPUTE HEREUNDER OR IN CONNECTION WITH OR ARISING OUT OF THIS AGREEMENT OR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b w:val="1"/>
          <w:bCs w:val="1"/>
          <w:color w:val="auto"/>
        </w:rPr>
        <w:t xml:space="preserve"> TRANSACTION CONTEMPLATED HEREBY.</w:t>
      </w:r>
    </w:p>
    <w:p>
      <w:pPr>
        <w:spacing w:after="0" w:line="185" w:lineRule="exact"/>
        <w:rPr>
          <w:sz w:val="20"/>
          <w:szCs w:val="20"/>
          <w:color w:val="auto"/>
        </w:rPr>
      </w:pPr>
    </w:p>
    <w:p>
      <w:pPr>
        <w:jc w:val="both"/>
        <w:ind w:firstLine="656"/>
        <w:spacing w:after="0" w:line="241" w:lineRule="auto"/>
        <w:tabs>
          <w:tab w:leader="none" w:pos="12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No party hereto may assign either this Agreement or any of its rights, interests, or obligations hereunder, by operation of law or otherwise, without the prior written approval of the other party hereto and, in the case of assignment by the Supporting Stockholder, without the prior written approval of the Investors representing a majority of the Class A common stock being purchased under each of the Securities Purchase Agreements. Subject to the preceding sentence, this Agreement will be binding upon and will inure to the benefit of, and be enforceable by, the parties hereto and their respective successors and permitted assigns. Any purported assignment of this Agreement without the consent required by this Section 12 is null and void.</w:t>
      </w:r>
    </w:p>
    <w:p>
      <w:pPr>
        <w:spacing w:after="0" w:line="183" w:lineRule="exact"/>
        <w:rPr>
          <w:rFonts w:ascii="Times New Roman" w:cs="Times New Roman" w:eastAsia="Times New Roman" w:hAnsi="Times New Roman"/>
          <w:sz w:val="18"/>
          <w:szCs w:val="18"/>
          <w:color w:val="auto"/>
        </w:rPr>
      </w:pPr>
    </w:p>
    <w:p>
      <w:pPr>
        <w:jc w:val="both"/>
        <w:ind w:firstLine="656"/>
        <w:spacing w:after="0" w:line="245" w:lineRule="auto"/>
        <w:tabs>
          <w:tab w:leader="none" w:pos="12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Company will be entitled to specific performance hereunder.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spacing w:after="0" w:line="167" w:lineRule="exact"/>
        <w:rPr>
          <w:rFonts w:ascii="Times New Roman" w:cs="Times New Roman" w:eastAsia="Times New Roman" w:hAnsi="Times New Roman"/>
          <w:sz w:val="18"/>
          <w:szCs w:val="18"/>
          <w:color w:val="auto"/>
        </w:rPr>
      </w:pPr>
    </w:p>
    <w:p>
      <w:pPr>
        <w:jc w:val="both"/>
        <w:ind w:firstLine="656"/>
        <w:spacing w:after="0" w:line="239" w:lineRule="auto"/>
        <w:tabs>
          <w:tab w:leader="none" w:pos="12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7" w:lineRule="exact"/>
        <w:rPr>
          <w:rFonts w:ascii="Times New Roman" w:cs="Times New Roman" w:eastAsia="Times New Roman" w:hAnsi="Times New Roman"/>
          <w:sz w:val="18"/>
          <w:szCs w:val="18"/>
          <w:color w:val="auto"/>
        </w:rPr>
      </w:pPr>
    </w:p>
    <w:p>
      <w:pPr>
        <w:jc w:val="both"/>
        <w:ind w:firstLine="656"/>
        <w:spacing w:after="0" w:line="242" w:lineRule="auto"/>
        <w:tabs>
          <w:tab w:leader="none" w:pos="12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identical counterparts, all of which shall be considered one and the same agreement (it being understood that the parties need not sign the same counterpart) and shall become effective when counterparts have been signed by each party and delivered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facsimile, .pdf signature or any electronic signature complying with the U.S. federal ESIGN Act of 2000 (e.g., www.docusign.com) shall be considered due execution and shall be binding upon the signatory thereto with the same force and effect as if the signature were an original, not a facsimile or .pdf signature.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(where applicable, by their respective officers or other authorized Persons thereunto duly authorized) as of the date first written above.</w:t>
      </w:r>
    </w:p>
    <w:p>
      <w:pPr>
        <w:spacing w:after="0" w:line="200" w:lineRule="exact"/>
        <w:rPr>
          <w:sz w:val="20"/>
          <w:szCs w:val="20"/>
          <w:color w:val="auto"/>
        </w:rPr>
      </w:pPr>
    </w:p>
    <w:p>
      <w:pPr>
        <w:spacing w:after="0" w:line="2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7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1663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Support Agreement</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(where applicable, by their respective officers or other authorized Persons thereunto duly authorized) as of the date first written above.</w:t>
      </w:r>
    </w:p>
    <w:p>
      <w:pPr>
        <w:spacing w:after="0" w:line="200" w:lineRule="exact"/>
        <w:rPr>
          <w:sz w:val="20"/>
          <w:szCs w:val="20"/>
          <w:color w:val="auto"/>
        </w:rPr>
      </w:pPr>
    </w:p>
    <w:p>
      <w:pPr>
        <w:spacing w:after="0" w:line="25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SUPPORTING STOCKHOLDER:</w:t>
      </w:r>
    </w:p>
    <w:p>
      <w:pPr>
        <w:spacing w:after="0" w:line="2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INTERCONTINENTAL EXCHANGE HOLDINGS,</w:t>
      </w:r>
    </w:p>
    <w:p>
      <w:pPr>
        <w:ind w:left="378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18434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3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Owned Shares Held Directly:</w:t>
      </w:r>
    </w:p>
    <w:p>
      <w:pPr>
        <w:spacing w:after="0" w:line="20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Common Stock: 174,793,798</w:t>
      </w:r>
    </w:p>
    <w:p>
      <w:pPr>
        <w:ind w:left="4540"/>
        <w:spacing w:after="0" w:line="203" w:lineRule="auto"/>
        <w:rPr>
          <w:sz w:val="20"/>
          <w:szCs w:val="20"/>
          <w:color w:val="auto"/>
        </w:rPr>
      </w:pPr>
      <w:r>
        <w:rPr>
          <w:rFonts w:ascii="Times New Roman" w:cs="Times New Roman" w:eastAsia="Times New Roman" w:hAnsi="Times New Roman"/>
          <w:sz w:val="18"/>
          <w:szCs w:val="18"/>
          <w:b w:val="1"/>
          <w:bCs w:val="1"/>
          <w:i w:val="1"/>
          <w:iCs w:val="1"/>
          <w:color w:val="auto"/>
        </w:rPr>
        <w:t>Comprised of</w:t>
      </w:r>
      <w:r>
        <w:rPr>
          <w:rFonts w:ascii="Times New Roman" w:cs="Times New Roman" w:eastAsia="Times New Roman" w:hAnsi="Times New Roman"/>
          <w:sz w:val="18"/>
          <w:szCs w:val="18"/>
          <w:color w:val="auto"/>
        </w:rPr>
        <w:t>:</w:t>
      </w:r>
    </w:p>
    <w:p>
      <w:pPr>
        <w:ind w:left="4540"/>
        <w:spacing w:after="0" w:line="219" w:lineRule="auto"/>
        <w:rPr>
          <w:sz w:val="20"/>
          <w:szCs w:val="20"/>
          <w:color w:val="auto"/>
        </w:rPr>
      </w:pPr>
      <w:r>
        <w:rPr>
          <w:rFonts w:ascii="Times New Roman" w:cs="Times New Roman" w:eastAsia="Times New Roman" w:hAnsi="Times New Roman"/>
          <w:sz w:val="18"/>
          <w:szCs w:val="18"/>
          <w:color w:val="auto"/>
        </w:rPr>
        <w:t>Class A Common Stock: 4,714,336</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Class V Common Stock: 170,079,462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Voting Support Agreement</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lowerRoman"/>
      <w:start w:val="1"/>
    </w:lvl>
    <w:lvl w:ilvl="1">
      <w:lvlJc w:val="left"/>
      <w:lvlText w:val="%2."/>
      <w:numFmt w:val="lowerLetter"/>
      <w:start w:val="1"/>
    </w:lvl>
  </w:abstractNum>
  <w:abstractNum w:abstractNumId="3">
    <w:nsid w:val="100F8FCA"/>
    <w:multiLevelType w:val="hybridMultilevel"/>
    <w:lvl w:ilvl="0">
      <w:lvlJc w:val="left"/>
      <w:lvlText w:val="(%1)"/>
      <w:numFmt w:val="lowerRoman"/>
      <w:start w:val="1"/>
    </w:lvl>
    <w:lvl w:ilvl="1">
      <w:lvlJc w:val="left"/>
      <w:lvlText w:val="%2."/>
      <w:numFmt w:val="lowerLetter"/>
      <w:start w:val="2"/>
    </w:lvl>
  </w:abstractNum>
  <w:abstractNum w:abstractNumId="4">
    <w:nsid w:val="6590700B"/>
    <w:multiLevelType w:val="hybridMultilevel"/>
    <w:lvl w:ilvl="0">
      <w:lvlJc w:val="left"/>
      <w:lvlText w:val="(%1)"/>
      <w:numFmt w:val="upperLetter"/>
      <w:start w:val="1"/>
    </w:lvl>
  </w:abstractNum>
  <w:abstractNum w:abstractNumId="5">
    <w:nsid w:val="15014ACB"/>
    <w:multiLevelType w:val="hybridMultilevel"/>
    <w:lvl w:ilvl="0">
      <w:lvlJc w:val="left"/>
      <w:lvlText w:val="(%1)"/>
      <w:numFmt w:val="upperLetter"/>
      <w:start w:val="24"/>
    </w:lvl>
  </w:abstractNum>
  <w:abstractNum w:abstractNumId="6">
    <w:nsid w:val="5F5E7FD0"/>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
    <w:nsid w:val="98A314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799D0247"/>
    <w:multiLevelType w:val="hybridMultilevel"/>
    <w:lvl w:ilvl="0">
      <w:lvlJc w:val="left"/>
      <w:lvlText w:val="%1"/>
      <w:numFmt w:val="lowerLetter"/>
      <w:start w:val="1"/>
    </w:lvl>
    <w:lvl w:ilvl="1">
      <w:lvlJc w:val="left"/>
      <w:lvlText w:val="%2."/>
      <w:numFmt w:val="lowerRoman"/>
      <w:start w:val="5"/>
    </w:lvl>
  </w:abstractNum>
  <w:abstractNum w:abstractNumId="9">
    <w:nsid w:val="6B94764"/>
    <w:multiLevelType w:val="hybridMultilevel"/>
    <w:lvl w:ilvl="0">
      <w:lvlJc w:val="left"/>
      <w:lvlText w:val="%1."/>
      <w:numFmt w:val="lowerLetter"/>
      <w:start w:val="6"/>
    </w:lvl>
    <w:lvl w:ilvl="1">
      <w:lvlJc w:val="left"/>
      <w:lvlText w:val="%2"/>
      <w:numFmt w:val="lowerRoman"/>
      <w:start w:val="1"/>
    </w:lvl>
  </w:abstractNum>
  <w:abstractNum w:abstractNumId="10">
    <w:nsid w:val="42C296BD"/>
    <w:multiLevelType w:val="hybridMultilevel"/>
    <w:lvl w:ilvl="0">
      <w:lvlJc w:val="left"/>
      <w:lvlText w:val="%1."/>
      <w:numFmt w:val="lowerLetter"/>
      <w:start w:val="1"/>
    </w:lvl>
  </w:abstractNum>
  <w:abstractNum w:abstractNumId="11">
    <w:nsid w:val="168E121F"/>
    <w:multiLevelType w:val="hybridMultilevel"/>
    <w:lvl w:ilvl="0">
      <w:lvlJc w:val="left"/>
      <w:lvlText w:val="%1."/>
      <w:numFmt w:val="lowerLetter"/>
      <w:start w:val="3"/>
    </w:lvl>
  </w:abstractNum>
  <w:abstractNum w:abstractNumId="12">
    <w:nsid w:val="1EBA5D23"/>
    <w:multiLevelType w:val="hybridMultilevel"/>
    <w:lvl w:ilvl="0">
      <w:lvlJc w:val="left"/>
      <w:lvlText w:val="%1."/>
      <w:numFmt w:val="lowerLetter"/>
      <w:start w:val="5"/>
    </w:lvl>
  </w:abstractNum>
  <w:abstractNum w:abstractNumId="13">
    <w:nsid w:val="661E3F1E"/>
    <w:multiLevelType w:val="hybridMultilevel"/>
    <w:lvl w:ilvl="0">
      <w:lvlJc w:val="left"/>
      <w:lvlText w:val="%1."/>
      <w:numFmt w:val="lowerLetter"/>
      <w:start w:val="6"/>
    </w:lvl>
    <w:lvl w:ilvl="1">
      <w:lvlJc w:val="left"/>
      <w:lvlText w:val="%2."/>
      <w:numFmt w:val="lowerRoman"/>
      <w:start w:val="1"/>
    </w:lvl>
  </w:abstractNum>
  <w:abstractNum w:abstractNumId="14">
    <w:nsid w:val="5DC79EA8"/>
    <w:multiLevelType w:val="hybridMultilevel"/>
    <w:lvl w:ilvl="0">
      <w:lvlJc w:val="left"/>
      <w:lvlText w:val="%1."/>
      <w:numFmt w:val="lowerLetter"/>
      <w:start w:val="1"/>
    </w:lvl>
  </w:abstractNum>
  <w:abstractNum w:abstractNumId="15">
    <w:nsid w:val="540A471C"/>
    <w:multiLevelType w:val="hybridMultilevel"/>
    <w:lvl w:ilvl="0">
      <w:lvlJc w:val="left"/>
      <w:lvlText w:val="%1."/>
      <w:numFmt w:val="lowerLetter"/>
      <w:start w:val="3"/>
    </w:lvl>
  </w:abstractNum>
  <w:abstractNum w:abstractNumId="16">
    <w:nsid w:val="7BD3EE7B"/>
    <w:multiLevelType w:val="hybridMultilevel"/>
    <w:lvl w:ilvl="0">
      <w:lvlJc w:val="left"/>
      <w:lvlText w:val="%1"/>
      <w:numFmt w:val="lowerRoman"/>
      <w:start w:val="1"/>
    </w:lvl>
    <w:lvl w:ilvl="1">
      <w:lvlJc w:val="left"/>
      <w:lvlText w:val="%2."/>
      <w:numFmt w:val="lowerLetter"/>
      <w:start w:val="1"/>
    </w:lvl>
  </w:abstractNum>
  <w:abstractNum w:abstractNumId="17">
    <w:nsid w:val="51D9C564"/>
    <w:multiLevelType w:val="hybridMultilevel"/>
    <w:lvl w:ilvl="0">
      <w:lvlJc w:val="left"/>
      <w:lvlText w:val="(%1)"/>
      <w:numFmt w:val="lowerRoman"/>
      <w:start w:val="1"/>
    </w:lvl>
    <w:lvl w:ilvl="1">
      <w:lvlJc w:val="left"/>
      <w:lvlText w:val="%2."/>
      <w:numFmt w:val="lowerLetter"/>
      <w:start w:val="2"/>
    </w:lvl>
  </w:abstractNum>
  <w:abstractNum w:abstractNumId="18">
    <w:nsid w:val="613EFDC5"/>
    <w:multiLevelType w:val="hybridMultilevel"/>
    <w:lvl w:ilvl="0">
      <w:lvlJc w:val="left"/>
      <w:lvlText w:val="%1."/>
      <w:numFmt w:val="lowerLetter"/>
      <w:start w:val="5"/>
    </w:lvl>
  </w:abstractNum>
  <w:abstractNum w:abstractNumId="19">
    <w:nsid w:val="BF72B14"/>
    <w:multiLevelType w:val="hybridMultilevel"/>
    <w:lvl w:ilvl="0">
      <w:lvlJc w:val="left"/>
      <w:lvlText w:val="(%1)"/>
      <w:numFmt w:val="decimal"/>
      <w:start w:val="1"/>
    </w:lvl>
  </w:abstractNum>
  <w:abstractNum w:abstractNumId="20">
    <w:nsid w:val="11447B73"/>
    <w:multiLevelType w:val="hybridMultilevel"/>
    <w:lvl w:ilvl="0">
      <w:lvlJc w:val="left"/>
      <w:lvlText w:val="(%1)"/>
      <w:numFmt w:val="decimal"/>
      <w:start w:val="2"/>
    </w:lvl>
    <w:lvl w:ilvl="1">
      <w:lvlJc w:val="left"/>
      <w:lvlText w:val="["/>
      <w:numFmt w:val="bullet"/>
      <w:start w:val="1"/>
    </w:lvl>
  </w:abstractNum>
  <w:abstractNum w:abstractNumId="21">
    <w:nsid w:val="42963E5A"/>
    <w:multiLevelType w:val="hybridMultilevel"/>
    <w:lvl w:ilvl="0">
      <w:lvlJc w:val="left"/>
      <w:lvlText w:val="%1"/>
      <w:numFmt w:val="lowerRoman"/>
      <w:start w:val="1"/>
    </w:lvl>
    <w:lvl w:ilvl="1">
      <w:lvlJc w:val="left"/>
      <w:lvlText w:val="%2."/>
      <w:numFmt w:val="lowerLetter"/>
      <w:start w:val="1"/>
    </w:lvl>
  </w:abstractNum>
  <w:abstractNum w:abstractNumId="22">
    <w:nsid w:val="A0382C5"/>
    <w:multiLevelType w:val="hybridMultilevel"/>
    <w:lvl w:ilvl="0">
      <w:lvlJc w:val="left"/>
      <w:lvlText w:val="(%1)"/>
      <w:numFmt w:val="lowerRoman"/>
      <w:start w:val="1"/>
    </w:lvl>
    <w:lvl w:ilvl="1">
      <w:lvlJc w:val="left"/>
      <w:lvlText w:val="%2."/>
      <w:numFmt w:val="lowerLetter"/>
      <w:start w:val="2"/>
    </w:lvl>
  </w:abstractNum>
  <w:abstractNum w:abstractNumId="23">
    <w:nsid w:val="8F2B15E"/>
    <w:multiLevelType w:val="hybridMultilevel"/>
    <w:lvl w:ilvl="0">
      <w:lvlJc w:val="left"/>
      <w:lvlText w:val="(%1)"/>
      <w:numFmt w:val="upperLetter"/>
      <w:start w:val="1"/>
    </w:lvl>
  </w:abstractNum>
  <w:abstractNum w:abstractNumId="24">
    <w:nsid w:val="1A32234B"/>
    <w:multiLevelType w:val="hybridMultilevel"/>
    <w:lvl w:ilvl="0">
      <w:lvlJc w:val="left"/>
      <w:lvlText w:val="(%1)"/>
      <w:numFmt w:val="upperLetter"/>
      <w:start w:val="24"/>
    </w:lvl>
  </w:abstractNum>
  <w:abstractNum w:abstractNumId="25">
    <w:nsid w:val="3B0FD379"/>
    <w:multiLevelType w:val="hybridMultilevel"/>
    <w:lvl w:ilvl="0">
      <w:lvlJc w:val="left"/>
      <w:lvlText w:val="%1."/>
      <w:numFmt w:val="lowerLetter"/>
      <w:start w:val="4"/>
    </w:lvl>
    <w:lvl w:ilvl="1">
      <w:lvlJc w:val="left"/>
      <w:lvlText w:val="%2."/>
      <w:numFmt w:val="lowerRoman"/>
      <w:start w:val="1"/>
    </w:lvl>
  </w:abstractNum>
  <w:abstractNum w:abstractNumId="26">
    <w:nsid w:val="68EB2F6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7">
    <w:nsid w:val="4962813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5"/>
    </w:lvl>
  </w:abstractNum>
  <w:abstractNum w:abstractNumId="28">
    <w:nsid w:val="60B6DF70"/>
    <w:multiLevelType w:val="hybridMultilevel"/>
    <w:lvl w:ilvl="0">
      <w:lvlJc w:val="left"/>
      <w:lvlText w:val="%1."/>
      <w:numFmt w:val="lowerLetter"/>
      <w:start w:val="1"/>
    </w:lvl>
  </w:abstractNum>
  <w:abstractNum w:abstractNumId="29">
    <w:nsid w:val="6A5EE64"/>
    <w:multiLevelType w:val="hybridMultilevel"/>
    <w:lvl w:ilvl="0">
      <w:lvlJc w:val="left"/>
      <w:lvlText w:val="%1."/>
      <w:numFmt w:val="lowerLetter"/>
      <w:start w:val="2"/>
    </w:lvl>
  </w:abstractNum>
  <w:abstractNum w:abstractNumId="30">
    <w:nsid w:val="14330624"/>
    <w:multiLevelType w:val="hybridMultilevel"/>
    <w:lvl w:ilvl="0">
      <w:lvlJc w:val="left"/>
      <w:lvlText w:val="%1."/>
      <w:numFmt w:val="lowerLetter"/>
      <w:start w:val="5"/>
    </w:lvl>
    <w:lvl w:ilvl="1">
      <w:lvlJc w:val="left"/>
      <w:lvlText w:val="%2."/>
      <w:numFmt w:val="lowerRoman"/>
      <w:start w:val="1"/>
    </w:lvl>
  </w:abstractNum>
  <w:abstractNum w:abstractNumId="31">
    <w:nsid w:val="7FFFCA11"/>
    <w:multiLevelType w:val="hybridMultilevel"/>
    <w:lvl w:ilvl="0">
      <w:lvlJc w:val="left"/>
      <w:lvlText w:val="%1."/>
      <w:numFmt w:val="lowerLetter"/>
      <w:start w:val="1"/>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lowerLetter"/>
      <w:start w:val="5"/>
    </w:lvl>
  </w:abstractNum>
  <w:abstractNum w:abstractNumId="34">
    <w:nsid w:val="100F59DC"/>
    <w:multiLevelType w:val="hybridMultilevel"/>
    <w:lvl w:ilvl="0">
      <w:lvlJc w:val="left"/>
      <w:lvlText w:val="%1."/>
      <w:numFmt w:val="lowerLetter"/>
      <w:start w:val="12"/>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1)"/>
      <w:numFmt w:val="decimal"/>
      <w:start w:val="2"/>
    </w:lvl>
    <w:lvl w:ilvl="1">
      <w:lvlJc w:val="left"/>
      <w:lvlText w:val="["/>
      <w:numFmt w:val="bullet"/>
      <w:start w:val="1"/>
    </w:lvl>
  </w:abstractNum>
  <w:abstractNum w:abstractNumId="38">
    <w:nsid w:val="94211F2"/>
    <w:multiLevelType w:val="hybridMultilevel"/>
    <w:lvl w:ilvl="0">
      <w:lvlJc w:val="left"/>
      <w:lvlText w:val="%1"/>
      <w:numFmt w:val="lowerRoman"/>
      <w:start w:val="1"/>
    </w:lvl>
    <w:lvl w:ilvl="1">
      <w:lvlJc w:val="left"/>
      <w:lvlText w:val="%2."/>
      <w:numFmt w:val="lowerLetter"/>
      <w:start w:val="1"/>
    </w:lvl>
  </w:abstractNum>
  <w:abstractNum w:abstractNumId="39">
    <w:nsid w:val="885E1B"/>
    <w:multiLevelType w:val="hybridMultilevel"/>
    <w:lvl w:ilvl="0">
      <w:lvlJc w:val="left"/>
      <w:lvlText w:val="(%1)"/>
      <w:numFmt w:val="lowerRoman"/>
      <w:start w:val="1"/>
    </w:lvl>
    <w:lvl w:ilvl="1">
      <w:lvlJc w:val="left"/>
      <w:lvlText w:val="%2."/>
      <w:numFmt w:val="lowerLetter"/>
      <w:start w:val="2"/>
    </w:lvl>
  </w:abstractNum>
  <w:abstractNum w:abstractNumId="40">
    <w:nsid w:val="76272110"/>
    <w:multiLevelType w:val="hybridMultilevel"/>
    <w:lvl w:ilvl="0">
      <w:lvlJc w:val="left"/>
      <w:lvlText w:val="(%1)"/>
      <w:numFmt w:val="upperLetter"/>
      <w:start w:val="1"/>
    </w:lvl>
  </w:abstractNum>
  <w:abstractNum w:abstractNumId="41">
    <w:nsid w:val="4C04A8AF"/>
    <w:multiLevelType w:val="hybridMultilevel"/>
    <w:lvl w:ilvl="0">
      <w:lvlJc w:val="left"/>
      <w:lvlText w:val="(%1)"/>
      <w:numFmt w:val="upperLetter"/>
      <w:start w:val="24"/>
    </w:lvl>
  </w:abstractNum>
  <w:abstractNum w:abstractNumId="42">
    <w:nsid w:val="1716703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3">
    <w:nsid w:val="14E17E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
    <w:nsid w:val="3222E7CD"/>
    <w:multiLevelType w:val="hybridMultilevel"/>
    <w:lvl w:ilvl="0">
      <w:lvlJc w:val="left"/>
      <w:lvlText w:val="%1"/>
      <w:numFmt w:val="lowerLetter"/>
      <w:start w:val="1"/>
    </w:lvl>
    <w:lvl w:ilvl="1">
      <w:lvlJc w:val="left"/>
      <w:lvlText w:val="%2."/>
      <w:numFmt w:val="lowerRoman"/>
      <w:start w:val="5"/>
    </w:lvl>
  </w:abstractNum>
  <w:abstractNum w:abstractNumId="45">
    <w:nsid w:val="74DE0EE3"/>
    <w:multiLevelType w:val="hybridMultilevel"/>
    <w:lvl w:ilvl="0">
      <w:lvlJc w:val="left"/>
      <w:lvlText w:val="%1."/>
      <w:numFmt w:val="lowerLetter"/>
      <w:start w:val="6"/>
    </w:lvl>
    <w:lvl w:ilvl="1">
      <w:lvlJc w:val="left"/>
      <w:lvlText w:val="%2"/>
      <w:numFmt w:val="lowerRoman"/>
      <w:start w:val="1"/>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Roman"/>
      <w:start w:val="1"/>
    </w:lvl>
    <w:lvl w:ilvl="1">
      <w:lvlJc w:val="left"/>
      <w:lvlText w:val="%2."/>
      <w:numFmt w:val="lowerLetter"/>
      <w:start w:val="3"/>
    </w:lvl>
  </w:abstractNum>
  <w:abstractNum w:abstractNumId="48">
    <w:nsid w:val="46B7D447"/>
    <w:multiLevelType w:val="hybridMultilevel"/>
    <w:lvl w:ilvl="0">
      <w:lvlJc w:val="left"/>
      <w:lvlText w:val="(%1)"/>
      <w:numFmt w:val="lowerRoman"/>
      <w:start w:val="3"/>
    </w:lvl>
    <w:lvl w:ilvl="1">
      <w:lvlJc w:val="left"/>
      <w:lvlText w:val="%2"/>
      <w:numFmt w:val="lowerLetter"/>
      <w:start w:val="1"/>
    </w:lvl>
  </w:abstractNum>
  <w:abstractNum w:abstractNumId="49">
    <w:nsid w:val="4A2AC315"/>
    <w:multiLevelType w:val="hybridMultilevel"/>
    <w:lvl w:ilvl="0">
      <w:lvlJc w:val="left"/>
      <w:lvlText w:val="%1."/>
      <w:numFmt w:val="lowerLetter"/>
      <w:start w:val="5"/>
    </w:lvl>
    <w:lvl w:ilvl="1">
      <w:lvlJc w:val="left"/>
      <w:lvlText w:val="%2."/>
      <w:numFmt w:val="lowerRoman"/>
      <w:start w:val="1"/>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lowerRoman"/>
      <w:start w:val="1"/>
    </w:lvl>
    <w:lvl w:ilvl="1">
      <w:lvlJc w:val="left"/>
      <w:lvlText w:val="%2."/>
      <w:numFmt w:val="lowerLetter"/>
      <w:start w:val="1"/>
    </w:lvl>
  </w:abstractNum>
  <w:abstractNum w:abstractNumId="52">
    <w:nsid w:val="CC1016F"/>
    <w:multiLevelType w:val="hybridMultilevel"/>
    <w:lvl w:ilvl="0">
      <w:lvlJc w:val="left"/>
      <w:lvlText w:val="(%1)"/>
      <w:numFmt w:val="lowerRoman"/>
      <w:start w:val="1"/>
    </w:lvl>
    <w:lvl w:ilvl="1">
      <w:lvlJc w:val="left"/>
      <w:lvlText w:val="%2."/>
      <w:numFmt w:val="lowerLetter"/>
      <w:start w:val="2"/>
    </w:lvl>
  </w:abstractNum>
  <w:abstractNum w:abstractNumId="53">
    <w:nsid w:val="43F18422"/>
    <w:multiLevelType w:val="hybridMultilevel"/>
    <w:lvl w:ilvl="0">
      <w:lvlJc w:val="left"/>
      <w:lvlText w:val="%1."/>
      <w:numFmt w:val="lowerLetter"/>
      <w:start w:val="5"/>
    </w:lvl>
  </w:abstractNum>
  <w:abstractNum w:abstractNumId="54">
    <w:nsid w:val="60EF0119"/>
    <w:multiLevelType w:val="hybridMultilevel"/>
    <w:lvl w:ilvl="0">
      <w:lvlJc w:val="left"/>
      <w:lvlText w:val="%1."/>
      <w:numFmt w:val="lowerLetter"/>
      <w:start w:val="1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2"/>
    </w:lvl>
    <w:lvl w:ilvl="1">
      <w:lvlJc w:val="left"/>
      <w:lvlText w:val="["/>
      <w:numFmt w:val="bullet"/>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3"/>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1)"/>
      <w:numFmt w:val="lowerLetter"/>
      <w:start w:val="1"/>
    </w:lvl>
  </w:abstractNum>
  <w:abstractNum w:abstractNumId="62">
    <w:nsid w:val="5FB8011C"/>
    <w:multiLevelType w:val="hybridMultilevel"/>
    <w:lvl w:ilvl="0">
      <w:lvlJc w:val="left"/>
      <w:lvlText w:val="%1)"/>
      <w:numFmt w:val="decimal"/>
      <w:start w:val="144"/>
    </w:lvl>
  </w:abstractNum>
  <w:abstractNum w:abstractNumId="63">
    <w:nsid w:val="6AA78F7F"/>
    <w:multiLevelType w:val="hybridMultilevel"/>
    <w:lvl w:ilvl="0">
      <w:lvlJc w:val="left"/>
      <w:lvlText w:val="%1)"/>
      <w:numFmt w:val="decimal"/>
      <w:start w:val="144"/>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lowerLetter"/>
      <w:start w:val="1"/>
    </w:lvl>
    <w:lvl w:ilvl="1">
      <w:lvlJc w:val="left"/>
      <w:lvlText w:val="(%2)"/>
      <w:numFmt w:val="lowerRoman"/>
      <w:start w:val="1"/>
    </w:lvl>
  </w:abstractNum>
  <w:abstractNum w:abstractNumId="66">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67">
    <w:nsid w:val="7D5E18F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68">
    <w:nsid w:val="5F3534A4"/>
    <w:multiLevelType w:val="hybridMultilevel"/>
    <w:lvl w:ilvl="0">
      <w:lvlJc w:val="left"/>
      <w:lvlText w:val="(%1)"/>
      <w:numFmt w:val="lowerLetter"/>
      <w:start w:val="1"/>
    </w:lvl>
    <w:lvl w:ilvl="1">
      <w:lvlJc w:val="left"/>
      <w:lvlText w:val="(%2)"/>
      <w:numFmt w:val="lowerRoman"/>
      <w:start w:val="1"/>
    </w:lvl>
  </w:abstractNum>
  <w:abstractNum w:abstractNumId="69">
    <w:nsid w:val="73A1821B"/>
    <w:multiLevelType w:val="hybridMultilevel"/>
    <w:lvl w:ilvl="0">
      <w:lvlJc w:val="left"/>
      <w:lvlText w:val="(%1)"/>
      <w:numFmt w:val="lowerLetter"/>
      <w:start w:val="2"/>
    </w:lvl>
    <w:lvl w:ilvl="1">
      <w:lvlJc w:val="left"/>
      <w:lvlText w:val="(%2)"/>
      <w:numFmt w:val="lowerRoman"/>
      <w:start w:val="1"/>
    </w:lvl>
  </w:abstractNum>
  <w:abstractNum w:abstractNumId="70">
    <w:nsid w:val="7DE67713"/>
    <w:multiLevelType w:val="hybridMultilevel"/>
    <w:lvl w:ilvl="0">
      <w:lvlJc w:val="left"/>
      <w:lvlText w:val="(%1)"/>
      <w:numFmt w:val="lowerLetter"/>
      <w:start w:val="1"/>
    </w:lvl>
  </w:abstractNum>
  <w:abstractNum w:abstractNumId="71">
    <w:nsid w:val="555C55B5"/>
    <w:multiLevelType w:val="hybridMultilevel"/>
    <w:lvl w:ilvl="0">
      <w:lvlJc w:val="left"/>
      <w:lvlText w:val="(%1)"/>
      <w:numFmt w:val="lowerLetter"/>
      <w:start w:val="3"/>
    </w:lvl>
  </w:abstractNum>
  <w:abstractNum w:abstractNumId="72">
    <w:nsid w:val="3FA62ACA"/>
    <w:multiLevelType w:val="hybridMultilevel"/>
    <w:lvl w:ilvl="0">
      <w:lvlJc w:val="left"/>
      <w:lvlText w:val="(%1)"/>
      <w:numFmt w:val="lowerLetter"/>
      <w:start w:val="5"/>
    </w:lvl>
  </w:abstractNum>
  <w:abstractNum w:abstractNumId="73">
    <w:nsid w:val="14FCE74E"/>
    <w:multiLevelType w:val="hybridMultilevel"/>
    <w:lvl w:ilvl="0">
      <w:lvlJc w:val="left"/>
      <w:lvlText w:val="(%1)"/>
      <w:numFmt w:val="lowerLetter"/>
      <w:start w:val="7"/>
    </w:lvl>
  </w:abstractNum>
  <w:abstractNum w:abstractNumId="74">
    <w:nsid w:val="6A3DD3E8"/>
    <w:multiLevelType w:val="hybridMultilevel"/>
    <w:lvl w:ilvl="0">
      <w:lvlJc w:val="left"/>
      <w:lvlText w:val="(%1)"/>
      <w:numFmt w:val="lowerLetter"/>
      <w:start w:val="35"/>
    </w:lvl>
  </w:abstractNum>
  <w:abstractNum w:abstractNumId="75">
    <w:nsid w:val="71C91298"/>
    <w:multiLevelType w:val="hybridMultilevel"/>
    <w:lvl w:ilvl="0">
      <w:lvlJc w:val="left"/>
      <w:lvlText w:val="(%1)"/>
      <w:numFmt w:val="lowerLetter"/>
      <w:start w:val="8"/>
    </w:lvl>
  </w:abstractNum>
  <w:abstractNum w:abstractNumId="76">
    <w:nsid w:val="9DAF632"/>
    <w:multiLevelType w:val="hybridMultilevel"/>
    <w:lvl w:ilvl="0">
      <w:lvlJc w:val="left"/>
      <w:lvlText w:val="(%1)"/>
      <w:numFmt w:val="lowerLetter"/>
      <w:start w:val="10"/>
    </w:lvl>
  </w:abstractNum>
  <w:abstractNum w:abstractNumId="77">
    <w:nsid w:val="53299938"/>
    <w:multiLevelType w:val="hybridMultilevel"/>
    <w:lvl w:ilvl="0">
      <w:lvlJc w:val="left"/>
      <w:lvlText w:val="%1"/>
      <w:numFmt w:val="lowerLetter"/>
      <w:start w:val="1"/>
    </w:lvl>
    <w:lvl w:ilvl="1">
      <w:lvlJc w:val="left"/>
      <w:lvlText w:val="(%2)"/>
      <w:numFmt w:val="lowerLetter"/>
      <w:start w:val="14"/>
    </w:lvl>
  </w:abstractNum>
  <w:abstractNum w:abstractNumId="78">
    <w:nsid w:val="1FBFE8E0"/>
    <w:multiLevelType w:val="hybridMultilevel"/>
    <w:lvl w:ilvl="0">
      <w:lvlJc w:val="left"/>
      <w:lvlText w:val="(%1)"/>
      <w:numFmt w:val="lowerLetter"/>
      <w:start w:val="17"/>
    </w:lvl>
    <w:lvl w:ilvl="1">
      <w:lvlJc w:val="left"/>
      <w:lvlText w:val="(%2)"/>
      <w:numFmt w:val="lowerLetter"/>
      <w:start w:val="18"/>
    </w:lvl>
  </w:abstractNum>
  <w:abstractNum w:abstractNumId="79">
    <w:nsid w:val="5092CA79"/>
    <w:multiLevelType w:val="hybridMultilevel"/>
    <w:lvl w:ilvl="0">
      <w:lvlJc w:val="left"/>
      <w:lvlText w:val="%1"/>
      <w:numFmt w:val="lowerLetter"/>
      <w:start w:val="1"/>
    </w:lvl>
    <w:lvl w:ilvl="1">
      <w:lvlJc w:val="left"/>
      <w:lvlText w:val="(%2)"/>
      <w:numFmt w:val="lowerLetter"/>
      <w:start w:val="19"/>
    </w:lvl>
  </w:abstractNum>
  <w:abstractNum w:abstractNumId="80">
    <w:nsid w:val="1D545C4D"/>
    <w:multiLevelType w:val="hybridMultilevel"/>
    <w:lvl w:ilvl="0">
      <w:lvlJc w:val="left"/>
      <w:lvlText w:val="(%1)"/>
      <w:numFmt w:val="lowerLetter"/>
      <w:start w:val="21"/>
    </w:lvl>
    <w:lvl w:ilvl="1">
      <w:lvlJc w:val="left"/>
      <w:lvlText w:val="(%2)"/>
      <w:numFmt w:val="lowerLetter"/>
      <w:start w:val="22"/>
    </w:lvl>
  </w:abstractNum>
  <w:abstractNum w:abstractNumId="81">
    <w:nsid w:val="59ADEA3D"/>
    <w:multiLevelType w:val="hybridMultilevel"/>
    <w:lvl w:ilvl="0">
      <w:lvlJc w:val="left"/>
      <w:lvlText w:val="(%1)"/>
      <w:numFmt w:val="lowerLetter"/>
      <w:start w:val="24"/>
    </w:lvl>
  </w:abstractNum>
  <w:abstractNum w:abstractNumId="82">
    <w:nsid w:val="288F1A34"/>
    <w:multiLevelType w:val="hybridMultilevel"/>
    <w:lvl w:ilvl="0">
      <w:lvlJc w:val="left"/>
      <w:lvlText w:val="(%1)"/>
      <w:numFmt w:val="lowerLetter"/>
      <w:start w:val="27"/>
    </w:lvl>
  </w:abstractNum>
  <w:abstractNum w:abstractNumId="83">
    <w:nsid w:val="2A155DBC"/>
    <w:multiLevelType w:val="hybridMultilevel"/>
    <w:lvl w:ilvl="0">
      <w:lvlJc w:val="left"/>
      <w:lvlText w:val="(%1)"/>
      <w:numFmt w:val="lowerLetter"/>
      <w:start w:val="1"/>
    </w:lvl>
  </w:abstractNum>
  <w:abstractNum w:abstractNumId="84">
    <w:nsid w:val="1D9F6E5F"/>
    <w:multiLevelType w:val="hybridMultilevel"/>
    <w:lvl w:ilvl="0">
      <w:lvlJc w:val="left"/>
      <w:lvlText w:val="%1"/>
      <w:numFmt w:val="lowerLetter"/>
      <w:start w:val="1"/>
    </w:lvl>
    <w:lvl w:ilvl="1">
      <w:lvlJc w:val="left"/>
      <w:lvlText w:val="(%2)"/>
      <w:numFmt w:val="lowerLetter"/>
      <w:start w:val="6"/>
    </w:lvl>
  </w:abstractNum>
  <w:abstractNum w:abstractNumId="85">
    <w:nsid w:val="97E1B4E"/>
    <w:multiLevelType w:val="hybridMultilevel"/>
    <w:lvl w:ilvl="0">
      <w:lvlJc w:val="left"/>
      <w:lvlText w:val="(%1)"/>
      <w:numFmt w:val="lowerLetter"/>
      <w:start w:val="7"/>
    </w:lvl>
    <w:lvl w:ilvl="1">
      <w:lvlJc w:val="left"/>
      <w:lvlText w:val="%2"/>
      <w:numFmt w:val="lowerLetter"/>
      <w:start w:val="1"/>
    </w:lvl>
  </w:abstractNum>
  <w:abstractNum w:abstractNumId="86">
    <w:nsid w:val="51088277"/>
    <w:multiLevelType w:val="hybridMultilevel"/>
    <w:lvl w:ilvl="0">
      <w:lvlJc w:val="left"/>
      <w:lvlText w:val="(%1)"/>
      <w:numFmt w:val="decimal"/>
      <w:start w:val="5"/>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lowerLetter"/>
      <w:start w:val="2"/>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lowerLetter"/>
      <w:start w:val="2"/>
    </w:lvl>
  </w:abstractNum>
  <w:abstractNum w:abstractNumId="91">
    <w:nsid w:val="23D86AAC"/>
    <w:multiLevelType w:val="hybridMultilevel"/>
    <w:lvl w:ilvl="0">
      <w:lvlJc w:val="left"/>
      <w:lvlText w:val="(%1)"/>
      <w:numFmt w:val="lowerLetter"/>
      <w:start w:val="8"/>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decimal"/>
      <w:start w:val="144"/>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2"/>
    </w:lvl>
  </w:abstractNum>
  <w:abstractNum w:abstractNumId="96">
    <w:nsid w:val="4BD8591A"/>
    <w:multiLevelType w:val="hybridMultilevel"/>
    <w:lvl w:ilvl="0">
      <w:lvlJc w:val="left"/>
      <w:lvlText w:val="(%1)"/>
      <w:numFmt w:val="lowerLetter"/>
      <w:start w:val="1"/>
    </w:lvl>
    <w:lvl w:ilvl="1">
      <w:lvlJc w:val="left"/>
      <w:lvlText w:val="(%2)"/>
      <w:numFmt w:val="lowerRoman"/>
      <w:start w:val="1"/>
    </w:lvl>
  </w:abstractNum>
  <w:abstractNum w:abstractNumId="97">
    <w:nsid w:val="78DF6A5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98">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9">
    <w:nsid w:val="2B0D8DBE"/>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00">
    <w:nsid w:val="6C80EC70"/>
    <w:multiLevelType w:val="hybridMultilevel"/>
    <w:lvl w:ilvl="0">
      <w:lvlJc w:val="left"/>
      <w:lvlText w:val="(%1)"/>
      <w:numFmt w:val="lowerLetter"/>
      <w:start w:val="1"/>
    </w:lvl>
    <w:lvl w:ilvl="1">
      <w:lvlJc w:val="left"/>
      <w:lvlText w:val="(%2)"/>
      <w:numFmt w:val="lowerRoman"/>
      <w:start w:val="1"/>
    </w:lvl>
  </w:abstractNum>
  <w:abstractNum w:abstractNumId="101">
    <w:nsid w:val="379E21B5"/>
    <w:multiLevelType w:val="hybridMultilevel"/>
    <w:lvl w:ilvl="0">
      <w:lvlJc w:val="left"/>
      <w:lvlText w:val="%1"/>
      <w:numFmt w:val="lowerLetter"/>
      <w:start w:val="1"/>
    </w:lvl>
    <w:lvl w:ilvl="1">
      <w:lvlJc w:val="left"/>
      <w:lvlText w:val="(%2)"/>
      <w:numFmt w:val="lowerLetter"/>
      <w:start w:val="22"/>
    </w:lvl>
  </w:abstractNum>
  <w:abstractNum w:abstractNumId="102">
    <w:nsid w:val="69E373"/>
    <w:multiLevelType w:val="hybridMultilevel"/>
    <w:lvl w:ilvl="0">
      <w:lvlJc w:val="left"/>
      <w:lvlText w:val="(%1)"/>
      <w:numFmt w:val="lowerLetter"/>
      <w:start w:val="2"/>
    </w:lvl>
    <w:lvl w:ilvl="1">
      <w:lvlJc w:val="left"/>
      <w:lvlText w:val="(%2)"/>
      <w:numFmt w:val="lowerLetter"/>
      <w:start w:val="9"/>
    </w:lvl>
  </w:abstractNum>
  <w:abstractNum w:abstractNumId="103">
    <w:nsid w:val="2C27173B"/>
    <w:multiLevelType w:val="hybridMultilevel"/>
    <w:lvl w:ilvl="0">
      <w:lvlJc w:val="left"/>
      <w:lvlText w:val="(%1)"/>
      <w:numFmt w:val="lowerRoman"/>
      <w:start w:val="2"/>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lowerLetter"/>
      <w:start w:val="2"/>
    </w:lvl>
  </w:abstractNum>
  <w:abstractNum w:abstractNumId="106">
    <w:nsid w:val="1DF029D3"/>
    <w:multiLevelType w:val="hybridMultilevel"/>
    <w:lvl w:ilvl="0">
      <w:lvlJc w:val="left"/>
      <w:lvlText w:val="(%1)"/>
      <w:numFmt w:val="lowerLetter"/>
      <w:start w:val="4"/>
    </w:lvl>
  </w:abstractNum>
  <w:abstractNum w:abstractNumId="107">
    <w:nsid w:val="5675FF36"/>
    <w:multiLevelType w:val="hybridMultilevel"/>
    <w:lvl w:ilvl="0">
      <w:lvlJc w:val="left"/>
      <w:lvlText w:val="(%1)"/>
      <w:numFmt w:val="lowerLetter"/>
      <w:start w:val="5"/>
    </w:lvl>
  </w:abstractNum>
  <w:abstractNum w:abstractNumId="108">
    <w:nsid w:val="3DD15094"/>
    <w:multiLevelType w:val="hybridMultilevel"/>
    <w:lvl w:ilvl="0">
      <w:lvlJc w:val="left"/>
      <w:lvlText w:val="(%1)"/>
      <w:numFmt w:val="lowerLetter"/>
      <w:start w:val="6"/>
    </w:lvl>
  </w:abstractNum>
  <w:abstractNum w:abstractNumId="109">
    <w:nsid w:val="3DB012B3"/>
    <w:multiLevelType w:val="hybridMultilevel"/>
    <w:lvl w:ilvl="0">
      <w:lvlJc w:val="left"/>
      <w:lvlText w:val="(%1)"/>
      <w:numFmt w:val="lowerLetter"/>
      <w:start w:val="35"/>
    </w:lvl>
  </w:abstractNum>
  <w:abstractNum w:abstractNumId="110">
    <w:nsid w:val="2708C9AF"/>
    <w:multiLevelType w:val="hybridMultilevel"/>
    <w:lvl w:ilvl="0">
      <w:lvlJc w:val="left"/>
      <w:lvlText w:val="(%1)"/>
      <w:numFmt w:val="lowerLetter"/>
      <w:start w:val="8"/>
    </w:lvl>
  </w:abstractNum>
  <w:abstractNum w:abstractNumId="111">
    <w:nsid w:val="5B25ACE2"/>
    <w:multiLevelType w:val="hybridMultilevel"/>
    <w:lvl w:ilvl="0">
      <w:lvlJc w:val="left"/>
      <w:lvlText w:val="(%1)"/>
      <w:numFmt w:val="lowerLetter"/>
      <w:start w:val="9"/>
    </w:lvl>
  </w:abstractNum>
  <w:abstractNum w:abstractNumId="112">
    <w:nsid w:val="175DFCF0"/>
    <w:multiLevelType w:val="hybridMultilevel"/>
    <w:lvl w:ilvl="0">
      <w:lvlJc w:val="left"/>
      <w:lvlText w:val="(%1)"/>
      <w:numFmt w:val="lowerLetter"/>
      <w:start w:val="14"/>
    </w:lvl>
  </w:abstractNum>
  <w:abstractNum w:abstractNumId="113">
    <w:nsid w:val="4F97E3E4"/>
    <w:multiLevelType w:val="hybridMultilevel"/>
    <w:lvl w:ilvl="0">
      <w:lvlJc w:val="left"/>
      <w:lvlText w:val="(%1)"/>
      <w:numFmt w:val="lowerLetter"/>
      <w:start w:val="17"/>
    </w:lvl>
    <w:lvl w:ilvl="1">
      <w:lvlJc w:val="left"/>
      <w:lvlText w:val="(%2)"/>
      <w:numFmt w:val="lowerLetter"/>
      <w:start w:val="18"/>
    </w:lvl>
  </w:abstractNum>
  <w:abstractNum w:abstractNumId="114">
    <w:nsid w:val="53B0A9E"/>
    <w:multiLevelType w:val="hybridMultilevel"/>
    <w:lvl w:ilvl="0">
      <w:lvlJc w:val="left"/>
      <w:lvlText w:val="(%1)"/>
      <w:numFmt w:val="lowerLetter"/>
      <w:start w:val="21"/>
    </w:lvl>
    <w:lvl w:ilvl="1">
      <w:lvlJc w:val="left"/>
      <w:lvlText w:val="(%2)"/>
      <w:numFmt w:val="lowerLetter"/>
      <w:start w:val="22"/>
    </w:lvl>
  </w:abstractNum>
  <w:abstractNum w:abstractNumId="115">
    <w:nsid w:val="34FD6B4F"/>
    <w:multiLevelType w:val="hybridMultilevel"/>
    <w:lvl w:ilvl="0">
      <w:lvlJc w:val="left"/>
      <w:lvlText w:val="(%1)"/>
      <w:numFmt w:val="lowerLetter"/>
      <w:start w:val="23"/>
    </w:lvl>
  </w:abstractNum>
  <w:abstractNum w:abstractNumId="116">
    <w:nsid w:val="5915FF32"/>
    <w:multiLevelType w:val="hybridMultilevel"/>
    <w:lvl w:ilvl="0">
      <w:lvlJc w:val="left"/>
      <w:lvlText w:val="(%1)"/>
      <w:numFmt w:val="lowerLetter"/>
      <w:start w:val="27"/>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lvl w:ilvl="1">
      <w:lvlJc w:val="left"/>
      <w:lvlText w:val="(%2)"/>
      <w:numFmt w:val="lowerLetter"/>
      <w:start w:val="6"/>
    </w:lvl>
  </w:abstractNum>
  <w:abstractNum w:abstractNumId="119">
    <w:nsid w:val="2C6E4AFD"/>
    <w:multiLevelType w:val="hybridMultilevel"/>
    <w:lvl w:ilvl="0">
      <w:lvlJc w:val="left"/>
      <w:lvlText w:val="(%1)"/>
      <w:numFmt w:val="lowerLetter"/>
      <w:start w:val="7"/>
    </w:lvl>
    <w:lvl w:ilvl="1">
      <w:lvlJc w:val="left"/>
      <w:lvlText w:val="%2"/>
      <w:numFmt w:val="lowerLetter"/>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1"/>
    </w:lvl>
  </w:abstractNum>
  <w:abstractNum w:abstractNumId="122">
    <w:nsid w:val="5046B5A9"/>
    <w:multiLevelType w:val="hybridMultilevel"/>
    <w:lvl w:ilvl="0">
      <w:lvlJc w:val="left"/>
      <w:lvlText w:val="(%1)"/>
      <w:numFmt w:val="lowerLetter"/>
      <w:start w:val="5"/>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1)"/>
      <w:numFmt w:val="decimal"/>
      <w:start w:val="1"/>
    </w:lvl>
    <w:lvl w:ilvl="1">
      <w:lvlJc w:val="left"/>
      <w:lvlText w:val="(%2)"/>
      <w:numFmt w:val="lowerLetter"/>
      <w:start w:val="1"/>
    </w:lvl>
  </w:abstractNum>
  <w:abstractNum w:abstractNumId="125">
    <w:nsid w:val="5EC6AFD4"/>
    <w:multiLevelType w:val="hybridMultilevel"/>
    <w:lvl w:ilvl="0">
      <w:lvlJc w:val="left"/>
      <w:lvlText w:val="(%1)"/>
      <w:numFmt w:val="lowerLetter"/>
      <w:start w:val="3"/>
    </w:lvl>
  </w:abstractNum>
  <w:abstractNum w:abstractNumId="126">
    <w:nsid w:val="19E21BB2"/>
    <w:multiLevelType w:val="hybridMultilevel"/>
    <w:lvl w:ilvl="0">
      <w:lvlJc w:val="left"/>
      <w:lvlText w:val="(%1)"/>
      <w:numFmt w:val="decimal"/>
      <w:start w:val="2"/>
    </w:lvl>
    <w:lvl w:ilvl="1">
      <w:lvlJc w:val="left"/>
      <w:lvlText w:val="(%2)"/>
      <w:numFmt w:val="lowerLetter"/>
      <w:start w:val="1"/>
    </w:lvl>
  </w:abstractNum>
  <w:abstractNum w:abstractNumId="127">
    <w:nsid w:val="75E0858A"/>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5"/>
    </w:lvl>
  </w:abstractNum>
  <w:abstractNum w:abstractNumId="128">
    <w:nsid w:val="57A61A29"/>
    <w:multiLevelType w:val="hybridMultilevel"/>
    <w:lvl w:ilvl="0">
      <w:lvlJc w:val="left"/>
      <w:lvlText w:val="(%1)"/>
      <w:numFmt w:val="decimal"/>
      <w:start w:val="6"/>
    </w:lvl>
  </w:abstractNum>
  <w:abstractNum w:abstractNumId="129">
    <w:nsid w:val="5399C654"/>
    <w:multiLevelType w:val="hybridMultilevel"/>
    <w:lvl w:ilvl="0">
      <w:lvlJc w:val="left"/>
      <w:lvlText w:val="(%1)"/>
      <w:numFmt w:val="decimal"/>
      <w:start w:val="7"/>
    </w:lvl>
  </w:abstractNum>
  <w:abstractNum w:abstractNumId="130">
    <w:nsid w:val="20EE1348"/>
    <w:multiLevelType w:val="hybridMultilevel"/>
    <w:lvl w:ilvl="0">
      <w:lvlJc w:val="left"/>
      <w:lvlText w:val="(%1)"/>
      <w:numFmt w:val="lowerLetter"/>
      <w:start w:val="2"/>
    </w:lvl>
  </w:abstractNum>
  <w:abstractNum w:abstractNumId="131">
    <w:nsid w:val="4427069A"/>
    <w:multiLevelType w:val="hybridMultilevel"/>
    <w:lvl w:ilvl="0">
      <w:lvlJc w:val="left"/>
      <w:lvlText w:val="(%1)"/>
      <w:numFmt w:val="decimal"/>
      <w:start w:val="9"/>
    </w:lvl>
  </w:abstractNum>
  <w:abstractNum w:abstractNumId="132">
    <w:nsid w:val="B37E80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2024-03-04T11:43:12Z</dcterms:created>
  <dcterms:modified xsi:type="dcterms:W3CDTF">2024-03-04T11:43:12Z</dcterms:modified>
</cp:coreProperties>
</file>