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333-295817</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173990</wp:posOffset>
            </wp:positionV>
            <wp:extent cx="144843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843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Bakkt, Inc.</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21,010,640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and resale by the selling stockholders named in this prospectus (collectively, the “Selling Stockholders”), of up to an aggregate of 21,010,640 shares of Class A common stock, par value $0.0001 per share (“Class A Common Stock”), of Bakkt, Inc. (“Bakkt,” the “Company,” “we,” “us” or “our”).</w:t>
      </w:r>
    </w:p>
    <w:p>
      <w:pPr>
        <w:spacing w:after="0" w:line="176" w:lineRule="exact"/>
        <w:rPr>
          <w:sz w:val="24"/>
          <w:szCs w:val="24"/>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shares of Class A Common Stock covered by this prospectus consist of (i) 11,316,775 shares of our Class A Common Stock issued at the closing on April 30, 2026 (the “Closing”) of the DTR Acquisition (as defined below) as consideration for such acquisition (the “Consideration Shares”), together with up to 725,592 additional shares of Class A Common Stock issuable upon the exercise of certain outstanding warrants as additional Consideration Shares, in each case issued or issuable to certain Selling Stockholders in connection with the DTR Acquisition, (ii) 7,919,002 shares of Class A Common Stock held by Intercontinental Exchange Holdings, Inc. (“ICE”) and 461,360 shares of Class A Common Stock issuable upon the exercise of outstanding Class 1 Warrants and Class 2 Warrants held by ICE, (iii) an additional 118,316 shares of Class A Common Stock issued to certain Selling Stockholders in connection with the Company’s Up-C collapse transaction (the “Up-C Collapse”), pursuant to which the Company simplified its organizational structure and issued shares of Class A Common Stock in exchange for outstanding interests in Bakkt Opco Holdings, LLC (“Opco”) and in connection with related amendments to certain tax receivable and contribution arrangements, (iv) 125,000 shares of Class A Common Stock issued to Cohen &amp; Company Securities, LLC (“Cohen”) and (v) 94,595 shares of Class A Common Stock (the “Gyzer Acquisition Shares”) issued in connection with the Company’s acquisition of Gyzer Inc (“Gyzer”), together with up to 250,000 additional shares of Class A Common Stock issuable upon the exercise of warrants issued in connection with the acquisition of Gyzer as additional Gyzer Acquisition Shares.</w:t>
      </w:r>
    </w:p>
    <w:p>
      <w:pPr>
        <w:spacing w:after="0" w:line="190" w:lineRule="exact"/>
        <w:rPr>
          <w:sz w:val="24"/>
          <w:szCs w:val="24"/>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“DTR Acquisition” refers to our acquisition of 100% of the outstanding equity interests of Distributed Technologies Research Global Ltd., a private limited company incorporated in Cyprus (“DTR”), pursuant to that certain Share Purchase Agreement, dated as of January 11, 2026 (the “Purchase Agreement”), by and among Bakkt Opco Holdings, LLC, a Delaware limited liability company and wholly owned subsidiary of the Company (“Opco”), the Company, DTR and our chief executive officer and director, Akshay Naheta (“Mr. Naheta” or the “Seller”), in exchange for shares of Class A Common Stock.</w:t>
      </w:r>
    </w:p>
    <w:p>
      <w:pPr>
        <w:spacing w:after="0" w:line="18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DTR Acquisition is described in greater detail in this prospectus. See “</w:t>
      </w:r>
      <w:r>
        <w:rPr>
          <w:rFonts w:ascii="Times New Roman" w:cs="Times New Roman" w:eastAsia="Times New Roman" w:hAnsi="Times New Roman"/>
          <w:sz w:val="18"/>
          <w:szCs w:val="18"/>
          <w:i w:val="1"/>
          <w:iCs w:val="1"/>
          <w:u w:val="single" w:color="auto"/>
          <w:color w:val="auto"/>
        </w:rPr>
        <w:t>The DTR Acquisition</w:t>
      </w:r>
      <w:r>
        <w:rPr>
          <w:rFonts w:ascii="Times New Roman" w:cs="Times New Roman" w:eastAsia="Times New Roman" w:hAnsi="Times New Roman"/>
          <w:sz w:val="18"/>
          <w:szCs w:val="18"/>
          <w:color w:val="auto"/>
        </w:rPr>
        <w:t>”.</w:t>
      </w:r>
    </w:p>
    <w:p>
      <w:pPr>
        <w:spacing w:after="0" w:line="227" w:lineRule="exact"/>
        <w:rPr>
          <w:sz w:val="24"/>
          <w:szCs w:val="24"/>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are registering the offer and resale of certain of the shares of Class A Common Stock covered by this prospectus to satisfy certain registration rights granted to Mr. Naheta, the DTR Holders (as defined herein) and ICE in connection with the DTR Acquisition.</w:t>
      </w:r>
    </w:p>
    <w:p>
      <w:pPr>
        <w:spacing w:after="0" w:line="162" w:lineRule="exact"/>
        <w:rPr>
          <w:sz w:val="24"/>
          <w:szCs w:val="24"/>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we are registering the offer and resale of shares of Class A Common Stock issued to (i) Cohen, a registered broker-dealer, as compensation for advisory services rendered to the Company, (ii) certain Selling Stockholders in connection with the Up-C Collapse and (iii) Daniel Ishag, the sole stockholder of Gyzer, as compensation for the Company’s acquisition of Gyzer.</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registration of the Class A Common Stock covered by this prospectus does not mean that the Selling Stockholders will offer or sell any of the Class A Common Stock. The Selling Stockholders will determine, in their sole discretion, whether, when and how to sell any of the shares offered by this prospectus. We have no control over, and will not participate in, any such sales. The Selling Stockholders may sell these securities at varying prices and in a number of different ways, including through ordinary brokerage transactions, block trades, privately negotiated transactions or similar transactions, as described in the section of this prospectus captioned “Plan of Distribution.”</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traded on the New York Stock Exchange (“NYSE”) under the symbol “BKKT.” On May 11, 2026, the last reported sale price for our Class A Common Stock was $9.92 per share.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Stockholders, although we may receive proceeds from the exercise of the warrants and to the extent any such warrants are exercised for cash. All proceeds from the resale of such shares will be received by the Selling Stockholders for their own accounts. We will not receive any compensation, commission or other remuneration in connection with any resale of shares by the Selling Stockholders.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4 of this prospectus and “</w:t>
      </w:r>
      <w:r>
        <w:rPr>
          <w:rFonts w:ascii="Times New Roman" w:cs="Times New Roman" w:eastAsia="Times New Roman" w:hAnsi="Times New Roman"/>
          <w:sz w:val="22"/>
          <w:szCs w:val="22"/>
          <w:b w:val="1"/>
          <w:bCs w:val="1"/>
          <w:i w:val="1"/>
          <w:iCs w:val="1"/>
          <w:color w:val="auto"/>
        </w:rPr>
        <w:t>Item 1A – Risk Factors</w:t>
      </w:r>
      <w:r>
        <w:rPr>
          <w:rFonts w:ascii="Times New Roman" w:cs="Times New Roman" w:eastAsia="Times New Roman" w:hAnsi="Times New Roman"/>
          <w:sz w:val="22"/>
          <w:szCs w:val="22"/>
          <w:b w:val="1"/>
          <w:bCs w:val="1"/>
          <w:color w:val="auto"/>
        </w:rPr>
        <w:t>” of our most recent Annual Report on Form 10-K and any Quarterly Report on Form 10-Q filed subsequently to such Form 10-K that is incorporated by reference in this prospectus before you invest in our securities.</w:t>
      </w:r>
    </w:p>
    <w:p>
      <w:pPr>
        <w:spacing w:after="0" w:line="189" w:lineRule="exact"/>
        <w:rPr>
          <w:sz w:val="20"/>
          <w:szCs w:val="20"/>
          <w:color w:val="auto"/>
        </w:rPr>
      </w:pPr>
    </w:p>
    <w:p>
      <w:pPr>
        <w:ind w:left="120" w:right="6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or the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27, 2026.</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60" w:type="dxa"/>
            <w:vAlign w:val="bottom"/>
            <w:gridSpan w:val="2"/>
          </w:tcPr>
          <w:p>
            <w:pPr>
              <w:jc w:val="right"/>
              <w:ind w:right="4419"/>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37"/>
        </w:trPr>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7"/>
          </w:tcPr>
          <w:p>
            <w:pPr>
              <w:spacing w:after="0"/>
              <w:rPr>
                <w:sz w:val="20"/>
                <w:szCs w:val="20"/>
                <w:color w:val="auto"/>
              </w:rPr>
            </w:pPr>
          </w:p>
        </w:tc>
        <w:tc>
          <w:tcPr>
            <w:tcW w:w="6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5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2160" w:type="dxa"/>
            <w:vAlign w:val="bottom"/>
            <w:gridSpan w:val="8"/>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37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7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1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3"/>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7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5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The DTR acquisition</w:t>
            </w:r>
          </w:p>
        </w:tc>
        <w:tc>
          <w:tcPr>
            <w:tcW w:w="520" w:type="dxa"/>
            <w:vAlign w:val="bottom"/>
            <w:tcBorders>
              <w:top w:val="single" w:sz="8" w:color="0000EE"/>
            </w:tcBorders>
            <w:gridSpan w:val="5"/>
          </w:tcPr>
          <w:p>
            <w:pPr>
              <w:spacing w:after="0"/>
              <w:rPr>
                <w:sz w:val="17"/>
                <w:szCs w:val="17"/>
                <w:color w:val="auto"/>
              </w:rPr>
            </w:pPr>
          </w:p>
        </w:tc>
        <w:tc>
          <w:tcPr>
            <w:tcW w:w="1660" w:type="dxa"/>
            <w:vAlign w:val="bottom"/>
            <w:gridSpan w:val="4"/>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7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Offering Price</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5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800" w:type="dxa"/>
            <w:vAlign w:val="bottom"/>
            <w:tcBorders>
              <w:top w:val="single" w:sz="8" w:color="0000EE"/>
            </w:tcBorders>
            <w:gridSpan w:val="8"/>
          </w:tcPr>
          <w:p>
            <w:pPr>
              <w:spacing w:after="0"/>
              <w:rPr>
                <w:sz w:val="17"/>
                <w:szCs w:val="17"/>
                <w:color w:val="auto"/>
              </w:rPr>
            </w:pPr>
          </w:p>
        </w:tc>
        <w:tc>
          <w:tcPr>
            <w:tcW w:w="1400" w:type="dxa"/>
            <w:vAlign w:val="bottom"/>
            <w:gridSpan w:val="2"/>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7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the Securities</w:t>
            </w:r>
          </w:p>
        </w:tc>
        <w:tc>
          <w:tcPr>
            <w:tcW w:w="1920" w:type="dxa"/>
            <w:vAlign w:val="bottom"/>
            <w:gridSpan w:val="6"/>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7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7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9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4"/>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Commission to register the securities described in this prospectus for resale by the Selling Stockholders who may, from time to time, sell the securities described in this prospectus.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A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320" w:top="455"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27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w:t>
      </w:r>
    </w:p>
    <w:p>
      <w:pPr>
        <w:spacing w:after="0" w:line="1" w:lineRule="exact"/>
        <w:rPr>
          <w:sz w:val="20"/>
          <w:szCs w:val="20"/>
          <w:color w:val="auto"/>
        </w:rPr>
      </w:pPr>
    </w:p>
    <w:p>
      <w:pPr>
        <w:jc w:val="both"/>
        <w:ind w:left="300" w:right="140"/>
        <w:spacing w:after="0" w:line="255" w:lineRule="auto"/>
        <w:rPr>
          <w:sz w:val="20"/>
          <w:szCs w:val="20"/>
          <w:color w:val="auto"/>
        </w:rPr>
      </w:pPr>
      <w:r>
        <w:rPr>
          <w:rFonts w:ascii="Times New Roman" w:cs="Times New Roman" w:eastAsia="Times New Roman" w:hAnsi="Times New Roman"/>
          <w:sz w:val="18"/>
          <w:szCs w:val="18"/>
          <w:i w:val="1"/>
          <w:iCs w:val="1"/>
          <w:color w:val="auto"/>
        </w:rPr>
        <w:t>Form 10-K and our Quarterly Reports on Form 10-Q filed subsequently to such Form 10-K. Unless the context indicates otherwise, references in this prospectus to “Bakkt, Inc.,” “Bakkt,” the “Company,” “we,” “our” and “us” refer, collectively, to Bakkt,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Founded in 2018, Bakkt builds next-generation digital financial infrastructure that enables institutional entry in Bitcoin, tokenization, stablecoin payments and AI-driven finance.</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solutions include:</w:t>
      </w:r>
    </w:p>
    <w:p>
      <w:pPr>
        <w:spacing w:after="0" w:line="127" w:lineRule="exact"/>
        <w:rPr>
          <w:sz w:val="20"/>
          <w:szCs w:val="20"/>
          <w:color w:val="auto"/>
        </w:rPr>
      </w:pPr>
    </w:p>
    <w:p>
      <w:pPr>
        <w:ind w:left="1240" w:right="320" w:hanging="415"/>
        <w:spacing w:after="0" w:line="317" w:lineRule="auto"/>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Bakkt Markets. </w:t>
      </w:r>
      <w:r>
        <w:rPr>
          <w:rFonts w:ascii="Times New Roman" w:cs="Times New Roman" w:eastAsia="Times New Roman" w:hAnsi="Times New Roman"/>
          <w:sz w:val="17"/>
          <w:szCs w:val="17"/>
          <w:color w:val="auto"/>
        </w:rPr>
        <w:t>Bakkt Markets enables institutions to launch secure, compliant, and advanced digital asset brokerage and trading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capabilities through a plug-and-play platform that provides global digital asset capabilities without needing to build in-house.</w:t>
      </w:r>
    </w:p>
    <w:p>
      <w:pPr>
        <w:spacing w:after="0" w:line="37" w:lineRule="exact"/>
        <w:rPr>
          <w:rFonts w:ascii="Times New Roman" w:cs="Times New Roman" w:eastAsia="Times New Roman" w:hAnsi="Times New Roman"/>
          <w:sz w:val="17"/>
          <w:szCs w:val="17"/>
          <w:color w:val="auto"/>
        </w:rPr>
      </w:pPr>
    </w:p>
    <w:p>
      <w:pPr>
        <w:ind w:left="1240" w:right="300" w:hanging="415"/>
        <w:spacing w:after="0" w:line="286"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Bakkt Agent. </w:t>
      </w:r>
      <w:r>
        <w:rPr>
          <w:rFonts w:ascii="Times New Roman" w:cs="Times New Roman" w:eastAsia="Times New Roman" w:hAnsi="Times New Roman"/>
          <w:sz w:val="18"/>
          <w:szCs w:val="18"/>
          <w:color w:val="auto"/>
        </w:rPr>
        <w:t>Bakkt Agent uses an intelligent agent swarm to provide institutions with instant access to Bakkt’s key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layer, including onboarding, virtual accounts, stablecoin rails, and global payouts.</w:t>
      </w:r>
    </w:p>
    <w:p>
      <w:pPr>
        <w:spacing w:after="0" w:line="60" w:lineRule="exact"/>
        <w:rPr>
          <w:rFonts w:ascii="Times New Roman" w:cs="Times New Roman" w:eastAsia="Times New Roman" w:hAnsi="Times New Roman"/>
          <w:sz w:val="18"/>
          <w:szCs w:val="18"/>
          <w:color w:val="auto"/>
        </w:rPr>
      </w:pPr>
    </w:p>
    <w:p>
      <w:pPr>
        <w:ind w:left="1240" w:right="80" w:hanging="415"/>
        <w:spacing w:after="0" w:line="268"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Bakkt Global. </w:t>
      </w:r>
      <w:r>
        <w:rPr>
          <w:rFonts w:ascii="Times New Roman" w:cs="Times New Roman" w:eastAsia="Times New Roman" w:hAnsi="Times New Roman"/>
          <w:sz w:val="18"/>
          <w:szCs w:val="18"/>
          <w:color w:val="auto"/>
        </w:rPr>
        <w:t>Bakkt Global enables geographic diversification into high-growth, liquid markets with high barriers to entry.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instance, Bakkt has made a significant investment in Bitcoin Japan Corporation (listed on the Tokyo Stock Exchange (TSE: 8105)) to expand institutional access in Japan.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right="40" w:firstLine="426"/>
        <w:spacing w:after="0" w:line="281"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You should carefully consider the risks and uncertainties described under the heading “Risk Factors” in this prospectus, together with the other information contained or incorporated by reference in this prospectus, before making an investment decision. The occurrence of any of these risks could materially and adversely affect our business, financial condition, results of operations and prospects, and could cause the trading price of our securities to decline, resulting in a loss of all or part of your investment.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89" w:lineRule="auto"/>
        <w:rPr>
          <w:sz w:val="20"/>
          <w:szCs w:val="20"/>
          <w:color w:val="auto"/>
        </w:rPr>
      </w:pPr>
      <w:r>
        <w:rPr>
          <w:rFonts w:ascii="Times New Roman" w:cs="Times New Roman" w:eastAsia="Times New Roman" w:hAnsi="Times New Roman"/>
          <w:sz w:val="17"/>
          <w:szCs w:val="17"/>
          <w:color w:val="auto"/>
        </w:rPr>
        <w:t xml:space="preserve">Our principal executive offices are located at 3280 Peachtree Road, Suites 07-128, 07-130 &amp; 07-132, Atlanta, Georgia 30305. Our telephone number is (332) 203-3017. Our website is </w:t>
      </w:r>
      <w:r>
        <w:rPr>
          <w:rFonts w:ascii="Times New Roman" w:cs="Times New Roman" w:eastAsia="Times New Roman" w:hAnsi="Times New Roman"/>
          <w:sz w:val="17"/>
          <w:szCs w:val="17"/>
          <w:i w:val="1"/>
          <w:iCs w:val="1"/>
          <w:color w:val="auto"/>
        </w:rPr>
        <w:t>https://www.bakkt.com</w:t>
      </w:r>
      <w:r>
        <w:rPr>
          <w:rFonts w:ascii="Times New Roman" w:cs="Times New Roman" w:eastAsia="Times New Roman" w:hAnsi="Times New Roman"/>
          <w:sz w:val="17"/>
          <w:szCs w:val="17"/>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DTR Acquisition</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On January 11, 2026, the Company entered into the Purchase Agreement with Opco, DTR and Akshay Naheta. Pursuant to the Purchase Agreement, the Company agreed to acquire 100% of the equity interests of DTR (the “DTR Acquisition”). The DTR Acquisition was approved by the Company’s stockholders on April 17, 2026. The DTR Acquisition was completed on April 30, 2026.</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In connection with the Closing, the Company issued to Akshay Naheta and the other beneficial owners of DTR (collectively, the “DTR Holders”) an aggregate of 11,316,775 shares of Class A Common Stock, calculated as 31.5% of the aggregate number of shares of Class A Common Stock outstanding immediately prior to the Closing (on an as-converted basis, excluding certain warrants), subject to a downward adjustment of 196,532 shares. Up to 725,592 additional shares of Class A Common Stock are issuable as additional Consideration Shares upon the exercise of certain outstanding warrants.</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Mr. Naheta, our Chief Executive Officer and a member of our Board of Directors, is a Selling Stockholder and a party to the DTR Acquisition, is a significant existing stockholder of the Company. Mr. Naheta recused himself from the review and approval of the DTR Acquisition, which was negotiated and approved by a special committee of independent and disinterested directors and subsequently approved by the full board of directors. Upon completion of the DTR Acquisition, Mr. Naheta beneficially owned 11,522,681 shares of Class A Common Stock of the Company, approximately 22.3% of the Company’s securities.</w:t>
      </w:r>
    </w:p>
    <w:p>
      <w:pPr>
        <w:spacing w:after="0" w:line="183" w:lineRule="exact"/>
        <w:rPr>
          <w:sz w:val="20"/>
          <w:szCs w:val="20"/>
          <w:color w:val="auto"/>
        </w:rPr>
      </w:pPr>
    </w:p>
    <w:p>
      <w:pPr>
        <w:ind w:left="300" w:right="140" w:firstLine="426"/>
        <w:spacing w:after="0" w:line="289" w:lineRule="auto"/>
        <w:rPr>
          <w:sz w:val="20"/>
          <w:szCs w:val="20"/>
          <w:color w:val="auto"/>
        </w:rPr>
      </w:pPr>
      <w:r>
        <w:rPr>
          <w:rFonts w:ascii="Times New Roman" w:cs="Times New Roman" w:eastAsia="Times New Roman" w:hAnsi="Times New Roman"/>
          <w:sz w:val="17"/>
          <w:szCs w:val="17"/>
          <w:color w:val="auto"/>
        </w:rPr>
        <w:t>Mr. Naheta is not selling shares on behalf of the Company and will determine, in his sole discretion, whether, when and how to sell any shares covered by this prospectus. The Company will not participate in any such sales. We are registering the securities held by Mr. Naheta solely to satisfy contractual registration rights that we have granted to certain of the Selling Stockholders in connection with the DTR Acquisition.</w:t>
      </w:r>
    </w:p>
    <w:p>
      <w:pPr>
        <w:spacing w:after="0" w:line="158"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In connection with the DTR Acquisition, the Company entered into certain related agreements, including the Registration Rights Agreement providing for the registration of the resale of the Consideration Shares and certain other securities, as well as voting and support agreements with certain stockholders of the Company. See “</w:t>
      </w:r>
      <w:r>
        <w:rPr>
          <w:rFonts w:ascii="Times New Roman" w:cs="Times New Roman" w:eastAsia="Times New Roman" w:hAnsi="Times New Roman"/>
          <w:sz w:val="18"/>
          <w:szCs w:val="18"/>
          <w:i w:val="1"/>
          <w:iCs w:val="1"/>
          <w:u w:val="single" w:color="auto"/>
          <w:color w:val="auto"/>
        </w:rPr>
        <w:t>The DTR Acquisition</w:t>
      </w:r>
      <w:r>
        <w:rPr>
          <w:rFonts w:ascii="Times New Roman" w:cs="Times New Roman" w:eastAsia="Times New Roman" w:hAnsi="Times New Roman"/>
          <w:sz w:val="18"/>
          <w:szCs w:val="18"/>
          <w:color w:val="auto"/>
        </w:rPr>
        <w:t>” for additional information.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Gyzer Acquisition</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In May 2026, the Company acquired all of the issued and outstanding shares of Gyzer Inc. (“Gyzer”). In connection with the acquisition, the Company issued shares of its Class A Common Stock and warrants to purchase its Class A Common Stock (“Gyzer Acquisition Warrants”) to Daniel Ishag, Gyzer’s founder and the Company’s Chief Commercial Officer, as consideration for the transaction. This prospectus relates to the resale of such shares. See “</w:t>
      </w:r>
      <w:r>
        <w:rPr>
          <w:rFonts w:ascii="Times New Roman" w:cs="Times New Roman" w:eastAsia="Times New Roman" w:hAnsi="Times New Roman"/>
          <w:sz w:val="18"/>
          <w:szCs w:val="18"/>
          <w:i w:val="1"/>
          <w:iCs w:val="1"/>
          <w:color w:val="auto"/>
        </w:rPr>
        <w:t>Gyzer Acquisition</w:t>
      </w:r>
      <w:r>
        <w:rPr>
          <w:rFonts w:ascii="Times New Roman" w:cs="Times New Roman" w:eastAsia="Times New Roman" w:hAnsi="Times New Roman"/>
          <w:sz w:val="18"/>
          <w:szCs w:val="18"/>
          <w:color w:val="auto"/>
        </w:rPr>
        <w:t>” for additional information.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Up-C Collapse</w:t>
      </w:r>
    </w:p>
    <w:p>
      <w:pPr>
        <w:spacing w:after="0" w:line="121"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On November 3, 2025, the Company completed a transaction to simplify its organizational structure (the “Up-C Collapse”), pursuant to which the Company eliminated its prior Up-C structure by acquiring outstanding equity interests in Bakkt Opco Holdings, LLC (“Opco”) held by non-controlling equity holders of Opco in exchange for shares of the Company’s Class A Common Stock. In connection with the Up-C Collapse, the Company issued shares of Class A Common Stock to such holders as consideration for the acquisition of their equity interests in Opco and entered into, and subsequently amended, agreements relating to its tax receivable and contribution arrangements to reflect the simplified structure. The offer and resale of certain of those shares of Class A Common Stock is being registered pursuant to this registration statement. Following the Up-C Collapse, the Company owns 100% of the equity interests in Opco. See “</w:t>
      </w:r>
      <w:r>
        <w:rPr>
          <w:rFonts w:ascii="Times New Roman" w:cs="Times New Roman" w:eastAsia="Times New Roman" w:hAnsi="Times New Roman"/>
          <w:sz w:val="18"/>
          <w:szCs w:val="18"/>
          <w:i w:val="1"/>
          <w:iCs w:val="1"/>
          <w:color w:val="auto"/>
        </w:rPr>
        <w:t>Up-C Collapse</w:t>
      </w:r>
      <w:r>
        <w:rPr>
          <w:rFonts w:ascii="Times New Roman" w:cs="Times New Roman" w:eastAsia="Times New Roman" w:hAnsi="Times New Roman"/>
          <w:sz w:val="18"/>
          <w:szCs w:val="18"/>
          <w:color w:val="auto"/>
        </w:rPr>
        <w:t>” for additional information.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This prospectus relates solely to the resale of shares of Class A Common Stock by the Selling Stockholders and not to any offering of securities by the Company. We are not selling any securities under this prospectus and will not receive any proceeds from the resale of shares by the Selling Stockholders, although we may receive proceeds from the exercise of the warrants and to the extent any such warrants are exercised for cash. We have not entered into any arrangement or understanding with any Selling Stockholder or any other person regarding the distribution of the shares. All proceeds from such resales will be received by the Selling Stockholders for their own accounts.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744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1744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Selling Stockholders may offer up to 21,010,640 shares of our Class A Common Stock. As at April 30, 2026, there are 47,866,956 shares of Class A Common Stock outstanding. After giving effect to the issuance of the maximum number of shares of Class A Common Stock offered hereunder, 48,578,316 shares of Class A Common Stock would be outstanding.</w:t>
      </w:r>
    </w:p>
    <w:p>
      <w:pPr>
        <w:spacing w:after="0" w:line="176"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Selling Stockholders may resell the shares covered by this prospectus from time to time in ordinary brokerage transactions, block trades, privately negotiated transactions or similar transactions, as described in the section of this prospectus captioned “Plan of Distribution.”</w:t>
      </w:r>
    </w:p>
    <w:p>
      <w:pPr>
        <w:spacing w:after="0" w:line="162"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An investment in our Class A Common Stock involves a high degree of risk. Before you decide whether to purchase our Class A Common Stock in this offering, you should consider the risks described below,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Additional risks and uncertainties not presently known to us or that we currently deem immaterial may also affect our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may resell all, some, or none of their shares of Class A Common Stock at any time or from time to time in their discretion and at different prices. As a result, investors who purchase shares from the Selling Stockholders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Stockholders in this offering as a result of future sales of our Class A Common Stock by us in future offerings or by the Selling Stockholders, including at prices lower than the prices such investors paid for their shares in this offering.</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shares of Class A Common Stock, including by the Selling Stockholders, could cause the market price of our Class A Common Stock to decline.</w:t>
      </w:r>
    </w:p>
    <w:p>
      <w:pPr>
        <w:spacing w:after="0" w:line="5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resell, under this prospectus, up to 21,010,640 shares of our Class A Common Stock. If all of these shares were issued and outstanding as of April 30, 2026, they would represent approximately 43.9% of the total number of our outstanding voting securities. This prospectus relates solely to the resale of shares by the Selling Stockholders, and we are not selling any securities under this prospectus and will not receive any proceeds from such resales.</w:t>
      </w:r>
    </w:p>
    <w:p>
      <w:pPr>
        <w:spacing w:after="0" w:line="18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Selling Stockholders may sell all, some or none of their shares at any time and from time to time in their sole discretion, and we have no control over the timing or amount of such sales and will not participate in any resale transactions. Sales of a substantial number of shares of our Class A Common Stock in the public market by the Selling Stockholders and/or by our other existing stockholders, or the perception that such sales might occur, could depress the market price of our Class A Common Stock and impair our ability to raise capital through the sale of additional equity securities.</w:t>
      </w:r>
    </w:p>
    <w:p>
      <w:pPr>
        <w:spacing w:after="0" w:line="16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risk may be heightened because our Chief Executive Officer is a Selling Stockholder and holds a significant portion of our outstanding Class A Common Stock. Sales by Mr. Naheta, or the perception that such sales may occur, could create a public market “overhang” and adversely affect the market price of our Class A Common Stock. In addition, because Mr. Naheta has access to material non-public information, his ability to sell shares will be subject to blackout periods or other restrictions, which could result in the timing of sales being concentrated in particular periods.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could lower our stock price and dilute existing stockholders.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in the future, sell additional shares of Class A Common Stock in subsequent public or private offerings. We cannot predict the size or terms of future issuances of our Class A Common Stock or the effect, if any, that future sales and issuances of shares of our Class A Common Stock will have on the market price of our Class A Common Stock. Sales of substantial amounts of our Class A Common Stock, or the perception that such sales could occur, may adversely affect prevailing market prices for our Class A Common Stock. In addition, these sales may be dilutive to existing stockholders.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which would cause our stock price to decline.</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provide guidance regarding our expected financial and business performance, such as projections regarding sales and production, as well as anticipated future revenue, gross margins, profitability, and cash flows. Correctly identifying key factors affecting business conditions and predicting future events is inherently an uncertain process and our guidance may not ultimately be accurate. Our guidance is based on certain assumptions such as those relating to anticipated production and sales volumes and average sales prices, supplier and commodity costs, and planned cost reductions. If our guidance is not accurate or varies from actual results due to our inability to meet our assumptions or the impact on our financial performance that could occur as a result of various risks and uncertainties, the market value of our Class A Common Stock could decline significantly.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Class A Common Stock after price appreciation, which may never occur, as the only way to realize any future gains on their investment.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strategic transformation and completion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and operational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Bakkt Markets, Agent, and Global;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benefits of investment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launches and scalability;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optimization and capital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growth in stablecoins, tokenization and digital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initiatives;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successfully integrate our operations with those of DTR, including its infrastructure, and achieve the expected benefits therefrom;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digital assets and digital stablecoin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adoption of our updated investment policy and related treasury strategy, including our ability to successfully consummate acquisitions, integrate or manage investments in potential acquisition targets and investees;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consummate a definitive agreement with Zoth and its expected benefit;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our digital assets at fair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strategy;</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our digital asset holdings subjecting us to the corporate alternative minimum tax;</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updated investment policy and related treasury strategy;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digital assets;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our digital assets as a result of the insolvency of the custodian, theft by employees or insiders of the custodian or if the custodian’s security measures are compromised, including as a result of a cyber-attack;</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updated investment policy and related treasury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and investments in us, including by our Chief Executive Officer;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digital asset, digital payments and stablecoin markets that subject us to additional risks, including the risk that banks may not provide banking services to us and market sentiments regarding digital assets,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regulatory regime governing blockchain technologies, stablecoins, digital payments and digital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and</w:t>
      </w:r>
    </w:p>
    <w:p>
      <w:pPr>
        <w:spacing w:after="0" w:line="128"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of the shares of Class A Common Stock offered by the Selling Stockholders pursuant to this prospectus will be sold by the Selling Stockholders for their respective accounts. We will not receive any proceeds from the resale of shares by the Selling Stockholders, and we are not selling any securities under this prospectus. All proceeds from the resale of shares will be received by the Selling Stockholders for their own accounts.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receive up to an aggregate of approximately $11,764,680 from the exercise of all of the Class 1 Warrants and the Class 2 Warrants held by Intercontinental Exchange Holdings, Inc. (“ICE”), which is a Selling Stockholder, assuming the exercise in full of all such warrants for cash.</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addition, we will receive up to an aggregate of approximately $2,500,000 from the exercise of all of the Gyzer Acquisition Warrants held by Mr. Ishag, who is a Selling Stockholder, assuming the exercise in full of all such warrants for cash.</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only proceeds we may receive in connection with the securities covered by this prospectus would be from the exercise of outstanding Class 1 Warrants, Class 2 Warrants and Gyzer Acquisition Warrants, to the extent such warrants are exercised for cash. Any such proceeds are not related to the resale of shares by the Selling Stockholders.</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are not offering any securities under this prospectus. To the extent we receive proceeds from the cash exercise of the Class 1 Warrants, the Class 2 Warrants and the Gyzer Acquisition Warrants, we intend to use such proceeds for working capital and other general corporate purposes.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4.9 to our Annual Report on Form 10-K for the fiscal year ended December 31, 2025, filed with the SEC on March 19, 2026.</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DTR ACQUISITION</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January 11, 2026, Opco, the Company, DTR, and Akshay Naheta entered into the Purchase Agreement. Pursuant to the terms and subject to the conditions set forth in the Purchase Agreement, the Company completed the acquisition of all of the outstanding equity interests of DTR (the “DTR Acquisition”) on April 30, 2026 (the “Closing”) by issuing to the DTR Holders an aggregate of 11,316,775 shares of Class A Common Stock (the “Consideration Shares”). The Consideration Shares were calculated as (A) 31.5% of (i) the aggregate number of shares of Class A Common Stock issued and outstanding immediately prior to the Closing plus (ii) the aggregate number of shares of the Company’s capital stock issuable upon full exercise or conversion of any options or other convertible derivative securities outstanding immediately prior to the Closing, on an as-converted basis, excluding any outstanding warrants to purchase shares of Class A Common Stock, less (B) an adjustment amount of 196,532 shares (the “Adjustment Amount”).</w:t>
      </w:r>
    </w:p>
    <w:p>
      <w:pPr>
        <w:spacing w:after="0" w:line="192" w:lineRule="exact"/>
        <w:rPr>
          <w:sz w:val="20"/>
          <w:szCs w:val="20"/>
          <w:color w:val="auto"/>
        </w:rPr>
      </w:pPr>
    </w:p>
    <w:p>
      <w:pPr>
        <w:jc w:val="both"/>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The number of Consideration Shares was reduced by the Adjustment Amount, which reflects (x) the aggregate amount of certain shareholder loans extended to DTR by the Seller or his affiliates outstanding immediately prior to the Closing and (y) transaction expenses incurred by DTR or Mr. Naheta in excess of $1.5 million, divided by (z) the volume-weighted average trading price of the Company’s Class A Common Stock over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20 consecutive trading day period ending on and including the day immediately prior to the Closing, or $8.65. In addition, following the Closing, to the extent the Company issues shares of Class A Common Stock upon the exercise or conversion of warrants outstanding as of the date of the Purchase Agreement, the Consideration Shares will be increased by a number of shares equal to 31.5% of the number of shares issued upon such exercise or conversion, which could result in the issuance of up to an additional 725,592 shares of Class A Common Stock.</w:t>
      </w:r>
    </w:p>
    <w:p>
      <w:pPr>
        <w:spacing w:after="0" w:line="180"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A Special Committee of the Board, composed entirely of independent and disinterested directors (the “Special Committee”), was formed and granted full authority to review, negotiate, and approve the terms of the DTR Acquisition on behalf of the Company. After evaluating the DTR Acquisition, the Special Committee unanimously determined that the DTR Acquisition was fair to, and in the best interests of, the Company and its stockholders (excluding Mr. Naheta and his affiliates), approved the DTR Acquisition, and recommended that the full Board (excluding Mr. Naheta from such consideration) approve the DTR Acquisition.</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Following the Special Committee’s approval, the Board (excluding Mr. Naheta from such consideration) approved the DTR Acquisition and determined to submit the DTR Acquisition to the Company’s stockholders for approval. Mr. Naheta is a member of the Board and recused himself from consideration and deliberation with respect to the DTR Acquisition and abstained from the vote.</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DTR Acquisition on April 17, 2026. The DTR Acquisition was completed on April 30, 2026, with the Company acquiring all of the outstanding equity interests of DTR.</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Purchase Agreement: (i) each current DTR Holder entered into a joinder agreement pursuant to which such holder agreed to be bound by the obligations of the Seller under the Purchase Agreement, (ii) the Seller entered into a non-competition agreement (the “Non-Competition Agreement”) with the Company, (iii) each current DTR Holder, the Company, Mr. Naheta and ICE entered into the Registration Rights Agreement and (iv) the Company and certain stockholders entered into a voting and support agreement (the “Voting and Support Agreement”).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Non-Competition Agreement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Non-Competition Agreement, Mr. Naheta has agreed, effective at the Closing, to not, without the prior written consent of the Company, compete with the business, activities, products or services conducted, authorized, offered, or provided by the Company or any of its subsidiaries in the United States, or any other jurisdiction where the Company conducts business as of the Closing during a period beginning on the date of the Closing and ending on the first anniversary of the Closing (the “Restricted Period”), or, upon exercise by the Company, in the Company’s sole discretion, a later date that is on or prior to the second anniversary of the Closing (such period, the “Extension Period”). If (i) Mr. Naheta’s employment is terminated with the Company or any subsidiary or affiliate thereof, regardless of whether the Company or Mr. Naheta initiated the termination of employment, and (ii) the Company has elected to extend the Restricted Period into the Extension Period, then after the first anniversary of the Closing, the Company shall pay to Mr. Naheta monthly compensation for each month of the Extension Period in an amount equal to 100% of Mr. Naheta’s average monthly base salary from the Company during the twelve months immediately preceding such termination.</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Registration Rights Agreement, which became effective at the Closing, amends and restates that certain Registration Rights Agreement, dated as of October 15, 2021, pursuant to which the Company granted ICE and the other holders party thereto certain registration rights with respect to certain securities of the Company. Under the terms of the Registration Rights Agreement, the Company agreed, among other things, to register for resale (a) any Class A Common Stock currently owned by ICE or that may be issued upon exercise of any warrants currently owned by ICE, (b) the Consideration Shares, and (c) any other equity securities of the Company issued or issuable to any stockholder with respect to any such share of Class A Common Stock referred to in clauses (a) and (b) by way of a stock dividend or stock split or in connection with a combination of shares, recapitalization, merger, consolidation or reorganization (collectively, the “Registrable Securities”). Under the terms of the Registration Rights Agreement, the Company has agreed to prepare and file a registration statement with the SEC to register for resale the Registrable Securities within five business days after the date of the Closing. The Company has agreed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be responsible for all fees and expenses incurred in connection with such registration. Furthermore, under the Registration Rights Agreement, the holders of the Registrable Securities have certain customary underwritten offering demand rights and piggyback registration rights. The Company has granted certain customary piggyback registration rights and indemnification rights in connection with such registration of Registrable Securities.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and Support Agreement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Pursuant to the Voting and Support Agreement, the Voting and Support Parties agreed to vote their shares of the Company’s Class A Common Stock (including those owned beneficially) in favor of the DTR Acquisition. The Voting and Support Agreement automatically terminated upon the Closing. At the time of execution, the Voting and Support Parties together beneficially owned approximately 36.1% of the outstanding shares of Class A Common Stock.</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Non-Competition Agreement, the Registration Rights Agreement and the Voting and Support Agreement are not complete and are qualified in their entirety by reference to the full text of such agreements, which are filed as Exhibits 10.1, 10.2, 10.3 and 10.4, respectively, hereto and are incorporated herein by reference.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GYZER ACQUISITION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May 2026, the Company completed the acquisition of all of the issued and outstanding equity interests of Gyzer Inc. (“Gyzer”), a digital asset payments business. In connection with the acquisition, the Company issued 94,595 shares of its Class A Common Stock and warrants to purchase 250,000 shares of its Class A Common Stock to Daniel Ishag, the sole stockholder of Gyzer and the Company’s Chief Commercial Officer, as consideration for the transaction. This prospectus relates to the resale of such shares by the applicable Selling Stockholder, including any shares received by the applicable Selling Stockholder upon the exercise of the Gyzer Acquisition Warrants.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UP-C COLLAPSE</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November 3, 2025, the Company completed a transaction to simplify its organizational structure (the “Up-C Collapse”), pursuant to which the Company eliminated its prior umbrella partnership-C corporation (“Up-C”) structure. Prior to the Up-C Collapse, the Company operated through Bakkt Opco Holdings, LLC (“Opco”), in which certain non-controlling equity holders held interests.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Up-C Collapse, the Company acquired the outstanding equity interests in Opco held by such non-controlling equity holders in exchange for shares of the Company’s Class A Common Stock. As a result of the Up-C Collapse, such holders became stockholders of the Company, and the Company directly or indirectly acquired 100% of the equity interests in Opco.</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Up-C Collapse, the Company issued shares of Class A common stock to the former holders of Opco equity interests as consideration for the acquisition of their equity interests in Opco. Such shares were issued in reliance on the exemptions from registration under the Securities Act. This prospectus relates to the resale of certain of such shares by the applicable Selling Stockholders.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Up-C Collapse, the Company, ICE and Akshay Naheta entered into (i) Amendment No. 1 to the Tax Receivable Agreement, dated as of October 16, 2025, which amended the Tax Receivable Agreement, dated as of October 15, 2021, (ii) the Contribution Agreement, dated as of October 16, 2025 (the “Contribution Agreement”), and (iii) the Contribution Agreement Amendment, dated as of November 3, 2025, which amended the Contribution Agreement in connection with the consummation of the Up-C Collapse. These agreements reflect the elimination of the Up-C structure and address the parties’ respective rights and obligations following the Up-C Collapse, including with respect to tax attributes and related payments. Following the Up-C Collapse, the Company owns 100% of the equity interests in Opco and no longer has non-controlling equity holders at the Opco level.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Class A Common Stock may be sold by the Selling Stockholders under this prospectus.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relates to the possible resale by certain of the Selling Stockholders from time to time of up to an aggregate of 21,010,640 shares of Class A Common Stock. The term “Selling Stockholders” includes any transferees of Registrable Securities who become parties to the Registration Rights Agreement in accordance with its terms, including by executing a joinder thereto. The shares covered by this prospectus are being offered solely for the account of the Selling Stockholders, and the Company has no role in determining the timing, amount or method of any sales. The Company has not provided, and will not provide, any financing or other assistance to the Selling Stockholders in connection with the resale of such shares.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Akshay Naheta and the DTR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April 30, 2026, we acquired 100% of the outstanding equity interests of DTR pursuant to the Purchase Agreement in exchange for the issuance of an aggregate of 11,316,775 shares of Class A Common Stock (the “Consideration Shares”) to Akshay Naheta and the other DTR Holders, with up to an additional 725,592 shares of Class A Common Stock issuable as Consideration Shares upon the exercise of certain outstanding warrants as described in the Purchase Agreement to Akshay Naheta and the DTR Holders.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Akshay Naheta is a Selling Stockholder. He is also our Chief Executive Officer, President and a member of our Board. Mr. Naheta acquired the shares covered by this prospectus in connection with the DTR Acquisition for investment purposes and not with a view to distribution. Upon completion of the DTR Acquisition, Mr. Naheta owned 22.3% of the outstanding shares of Class A Common Stock.</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Mr. Naheta will act independently of the Company in determining whether, when and how to dispose of any shares, and any such sales will be made for his own account. The Company is not a party to, and has not participated in, any arrangement or understanding with Mr. Naheta or any other person regarding the distribution of such shares, and Mr. Naheta is not selling shares on behalf of the Company. To the extent that any of the shares held by Mr. Naheta become eligible for resale pursuant to Rule 144 under the Securities Act, such shares may be sold in accordance with Rule 144 rather than pursuant to this prospectus.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All of the Consideration Shares issued at the Closing to Mr. Naheta and the other DTR Holders (and any additional Consideration Shares issuable upon the exercise of warrants as described above) were issued in reliance on the exemption from registration pursuant to Section 4(a)(2) of the Securities Act. In accordance with our obligations under the Purchase Agreement and the Registration Rights Agreement entered into in connection therewith, we agreed to register the resale of the Consideration Shares. The resale of such shares is being registered solely to satisfy such contractual registration rights.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Intercontinental Exchange Holdings, Inc.</w:t>
      </w:r>
    </w:p>
    <w:p>
      <w:pPr>
        <w:spacing w:after="0" w:line="121"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ICE is a wholly owned subsidiary of Intercontinental Exchange, Inc. ICE has been a significant holder of the Company’s capital stock since the closing of our business combination with VPC Impact Acquisition Holdings on October 15, 2021. In addition, ICE received 461,361 shares of Class A Common Stock in a registered direct offering in February 2024 and 465,890 shares in connection with the Up-C Collapse. As of May 4, 2026, ICE held 7,919,002 shares of Class A Common Stock (the “ICE Class A Common Stock”). As of April 30, 2026, this represents 16.5% of the outstanding shares of Class A Common Stock. The ICE Class A Common Stock is covered by this prospectus.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ICE will act independently of the Company in determining whether, when and how to dispose of any shares, and any such sales will be made for its own account. The Company is not a party to, and has not participated in, any arrangement or understanding with ICE or any other person regarding the distribution of such shares,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ICE is not selling shares on behalf of the Company. ICE acquired its shares for investment purposes and not with a view to distribution. To the extent that any of the shares held by ICE become eligible for resale pursuant to Rule 144 under the Securities Act, such shares may be sold in accordance with Rule 144 rather than pursuant to this prospectus.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as of May 4, 2026, ICE holds 230,680 Class 1 Warrants to purchase an aggregate of 230,680 shares of Class A Common Stock and 230,680 Class 2 Warrants to purchase an aggregate of 230,680 shares of Class A Common Stock (such shares of Class A Common Stock that may be issued upon exercise of those Class 1 Warrants and Class 2 Warrants, the “ICE Warrant Shares”, and together with the ICE Class A Common Stock, the “ICE Shares”). ICE acquired the Class 1 Warrants and Class 2 Warrants in a registered direct offering in February 2024.</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Class 1 Warrants and Class 2 Warrants are exercisable for shares of Class A Common Stock at an exercise price of $25.50 per share (subject to adjustment), payable in cash or on a cashless basis. The Class 2 Warrants include an alternative cashless exercise feature that, under certain conditions, permits the holder to receive a number of shares of Class A Common Stock equal to the intrinsic value of the warrants, determined pursuant to a formula based on the market price of the Class A Common Stock, in lieu of paying the exercise price in cash. This feature results in the issuance of fewer shares than a cash exercise, but allows the holder to realize the economic value of the warrants without any cash payment. The Class 1 Warrants and Class 2 Warrants will expire in September 2029, and include customary anti-dilution and fundamental transaction provisions.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our obligations under the Registration Rights Agreement entered into in connection with the Purchase Agreement, we agreed to register the resale of the ICE Shares. The resale of such shares is being registered solely to satisfy such contractual registration rights.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Cohen &amp; Company Securities, LLC</w:t>
      </w:r>
    </w:p>
    <w:p>
      <w:pPr>
        <w:spacing w:after="0" w:line="121" w:lineRule="exact"/>
        <w:rPr>
          <w:sz w:val="20"/>
          <w:szCs w:val="20"/>
          <w:color w:val="auto"/>
        </w:rPr>
      </w:pPr>
    </w:p>
    <w:p>
      <w:pPr>
        <w:jc w:val="both"/>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Cohen acquired 125,000 shares of Class A Common Stock pursuant to an engagement letter with the Company, in consideration for financial advisory services. The shares were issued to Cohen in reliance on the exemption from registration pursuant to Section 4(a)(2) of the Securities Act.</w:t>
      </w:r>
    </w:p>
    <w:p>
      <w:pPr>
        <w:spacing w:after="0" w:line="14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Cohen is a registered broker-dealer and acquired its shares of Class A Common Stock covered by this prospectus as compensation for advisory services rendered to the Company pursuant to an engagement letter.</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Cohen will act independently of the Company in determining whether, when and how to dispose of any shares, and any such sales will be made for its own account. The Company is not a party to, and has not participated in, any arrangement or understanding with Cohen or any other person regarding the distribution of such shares, and Cohen is not selling shares on behalf of the Company. Cohen acquired its shares for investment purposes and not with a view to distribution. To the extent that any of the shares held by Cohen become eligible for resale pursuant to Rule 144 under the Securities Act, such shares may be sold in accordance with Rule 144 rather than pursuant to this prospectus.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Daniel Ishag</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Daniel Ishag is the Chief Commercial Officer of the Company. Mr. Ishag is also the former sole stockholder of Gyzer Inc., which was acquired by the Company in May 2026. In connection with such acquisition, Mr. Ishag received shares of Class A Common Stock and warrants exercisable for shares of Class A Common Stock as consideration for the transaction. The securities were issued in reliance on the exemption from registration pursuant to Section 4(a)(2) of the Securities Act. The resale of such shares, including any Gyzer Acquisition Shares acquired upon exercise of the Gyzer Acquisition Warrants, is being registered pursuant to this prospectus.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Mr. Ishag will act independently of the Company in determining whether, when and how to dispose of any shares, and any such sales will be made for his own account. The Company is not a party to, and has not participated in, any arrangement or understanding with Mr. Ishag or any other person regarding the distribution of such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concerning the shares of Class A Common Stock that may be offered from time to time by each Selling Stockholder. The number of shares beneficially owned by each Selling Stockholder is determined under rules issued by the SEC. Under these rules, beneficial ownership includes any shares as to which the Selling Stockholder has sole or shared voting power or investment power. The percent of beneficial ownership in the table below is based on (i) 47,866,956 shares of Class A Common Stock issued and outstanding as of April 30, 2026 and</w:t>
      </w:r>
    </w:p>
    <w:p>
      <w:pPr>
        <w:spacing w:after="0" w:line="3" w:lineRule="exact"/>
        <w:rPr>
          <w:sz w:val="20"/>
          <w:szCs w:val="20"/>
          <w:color w:val="auto"/>
        </w:rPr>
      </w:pPr>
    </w:p>
    <w:p>
      <w:pPr>
        <w:ind w:left="120" w:right="60" w:hanging="4"/>
        <w:spacing w:after="0" w:line="251" w:lineRule="auto"/>
        <w:tabs>
          <w:tab w:leader="none" w:pos="3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 an additional 250,000 shares of Class A Common Stock have been issued to Mr. Ishag upon the exercise of Gyzer Acquisition Warrants, (u) an additional 725,592 shares of Class A Common Stock have been issued as Consideration Shares upon the exercise of certain outstanding warrants as described in the Purchase Agreement to Akshay Naheta and the DTR Holders, (w) 230,680 shares of Class A Common Stock have been issued to ICE upon the exercise of its Class 1 Warrants, (x) 230,680 shares of Class A Common Stock have been issued to ICE upon the exercise of its Class 2 Warrants, (y) options held by Mr. Naheta to acquire 1,308,725 shares of Class A Common Stock have been exercised and (z) 803,856 shares of Class A Common Stock relating to performance-based restricted stock units held by Mr. Naheta have vested. As of the date of this prospectus, none of the events described in clause (ii) above has occurred, and the assumptions are presented solely for purposes of calculating beneficial ownership percentages.</w:t>
      </w:r>
    </w:p>
    <w:p>
      <w:pPr>
        <w:spacing w:after="0" w:line="19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the following table has been provided to us by or on behalf of the Selling Stockholders. The Selling Stockholders may have sold, transferred or otherwise disposed of all or a portion of the shares of Class A Common Stock listed below after the date on which they provided us with information regarding their securities. A Selling Stockholder may sell all, some or none of his, her or its shares of Class A Common Stock in this offering. See the section of this prospectus entitled “Plan of Distribution”.</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20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 Beneficially</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78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15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to be Sold</w:t>
            </w:r>
          </w:p>
        </w:tc>
        <w:tc>
          <w:tcPr>
            <w:tcW w:w="2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780" w:type="dxa"/>
            <w:vAlign w:val="bottom"/>
            <w:gridSpan w:val="4"/>
            <w:vMerge w:val="continue"/>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202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Upon Completion</w:t>
            </w:r>
          </w:p>
        </w:tc>
        <w:tc>
          <w:tcPr>
            <w:tcW w:w="0" w:type="dxa"/>
            <w:vAlign w:val="bottom"/>
          </w:tcPr>
          <w:p>
            <w:pPr>
              <w:spacing w:after="0"/>
              <w:rPr>
                <w:sz w:val="1"/>
                <w:szCs w:val="1"/>
                <w:color w:val="auto"/>
              </w:rPr>
            </w:pPr>
          </w:p>
        </w:tc>
      </w:tr>
      <w:tr>
        <w:trPr>
          <w:trHeight w:val="173"/>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3500" w:type="dxa"/>
            <w:vAlign w:val="bottom"/>
            <w:vMerge w:val="restart"/>
          </w:tcPr>
          <w:p>
            <w:pPr>
              <w:spacing w:after="0"/>
              <w:rPr>
                <w:sz w:val="15"/>
                <w:szCs w:val="15"/>
                <w:color w:val="auto"/>
              </w:rPr>
            </w:pPr>
          </w:p>
        </w:tc>
        <w:tc>
          <w:tcPr>
            <w:tcW w:w="27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Before this Offering</w:t>
            </w: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0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this Offering</w:t>
            </w:r>
          </w:p>
        </w:tc>
        <w:tc>
          <w:tcPr>
            <w:tcW w:w="0" w:type="dxa"/>
            <w:vAlign w:val="bottom"/>
          </w:tcPr>
          <w:p>
            <w:pPr>
              <w:spacing w:after="0"/>
              <w:rPr>
                <w:sz w:val="1"/>
                <w:szCs w:val="1"/>
                <w:color w:val="auto"/>
              </w:rPr>
            </w:pPr>
          </w:p>
        </w:tc>
      </w:tr>
      <w:tr>
        <w:trPr>
          <w:trHeight w:val="148"/>
        </w:trPr>
        <w:tc>
          <w:tcPr>
            <w:tcW w:w="1200" w:type="dxa"/>
            <w:vAlign w:val="bottom"/>
            <w:tcBorders>
              <w:bottom w:val="single" w:sz="8" w:color="auto"/>
            </w:tcBorders>
            <w:vMerge w:val="continue"/>
          </w:tcPr>
          <w:p>
            <w:pPr>
              <w:spacing w:after="0"/>
              <w:rPr>
                <w:sz w:val="12"/>
                <w:szCs w:val="12"/>
                <w:color w:val="auto"/>
              </w:rPr>
            </w:pPr>
          </w:p>
        </w:tc>
        <w:tc>
          <w:tcPr>
            <w:tcW w:w="3500" w:type="dxa"/>
            <w:vAlign w:val="bottom"/>
            <w:vMerge w:val="continue"/>
          </w:tcPr>
          <w:p>
            <w:pPr>
              <w:spacing w:after="0"/>
              <w:rPr>
                <w:sz w:val="12"/>
                <w:szCs w:val="12"/>
                <w:color w:val="auto"/>
              </w:rPr>
            </w:pPr>
          </w:p>
        </w:tc>
        <w:tc>
          <w:tcPr>
            <w:tcW w:w="1500" w:type="dxa"/>
            <w:vAlign w:val="bottom"/>
            <w:tcBorders>
              <w:top w:val="single" w:sz="8" w:color="auto"/>
            </w:tcBorders>
            <w:gridSpan w:val="2"/>
          </w:tcPr>
          <w:p>
            <w:pPr>
              <w:jc w:val="right"/>
              <w:ind w:right="70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Borders>
              <w:top w:val="single" w:sz="8" w:color="auto"/>
            </w:tcBorders>
          </w:tcPr>
          <w:p>
            <w:pPr>
              <w:jc w:val="right"/>
              <w:ind w:right="31"/>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5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Akshay Naheta</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11,522,681</w:t>
            </w:r>
          </w:p>
        </w:tc>
        <w:tc>
          <w:tcPr>
            <w:tcW w:w="4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8,926,320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3,129,999</w:t>
            </w: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Global Clara Futurum Ltd</w:t>
            </w:r>
            <w:r>
              <w:rPr>
                <w:rFonts w:ascii="Times New Roman" w:cs="Times New Roman" w:eastAsia="Times New Roman" w:hAnsi="Times New Roman"/>
                <w:sz w:val="25"/>
                <w:szCs w:val="25"/>
                <w:color w:val="auto"/>
                <w:vertAlign w:val="superscript"/>
              </w:rPr>
              <w:t>(2)</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266,828</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283,936</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Khabri Limited</w:t>
            </w:r>
            <w:r>
              <w:rPr>
                <w:rFonts w:ascii="Times New Roman" w:cs="Times New Roman" w:eastAsia="Times New Roman" w:hAnsi="Times New Roman"/>
                <w:sz w:val="25"/>
                <w:szCs w:val="25"/>
                <w:color w:val="auto"/>
                <w:vertAlign w:val="superscript"/>
              </w:rPr>
              <w:t>(3)</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159,633</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169,868</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B72 Ventures UG</w:t>
            </w:r>
            <w:r>
              <w:rPr>
                <w:rFonts w:ascii="Times New Roman" w:cs="Times New Roman" w:eastAsia="Times New Roman" w:hAnsi="Times New Roman"/>
                <w:sz w:val="25"/>
                <w:szCs w:val="25"/>
                <w:color w:val="auto"/>
                <w:vertAlign w:val="superscript"/>
              </w:rPr>
              <w:t>(4)</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273,861</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291,420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Krupa</w:t>
            </w:r>
            <w:r>
              <w:rPr>
                <w:rFonts w:ascii="Times New Roman" w:cs="Times New Roman" w:eastAsia="Times New Roman" w:hAnsi="Times New Roman"/>
                <w:sz w:val="25"/>
                <w:szCs w:val="25"/>
                <w:color w:val="auto"/>
                <w:vertAlign w:val="superscript"/>
              </w:rPr>
              <w:t>(5)</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40,516</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20,787</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20,981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Jason Griffith</w:t>
            </w:r>
            <w:r>
              <w:rPr>
                <w:rFonts w:ascii="Times New Roman" w:cs="Times New Roman" w:eastAsia="Times New Roman" w:hAnsi="Times New Roman"/>
                <w:sz w:val="25"/>
                <w:szCs w:val="25"/>
                <w:color w:val="auto"/>
                <w:vertAlign w:val="superscript"/>
              </w:rPr>
              <w:t>(6)</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129,910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138,239</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Lotus Grove Trust</w:t>
            </w:r>
            <w:r>
              <w:rPr>
                <w:rFonts w:ascii="Times New Roman" w:cs="Times New Roman" w:eastAsia="Times New Roman" w:hAnsi="Times New Roman"/>
                <w:sz w:val="25"/>
                <w:szCs w:val="25"/>
                <w:color w:val="auto"/>
                <w:vertAlign w:val="superscript"/>
              </w:rPr>
              <w:t>(7)</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735,615</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782,780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Clear Haven STAR Trust</w:t>
            </w:r>
            <w:r>
              <w:rPr>
                <w:rFonts w:ascii="Times New Roman" w:cs="Times New Roman" w:eastAsia="Times New Roman" w:hAnsi="Times New Roman"/>
                <w:sz w:val="25"/>
                <w:szCs w:val="25"/>
                <w:color w:val="auto"/>
                <w:vertAlign w:val="superscript"/>
              </w:rPr>
              <w:t>(8)</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1,408,445</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1,498,750</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Intercontinental Exchange Holdings, Inc.</w:t>
            </w:r>
            <w:r>
              <w:rPr>
                <w:rFonts w:ascii="Times New Roman" w:cs="Times New Roman" w:eastAsia="Times New Roman" w:hAnsi="Times New Roman"/>
                <w:sz w:val="25"/>
                <w:szCs w:val="25"/>
                <w:color w:val="auto"/>
                <w:vertAlign w:val="superscript"/>
              </w:rPr>
              <w:t>(9)</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8,380,362</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17.3</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8,380,362</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Cohen &amp; Company Securities, LLC</w:t>
            </w:r>
            <w:r>
              <w:rPr>
                <w:rFonts w:ascii="Times New Roman" w:cs="Times New Roman" w:eastAsia="Times New Roman" w:hAnsi="Times New Roman"/>
                <w:sz w:val="25"/>
                <w:szCs w:val="25"/>
                <w:color w:val="auto"/>
                <w:vertAlign w:val="superscript"/>
              </w:rPr>
              <w:t>(10)</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125,000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Kelly Loeffler</w:t>
            </w:r>
            <w:r>
              <w:rPr>
                <w:rFonts w:ascii="Times New Roman" w:cs="Times New Roman" w:eastAsia="Times New Roman" w:hAnsi="Times New Roman"/>
                <w:sz w:val="25"/>
                <w:szCs w:val="25"/>
                <w:color w:val="auto"/>
                <w:vertAlign w:val="superscript"/>
              </w:rPr>
              <w:t>(11)</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194,949</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48,583</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146,366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Ishag</w:t>
            </w:r>
            <w:r>
              <w:rPr>
                <w:rFonts w:ascii="Times New Roman" w:cs="Times New Roman" w:eastAsia="Times New Roman" w:hAnsi="Times New Roman"/>
                <w:sz w:val="26"/>
                <w:szCs w:val="26"/>
                <w:color w:val="auto"/>
                <w:vertAlign w:val="superscript"/>
              </w:rPr>
              <w:t>(12)</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94,595</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344,595</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100" w:hanging="424"/>
        <w:spacing w:after="0" w:line="25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21, 2025, Akshay Naheta was appointed Co-Chief Executive Officer of the Company and a member of the Board. Effective August 11, 2025, Mr. Naheta became the Chief Executive Officer and President of the Company. Mr. Naheta’s shares that are covered by this prospectus consist of 8,322,949 shares of Class A Common Stock issued as consideration in connection with the DTR Acquisition and 69,733 shares of Class A Common Stock issued in connection with the Up-C Collapse. Mr. Naheta has sole voting and investment control over the securities. In addition, Mr. Naheta is the beneficial owner of (i) 1,087,151 shares of Class A Common Stock, (ii) options to acquire 1,308,725 shares of Class A Common Stock and (iii) 803,856 shares of Class A Common Stock relating to performance-based restricted stock units that vest upon the attainment of stock price metrics. Assumes that an additional 533,638 shares of Class A Common Stock have been issued to Mr. Naheta as Consideration Shares upon the exercise of certain outstanding warrants as described in the Purchase Agreement.</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4"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Clara Futurum Ltd is a Cyprus private company limited by shares. Intolegal Ltd., a Cyprus private company limited by shares, is the sole corporate director of Global Clara Futurum Ltd, and Anapel Panayi is the sole director of Intolegal Ltd. Remi Tuyaerts has voting and investment control over the securities held by Global Clara Futurum Ltd. The securities were issued as consideration in connection with the DTR Acquisition. Assumes that an additional 17,108 shares of Class A Common Stock have been issued to Global Clara Futurum Ltd as Consideration Shares upon the exercise of certain outstanding warrants as described in the Purchase Agreement.</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Khabri Limited is a private limited company incorporated in England and Wales. Hasan Souat Hilmi Sabri has voting and investment control over the securities held by Khabri Limited. The securities were issued as consideration in connection with the DTR Acquisition. Assumes that an additional 10,235 shares of Class A Common Stock have been issued to Khabri Limited as Consideration Shares upon the exercise of certain outstanding warrants as described in the Purchase Agreement.</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B72 Ventures UG is a corporation organized under the laws of Germany. Tobias Buck has voting and investment control over the securities held by B72 Ventures UG. The securities were issued as consideration in connection with the DTR Acquisition. Assumes that an additional 17,559 shares of Class A Common Stock have been issued to B72 Ventures UG as Consideration Shares upon the exercise of certain outstanding warrants as described in the Purchase Agreement.</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Krupa serves as Vice President, Corporate Development and Operations of the Company. Mr. Krupa was previously a shareholder of DTR. The securities were issued as consideration in connection with the DTR Acquisition. Mr. Krupa has sole voting and investment control over the securities. Assumes that an additional 1,253 shares of Class A Common Stock have been issued to Mr. Krupa as Consideration Shares upon the exercise of certain outstanding warrants as described in the Purchase Agreement.</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Daniel Griffith previously provided services to the Company pursuant to a consulting agreement. The securities were issued as consideration in connection with the DTR Acquisition. Mr. Griffith has sole voting and investment control over the securities. Assumes that an additional 8,329 shares of Class A Common Stock have been issued to Mr. Griffith as Consideration Shares upon the exercise of certain outstanding warrants as described in the Purchase Agreement.</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Grove Trust is an irrevocable trust established under the laws of the Cayman Islands. Tobias Buck, as trustee, has voting and investment control over the securities held by Lotus Grove Trust. The Lotus Grove Trust is a trust for the benefit of certain members of Mr. Naheta’s immediate family. Mr. Naheta does not have any pecuniary interest in the Lotus Grove Trust and will not exercise voting control or investment power over such shares of Class A Common Stock held by the Lotus Grove Trust. The securities were issued as consideration in connection with the DTR Acquisition. Assumes that an additional 47,165 shares of Class A Common Stock have been issued to Lotus Grove Trust as Consideration Shares upon the exercise of certain outstanding warrants as described in the Purchase Agreement.</w:t>
      </w:r>
    </w:p>
    <w:p>
      <w:pPr>
        <w:spacing w:after="0" w:line="2"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 Haven STAR Trust is an irrevocable STAR trust established under the laws of the Cayman Islands. ITA Global Trust Ltd, a company incorporated in the Cayman Islands, serves as trustee, and the directors of ITA Global Trust Ltd have voting and investment control over the securities held by the trust. The securities were issued as consideration in connection with the DTR Acquisition. Assumes that an additional 90,305 shares of Class A Common Stock have been issued to Clear Haven STAR Trust as Consideration Shares upon the exercise of certain outstanding warrants as described in the Purchase Agreement.</w:t>
      </w:r>
    </w:p>
    <w:p>
      <w:pPr>
        <w:spacing w:after="0" w:line="1" w:lineRule="exact"/>
        <w:rPr>
          <w:rFonts w:ascii="Times New Roman" w:cs="Times New Roman" w:eastAsia="Times New Roman" w:hAnsi="Times New Roman"/>
          <w:sz w:val="18"/>
          <w:szCs w:val="18"/>
          <w:color w:val="auto"/>
        </w:rPr>
      </w:pPr>
    </w:p>
    <w:p>
      <w:pPr>
        <w:ind w:left="540" w:right="20" w:hanging="424"/>
        <w:spacing w:after="0" w:line="265" w:lineRule="auto"/>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Intercontinental Exchange Holdings, Inc. is a Delaware corporation. ICE has been a significant holder of the Company’s capital stock since the closing of our business combination with VPC Impact Acquisition Holdings on October 15, 2021. Consists of 461,360 shares of Class A Common Stock underlying warrants and 7,919,002 shares of Class A Common Stock. ICE is a wholly owned subsidiary of Intercontinental Exchange, Inc.</w:t>
      </w:r>
    </w:p>
    <w:p>
      <w:pPr>
        <w:ind w:left="540" w:right="16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Cohen &amp; Company Securities, LLC is a Delaware limited liability company and a registered broker-dealer. Cohen &amp; Company Securities, LLC has acted as a financial advisor, underwriter and placement agent to the Company from time to time. The securities were issued as compensation for advisory services rendered to the Company. Jerry Serowik has voting and investment control over the securities held by Cohen &amp; Company Securities, LLC.</w:t>
      </w:r>
    </w:p>
    <w:p>
      <w:pPr>
        <w:spacing w:after="0" w:line="1"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Kelly Loeffler has been a holder of the Company’s capital stock since the closing of our business combination with VPC Impact Acquisition Holdings on October 15, 2021. The securities were issued in connection with the Up-C Collapse. Ms. Loeffler has sole voting and investment control over the securities.</w:t>
      </w:r>
    </w:p>
    <w:p>
      <w:pPr>
        <w:spacing w:after="0" w:line="1"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Ishag serves as Chief Commercial Officer of the Company. The securities were issued as consideration in connection with the Company’s acquisition of Gyzer Inc. Mr. Ishag has sole voting and investment control over the securities. Assumes that an additional 250,000 shares of Class A Common Stock have been issued to Mr. Ishag upon the exercise of Gyzer Acquisition Warrants.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registering the shares of Class A Common Stock issued to the Selling Stockholders to permit the resale of such shares by such holder from time to time after the date of this prospectus. We are not selling any securities under this prospectus and will not receive any proceeds from the resale of shares by the Selling Stockholders. The Selling Stockholders may from time to time offer some or all of the shares of Common Stock covered by this prospectus. To the extent required, this prospectus may be amended and supplemented from time to time to describe a specific plan of distribution. We have not entered into any agreement, arrangement or understanding with any Selling Stockholder or any other person regarding the distribution of the shares. The Company has not provided, and will not provide, any financing or other assistance to the Selling Stockholders in connection with the resale of the shares. The Selling Stockholders will not pay any of the costs, expenses and fees in connection with the registration of the shares covered by this prospectus, but they will pay any and all underwriting discounts, selling commissions and similar charges attributable to sales of the shares. All proceeds from the resale of shares will be received by the Selling Stockholders for their own accounts. The Selling Stockholders may sell some or all of the shares of Class A Common Stock covered by this prospectus from time to time or may decide not to sell any of the shares of Common Stock covered by this prospectus. As used in this prospectus, “Selling Stockholders” includes any transferees of Registrable Securities who become parties to the Registration Rights Agreement in accordance with its terms, including by executing a joinder thereto. The Selling Stockholders will act independently of us in making decisions with respect to the timing, manner and size of each sale. We have no control over, and will not participate in, any such sales. Such sales are not being made pursuant to any underwriting or other coordinated distribution arrangement on behalf of the Company, and will be made in ordinary brokerage transactions, block trades, privately negotiated transactions or similar transactions. Such sales may be made on one or more exchanges or in the over-the-counter market at prices and under terms then prevailing or at prices related to the then-current market price or in negotiated transactions. The Selling Stockholders may dispose of their shares by one or more of, or a combination of, the following methods:</w:t>
      </w:r>
    </w:p>
    <w:p>
      <w:pPr>
        <w:spacing w:after="0" w:line="9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Selling Stockholders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any shares that qualify for sale pursuant to Rule 144 may be sold under Rule 144 rather than pursuant to this prospectus.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do not currently have any agreements, arrangements or understandings with any person to distribute the shares. The Company has not participated in, and will not participate in, any such arrangements or in the resale of the shares. The Company has not been involved in identifying or engaging any such persons.</w:t>
      </w:r>
    </w:p>
    <w:p>
      <w:pPr>
        <w:spacing w:after="0" w:line="176"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4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offering the shares covered by this prospectus, the Selling Stockholders and any broker-dealers who execute sales for the selling stockholders may be deemed to be or are “underwriters” within the meaning of the Securities Act in connection with such sales. Any profits realized by the Selling Stockholders and the compensation of any broker-dealer may be deemed to be underwriting commissions, discounts or concessions.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We have agreed to indemnify the Selling Stockholders against certain liabilities, including liabilities under the Securities Act, relating to the registration of the shares offered by this prospectus. The Selling Stockholders may indemnify any broker-dealer that participates in transactions involving the sale of the shares against certain liabilities, including liabilities under the Securities Act.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Sullivan &amp; Cromwell LLP, New York, New York.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Bakkt, Inc. as of and for the year ended December 31, 2025 appearing in the Company’s Annual Report (Form 10-K), have been incorporated by reference herein in reliance upon the report of Grant Thornton LLP, independent registered public accounting firm, included thereon, and incorporated by reference herein, and upon the authority of said firm as experts in accounting and auditing.</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Bakkt, Inc. as of and for the year ended December 31, 2024 appearing in the Company’s Annual Report (Form 10-K) for the period ended December 31, 2025 have been incorporated by reference herein in reliance upon the report of KPMG LLP, independent registered public accounting firm, and incorporated by reference herein, and upon the authority of said firm as experts in accounting and auditing.</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consolidated statements of operations, comprehensive loss, changes in stockholders’ equity and cash flows of Bakkt, Inc., for the year ended December 31, 2023 and the related notes (collectively, the “financial statements”) appearing in the Company’s Annual Report (Form 10-K) for the period ended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w:t>
      </w:r>
    </w:p>
    <w:p>
      <w:pPr>
        <w:spacing w:after="0" w:line="16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19, 2026 (our “Annual Report”);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38">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filed with the SEC on April 30, 2026, that are incorporated by reference into our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filed with the SEC on May 11, 2026;</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April 30,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20,</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 xml:space="preserve">January 20, 2026 </w:t>
        </w:r>
      </w:hyperlink>
      <w:hyperlink r:id="rId4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January 12, 2026</w:t>
        </w:r>
      </w:hyperlink>
      <w:hyperlink r:id="rId40">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w:t>
      </w:r>
      <w:hyperlink r:id="rId4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October 15,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113"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3280 Peachtree Road, Suites 07-128, 07-130 &amp; 07-132</w:t>
      </w:r>
    </w:p>
    <w:p>
      <w:pPr>
        <w:spacing w:after="0" w:line="31"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Atlanta, Georgia 30305</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(332) 203-3017</w:t>
      </w:r>
    </w:p>
    <w:p>
      <w:pPr>
        <w:spacing w:after="0" w:line="207" w:lineRule="exact"/>
        <w:rPr>
          <w:rFonts w:ascii="Times New Roman" w:cs="Times New Roman" w:eastAsia="Times New Roman" w:hAnsi="Times New Roman"/>
          <w:sz w:val="18"/>
          <w:szCs w:val="18"/>
          <w:color w:val="0000EE"/>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hyperlink" Target="http://www.sec.gov/ix?doc=/Archives/edgar/data/1820302/000162828026019870/bakkt-20251231.htm" TargetMode="External"/><Relationship Id="rId38" Type="http://schemas.openxmlformats.org/officeDocument/2006/relationships/hyperlink" Target="http://www.sec.gov/ix?doc=/Archives/edgar/data/1820302/000162828026029018/bakkt-20260430.htm" TargetMode="External"/><Relationship Id="rId39" Type="http://schemas.openxmlformats.org/officeDocument/2006/relationships/hyperlink" Target="http://www.sec.gov/ix?doc=/Archives/edgar/data/1820302/000162828026033576/bakkt-20260331.htm" TargetMode="External"/><Relationship Id="rId40" Type="http://schemas.openxmlformats.org/officeDocument/2006/relationships/hyperlink" Target="http://www.sec.gov/ix?doc=/Archives/edgar/data/1820302/000119312526016077/d43240d8k.htm" TargetMode="External"/><Relationship Id="rId41" Type="http://schemas.openxmlformats.org/officeDocument/2006/relationships/hyperlink" Target="http://www.sec.gov/ix?doc=/Archives/edgar/data/1820302/000119312526015873/d51133d8k.htm" TargetMode="External"/><Relationship Id="rId42" Type="http://schemas.openxmlformats.org/officeDocument/2006/relationships/hyperlink" Target="http://www.sec.gov/ix?doc=/Archives/edgar/data/1820302/000119312526009830/d88960d8k.htm" TargetMode="External"/><Relationship Id="rId43" Type="http://schemas.openxmlformats.org/officeDocument/2006/relationships/hyperlink" Target="http://www.sec.gov/Archives/edgar/data/1820302/000119312521299620/d21137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2026-05-27T16:22:07Z</dcterms:created>
  <dcterms:modified xsi:type="dcterms:W3CDTF">2026-05-27T16:22:07Z</dcterms:modified>
</cp:coreProperties>
</file>