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February 14, 2024</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333-271362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1" w:lineRule="exact"/>
        <w:rPr>
          <w:sz w:val="24"/>
          <w:szCs w:val="24"/>
          <w:color w:val="auto"/>
        </w:rPr>
      </w:pPr>
    </w:p>
    <w:tbl>
      <w:tblPr>
        <w:tblLayout w:type="fixed"/>
        <w:tblInd w:w="2080" w:type="dxa"/>
        <w:tblCellMar>
          <w:top w:w="0" w:type="dxa"/>
          <w:left w:w="0" w:type="dxa"/>
          <w:bottom w:w="0" w:type="dxa"/>
          <w:right w:w="0" w:type="dxa"/>
        </w:tblCellMar>
      </w:tblPr>
      <w:tr>
        <w:trPr>
          <w:trHeight w:val="297"/>
        </w:trPr>
        <w:tc>
          <w:tcPr>
            <w:tcW w:w="1700" w:type="dxa"/>
            <w:vAlign w:val="bottom"/>
          </w:tcPr>
          <w:p>
            <w:pPr>
              <w:spacing w:after="0"/>
              <w:rPr>
                <w:sz w:val="24"/>
                <w:szCs w:val="24"/>
                <w:color w:val="auto"/>
              </w:rPr>
            </w:pPr>
          </w:p>
        </w:tc>
        <w:tc>
          <w:tcPr>
            <w:tcW w:w="5300" w:type="dxa"/>
            <w:vAlign w:val="bottom"/>
            <w:gridSpan w:val="3"/>
          </w:tcPr>
          <w:p>
            <w:pPr>
              <w:jc w:val="center"/>
              <w:ind w:right="1537"/>
              <w:spacing w:after="0"/>
              <w:rPr>
                <w:sz w:val="20"/>
                <w:szCs w:val="20"/>
                <w:color w:val="auto"/>
              </w:rPr>
            </w:pPr>
            <w:r>
              <w:rPr>
                <w:rFonts w:ascii="Times New Roman" w:cs="Times New Roman" w:eastAsia="Times New Roman" w:hAnsi="Times New Roman"/>
                <w:sz w:val="25"/>
                <w:szCs w:val="25"/>
                <w:b w:val="1"/>
                <w:bCs w:val="1"/>
                <w:color w:val="auto"/>
              </w:rPr>
              <w:t>AMENDMENT NO. 2 TO</w:t>
            </w:r>
          </w:p>
        </w:tc>
      </w:tr>
      <w:tr>
        <w:trPr>
          <w:trHeight w:val="297"/>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gridSpan w:val="2"/>
          </w:tcPr>
          <w:p>
            <w:pPr>
              <w:jc w:val="center"/>
              <w:ind w:right="2217"/>
              <w:spacing w:after="0"/>
              <w:rPr>
                <w:sz w:val="20"/>
                <w:szCs w:val="20"/>
                <w:color w:val="auto"/>
              </w:rPr>
            </w:pPr>
            <w:r>
              <w:rPr>
                <w:rFonts w:ascii="Times New Roman" w:cs="Times New Roman" w:eastAsia="Times New Roman" w:hAnsi="Times New Roman"/>
                <w:sz w:val="25"/>
                <w:szCs w:val="25"/>
                <w:b w:val="1"/>
                <w:bCs w:val="1"/>
                <w:color w:val="auto"/>
              </w:rPr>
              <w:t>FORM S-3</w:t>
            </w:r>
          </w:p>
        </w:tc>
      </w:tr>
      <w:tr>
        <w:trPr>
          <w:trHeight w:val="304"/>
        </w:trPr>
        <w:tc>
          <w:tcPr>
            <w:tcW w:w="1700" w:type="dxa"/>
            <w:vAlign w:val="bottom"/>
          </w:tcPr>
          <w:p>
            <w:pPr>
              <w:spacing w:after="0"/>
              <w:rPr>
                <w:sz w:val="24"/>
                <w:szCs w:val="24"/>
                <w:color w:val="auto"/>
              </w:rPr>
            </w:pPr>
          </w:p>
        </w:tc>
        <w:tc>
          <w:tcPr>
            <w:tcW w:w="5300" w:type="dxa"/>
            <w:vAlign w:val="bottom"/>
            <w:gridSpan w:val="3"/>
          </w:tcPr>
          <w:p>
            <w:pPr>
              <w:jc w:val="center"/>
              <w:ind w:right="1537"/>
              <w:spacing w:after="0"/>
              <w:rPr>
                <w:sz w:val="20"/>
                <w:szCs w:val="20"/>
                <w:color w:val="auto"/>
              </w:rPr>
            </w:pPr>
            <w:r>
              <w:rPr>
                <w:rFonts w:ascii="Times New Roman" w:cs="Times New Roman" w:eastAsia="Times New Roman" w:hAnsi="Times New Roman"/>
                <w:sz w:val="25"/>
                <w:szCs w:val="25"/>
                <w:b w:val="1"/>
                <w:bCs w:val="1"/>
                <w:color w:val="auto"/>
                <w:w w:val="98"/>
              </w:rPr>
              <w:t>REGISTRATION STATEMENT</w:t>
            </w: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20" w:type="dxa"/>
            <w:vAlign w:val="bottom"/>
            <w:gridSpan w:val="2"/>
          </w:tcPr>
          <w:p>
            <w:pPr>
              <w:jc w:val="center"/>
              <w:ind w:right="2237"/>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r>
      <w:tr>
        <w:trPr>
          <w:trHeight w:val="238"/>
        </w:trPr>
        <w:tc>
          <w:tcPr>
            <w:tcW w:w="1700" w:type="dxa"/>
            <w:vAlign w:val="bottom"/>
          </w:tcPr>
          <w:p>
            <w:pPr>
              <w:spacing w:after="0"/>
              <w:rPr>
                <w:sz w:val="20"/>
                <w:szCs w:val="20"/>
                <w:color w:val="auto"/>
              </w:rPr>
            </w:pPr>
          </w:p>
        </w:tc>
        <w:tc>
          <w:tcPr>
            <w:tcW w:w="5300" w:type="dxa"/>
            <w:vAlign w:val="bottom"/>
            <w:gridSpan w:val="3"/>
          </w:tcPr>
          <w:p>
            <w:pPr>
              <w:jc w:val="center"/>
              <w:ind w:right="1557"/>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SECURITIES ACT OF 1933</w:t>
            </w:r>
          </w:p>
        </w:tc>
      </w:tr>
      <w:tr>
        <w:trPr>
          <w:trHeight w:val="148"/>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431"/>
        </w:trPr>
        <w:tc>
          <w:tcPr>
            <w:tcW w:w="1700" w:type="dxa"/>
            <w:vAlign w:val="bottom"/>
          </w:tcPr>
          <w:p>
            <w:pPr>
              <w:spacing w:after="0"/>
              <w:rPr>
                <w:sz w:val="24"/>
                <w:szCs w:val="24"/>
                <w:color w:val="auto"/>
              </w:rPr>
            </w:pPr>
          </w:p>
        </w:tc>
        <w:tc>
          <w:tcPr>
            <w:tcW w:w="5300" w:type="dxa"/>
            <w:vAlign w:val="bottom"/>
            <w:gridSpan w:val="3"/>
          </w:tcPr>
          <w:p>
            <w:pPr>
              <w:jc w:val="center"/>
              <w:ind w:right="1537"/>
              <w:spacing w:after="0"/>
              <w:rPr>
                <w:sz w:val="20"/>
                <w:szCs w:val="20"/>
                <w:color w:val="auto"/>
              </w:rPr>
            </w:pPr>
            <w:r>
              <w:rPr>
                <w:rFonts w:ascii="Times New Roman" w:cs="Times New Roman" w:eastAsia="Times New Roman" w:hAnsi="Times New Roman"/>
                <w:sz w:val="36"/>
                <w:szCs w:val="36"/>
                <w:b w:val="1"/>
                <w:bCs w:val="1"/>
                <w:color w:val="auto"/>
                <w:w w:val="99"/>
              </w:rPr>
              <w:t>Bakkt Holdings, Inc.</w:t>
            </w:r>
          </w:p>
        </w:tc>
      </w:tr>
      <w:tr>
        <w:trPr>
          <w:trHeight w:val="202"/>
        </w:trPr>
        <w:tc>
          <w:tcPr>
            <w:tcW w:w="1700" w:type="dxa"/>
            <w:vAlign w:val="bottom"/>
          </w:tcPr>
          <w:p>
            <w:pPr>
              <w:spacing w:after="0"/>
              <w:rPr>
                <w:sz w:val="17"/>
                <w:szCs w:val="17"/>
                <w:color w:val="auto"/>
              </w:rPr>
            </w:pPr>
          </w:p>
        </w:tc>
        <w:tc>
          <w:tcPr>
            <w:tcW w:w="5300" w:type="dxa"/>
            <w:vAlign w:val="bottom"/>
            <w:gridSpan w:val="3"/>
          </w:tcPr>
          <w:p>
            <w:pPr>
              <w:jc w:val="center"/>
              <w:ind w:right="1537"/>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130"/>
        </w:trPr>
        <w:tc>
          <w:tcPr>
            <w:tcW w:w="1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r>
      <w:tr>
        <w:trPr>
          <w:trHeight w:val="216"/>
        </w:trPr>
        <w:tc>
          <w:tcPr>
            <w:tcW w:w="1700" w:type="dxa"/>
            <w:vAlign w:val="bottom"/>
          </w:tcPr>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5300" w:type="dxa"/>
            <w:vAlign w:val="bottom"/>
            <w:gridSpan w:val="3"/>
          </w:tcPr>
          <w:p>
            <w:pPr>
              <w:jc w:val="center"/>
              <w:ind w:left="3928"/>
              <w:spacing w:after="0"/>
              <w:rPr>
                <w:sz w:val="20"/>
                <w:szCs w:val="20"/>
                <w:color w:val="auto"/>
              </w:rPr>
            </w:pPr>
            <w:r>
              <w:rPr>
                <w:rFonts w:ascii="Times New Roman" w:cs="Times New Roman" w:eastAsia="Times New Roman" w:hAnsi="Times New Roman"/>
                <w:sz w:val="15"/>
                <w:szCs w:val="15"/>
                <w:b w:val="1"/>
                <w:bCs w:val="1"/>
                <w:color w:val="auto"/>
              </w:rPr>
              <w:t>98-1550750</w:t>
            </w:r>
          </w:p>
        </w:tc>
      </w:tr>
      <w:tr>
        <w:trPr>
          <w:trHeight w:val="135"/>
        </w:trPr>
        <w:tc>
          <w:tcPr>
            <w:tcW w:w="170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00" w:type="dxa"/>
            <w:vAlign w:val="bottom"/>
          </w:tcPr>
          <w:p>
            <w:pPr>
              <w:jc w:val="center"/>
              <w:ind w:left="9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jc w:val="center"/>
              <w:ind w:left="997"/>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10000 Avalon Boulevard, Suite 1000</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Alpharetta, Georgia 30009</w:t>
      </w:r>
    </w:p>
    <w:p>
      <w:pPr>
        <w:jc w:val="center"/>
        <w:ind w:right="-119"/>
        <w:spacing w:after="0" w:line="221" w:lineRule="auto"/>
        <w:rPr>
          <w:sz w:val="20"/>
          <w:szCs w:val="20"/>
          <w:color w:val="auto"/>
        </w:rPr>
      </w:pPr>
      <w:r>
        <w:rPr>
          <w:rFonts w:ascii="Times New Roman" w:cs="Times New Roman" w:eastAsia="Times New Roman" w:hAnsi="Times New Roman"/>
          <w:sz w:val="15"/>
          <w:szCs w:val="15"/>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Gavin Michael</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10000 Avalon Boulevard, Suite 1000</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Alpharetta, Georgia 30009</w:t>
      </w:r>
    </w:p>
    <w:p>
      <w:pPr>
        <w:jc w:val="center"/>
        <w:ind w:right="-119"/>
        <w:spacing w:after="0" w:line="222" w:lineRule="auto"/>
        <w:rPr>
          <w:sz w:val="20"/>
          <w:szCs w:val="20"/>
          <w:color w:val="auto"/>
        </w:rPr>
      </w:pPr>
      <w:r>
        <w:rPr>
          <w:rFonts w:ascii="Times New Roman" w:cs="Times New Roman" w:eastAsia="Times New Roman" w:hAnsi="Times New Roman"/>
          <w:sz w:val="15"/>
          <w:szCs w:val="15"/>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1" w:lineRule="exact"/>
        <w:rPr>
          <w:sz w:val="24"/>
          <w:szCs w:val="24"/>
          <w:color w:val="auto"/>
        </w:rPr>
      </w:pPr>
    </w:p>
    <w:tbl>
      <w:tblPr>
        <w:tblLayout w:type="fixed"/>
        <w:tblInd w:w="1760" w:type="dxa"/>
        <w:tblCellMar>
          <w:top w:w="0" w:type="dxa"/>
          <w:left w:w="0" w:type="dxa"/>
          <w:bottom w:w="0" w:type="dxa"/>
          <w:right w:w="0" w:type="dxa"/>
        </w:tblCellMar>
      </w:tblPr>
      <w:tr>
        <w:trPr>
          <w:trHeight w:val="202"/>
        </w:trPr>
        <w:tc>
          <w:tcPr>
            <w:tcW w:w="2920" w:type="dxa"/>
            <w:vAlign w:val="bottom"/>
          </w:tcPr>
          <w:p>
            <w:pPr>
              <w:spacing w:after="0"/>
              <w:rPr>
                <w:sz w:val="17"/>
                <w:szCs w:val="17"/>
                <w:color w:val="auto"/>
              </w:rPr>
            </w:pPr>
          </w:p>
        </w:tc>
        <w:tc>
          <w:tcPr>
            <w:tcW w:w="4940" w:type="dxa"/>
            <w:vAlign w:val="bottom"/>
          </w:tcPr>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J. Matthew Lyons</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Marc D’Annunzio</w:t>
            </w:r>
          </w:p>
        </w:tc>
      </w:tr>
      <w:tr>
        <w:trPr>
          <w:trHeight w:val="162"/>
        </w:trPr>
        <w:tc>
          <w:tcPr>
            <w:tcW w:w="2920" w:type="dxa"/>
            <w:vAlign w:val="bottom"/>
          </w:tcPr>
          <w:p>
            <w:pPr>
              <w:jc w:val="center"/>
              <w:ind w:right="584"/>
              <w:spacing w:after="0" w:line="162" w:lineRule="exact"/>
              <w:rPr>
                <w:sz w:val="20"/>
                <w:szCs w:val="20"/>
                <w:color w:val="auto"/>
              </w:rPr>
            </w:pPr>
            <w:r>
              <w:rPr>
                <w:rFonts w:ascii="Times New Roman" w:cs="Times New Roman" w:eastAsia="Times New Roman" w:hAnsi="Times New Roman"/>
                <w:sz w:val="15"/>
                <w:szCs w:val="15"/>
                <w:b w:val="1"/>
                <w:bCs w:val="1"/>
                <w:color w:val="auto"/>
              </w:rPr>
              <w:t>Austin D. March</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General Counsel</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Wilson Sonsini Goodrich &amp; Rosati,</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10000 Avalon Boulevard, Suite 1000</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Professional Corporation</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Alpharetta, Georgia 30009</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900 S. Capital of Texas Highway</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(678) 534-5849</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Las Cimas IV, 5th Floor</w:t>
            </w:r>
          </w:p>
        </w:tc>
        <w:tc>
          <w:tcPr>
            <w:tcW w:w="4940" w:type="dxa"/>
            <w:vAlign w:val="bottom"/>
          </w:tcPr>
          <w:p>
            <w:pPr>
              <w:spacing w:after="0"/>
              <w:rPr>
                <w:sz w:val="14"/>
                <w:szCs w:val="14"/>
                <w:color w:val="auto"/>
              </w:rPr>
            </w:pPr>
          </w:p>
        </w:tc>
      </w:tr>
      <w:tr>
        <w:trPr>
          <w:trHeight w:val="162"/>
        </w:trPr>
        <w:tc>
          <w:tcPr>
            <w:tcW w:w="2920" w:type="dxa"/>
            <w:vAlign w:val="bottom"/>
          </w:tcPr>
          <w:p>
            <w:pPr>
              <w:jc w:val="center"/>
              <w:ind w:right="584"/>
              <w:spacing w:after="0" w:line="162" w:lineRule="exact"/>
              <w:rPr>
                <w:sz w:val="20"/>
                <w:szCs w:val="20"/>
                <w:color w:val="auto"/>
              </w:rPr>
            </w:pPr>
            <w:r>
              <w:rPr>
                <w:rFonts w:ascii="Times New Roman" w:cs="Times New Roman" w:eastAsia="Times New Roman" w:hAnsi="Times New Roman"/>
                <w:sz w:val="15"/>
                <w:szCs w:val="15"/>
                <w:b w:val="1"/>
                <w:bCs w:val="1"/>
                <w:color w:val="auto"/>
              </w:rPr>
              <w:t>Austin, TX 78746</w:t>
            </w:r>
          </w:p>
        </w:tc>
        <w:tc>
          <w:tcPr>
            <w:tcW w:w="4940" w:type="dxa"/>
            <w:vAlign w:val="bottom"/>
          </w:tcPr>
          <w:p>
            <w:pPr>
              <w:spacing w:after="0"/>
              <w:rPr>
                <w:sz w:val="14"/>
                <w:szCs w:val="14"/>
                <w:color w:val="auto"/>
              </w:rPr>
            </w:pPr>
          </w:p>
        </w:tc>
      </w:tr>
      <w:tr>
        <w:trPr>
          <w:trHeight w:val="202"/>
        </w:trPr>
        <w:tc>
          <w:tcPr>
            <w:tcW w:w="2920" w:type="dxa"/>
            <w:vAlign w:val="bottom"/>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(512) 338-5400</w:t>
            </w:r>
          </w:p>
        </w:tc>
        <w:tc>
          <w:tcPr>
            <w:tcW w:w="49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From time to time after the effective date of this registration statement.</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88265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4"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82" w:lineRule="exact"/>
        <w:rPr>
          <w:sz w:val="24"/>
          <w:szCs w:val="24"/>
          <w:color w:val="auto"/>
        </w:rPr>
      </w:pPr>
    </w:p>
    <w:p>
      <w:pPr>
        <w:ind w:left="120" w:right="100"/>
        <w:spacing w:after="0" w:line="191"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400"/>
        <w:spacing w:after="0" w:line="196"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160"/>
        <w:spacing w:after="0" w:line="194"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360"/>
        <w:spacing w:after="0" w:line="191"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580"/>
        <w:spacing w:after="0" w:line="19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ind w:left="1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ind w:left="12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20" w:type="dxa"/>
        <w:tblCellMar>
          <w:top w:w="0" w:type="dxa"/>
          <w:left w:w="0" w:type="dxa"/>
          <w:bottom w:w="0" w:type="dxa"/>
          <w:right w:w="0" w:type="dxa"/>
        </w:tblCellMar>
      </w:tblPr>
      <w:tr>
        <w:trPr>
          <w:trHeight w:val="198"/>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220"/>
              <w:spacing w:after="0"/>
              <w:rPr>
                <w:sz w:val="20"/>
                <w:szCs w:val="20"/>
                <w:color w:val="auto"/>
              </w:rPr>
            </w:pPr>
            <w:r>
              <w:rPr>
                <w:rFonts w:ascii="Times New Roman" w:cs="Times New Roman" w:eastAsia="Times New Roman" w:hAnsi="Times New Roman"/>
                <w:sz w:val="15"/>
                <w:szCs w:val="15"/>
                <w:color w:val="auto"/>
              </w:rPr>
              <w:t>Accelerated filer</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2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4"/>
        </w:trPr>
        <w:tc>
          <w:tcPr>
            <w:tcW w:w="1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220" w:type="dxa"/>
            <w:vAlign w:val="bottom"/>
          </w:tcPr>
          <w:p>
            <w:pPr>
              <w:ind w:left="3220"/>
              <w:spacing w:after="0"/>
              <w:rPr>
                <w:sz w:val="20"/>
                <w:szCs w:val="20"/>
                <w:color w:val="auto"/>
              </w:rPr>
            </w:pPr>
            <w:r>
              <w:rPr>
                <w:rFonts w:ascii="Times New Roman" w:cs="Times New Roman" w:eastAsia="Times New Roman" w:hAnsi="Times New Roman"/>
                <w:sz w:val="15"/>
                <w:szCs w:val="15"/>
                <w:color w:val="auto"/>
              </w:rPr>
              <w:t>Emerging growth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bl>
    <w:p>
      <w:pPr>
        <w:ind w:left="120" w:right="400"/>
        <w:spacing w:after="0" w:line="19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84455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3" w:lineRule="exact"/>
        <w:rPr>
          <w:sz w:val="24"/>
          <w:szCs w:val="24"/>
          <w:color w:val="auto"/>
        </w:rPr>
      </w:pPr>
    </w:p>
    <w:p>
      <w:pPr>
        <w:jc w:val="both"/>
        <w:ind w:left="120" w:right="34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14,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173990</wp:posOffset>
            </wp:positionV>
            <wp:extent cx="89979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97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7,140,808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by us of up to 7,140,808 shares of Class A common stock, par value $0.0001 per share (“Class A Common Stock”), of Bakkt Holdings, Inc. (“we,” “us,” “our,” the “Company” or “Bakkt”) issuable upon the exercise of an aggregate of 7,140,808 warrants (the “Warrants”), each of which is exercisable at a price of $11.50 per share, issued as part of units in our initial public offering.</w:t>
      </w:r>
    </w:p>
    <w:p>
      <w:pPr>
        <w:spacing w:after="0" w:line="176"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We will receive proceeds from the exercise of the Warrants if the Warrants are exercised for cash. However, the exercise price of the Warrants is $11.50 per share, which exceeds $1.29, the closing price of our Class A Common Stock on the New York Stock Exchange (the “NYSE”) on February 5, 2024. The likelihood that warrant holders will exercise the Associated Warrants and any cash proceeds that we would receive is dependent upon the market price of our Class A Common Stock. If the market price for our Class A Common Stock is less than $11.50 per share, we believe warrant holders will be unlikely to exercise their Warrants. For more information, see the section titled “Use of Proceeds” appearing elsewhere in this prospectus.</w:t>
      </w:r>
    </w:p>
    <w:p>
      <w:pPr>
        <w:spacing w:after="0" w:line="16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and our public warrants to purchase Class A Common Stock are listed on NYSE under the symbols “BKKT” and “BKKT WS,” respectively. On February 5, 2024, the last reported sale price for our Class A Common Stock was $1.29 per share.</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may elect to comply with certain reduced public company reporting requirements for this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 and “</w:t>
      </w:r>
      <w:r>
        <w:rPr>
          <w:rFonts w:ascii="Times New Roman" w:cs="Times New Roman" w:eastAsia="Times New Roman" w:hAnsi="Times New Roman"/>
          <w:sz w:val="22"/>
          <w:szCs w:val="22"/>
          <w:b w:val="1"/>
          <w:bCs w:val="1"/>
          <w:i w:val="1"/>
          <w:iCs w:val="1"/>
          <w:color w:val="auto"/>
        </w:rPr>
        <w:t>Item 1A – Risk Factors</w:t>
      </w:r>
      <w:r>
        <w:rPr>
          <w:rFonts w:ascii="Times New Roman" w:cs="Times New Roman" w:eastAsia="Times New Roman" w:hAnsi="Times New Roman"/>
          <w:sz w:val="22"/>
          <w:szCs w:val="22"/>
          <w:b w:val="1"/>
          <w:bCs w:val="1"/>
          <w:color w:val="auto"/>
        </w:rPr>
        <w:t>” of our most recent Annual Report on Form 10-K and any Quarterly Report on Form 10-Q filed subsequently to such Form 10-K that is incorporated by reference in this prospectus before you invest in our securities.</w:t>
      </w:r>
    </w:p>
    <w:p>
      <w:pPr>
        <w:spacing w:after="0" w:line="183"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5"/>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Offering</w:t>
            </w:r>
          </w:p>
        </w:tc>
        <w:tc>
          <w:tcPr>
            <w:tcW w:w="580" w:type="dxa"/>
            <w:vAlign w:val="bottom"/>
            <w:tcBorders>
              <w:top w:val="single" w:sz="8" w:color="0000EE"/>
            </w:tcBorders>
            <w:gridSpan w:val="4"/>
          </w:tcPr>
          <w:p>
            <w:pPr>
              <w:spacing w:after="0"/>
              <w:rPr>
                <w:sz w:val="17"/>
                <w:szCs w:val="17"/>
                <w:color w:val="auto"/>
              </w:rPr>
            </w:pPr>
          </w:p>
        </w:tc>
        <w:tc>
          <w:tcPr>
            <w:tcW w:w="218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66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This prospectus relates to the issuance by us of shares of Class A Common Stock issuable upon the exercise of the Warrants.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or incorporated by reference, in this prospectus, any applicable prospectus supplement or in any related free writing prospectus. We do not take any responsibility for, 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materially since those dates.</w:t>
      </w:r>
    </w:p>
    <w:p>
      <w:pPr>
        <w:spacing w:after="0" w:line="194"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300" w:right="300"/>
        <w:spacing w:after="0" w:line="255"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1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240" w:right="24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 simple,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Rewards</w:t>
      </w:r>
      <w:r>
        <w:rPr>
          <w:rFonts w:ascii="Times New Roman" w:cs="Times New Roman" w:eastAsia="Times New Roman" w:hAnsi="Times New Roman"/>
          <w:sz w:val="18"/>
          <w:szCs w:val="18"/>
          <w:color w:val="auto"/>
        </w:rPr>
        <w:t>. We are in the process of enabling clients of all sizes to offer loyalty and rewards to their customers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crypto – either by earning crypto rewards, or by redeeming existing reward currencies, such as points or miles, into crypto.</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 together with Apex Crypto, the “Seller Parties”), pursuant to the terms of a Membership Interest Purchase Agreement (as amended, the “Purchase Agreement”), dated as of November 2, 2022, by and among the Bakkt Parties and the Seller Parties. Additionally, effective as of April 1, 2023, the Company and the Seller entered into</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
        <w:spacing w:after="0" w:line="266" w:lineRule="auto"/>
        <w:rPr>
          <w:sz w:val="20"/>
          <w:szCs w:val="20"/>
          <w:color w:val="auto"/>
        </w:rPr>
      </w:pPr>
      <w:r>
        <w:rPr>
          <w:rFonts w:ascii="Times New Roman" w:cs="Times New Roman" w:eastAsia="Times New Roman" w:hAnsi="Times New Roman"/>
          <w:sz w:val="18"/>
          <w:szCs w:val="18"/>
          <w:color w:val="auto"/>
        </w:rPr>
        <w:t>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76"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our Amended Form 10-Q, filed on February 14, 2024, that (i) amends and restates the disclosure in Part II, Item 1A “Risk Factors” to, among other things,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the unaudited financial statements included in our quarterly report on Form 10-Q for the quarterly period ended September 30, 2023 (the “Original Form 10-Q”) filed on November 14, 2023 (the “Original 10-Q Filing Date”), we disclosed that subsequent to the filing of the Original Form 10-Q, and in connection with the filing of Amendment No. 3 to the Original Form 10-Q (the “Amended Form 10-Q”), we made the following determination regarding our ability to continue as a going concern using the information available to us as of the date of the filing of the Amended Form 10-Q.</w:t>
      </w:r>
    </w:p>
    <w:p>
      <w:pPr>
        <w:spacing w:after="0" w:line="183"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and continue to incur losses and consume cash through the date of the Amended Form 10-Q filing.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as of the date of filing of the Amended Form 10-Q, raised substantial doubt about our ability to continue as a going concern.</w:t>
      </w:r>
    </w:p>
    <w:p>
      <w:pPr>
        <w:spacing w:after="0" w:line="183"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As of the date of the Amended Form 10-Q, we did not believe that our cash, short-term securities, and restricted cash were sufficient to fund our operations for the next 12 months, without raising additional capital in</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could not conclude, as of the date of the filing of the Amended Form 10-Q, that it was probable that we would be able to increase revenues substantially beyond levels that we have attained in the past in order to generate sustainable operating profit to continue doing business, and, as a result, we concluded these plans did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cannot continue as a viable entity, our stockholders would likely lose most or all of their investment in us.</w:t>
      </w:r>
    </w:p>
    <w:p>
      <w:pPr>
        <w:spacing w:after="0" w:line="190" w:lineRule="exact"/>
        <w:rPr>
          <w:sz w:val="20"/>
          <w:szCs w:val="20"/>
          <w:color w:val="auto"/>
        </w:rPr>
      </w:pPr>
    </w:p>
    <w:p>
      <w:pPr>
        <w:ind w:left="300" w:right="240" w:firstLine="426"/>
        <w:spacing w:after="0" w:line="312" w:lineRule="auto"/>
        <w:rPr>
          <w:sz w:val="20"/>
          <w:szCs w:val="20"/>
          <w:color w:val="auto"/>
        </w:rPr>
      </w:pPr>
      <w:r>
        <w:rPr>
          <w:rFonts w:ascii="Times New Roman" w:cs="Times New Roman" w:eastAsia="Times New Roman" w:hAnsi="Times New Roman"/>
          <w:sz w:val="17"/>
          <w:szCs w:val="17"/>
          <w:color w:val="auto"/>
        </w:rPr>
        <w:t>For additional information, please see our other filings with the SEC that are incorporated by reference into this prospectus, including the Amended Form 10-Q and the risk factor entitled “We might not be able to continue as a going concern.” included under Part II, Item 1A therein.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240" w:right="26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6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 including our acquisition of Bakkt Crypto – and integration of these acquisitions may disrupt our business and management.</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3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44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45" w:lineRule="exact"/>
        <w:rPr>
          <w:rFonts w:ascii="Times New Roman" w:cs="Times New Roman" w:eastAsia="Times New Roman" w:hAnsi="Times New Roman"/>
          <w:sz w:val="17"/>
          <w:szCs w:val="17"/>
          <w:color w:val="auto"/>
        </w:rPr>
      </w:pPr>
    </w:p>
    <w:p>
      <w:pPr>
        <w:ind w:left="124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1"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3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5"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84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16840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right="1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hanging="2"/>
        <w:spacing w:after="0" w:line="26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320" w:top="455" w:right="7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outstanding prior to</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95,418,117 shares of Class A Common Stock as of February 1, 2024.</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exercise of the Warrants</w:t>
            </w:r>
          </w:p>
        </w:tc>
        <w:tc>
          <w:tcPr>
            <w:tcW w:w="6860" w:type="dxa"/>
            <w:vAlign w:val="bottom"/>
            <w:tcBorders>
              <w:right w:val="single" w:sz="8" w:color="auto"/>
            </w:tcBorders>
          </w:tcPr>
          <w:p>
            <w:pPr>
              <w:spacing w:after="0"/>
              <w:rPr>
                <w:sz w:val="20"/>
                <w:szCs w:val="20"/>
                <w:color w:val="auto"/>
              </w:rPr>
            </w:pPr>
          </w:p>
        </w:tc>
      </w:tr>
      <w:tr>
        <w:trPr>
          <w:trHeight w:val="333"/>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our Class A Common Stock that may be</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7,140,808 shares</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issued upon exercise of the Warrants</w:t>
            </w:r>
          </w:p>
        </w:tc>
        <w:tc>
          <w:tcPr>
            <w:tcW w:w="6860" w:type="dxa"/>
            <w:vAlign w:val="bottom"/>
            <w:tcBorders>
              <w:right w:val="single" w:sz="8" w:color="auto"/>
            </w:tcBorders>
          </w:tcPr>
          <w:p>
            <w:pPr>
              <w:spacing w:after="0"/>
              <w:rPr>
                <w:sz w:val="20"/>
                <w:szCs w:val="20"/>
                <w:color w:val="auto"/>
              </w:rPr>
            </w:pPr>
          </w:p>
        </w:tc>
      </w:tr>
      <w:tr>
        <w:trPr>
          <w:trHeight w:val="333"/>
        </w:trPr>
        <w:tc>
          <w:tcPr>
            <w:tcW w:w="1102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Shares of our Class A Common Stock outstanding after 102,558,925 shares</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exercise of the Warrants</w:t>
            </w:r>
          </w:p>
        </w:tc>
        <w:tc>
          <w:tcPr>
            <w:tcW w:w="6860" w:type="dxa"/>
            <w:vAlign w:val="bottom"/>
            <w:tcBorders>
              <w:right w:val="single" w:sz="8" w:color="auto"/>
            </w:tcBorders>
          </w:tcPr>
          <w:p>
            <w:pPr>
              <w:spacing w:after="0"/>
              <w:rPr>
                <w:sz w:val="20"/>
                <w:szCs w:val="20"/>
                <w:color w:val="auto"/>
              </w:rPr>
            </w:pPr>
          </w:p>
        </w:tc>
      </w:tr>
      <w:tr>
        <w:trPr>
          <w:trHeight w:val="333"/>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will receive up to an aggregate of approximately $82.1 million, assuming the exercise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full of all of the Warrants for cash. However, the exercise price of the Warrants is $11.50</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 share, which exceeds $1.29, the closing price of our Class A common stock on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NYSE on February 5, 2024. The likelihood that warrant holders will exercise the Warrants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any cash proceeds that we would receive is dependent upon the market price of our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 A Common Stock. If the market price for our Class A Common Stock is less than</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$11.50 per share, we believe warrant holders will be unlikely to exercise their Warrants.</w:t>
            </w:r>
          </w:p>
        </w:tc>
      </w:tr>
      <w:tr>
        <w:trPr>
          <w:trHeight w:val="214"/>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expect to use any net proceeds from the exercise of the Warrants for general corporate</w:t>
            </w:r>
          </w:p>
        </w:tc>
      </w:tr>
      <w:tr>
        <w:trPr>
          <w:trHeight w:val="236"/>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purposes. 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more information.</w:t>
            </w:r>
          </w:p>
        </w:tc>
      </w:tr>
      <w:tr>
        <w:trPr>
          <w:trHeight w:val="31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or incorporated by reference in this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prospectus for a discussion of factors that you should consider carefully before deciding to</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 in our Class A Common Stock.</w:t>
            </w:r>
          </w:p>
        </w:tc>
      </w:tr>
      <w:tr>
        <w:trPr>
          <w:trHeight w:val="338"/>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NYSE Symbol</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“BKKT” for our Class A Common Stock.</w:t>
            </w:r>
          </w:p>
        </w:tc>
      </w:tr>
      <w:tr>
        <w:trPr>
          <w:trHeight w:val="172"/>
        </w:trPr>
        <w:tc>
          <w:tcPr>
            <w:tcW w:w="4160" w:type="dxa"/>
            <w:vAlign w:val="bottom"/>
            <w:tcBorders>
              <w:left w:val="single" w:sz="8" w:color="auto"/>
              <w:bottom w:val="single" w:sz="8" w:color="auto"/>
            </w:tcBorders>
          </w:tcPr>
          <w:p>
            <w:pPr>
              <w:spacing w:after="0"/>
              <w:rPr>
                <w:sz w:val="14"/>
                <w:szCs w:val="14"/>
                <w:color w:val="auto"/>
              </w:rPr>
            </w:pPr>
          </w:p>
        </w:tc>
        <w:tc>
          <w:tcPr>
            <w:tcW w:w="6860" w:type="dxa"/>
            <w:vAlign w:val="bottom"/>
            <w:tcBorders>
              <w:bottom w:val="single" w:sz="8" w:color="auto"/>
              <w:right w:val="single" w:sz="8" w:color="auto"/>
            </w:tcBorders>
          </w:tcPr>
          <w:p>
            <w:pPr>
              <w:spacing w:after="0"/>
              <w:rPr>
                <w:sz w:val="14"/>
                <w:szCs w:val="14"/>
                <w:color w:val="auto"/>
              </w:rPr>
            </w:pPr>
          </w:p>
        </w:tc>
      </w:tr>
      <w:tr>
        <w:trPr>
          <w:trHeight w:val="361"/>
        </w:trPr>
        <w:tc>
          <w:tcPr>
            <w:tcW w:w="4160" w:type="dxa"/>
            <w:vAlign w:val="bottom"/>
          </w:tcPr>
          <w:p>
            <w:pPr>
              <w:spacing w:after="0"/>
              <w:rPr>
                <w:sz w:val="24"/>
                <w:szCs w:val="24"/>
                <w:color w:val="auto"/>
              </w:rPr>
            </w:pPr>
          </w:p>
        </w:tc>
        <w:tc>
          <w:tcPr>
            <w:tcW w:w="68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consider carefully the risks, uncertainties and assumptions discussed under “</w:t>
      </w:r>
      <w:r>
        <w:rPr>
          <w:rFonts w:ascii="Times New Roman" w:cs="Times New Roman" w:eastAsia="Times New Roman" w:hAnsi="Times New Roman"/>
          <w:sz w:val="18"/>
          <w:szCs w:val="18"/>
          <w:i w:val="1"/>
          <w:iCs w:val="1"/>
          <w:color w:val="auto"/>
        </w:rPr>
        <w:t>Part I—Item 1A—Risk Factors</w:t>
      </w:r>
      <w:r>
        <w:rPr>
          <w:rFonts w:ascii="Times New Roman" w:cs="Times New Roman" w:eastAsia="Times New Roman" w:hAnsi="Times New Roman"/>
          <w:sz w:val="18"/>
          <w:szCs w:val="18"/>
          <w:color w:val="auto"/>
        </w:rPr>
        <w:t>” of our most recent Annual Report on Form 10-K and in “</w:t>
      </w:r>
      <w:r>
        <w:rPr>
          <w:rFonts w:ascii="Times New Roman" w:cs="Times New Roman" w:eastAsia="Times New Roman" w:hAnsi="Times New Roman"/>
          <w:sz w:val="18"/>
          <w:szCs w:val="18"/>
          <w:i w:val="1"/>
          <w:iCs w:val="1"/>
          <w:color w:val="auto"/>
        </w:rPr>
        <w:t>Part II—Item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1A—Risk Factors</w:t>
      </w:r>
      <w:r>
        <w:rPr>
          <w:rFonts w:ascii="Times New Roman" w:cs="Times New Roman" w:eastAsia="Times New Roman" w:hAnsi="Times New Roman"/>
          <w:sz w:val="18"/>
          <w:szCs w:val="18"/>
          <w:color w:val="auto"/>
        </w:rPr>
        <w:t>” in our Quarterly Reports on Form 10-Q filed subsequently to such Form 10-K that are incorporated herein by reference,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superseded from time to time by other reports we file with the SEC in the future, and all other information contained or incorporated by reference into this prospectus, as updated by our subsequent filings under the Securities and Exchange Act of 1934, as amended (the “Exchange Act”), and the risk factors and other information contained in any applicable prospectus supplement and any applicable free writing prospectus. The risks described in these documents are not the only ones we face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28"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5"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receive up to approximately $82.1 million, assuming the exercise in full of all of the Warrants for cash. However, the exercise price of the Warrants is $11.50 per share, which exceeds $1.29, the closing price of our Class A Common Stock on the NYSE on February 5, 2024. The likelihood that warrant holders will exercise the Warrants and any cash proceeds that we would receive is dependent upon the market price of our Class A Common Stock. If the market price for our Class A Common Stock is less than $11.50 per share, we believe warrant holders will be unlikely to exercise their Associated Warrants. We expect to use any net proceeds from the exercise of the Warrants for general corporate purposes.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not pay any brokers’ or underwriters’ discounts and commissions in connection with the registration and sale of the Class A Common Stock covered by this prospectus. We will bear all other costs, fees and expenses incurred in effecting the registration of such securities covered by this prospectus, including, without limitation, all registration and filing fees, NYSE listing fees, and fees of our counsel and our independent registered public accountants.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4.7 to our Annual Report on Form 10-K for the fiscal year ended December 31, 2022, filed with the SEC on March 24, 2023.</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40"/>
          </w:cols>
          <w:pgMar w:left="320" w:top="455" w:right="9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by us of up to 7,140,808 shares of Class A Common Stock issuable upon the exercise of an aggregate of 7,140,808 Warrants, each of which is exercisable at a price of $11.50 per share.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$82.1 million assuming the exercise in full of all of the Warrants for cash. The likelihood that warrant holders will exercise the Warrants and any cash proceeds that we would receive is dependent upon the market price of our Class A Common Stock. If the market price for our Class A Common Stock is less than $11.50 per share, we believe warrant holders will be unlikely to exercise their Warrants. We will not pay any brokers’ or underwriters’ discounts and commissions in connection with the registration and sale of the Class A Common Stock covered by this prospectus.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intend to keep the registration statement of which this prospectus forms a part effective until the earlier of the issuance of all shares of Class A Common Stock pursuant to this prospectus and the expiration of the Warrants.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will bear all costs, fees and expenses incurred in effecting the registration of such securities covered by this prospectus, including, without limitation, all registration and filing fees, NYSE listing fees, and fees of our counsel and our independent registered public accountants.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currently listed on the NYSE under the symbols “BKKT.”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Austin, Texas.</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w:t>
      </w:r>
    </w:p>
    <w:p>
      <w:pPr>
        <w:spacing w:after="0" w:line="27" w:lineRule="exact"/>
        <w:rPr>
          <w:sz w:val="20"/>
          <w:szCs w:val="20"/>
          <w:color w:val="auto"/>
        </w:rPr>
      </w:pPr>
    </w:p>
    <w:p>
      <w:pPr>
        <w:ind w:left="120" w:right="380"/>
        <w:spacing w:after="0" w:line="253" w:lineRule="auto"/>
        <w:rPr>
          <w:sz w:val="20"/>
          <w:szCs w:val="20"/>
          <w:color w:val="auto"/>
        </w:rPr>
      </w:pPr>
      <w:r>
        <w:rPr>
          <w:rFonts w:ascii="Times New Roman" w:cs="Times New Roman" w:eastAsia="Times New Roman" w:hAnsi="Times New Roman"/>
          <w:sz w:val="18"/>
          <w:szCs w:val="18"/>
          <w:color w:val="auto"/>
        </w:rPr>
        <w:t>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that are furnished rather than filed), until the offering of the securities under the registration statement of which this prospectus forms a part is terminated or completed:</w:t>
      </w:r>
    </w:p>
    <w:p>
      <w:pPr>
        <w:spacing w:after="0" w:line="9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3">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44">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filed with the SEC on April 24, 2023, that are incorporated by reference into our </w:t>
      </w:r>
      <w:hyperlink r:id="rId43">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4"/>
        </w:numPr>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auto"/>
          </w:rPr>
          <w:t xml:space="preserve">our Quarterly Reports on Form 10-Q for the quarterly periods ended March 31, 2023 and June 30, 2023,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August 10, 2023</w:t>
        </w:r>
      </w:hyperlink>
      <w:hyperlink r:id="rId45">
        <w:r>
          <w:rPr>
            <w:rFonts w:ascii="Times New Roman" w:cs="Times New Roman" w:eastAsia="Times New Roman" w:hAnsi="Times New Roman"/>
            <w:sz w:val="18"/>
            <w:szCs w:val="18"/>
            <w:color w:val="000000"/>
          </w:rPr>
          <w:t xml:space="preserve">, respectively, and our Quarterly Report on Form 10-Q for the quarterly period ended September 30, 2023,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 xml:space="preserve">with the SEC on </w:t>
      </w:r>
      <w:hyperlink r:id="rId47">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 xml:space="preserve">, as amended by our Quarterly Reports on Form 10-Q/A filed with the SEC on </w:t>
      </w:r>
      <w:hyperlink r:id="rId48">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000000"/>
        </w:rPr>
        <w:t xml:space="preserve">, </w:t>
      </w:r>
      <w:hyperlink r:id="rId49">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000000"/>
        </w:rPr>
        <w:t>;</w:t>
      </w:r>
    </w:p>
    <w:p>
      <w:pPr>
        <w:spacing w:after="0" w:line="85" w:lineRule="exact"/>
        <w:rPr>
          <w:rFonts w:ascii="Times New Roman" w:cs="Times New Roman" w:eastAsia="Times New Roman" w:hAnsi="Times New Roman"/>
          <w:sz w:val="18"/>
          <w:szCs w:val="18"/>
          <w:color w:val="0000EE"/>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1">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April 3, 2023</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4">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Form 8-K/A filed with the SEC on </w:t>
      </w:r>
      <w:hyperlink r:id="rId55">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April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7">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Form 8-A relating thereto, filed on </w:t>
      </w:r>
      <w:hyperlink r:id="rId58">
        <w:r>
          <w:rPr>
            <w:rFonts w:ascii="Times New Roman" w:cs="Times New Roman" w:eastAsia="Times New Roman" w:hAnsi="Times New Roman"/>
            <w:sz w:val="18"/>
            <w:szCs w:val="18"/>
            <w:u w:val="single" w:color="auto"/>
            <w:color w:val="0000EE"/>
          </w:rPr>
          <w:t>October 15,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9"/>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9,049.55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7"/>
              </w:rPr>
              <w:t>50,000.00</w:t>
            </w: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w w:val="97"/>
              </w:rPr>
              <w:t>10,000.00</w:t>
            </w:r>
          </w:p>
        </w:tc>
      </w:tr>
      <w:tr>
        <w:trPr>
          <w:trHeight w:val="27"/>
        </w:trPr>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7"/>
              </w:rPr>
              <w:t>71,049.55</w:t>
            </w:r>
          </w:p>
        </w:tc>
      </w:tr>
      <w:tr>
        <w:trPr>
          <w:trHeight w:val="459"/>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(1)Previously paid.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7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20" w:right="240" w:hanging="1104"/>
        <w:spacing w:after="0" w:line="282" w:lineRule="auto"/>
        <w:tabs>
          <w:tab w:leader="none" w:pos="203" w:val="left"/>
        </w:tabs>
        <w:numPr>
          <w:ilvl w:val="0"/>
          <w:numId w:val="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2.1†</w:t>
      </w:r>
      <w:hyperlink r:id="rId61">
        <w:r>
          <w:rPr>
            <w:rFonts w:ascii="Times New Roman" w:cs="Times New Roman" w:eastAsia="Times New Roman" w:hAnsi="Times New Roman"/>
            <w:sz w:val="18"/>
            <w:szCs w:val="18"/>
            <w:u w:val="single" w:color="auto"/>
            <w:color w:val="0000EE"/>
          </w:rPr>
          <w:t>Agreement and Plan of Merger, dated January 11, 2021, by and among the Company, Merger Sub, and the Company (incorporated by</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reference to Exhibit 2.1 to the Company’s Form 8-K filed with the SEC on January 11, 2021).</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Amendment to Agreement and Plan of Merger, dated March 30, 2021 by and among the Company, Merger Sub, and the Company</w:t>
              </w:r>
            </w:hyperlink>
          </w:p>
        </w:tc>
      </w:tr>
      <w:tr>
        <w:trPr>
          <w:trHeight w:val="196"/>
        </w:trPr>
        <w:tc>
          <w:tcPr>
            <w:tcW w:w="110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(incorporated by reference to Exhibit 2.1 to the Company’s Form 8-K filed with the SEC on March 31, 2021).</w:t>
              </w:r>
            </w:hyperlink>
          </w:p>
        </w:tc>
        <w:tc>
          <w:tcPr>
            <w:tcW w:w="1500" w:type="dxa"/>
            <w:vAlign w:val="bottom"/>
            <w:tcBorders>
              <w:top w:val="single" w:sz="8" w:color="0000EE"/>
            </w:tcBorders>
            <w:gridSpan w:val="3"/>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Amendment to Agreement and Plan of Merger, dated September 29, 2021 by and among the Company, Merger Sub, and the Company</w:t>
              </w:r>
            </w:hyperlink>
          </w:p>
        </w:tc>
      </w:tr>
      <w:tr>
        <w:trPr>
          <w:trHeight w:val="196"/>
        </w:trPr>
        <w:tc>
          <w:tcPr>
            <w:tcW w:w="110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(incorporated by reference to Exhibit 2.1 to the Company’s Form 8-K filed with the SEC on September 30, 2021).</w:t>
              </w:r>
            </w:hyperlink>
          </w:p>
        </w:tc>
        <w:tc>
          <w:tcPr>
            <w:tcW w:w="150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Incorporation of the Company, as currently in effect (incorporated by reference to Exhibit 3.1 to the Company’s Form 8-K</w:t>
              </w:r>
            </w:hyperlink>
          </w:p>
        </w:tc>
      </w:tr>
      <w:tr>
        <w:trPr>
          <w:trHeight w:val="196"/>
        </w:trPr>
        <w:tc>
          <w:tcPr>
            <w:tcW w:w="1100" w:type="dxa"/>
            <w:vAlign w:val="bottom"/>
          </w:tcPr>
          <w:p>
            <w:pPr>
              <w:spacing w:after="0"/>
              <w:rPr>
                <w:sz w:val="17"/>
                <w:szCs w:val="17"/>
                <w:color w:val="auto"/>
              </w:rPr>
            </w:pPr>
          </w:p>
        </w:tc>
        <w:tc>
          <w:tcPr>
            <w:tcW w:w="98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filed with the SEC on October 21, 2021).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8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By-Laws of the Company, as currently in effect (incorporated by reference to Exhibit 3.2 to the Company’s Form 8-K filed with the SEC</w:t>
              </w:r>
            </w:hyperlink>
          </w:p>
        </w:tc>
      </w:tr>
      <w:tr>
        <w:trPr>
          <w:trHeight w:val="196"/>
        </w:trPr>
        <w:tc>
          <w:tcPr>
            <w:tcW w:w="110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on October 21, 2021).</w:t>
              </w:r>
            </w:hyperlink>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Specimen Class A Common Stock Certificate of the Company (incorporated by reference to Exhibit 4.1 to the Company’s Form 8-K</w:t>
              </w:r>
            </w:hyperlink>
          </w:p>
        </w:tc>
      </w:tr>
      <w:tr>
        <w:trPr>
          <w:trHeight w:val="196"/>
        </w:trPr>
        <w:tc>
          <w:tcPr>
            <w:tcW w:w="1100" w:type="dxa"/>
            <w:vAlign w:val="bottom"/>
          </w:tcPr>
          <w:p>
            <w:pPr>
              <w:spacing w:after="0"/>
              <w:rPr>
                <w:sz w:val="17"/>
                <w:szCs w:val="17"/>
                <w:color w:val="auto"/>
              </w:rPr>
            </w:pPr>
          </w:p>
        </w:tc>
        <w:tc>
          <w:tcPr>
            <w:tcW w:w="96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filed with the SEC on October 21, 2021).</w:t>
              </w:r>
            </w:hyperlink>
          </w:p>
        </w:tc>
        <w:tc>
          <w:tcPr>
            <w:tcW w:w="26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Specimen Warrant Certificate of the Company (incorporated by reference to Exhibit 4.2 to the Company’s Form 8-K filed with the SEC</w:t>
              </w:r>
            </w:hyperlink>
          </w:p>
        </w:tc>
        <w:tc>
          <w:tcPr>
            <w:tcW w:w="8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on October 21, 2021).</w:t>
              </w:r>
            </w:hyperlink>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Warrant Agreement, dated September 22, 2020, by and between the Company and Continental Stock Transfer &amp; Trust Company, as</w:t>
              </w:r>
            </w:hyperlink>
          </w:p>
        </w:tc>
        <w:tc>
          <w:tcPr>
            <w:tcW w:w="32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warrant agent (incorporated by reference to Exhibit 4.1 of the Company’s Form 8-K filed with the SEC on September 28, 2020).</w:t>
              </w:r>
            </w:hyperlink>
          </w:p>
        </w:tc>
        <w:tc>
          <w:tcPr>
            <w:tcW w:w="600" w:type="dxa"/>
            <w:vAlign w:val="bottom"/>
            <w:gridSpan w:val="7"/>
          </w:tcPr>
          <w:p>
            <w:pPr>
              <w:spacing w:after="0"/>
              <w:rPr>
                <w:sz w:val="17"/>
                <w:szCs w:val="17"/>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8660" w:type="dxa"/>
            <w:vAlign w:val="bottom"/>
            <w:gridSpan w:val="12"/>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rPr>
                <w:sz w:val="16"/>
                <w:szCs w:val="16"/>
                <w:color w:val="auto"/>
              </w:rPr>
            </w:pPr>
          </w:p>
        </w:tc>
        <w:tc>
          <w:tcPr>
            <w:tcW w:w="86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Third Amended and Restated Limited Liability Company Agreement, dated October 15, 2021, by and among Opco and the Opco Equity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Holders (incorporated by reference to Exhibit 4.3 to the Company’s Form 8-K filed with the SEC on October 21, 2021).</w:t>
              </w:r>
            </w:hyperlink>
          </w:p>
        </w:tc>
        <w:tc>
          <w:tcPr>
            <w:tcW w:w="1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9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Registration Rights Agreement, dated as of April 1, 2023, by and between Bakkt Holdings, Inc. and Apex Fintech Solutions Inc.</w:t>
              </w:r>
            </w:hyperlink>
          </w:p>
        </w:tc>
        <w:tc>
          <w:tcPr>
            <w:tcW w:w="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(incorporated by reference to Exhibit 4.1 to the Company’s Form 8-K filed with the SEC on April 3, 2023).</w:t>
              </w:r>
            </w:hyperlink>
          </w:p>
        </w:tc>
        <w:tc>
          <w:tcPr>
            <w:tcW w:w="2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Amendment Agreement, dated as of August 9, 2023, by and among Bakkt Holdings, Inc., Apex Fintech Solutions Inc. and PEAK6</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Investments LLC (incorporated by reference to Exhibit 4.2 to the Company’s Form 10-Q filed with the SEC on August 10, 2023).</w:t>
              </w:r>
            </w:hyperlink>
          </w:p>
        </w:tc>
        <w:tc>
          <w:tcPr>
            <w:tcW w:w="6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of the Company.</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of VPC Impact Acquisition Holdings.</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77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RSM US LLP, independent auditors of Bakkt Crypto Solutions, LLC (f/k/a Apex Crypto LLC).</w:t>
            </w:r>
          </w:p>
        </w:tc>
        <w:tc>
          <w:tcPr>
            <w:tcW w:w="1220" w:type="dxa"/>
            <w:vAlign w:val="bottom"/>
            <w:tcBorders>
              <w:top w:val="single" w:sz="8" w:color="0000EE"/>
            </w:tcBorders>
            <w:gridSpan w:val="3"/>
          </w:tcPr>
          <w:p>
            <w:pPr>
              <w:spacing w:after="0"/>
              <w:rPr>
                <w:sz w:val="24"/>
                <w:szCs w:val="24"/>
                <w:color w:val="auto"/>
              </w:rPr>
            </w:pPr>
          </w:p>
        </w:tc>
        <w:tc>
          <w:tcPr>
            <w:tcW w:w="9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23.4*</w:t>
            </w:r>
          </w:p>
        </w:tc>
        <w:tc>
          <w:tcPr>
            <w:tcW w:w="7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Consent of Wilson Sonsini Goodrich &amp; Rosati, Professional Corporation (included in Exhibit 5.1 hereto).</w:t>
              </w:r>
            </w:hyperlink>
          </w:p>
        </w:tc>
        <w:tc>
          <w:tcPr>
            <w:tcW w:w="2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Powers of Attorney (included on the signature page to this registration statement).</w:t>
              </w:r>
            </w:hyperlink>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9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Filing Fee Table.</w:t>
              </w:r>
            </w:hyperlink>
          </w:p>
        </w:tc>
        <w:tc>
          <w:tcPr>
            <w:tcW w:w="3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right="60" w:hanging="424"/>
        <w:spacing w:after="0" w:line="261"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20" w:firstLine="1428"/>
        <w:spacing w:after="0" w:line="255" w:lineRule="auto"/>
        <w:tabs>
          <w:tab w:leader="none" w:pos="181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20" w:right="80" w:firstLine="1428"/>
        <w:spacing w:after="0" w:line="282" w:lineRule="auto"/>
        <w:tabs>
          <w:tab w:leader="none" w:pos="186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8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76" w:lineRule="exact"/>
        <w:rPr>
          <w:sz w:val="20"/>
          <w:szCs w:val="20"/>
          <w:color w:val="auto"/>
        </w:rPr>
      </w:pPr>
    </w:p>
    <w:p>
      <w:pPr>
        <w:jc w:val="both"/>
        <w:ind w:left="120" w:right="80" w:firstLine="987"/>
        <w:spacing w:after="0" w:line="266" w:lineRule="auto"/>
        <w:tabs>
          <w:tab w:leader="none" w:pos="1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76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53" w:lineRule="auto"/>
        <w:tabs>
          <w:tab w:leader="none" w:pos="181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240" w:firstLine="987"/>
        <w:spacing w:after="0" w:line="258" w:lineRule="auto"/>
        <w:tabs>
          <w:tab w:leader="none" w:pos="1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98" w:lineRule="exact"/>
        <w:rPr>
          <w:rFonts w:ascii="Times New Roman" w:cs="Times New Roman" w:eastAsia="Times New Roman" w:hAnsi="Times New Roman"/>
          <w:sz w:val="18"/>
          <w:szCs w:val="18"/>
          <w:color w:val="auto"/>
        </w:rPr>
      </w:pPr>
    </w:p>
    <w:p>
      <w:pPr>
        <w:ind w:left="560" w:firstLine="948"/>
        <w:spacing w:after="0" w:line="282" w:lineRule="auto"/>
        <w:tabs>
          <w:tab w:leader="none" w:pos="17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right="260" w:firstLine="948"/>
        <w:spacing w:after="0" w:line="282" w:lineRule="auto"/>
        <w:tabs>
          <w:tab w:leader="none" w:pos="182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w:t>
      </w:r>
    </w:p>
    <w:p>
      <w:pPr>
        <w:spacing w:after="0" w:line="27" w:lineRule="exact"/>
        <w:rPr>
          <w:sz w:val="20"/>
          <w:szCs w:val="20"/>
          <w:color w:val="auto"/>
        </w:rPr>
      </w:pPr>
    </w:p>
    <w:p>
      <w:pPr>
        <w:ind w:left="120" w:right="760"/>
        <w:spacing w:after="0" w:line="260" w:lineRule="auto"/>
        <w:rPr>
          <w:sz w:val="20"/>
          <w:szCs w:val="20"/>
          <w:color w:val="auto"/>
        </w:rPr>
      </w:pPr>
      <w:r>
        <w:rPr>
          <w:rFonts w:ascii="Times New Roman" w:cs="Times New Roman" w:eastAsia="Times New Roman" w:hAnsi="Times New Roman"/>
          <w:sz w:val="18"/>
          <w:szCs w:val="18"/>
          <w:color w:val="auto"/>
        </w:rPr>
        <w:t>Section 13(a) or Section 15(d) of the Exchange Act (and, where applicable, each filing of an employee benefit plan’s annual report pursuant to Section 15(d) of the Exchange Act) that is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left="120" w:firstLine="987"/>
        <w:spacing w:after="0" w:line="254" w:lineRule="auto"/>
        <w:tabs>
          <w:tab w:leader="none" w:pos="13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February 14,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Gavin Michael</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February 14,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Gavin Michael</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Gavin Michael</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Alexander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Alexander</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Goodroe</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Goodroe</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Sean Collins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C. Clifton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De’Ana Dow</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Michelle J. Goldberg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Lumb</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A. Main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Jill Simeone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Gordon Watson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pacing w:after="0" w:line="2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*By:</w:t>
        <w:tab/>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657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Amendment No. 2 to the Form S-3 Registration Statement and related Prospectus of Bakkt Holdings, Inc. for the registration of 7,140,808 shares of Class A common stock issuable upon the exercise of 7,140,808 warrants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020"/>
          </w:cols>
          <w:pgMar w:left="440" w:top="117"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Amendment No. 2 to the Registration Statement to Form S-3 (File No. 333-271362)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020"/>
          </w:cols>
          <w:pgMar w:left="440" w:top="117"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2 to the Registration Statement (No. 333-271362) on Form S-3 of Bakkt Holdings, Inc. of our report dated March 29, 2023, except for the second paragraph of Note 16 as to which the date is April 18, 2023, relating to the financial statements of Apex Crypto LLC, appearing in the Current Report on Form 8-K/A filed by Bakkt Holdings, Inc. on April 18,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of our firm under the heading “Experts” in such Registration Statement.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678"/>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436C6125"/>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20">
    <w:nsid w:val="628C895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9"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43" Type="http://schemas.openxmlformats.org/officeDocument/2006/relationships/hyperlink" Target="http://www.sec.gov/ix?doc=/Archives/edgar/data/1820302/000182030223000016/bakkt-20221231.htm" TargetMode="External"/><Relationship Id="rId44" Type="http://schemas.openxmlformats.org/officeDocument/2006/relationships/hyperlink" Target="http://www.sec.gov/Archives/edgar/data/1820302/000182030223000043/bakkt-2023proxy41923.htm" TargetMode="External"/><Relationship Id="rId45" Type="http://schemas.openxmlformats.org/officeDocument/2006/relationships/hyperlink" Target="http://www.sec.gov/ix?doc=/Archives/edgar/data/1820302/000182030223000062/bakkt-20230331.htm" TargetMode="External"/><Relationship Id="rId46" Type="http://schemas.openxmlformats.org/officeDocument/2006/relationships/hyperlink" Target="http://www.sec.gov/ix?doc=/Archives/edgar/data/1820302/000182030223000080/bakkt-20230630.htm" TargetMode="External"/><Relationship Id="rId47" Type="http://schemas.openxmlformats.org/officeDocument/2006/relationships/hyperlink" Target="http://www.sec.gov/ix?doc=/Archives/edgar/data/1820302/000182030223000091/bakkt-20230930.htm" TargetMode="External"/><Relationship Id="rId48" Type="http://schemas.openxmlformats.org/officeDocument/2006/relationships/hyperlink" Target="http://www.sec.gov/ix?doc=/Archives/edgar/data/1820302/000182030224000011/bakkt-20230930.htm" TargetMode="External"/><Relationship Id="rId49" Type="http://schemas.openxmlformats.org/officeDocument/2006/relationships/hyperlink" Target="http://www.sec.gov/ix?doc=/Archives/edgar/data/1820302/000182030224000014/bakkt-20230930.htm" TargetMode="External"/><Relationship Id="rId50" Type="http://schemas.openxmlformats.org/officeDocument/2006/relationships/hyperlink" Target="http://www.sec.gov/ix?doc=/Archives/edgar/data/1820302/000182030224000025/bakkt-20230930.htm" TargetMode="External"/><Relationship Id="rId51" Type="http://schemas.openxmlformats.org/officeDocument/2006/relationships/hyperlink" Target="http://www.sec.gov/ix?doc=/Archives/edgar/data/1820302/000182030223000006/bakkt-20230309.htm" TargetMode="External"/><Relationship Id="rId52" Type="http://schemas.openxmlformats.org/officeDocument/2006/relationships/hyperlink" Target="http://www.sec.gov/ix?doc=/Archives/edgar/data/1820302/000119312523089016/d482123d8k.htm" TargetMode="External"/><Relationship Id="rId53" Type="http://schemas.openxmlformats.org/officeDocument/2006/relationships/hyperlink" Target="http://www.sec.gov/ix?doc=/Archives/edgar/data/0001820302/000182030223000033/bakkt-20230418.htm" TargetMode="External"/><Relationship Id="rId54" Type="http://schemas.openxmlformats.org/officeDocument/2006/relationships/hyperlink" Target="http://www.sec.gov/ix?doc=/Archives/edgar/data/1820302/000182030223000065/bakkt-20230606.htm" TargetMode="External"/><Relationship Id="rId55" Type="http://schemas.openxmlformats.org/officeDocument/2006/relationships/hyperlink" Target="http://www.sec.gov/ix?doc=/Archives/edgar/data/0001820302/000119312522096343/d322705d8ka.htm" TargetMode="External"/><Relationship Id="rId56" Type="http://schemas.openxmlformats.org/officeDocument/2006/relationships/hyperlink" Target="http://www.sec.gov/ix?doc=/Archives/edgar/data/0001820302/000182030223000030/bakkt-20230401.htm" TargetMode="External"/><Relationship Id="rId57" Type="http://schemas.openxmlformats.org/officeDocument/2006/relationships/hyperlink" Target="http://www.sec.gov/ix?doc=/Archives/edgar/data/0001820302/000182030224000026/bakkt-20230401.htm" TargetMode="External"/><Relationship Id="rId58" Type="http://schemas.openxmlformats.org/officeDocument/2006/relationships/hyperlink" Target="http://www.sec.gov/Archives/edgar/data/1820302/000119312521299620/d211377d8a12b.htm" TargetMode="External"/><Relationship Id="rId61" Type="http://schemas.openxmlformats.org/officeDocument/2006/relationships/hyperlink" Target="http://www.sec.gov/Archives/edgar/data/1820302/000119312521005832/d913171dex21.htm" TargetMode="External"/><Relationship Id="rId62" Type="http://schemas.openxmlformats.org/officeDocument/2006/relationships/hyperlink" Target="http://www.sec.gov/Archives/edgar/data/1820302/000119312521101249/d107545dex21.htm" TargetMode="External"/><Relationship Id="rId63" Type="http://schemas.openxmlformats.org/officeDocument/2006/relationships/hyperlink" Target="http://www.sec.gov/Archives/edgar/data/1820302/000119312521286927/d204551dex21.htm" TargetMode="External"/><Relationship Id="rId64" Type="http://schemas.openxmlformats.org/officeDocument/2006/relationships/hyperlink" Target="http://www.sec.gov/Archives/edgar/data/1820302/000119312521303985/d219325dex31.htm" TargetMode="External"/><Relationship Id="rId65" Type="http://schemas.openxmlformats.org/officeDocument/2006/relationships/hyperlink" Target="http://www.sec.gov/Archives/edgar/data/1820302/000119312521303985/d219325dex32.htm" TargetMode="External"/><Relationship Id="rId66" Type="http://schemas.openxmlformats.org/officeDocument/2006/relationships/hyperlink" Target="http://www.sec.gov/Archives/edgar/data/1820302/000119312521303985/d219325dex41.htm" TargetMode="External"/><Relationship Id="rId67" Type="http://schemas.openxmlformats.org/officeDocument/2006/relationships/hyperlink" Target="http://www.sec.gov/Archives/edgar/data/1820302/000119312521303985/d219325dex42.htm" TargetMode="External"/><Relationship Id="rId68" Type="http://schemas.openxmlformats.org/officeDocument/2006/relationships/hyperlink" Target="http://www.sec.gov/Archives/edgar/data/1820302/000119312520256308/d38926dex41.htm" TargetMode="External"/><Relationship Id="rId70" Type="http://schemas.openxmlformats.org/officeDocument/2006/relationships/hyperlink" Target="http://www.sec.gov/Archives/edgar/data/1820302/000119312521303985/d219325dex43.htm" TargetMode="External"/><Relationship Id="rId71" Type="http://schemas.openxmlformats.org/officeDocument/2006/relationships/hyperlink" Target="http://www.sec.gov/Archives/edgar/data/1820302/000119312523089016/d482123dex41.htm" TargetMode="External"/><Relationship Id="rId72" Type="http://schemas.openxmlformats.org/officeDocument/2006/relationships/hyperlink" Target="http://www.sec.gov/Archives/edgar/data/1820302/000182030223000080/exhibit42amendmentagreemen.htm" TargetMode="External"/><Relationship Id="rId73" Type="http://schemas.openxmlformats.org/officeDocument/2006/relationships/hyperlink" Target="http://www.sec.gov/Archives/edgar/data/0001820302/000119312523108811/d474714dex51.htm" TargetMode="External"/><Relationship Id="rId74" Type="http://schemas.openxmlformats.org/officeDocument/2006/relationships/hyperlink" Target="http://www.sec.gov/Archives/edgar/data/0001820302/000119312523108811/d474714ds3.htm#sig" TargetMode="External"/><Relationship Id="rId75" Type="http://schemas.openxmlformats.org/officeDocument/2006/relationships/hyperlink" Target="http://www.sec.gov/Archives/edgar/data/0001820302/000119312523108811/d47471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2024-02-14T12:28:10Z</dcterms:created>
  <dcterms:modified xsi:type="dcterms:W3CDTF">2024-02-14T12:28:10Z</dcterms:modified>
</cp:coreProperties>
</file>