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0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700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02/19/2025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02/19/2025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line="312" w:lineRule="exact"/>
              <w:rPr>
                <w:sz w:val="20"/>
                <w:szCs w:val="20"/>
                <w:color w:val="auto"/>
              </w:rPr>
            </w:pPr>
            <w:r>
              <w:rPr>
                <w:rFonts w:ascii="Times New Roman" w:cs="Times New Roman" w:eastAsia="Times New Roman" w:hAnsi="Times New Roman"/>
                <w:sz w:val="33"/>
                <w:szCs w:val="33"/>
                <w:color w:val="0000FF"/>
                <w:w w:val="91"/>
                <w:vertAlign w:val="subscript"/>
              </w:rPr>
              <w:t>174</w:t>
            </w:r>
            <w:r>
              <w:rPr>
                <w:rFonts w:ascii="Times New Roman" w:cs="Times New Roman" w:eastAsia="Times New Roman" w:hAnsi="Times New Roman"/>
                <w:sz w:val="11"/>
                <w:szCs w:val="11"/>
                <w:color w:val="008000"/>
                <w:w w:val="91"/>
              </w:rPr>
              <w:t>(1)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14.84</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49,950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02/19/2025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line="312" w:lineRule="exact"/>
              <w:rPr>
                <w:sz w:val="20"/>
                <w:szCs w:val="20"/>
                <w:color w:val="auto"/>
              </w:rPr>
            </w:pPr>
            <w:r>
              <w:rPr>
                <w:rFonts w:ascii="Times New Roman" w:cs="Times New Roman" w:eastAsia="Times New Roman" w:hAnsi="Times New Roman"/>
                <w:sz w:val="33"/>
                <w:szCs w:val="33"/>
                <w:color w:val="0000FF"/>
                <w:w w:val="91"/>
                <w:vertAlign w:val="subscript"/>
              </w:rPr>
              <w:t>852</w:t>
            </w:r>
            <w:r>
              <w:rPr>
                <w:rFonts w:ascii="Times New Roman" w:cs="Times New Roman" w:eastAsia="Times New Roman" w:hAnsi="Times New Roman"/>
                <w:sz w:val="11"/>
                <w:szCs w:val="11"/>
                <w:color w:val="008000"/>
                <w:w w:val="91"/>
              </w:rPr>
              <w:t>(3)</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14.84</w:t>
            </w:r>
            <w:r>
              <w:rPr>
                <w:rFonts w:ascii="Times New Roman" w:cs="Times New Roman" w:eastAsia="Times New Roman" w:hAnsi="Times New Roman"/>
                <w:sz w:val="21"/>
                <w:szCs w:val="21"/>
                <w:color w:val="008000"/>
                <w:w w:val="99"/>
                <w:vertAlign w:val="superscript"/>
              </w:rPr>
              <w:t>(3)</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49,098</w:t>
            </w:r>
            <w:r>
              <w:rPr>
                <w:rFonts w:ascii="Times New Roman" w:cs="Times New Roman" w:eastAsia="Times New Roman" w:hAnsi="Times New Roman"/>
                <w:sz w:val="21"/>
                <w:szCs w:val="21"/>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performance stock units ("PSUs") on February 13, 2025,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32,398 shares of Class A Common Stock subject to restricted stock units ("RSUs") and PSUs that remain subject to vesting.</w:t>
      </w:r>
    </w:p>
    <w:p>
      <w:pPr>
        <w:spacing w:after="0" w:line="45" w:lineRule="exact"/>
        <w:rPr>
          <w:rFonts w:ascii="Times New Roman" w:cs="Times New Roman" w:eastAsia="Times New Roman" w:hAnsi="Times New Roman"/>
          <w:sz w:val="13"/>
          <w:szCs w:val="13"/>
          <w:color w:val="008000"/>
        </w:rPr>
      </w:pPr>
    </w:p>
    <w:p>
      <w:pPr>
        <w:ind w:left="40" w:right="6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RSUs on February 13, 2025,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29,537 shares of Class A Common Stock subject to RSUs and PSUs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02/21/2025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2025-02-21T16:58:11Z</dcterms:created>
  <dcterms:modified xsi:type="dcterms:W3CDTF">2025-02-21T16:58:11Z</dcterms:modified>
</cp:coreProperties>
</file>