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Sponsor,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right="120"/>
        <w:spacing w:after="0" w:line="292" w:lineRule="auto"/>
        <w:rPr>
          <w:sz w:val="20"/>
          <w:szCs w:val="20"/>
          <w:color w:val="auto"/>
        </w:rPr>
      </w:pPr>
      <w:r>
        <w:rPr>
          <w:rFonts w:ascii="Arial" w:cs="Arial" w:eastAsia="Arial" w:hAnsi="Arial"/>
          <w:sz w:val="17"/>
          <w:szCs w:val="17"/>
          <w:color w:val="0000FF"/>
        </w:rPr>
        <w:t>C/O VICTORY PARK CAPITAL ADVISORS, LLC</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CHICAGO</w:t>
      </w:r>
      <w:r>
        <w:rPr>
          <w:sz w:val="20"/>
          <w:szCs w:val="20"/>
          <w:color w:val="auto"/>
        </w:rPr>
        <w:tab/>
      </w:r>
      <w:r>
        <w:rPr>
          <w:rFonts w:ascii="Arial" w:cs="Arial" w:eastAsia="Arial" w:hAnsi="Arial"/>
          <w:sz w:val="17"/>
          <w:szCs w:val="17"/>
          <w:color w:val="0000FF"/>
        </w:rPr>
        <w:t>IL</w:t>
      </w:r>
      <w:r>
        <w:rPr>
          <w:sz w:val="20"/>
          <w:szCs w:val="20"/>
          <w:color w:val="auto"/>
        </w:rPr>
        <w:tab/>
      </w:r>
      <w:r>
        <w:rPr>
          <w:rFonts w:ascii="Arial" w:cs="Arial" w:eastAsia="Arial" w:hAnsi="Arial"/>
          <w:sz w:val="15"/>
          <w:szCs w:val="15"/>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840" w:type="dxa"/>
            <w:vAlign w:val="bottom"/>
            <w:gridSpan w:val="3"/>
          </w:tcPr>
          <w:p>
            <w:pPr>
              <w:ind w:left="80"/>
              <w:spacing w:after="0"/>
              <w:rPr>
                <w:sz w:val="20"/>
                <w:szCs w:val="20"/>
                <w:color w:val="auto"/>
              </w:rPr>
            </w:pPr>
            <w:r>
              <w:rPr>
                <w:rFonts w:ascii="Arial" w:cs="Arial" w:eastAsia="Arial" w:hAnsi="Arial"/>
                <w:sz w:val="17"/>
                <w:szCs w:val="17"/>
                <w:color w:val="0000FF"/>
              </w:rPr>
              <w:t>12/16/2021</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ectPr>
          <w:pgSz w:w="11900" w:h="16838" w:orient="portrait"/>
          <w:cols w:equalWidth="0" w:num="2">
            <w:col w:w="3540" w:space="300"/>
            <w:col w:w="7240"/>
          </w:cols>
          <w:pgMar w:left="460" w:top="225" w:right="359" w:bottom="0" w:gutter="0" w:footer="0" w:header="0"/>
          <w:type w:val="continuous"/>
        </w:sectPr>
      </w:pPr>
    </w:p>
    <w:p>
      <w:pPr>
        <w:spacing w:after="0" w:line="1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4"/>
              </w:rPr>
              <w:t>Class A common stock, par value $0.0001</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12/16/2021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44,856</w:t>
            </w:r>
            <w:r>
              <w:rPr>
                <w:rFonts w:ascii="Arial" w:cs="Arial" w:eastAsia="Arial" w:hAnsi="Arial"/>
                <w:sz w:val="22"/>
                <w:szCs w:val="22"/>
                <w:color w:val="008000"/>
                <w:w w:val="88"/>
                <w:vertAlign w:val="superscript"/>
              </w:rPr>
              <w:t>(1)</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60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8.98</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9,046,806</w:t>
            </w:r>
          </w:p>
        </w:tc>
        <w:tc>
          <w:tcPr>
            <w:tcW w:w="92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4"/>
              </w:rPr>
              <w:t>Class A common stock, par value $0.0001</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12/16/2021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63,600</w:t>
            </w:r>
            <w:r>
              <w:rPr>
                <w:rFonts w:ascii="Arial" w:cs="Arial" w:eastAsia="Arial" w:hAnsi="Arial"/>
                <w:sz w:val="22"/>
                <w:szCs w:val="22"/>
                <w:color w:val="008000"/>
                <w:w w:val="88"/>
                <w:vertAlign w:val="superscript"/>
              </w:rPr>
              <w:t>(2)</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10.27</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8,983,206</w:t>
            </w:r>
          </w:p>
        </w:tc>
        <w:tc>
          <w:tcPr>
            <w:tcW w:w="92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4"/>
              </w:rPr>
              <w:t>Class A common stock, par value $0.0001</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12/16/2021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5"/>
              </w:rPr>
              <w:t>5,540</w:t>
            </w:r>
            <w:r>
              <w:rPr>
                <w:rFonts w:ascii="Arial" w:cs="Arial" w:eastAsia="Arial" w:hAnsi="Arial"/>
                <w:sz w:val="22"/>
                <w:szCs w:val="22"/>
                <w:color w:val="008000"/>
                <w:w w:val="85"/>
                <w:vertAlign w:val="superscript"/>
              </w:rPr>
              <w:t>(3)</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60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11.19</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8,977,666</w:t>
            </w:r>
          </w:p>
        </w:tc>
        <w:tc>
          <w:tcPr>
            <w:tcW w:w="92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 Sponsor,</w:t>
        </w:r>
      </w:hyperlink>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LLC</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260" w:type="dxa"/>
            <w:vAlign w:val="bottom"/>
          </w:tcPr>
          <w:p>
            <w:pPr>
              <w:spacing w:after="0"/>
              <w:rPr>
                <w:sz w:val="20"/>
                <w:szCs w:val="20"/>
                <w:color w:val="auto"/>
              </w:rPr>
            </w:pPr>
            <w:r>
              <w:rPr>
                <w:rFonts w:ascii="Arial" w:cs="Arial" w:eastAsia="Arial" w:hAnsi="Arial"/>
                <w:sz w:val="17"/>
                <w:szCs w:val="17"/>
                <w:color w:val="0000FF"/>
              </w:rPr>
              <w:t>IL</w:t>
            </w:r>
          </w:p>
        </w:tc>
        <w:tc>
          <w:tcPr>
            <w:tcW w:w="1500" w:type="dxa"/>
            <w:vAlign w:val="bottom"/>
          </w:tcPr>
          <w:p>
            <w:pPr>
              <w:ind w:left="140"/>
              <w:spacing w:after="0"/>
              <w:rPr>
                <w:sz w:val="20"/>
                <w:szCs w:val="20"/>
                <w:color w:val="auto"/>
              </w:rPr>
            </w:pPr>
            <w:r>
              <w:rPr>
                <w:rFonts w:ascii="Arial" w:cs="Arial" w:eastAsia="Arial" w:hAnsi="Arial"/>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15">
              <w:r>
                <w:rPr>
                  <w:rFonts w:ascii="Arial" w:cs="Arial" w:eastAsia="Arial" w:hAnsi="Arial"/>
                  <w:sz w:val="21"/>
                  <w:szCs w:val="21"/>
                  <w:color w:val="0000EE"/>
                  <w:w w:val="96"/>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CHICAGO</w:t>
      </w:r>
      <w:r>
        <w:rPr>
          <w:sz w:val="20"/>
          <w:szCs w:val="20"/>
          <w:color w:val="auto"/>
        </w:rPr>
        <w:tab/>
      </w:r>
      <w:r>
        <w:rPr>
          <w:rFonts w:ascii="Arial" w:cs="Arial" w:eastAsia="Arial" w:hAnsi="Arial"/>
          <w:sz w:val="17"/>
          <w:szCs w:val="17"/>
          <w:color w:val="0000FF"/>
        </w:rPr>
        <w:t>IL</w:t>
      </w:r>
      <w:r>
        <w:rPr>
          <w:sz w:val="20"/>
          <w:szCs w:val="20"/>
          <w:color w:val="auto"/>
        </w:rPr>
        <w:tab/>
      </w:r>
      <w:r>
        <w:rPr>
          <w:rFonts w:ascii="Arial" w:cs="Arial" w:eastAsia="Arial" w:hAnsi="Arial"/>
          <w:sz w:val="15"/>
          <w:szCs w:val="15"/>
          <w:color w:val="0000FF"/>
        </w:rPr>
        <w:t>60606</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07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0701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$8.90-9.18, inclusive. The reporting person hereby undertakes to provide upon request by the Securities Exchange Commission staff, the issuer, or a shareholder of the issuer, full information regarding the number of shares sold at each separate price.</w:t>
      </w:r>
    </w:p>
    <w:p>
      <w:pPr>
        <w:spacing w:after="0" w:line="29" w:lineRule="exact"/>
        <w:rPr>
          <w:rFonts w:ascii="Arial" w:cs="Arial" w:eastAsia="Arial" w:hAnsi="Arial"/>
          <w:sz w:val="13"/>
          <w:szCs w:val="13"/>
          <w:color w:val="008000"/>
        </w:rPr>
      </w:pPr>
    </w:p>
    <w:p>
      <w:pPr>
        <w:jc w:val="both"/>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$10.25-10.36, inclusive. The reporting person hereby undertakes to provide upon request by the Securities Exchange Commission staff, the issuer, or a shareholder of the issuer, full information regarding the number of shares sold at each separate price.</w:t>
      </w:r>
    </w:p>
    <w:p>
      <w:pPr>
        <w:spacing w:after="0" w:line="29" w:lineRule="exact"/>
        <w:rPr>
          <w:rFonts w:ascii="Arial" w:cs="Arial" w:eastAsia="Arial" w:hAnsi="Arial"/>
          <w:sz w:val="13"/>
          <w:szCs w:val="13"/>
          <w:color w:val="008000"/>
        </w:rPr>
      </w:pPr>
    </w:p>
    <w:p>
      <w:pPr>
        <w:jc w:val="both"/>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$11.00-11.50, inclusive. The reporting person hereby undertakes to provide upon request by the Securities Exchange Commission staff, the issuer, or a shareholder of the issuer, full information regarding the number of shares sold at each separate price.</w:t>
      </w:r>
    </w:p>
    <w:p>
      <w:pPr>
        <w:spacing w:after="0" w:line="29" w:lineRule="exact"/>
        <w:rPr>
          <w:rFonts w:ascii="Arial" w:cs="Arial" w:eastAsia="Arial" w:hAnsi="Arial"/>
          <w:sz w:val="13"/>
          <w:szCs w:val="13"/>
          <w:color w:val="008000"/>
        </w:rPr>
      </w:pPr>
    </w:p>
    <w:p>
      <w:pPr>
        <w:jc w:val="both"/>
        <w:ind w:right="30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008000"/>
        </w:rPr>
        <w:t>Director by Deputization. See Exhibit 99.1 - Joint Filer Information, which is incorporated herein by reference and describes in further detail the relationships of the Reporting Persons to the Issuer.</w:t>
      </w: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Brian Munsie,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line="222" w:lineRule="auto"/>
        <w:tabs>
          <w:tab w:leader="none" w:pos="8720" w:val="left"/>
        </w:tabs>
        <w:rPr>
          <w:sz w:val="20"/>
          <w:szCs w:val="20"/>
          <w:color w:val="auto"/>
        </w:rPr>
      </w:pPr>
      <w:r>
        <w:rPr>
          <w:rFonts w:ascii="Arial" w:cs="Arial" w:eastAsia="Arial" w:hAnsi="Arial"/>
          <w:sz w:val="17"/>
          <w:szCs w:val="17"/>
          <w:color w:val="0000FF"/>
        </w:rPr>
        <w:t>Fact for VPC Impact</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919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5509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ind w:left="6540"/>
        <w:spacing w:after="0" w:line="184" w:lineRule="auto"/>
        <w:rPr>
          <w:sz w:val="20"/>
          <w:szCs w:val="20"/>
          <w:color w:val="auto"/>
        </w:rPr>
      </w:pPr>
      <w:r>
        <w:rPr>
          <w:rFonts w:ascii="Arial" w:cs="Arial" w:eastAsia="Arial" w:hAnsi="Arial"/>
          <w:sz w:val="17"/>
          <w:szCs w:val="17"/>
          <w:color w:val="0000FF"/>
        </w:rPr>
        <w:t xml:space="preserve">/s/ Brian Munsie, Attorney-in- </w:t>
      </w:r>
      <w:r>
        <w:rPr>
          <w:rFonts w:ascii="Arial" w:cs="Arial" w:eastAsia="Arial" w:hAnsi="Arial"/>
          <w:sz w:val="33"/>
          <w:szCs w:val="33"/>
          <w:color w:val="0000FF"/>
          <w:vertAlign w:val="subscript"/>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08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00" w:top="179" w:right="579" w:bottom="1440" w:gutter="0" w:footer="0" w:header="0"/>
        </w:sectPr>
      </w:pPr>
    </w:p>
    <w:bookmarkStart w:id="2" w:name="page3"/>
    <w:bookmarkEnd w:id="2"/>
    <w:p>
      <w:pPr>
        <w:ind w:left="6760"/>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VPC Impact Acquisition Holdings Sponsor, LLC</w:t>
      </w:r>
    </w:p>
    <w:p>
      <w:pPr>
        <w:spacing w:after="0" w:line="20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29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0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198" w:lineRule="exact"/>
        <w:rPr>
          <w:sz w:val="20"/>
          <w:szCs w:val="20"/>
          <w:color w:val="auto"/>
        </w:rPr>
      </w:pPr>
    </w:p>
    <w:p>
      <w:pPr>
        <w:ind w:right="840"/>
        <w:spacing w:after="0" w:line="251" w:lineRule="auto"/>
        <w:rPr>
          <w:sz w:val="20"/>
          <w:szCs w:val="20"/>
          <w:color w:val="auto"/>
        </w:rPr>
      </w:pPr>
      <w:r>
        <w:rPr>
          <w:rFonts w:ascii="Courier New" w:cs="Courier New" w:eastAsia="Courier New" w:hAnsi="Courier New"/>
          <w:sz w:val="17"/>
          <w:szCs w:val="17"/>
          <w:color w:val="auto"/>
        </w:rPr>
        <w:t>Relationship of Joint Filer to Issuer: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1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197" w:lineRule="exact"/>
        <w:rPr>
          <w:sz w:val="20"/>
          <w:szCs w:val="20"/>
          <w:color w:val="auto"/>
        </w:rPr>
      </w:pPr>
    </w:p>
    <w:p>
      <w:pPr>
        <w:ind w:right="72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7"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ind w:right="200"/>
        <w:spacing w:after="0" w:line="251" w:lineRule="auto"/>
        <w:rPr>
          <w:sz w:val="20"/>
          <w:szCs w:val="20"/>
          <w:color w:val="auto"/>
        </w:rPr>
      </w:pPr>
      <w:r>
        <w:rPr>
          <w:rFonts w:ascii="Courier New" w:cs="Courier New" w:eastAsia="Courier New" w:hAnsi="Courier New"/>
          <w:sz w:val="17"/>
          <w:szCs w:val="17"/>
          <w:color w:val="auto"/>
        </w:rPr>
        <w:t>Date of Event Requiring Statement:(Month/Day/Year):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12/16/2021</w:t>
      </w:r>
    </w:p>
    <w:p>
      <w:pPr>
        <w:spacing w:after="0" w:line="21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29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0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198" w:lineRule="exact"/>
        <w:rPr>
          <w:sz w:val="20"/>
          <w:szCs w:val="20"/>
          <w:color w:val="auto"/>
        </w:rPr>
      </w:pPr>
    </w:p>
    <w:p>
      <w:pPr>
        <w:ind w:right="200"/>
        <w:spacing w:after="0" w:line="251" w:lineRule="auto"/>
        <w:rPr>
          <w:sz w:val="20"/>
          <w:szCs w:val="20"/>
          <w:color w:val="auto"/>
        </w:rPr>
      </w:pPr>
      <w:r>
        <w:rPr>
          <w:rFonts w:ascii="Courier New" w:cs="Courier New" w:eastAsia="Courier New" w:hAnsi="Courier New"/>
          <w:sz w:val="17"/>
          <w:szCs w:val="17"/>
          <w:color w:val="auto"/>
        </w:rPr>
        <w:t>Relationship of Joint Filer to Issuer: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w:t>
      </w:r>
    </w:p>
    <w:p>
      <w:pPr>
        <w:spacing w:after="0" w:line="21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197" w:lineRule="exact"/>
        <w:rPr>
          <w:sz w:val="20"/>
          <w:szCs w:val="20"/>
          <w:color w:val="auto"/>
        </w:rPr>
      </w:pPr>
    </w:p>
    <w:p>
      <w:pPr>
        <w:ind w:right="72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10" w:lineRule="exact"/>
        <w:rPr>
          <w:sz w:val="20"/>
          <w:szCs w:val="20"/>
          <w:color w:val="auto"/>
        </w:rPr>
      </w:pPr>
    </w:p>
    <w:p>
      <w:pPr>
        <w:sectPr>
          <w:pgSz w:w="11900" w:h="16838" w:orient="portrait"/>
          <w:cols w:equalWidth="0" w:num="2">
            <w:col w:w="3020" w:space="720"/>
            <w:col w:w="6259"/>
          </w:cols>
          <w:pgMar w:left="460" w:top="142" w:right="1440" w:bottom="1440" w:gutter="0" w:footer="0" w:header="0"/>
          <w:type w:val="continuous"/>
        </w:sectPr>
      </w:pPr>
    </w:p>
    <w:p>
      <w:pPr>
        <w:spacing w:after="0" w:line="197" w:lineRule="exact"/>
        <w:rPr>
          <w:sz w:val="20"/>
          <w:szCs w:val="20"/>
          <w:color w:val="auto"/>
        </w:rPr>
      </w:pPr>
    </w:p>
    <w:p>
      <w:pPr>
        <w:ind w:right="200"/>
        <w:spacing w:after="0" w:line="251" w:lineRule="auto"/>
        <w:rPr>
          <w:sz w:val="20"/>
          <w:szCs w:val="20"/>
          <w:color w:val="auto"/>
        </w:rPr>
      </w:pPr>
      <w:r>
        <w:rPr>
          <w:rFonts w:ascii="Courier New" w:cs="Courier New" w:eastAsia="Courier New" w:hAnsi="Courier New"/>
          <w:sz w:val="17"/>
          <w:szCs w:val="17"/>
          <w:color w:val="auto"/>
        </w:rPr>
        <w:t>Date of Event Requiring Statement:(Month/Day/Year):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12/16/2021</w:t>
      </w:r>
    </w:p>
    <w:sectPr>
      <w:pgSz w:w="11900" w:h="16838" w:orient="portrait"/>
      <w:cols w:equalWidth="0" w:num="2">
        <w:col w:w="3020" w:space="720"/>
        <w:col w:w="625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2021-12-21T19:03:34Z</dcterms:created>
  <dcterms:modified xsi:type="dcterms:W3CDTF">2021-12-21T19:03:34Z</dcterms:modified>
</cp:coreProperties>
</file>