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10,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333-275869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 TO</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line="238"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20" w:type="dxa"/>
        <w:tblCellMar>
          <w:top w:w="0" w:type="dxa"/>
          <w:left w:w="0" w:type="dxa"/>
          <w:bottom w:w="0" w:type="dxa"/>
          <w:right w:w="0" w:type="dxa"/>
        </w:tblCellMar>
      </w:tblPr>
      <w:tr>
        <w:trPr>
          <w:trHeight w:val="214"/>
        </w:trPr>
        <w:tc>
          <w:tcPr>
            <w:tcW w:w="5720" w:type="dxa"/>
            <w:vAlign w:val="bottom"/>
          </w:tcPr>
          <w:p>
            <w:pPr>
              <w:jc w:val="center"/>
              <w:ind w:right="371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20" w:type="dxa"/>
            <w:vAlign w:val="bottom"/>
          </w:tcPr>
          <w:p>
            <w:pPr>
              <w:jc w:val="center"/>
              <w:ind w:left="2"/>
              <w:spacing w:after="0"/>
              <w:rPr>
                <w:sz w:val="20"/>
                <w:szCs w:val="20"/>
                <w:color w:val="auto"/>
              </w:rPr>
            </w:pPr>
            <w:r>
              <w:rPr>
                <w:rFonts w:ascii="Times New Roman" w:cs="Times New Roman" w:eastAsia="Times New Roman" w:hAnsi="Times New Roman"/>
                <w:sz w:val="18"/>
                <w:szCs w:val="18"/>
                <w:b w:val="1"/>
                <w:bCs w:val="1"/>
                <w:color w:val="auto"/>
              </w:rPr>
              <w:t>41-2324812</w:t>
            </w:r>
          </w:p>
        </w:tc>
      </w:tr>
      <w:tr>
        <w:trPr>
          <w:trHeight w:val="148"/>
        </w:trPr>
        <w:tc>
          <w:tcPr>
            <w:tcW w:w="5720" w:type="dxa"/>
            <w:vAlign w:val="bottom"/>
          </w:tcPr>
          <w:p>
            <w:pPr>
              <w:jc w:val="center"/>
              <w:ind w:right="373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20" w:type="dxa"/>
            <w:vAlign w:val="bottom"/>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20" w:type="dxa"/>
            <w:vAlign w:val="bottom"/>
          </w:tcPr>
          <w:p>
            <w:pPr>
              <w:jc w:val="center"/>
              <w:ind w:right="371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20" w:type="dxa"/>
            <w:vAlign w:val="bottom"/>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93"/>
        </w:trPr>
        <w:tc>
          <w:tcPr>
            <w:tcW w:w="572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9"/>
              </w:rPr>
              <w:t>One Liberty Plaza, One Liberty St., Ste. 305-306,</w:t>
            </w:r>
          </w:p>
        </w:tc>
        <w:tc>
          <w:tcPr>
            <w:tcW w:w="1520" w:type="dxa"/>
            <w:vAlign w:val="bottom"/>
          </w:tcPr>
          <w:p>
            <w:pPr>
              <w:spacing w:after="0"/>
              <w:rPr>
                <w:sz w:val="24"/>
                <w:szCs w:val="24"/>
                <w:color w:val="auto"/>
              </w:rPr>
            </w:pPr>
          </w:p>
        </w:tc>
      </w:tr>
      <w:tr>
        <w:trPr>
          <w:trHeight w:val="214"/>
        </w:trPr>
        <w:tc>
          <w:tcPr>
            <w:tcW w:w="572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8"/>
              </w:rPr>
              <w:t>New York, New York 10006</w:t>
            </w:r>
          </w:p>
        </w:tc>
        <w:tc>
          <w:tcPr>
            <w:tcW w:w="1520" w:type="dxa"/>
            <w:vAlign w:val="bottom"/>
          </w:tcPr>
          <w:p>
            <w:pPr>
              <w:spacing w:after="0"/>
              <w:rPr>
                <w:sz w:val="18"/>
                <w:szCs w:val="18"/>
                <w:color w:val="auto"/>
              </w:rPr>
            </w:pPr>
          </w:p>
        </w:tc>
      </w:tr>
      <w:tr>
        <w:trPr>
          <w:trHeight w:val="190"/>
        </w:trPr>
        <w:tc>
          <w:tcPr>
            <w:tcW w:w="5720" w:type="dxa"/>
            <w:vAlign w:val="bottom"/>
          </w:tcPr>
          <w:p>
            <w:pPr>
              <w:jc w:val="center"/>
              <w:ind w:left="155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520" w:type="dxa"/>
            <w:vAlign w:val="bottom"/>
          </w:tcPr>
          <w:p>
            <w:pPr>
              <w:spacing w:after="0"/>
              <w:rPr>
                <w:sz w:val="16"/>
                <w:szCs w:val="16"/>
                <w:color w:val="auto"/>
              </w:rPr>
            </w:pPr>
          </w:p>
        </w:tc>
      </w:tr>
      <w:tr>
        <w:trPr>
          <w:trHeight w:val="390"/>
        </w:trPr>
        <w:tc>
          <w:tcPr>
            <w:tcW w:w="5720" w:type="dxa"/>
            <w:vAlign w:val="bottom"/>
          </w:tcPr>
          <w:p>
            <w:pPr>
              <w:jc w:val="center"/>
              <w:ind w:left="1576"/>
              <w:spacing w:after="0"/>
              <w:rPr>
                <w:sz w:val="20"/>
                <w:szCs w:val="20"/>
                <w:color w:val="auto"/>
              </w:rPr>
            </w:pPr>
            <w:r>
              <w:rPr>
                <w:rFonts w:ascii="Times New Roman" w:cs="Times New Roman" w:eastAsia="Times New Roman" w:hAnsi="Times New Roman"/>
                <w:sz w:val="18"/>
                <w:szCs w:val="18"/>
                <w:b w:val="1"/>
                <w:bCs w:val="1"/>
                <w:color w:val="auto"/>
                <w:w w:val="99"/>
              </w:rPr>
              <w:t>Bakkt Holdings, Inc. 2021 Omnibus Incentive Plan</w:t>
            </w:r>
          </w:p>
        </w:tc>
        <w:tc>
          <w:tcPr>
            <w:tcW w:w="1520" w:type="dxa"/>
            <w:vAlign w:val="bottom"/>
          </w:tcPr>
          <w:p>
            <w:pPr>
              <w:spacing w:after="0"/>
              <w:rPr>
                <w:sz w:val="24"/>
                <w:szCs w:val="24"/>
                <w:color w:val="auto"/>
              </w:rPr>
            </w:pPr>
          </w:p>
        </w:tc>
      </w:tr>
      <w:tr>
        <w:trPr>
          <w:trHeight w:val="190"/>
        </w:trPr>
        <w:tc>
          <w:tcPr>
            <w:tcW w:w="5720" w:type="dxa"/>
            <w:vAlign w:val="bottom"/>
          </w:tcPr>
          <w:p>
            <w:pPr>
              <w:jc w:val="center"/>
              <w:ind w:left="1576"/>
              <w:spacing w:after="0"/>
              <w:rPr>
                <w:sz w:val="20"/>
                <w:szCs w:val="20"/>
                <w:color w:val="auto"/>
              </w:rPr>
            </w:pPr>
            <w:r>
              <w:rPr>
                <w:rFonts w:ascii="Times New Roman" w:cs="Times New Roman" w:eastAsia="Times New Roman" w:hAnsi="Times New Roman"/>
                <w:sz w:val="14"/>
                <w:szCs w:val="14"/>
                <w:b w:val="1"/>
                <w:bCs w:val="1"/>
                <w:color w:val="auto"/>
              </w:rPr>
              <w:t>(Full Title of Plan)</w:t>
            </w:r>
          </w:p>
        </w:tc>
        <w:tc>
          <w:tcPr>
            <w:tcW w:w="1520" w:type="dxa"/>
            <w:vAlign w:val="bottom"/>
          </w:tcPr>
          <w:p>
            <w:pPr>
              <w:spacing w:after="0"/>
              <w:rPr>
                <w:sz w:val="16"/>
                <w:szCs w:val="16"/>
                <w:color w:val="auto"/>
              </w:rPr>
            </w:pPr>
          </w:p>
        </w:tc>
      </w:tr>
      <w:tr>
        <w:trPr>
          <w:trHeight w:val="393"/>
        </w:trPr>
        <w:tc>
          <w:tcPr>
            <w:tcW w:w="5720" w:type="dxa"/>
            <w:vAlign w:val="bottom"/>
          </w:tcPr>
          <w:p>
            <w:pPr>
              <w:jc w:val="center"/>
              <w:ind w:left="1576"/>
              <w:spacing w:after="0"/>
              <w:rPr>
                <w:sz w:val="20"/>
                <w:szCs w:val="20"/>
                <w:color w:val="auto"/>
              </w:rPr>
            </w:pPr>
            <w:r>
              <w:rPr>
                <w:rFonts w:ascii="Times New Roman" w:cs="Times New Roman" w:eastAsia="Times New Roman" w:hAnsi="Times New Roman"/>
                <w:sz w:val="18"/>
                <w:szCs w:val="18"/>
                <w:b w:val="1"/>
                <w:bCs w:val="1"/>
                <w:color w:val="auto"/>
              </w:rPr>
              <w:t>Akshay Naheta</w:t>
            </w:r>
          </w:p>
        </w:tc>
        <w:tc>
          <w:tcPr>
            <w:tcW w:w="1520" w:type="dxa"/>
            <w:vAlign w:val="bottom"/>
          </w:tcPr>
          <w:p>
            <w:pPr>
              <w:spacing w:after="0"/>
              <w:rPr>
                <w:sz w:val="24"/>
                <w:szCs w:val="24"/>
                <w:color w:val="auto"/>
              </w:rPr>
            </w:pPr>
          </w:p>
        </w:tc>
      </w:tr>
      <w:tr>
        <w:trPr>
          <w:trHeight w:val="216"/>
        </w:trPr>
        <w:tc>
          <w:tcPr>
            <w:tcW w:w="572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c>
          <w:tcPr>
            <w:tcW w:w="1520" w:type="dxa"/>
            <w:vAlign w:val="bottom"/>
          </w:tcPr>
          <w:p>
            <w:pPr>
              <w:spacing w:after="0"/>
              <w:rPr>
                <w:sz w:val="18"/>
                <w:szCs w:val="18"/>
                <w:color w:val="auto"/>
              </w:rPr>
            </w:pPr>
          </w:p>
        </w:tc>
      </w:tr>
      <w:tr>
        <w:trPr>
          <w:trHeight w:val="216"/>
        </w:trPr>
        <w:tc>
          <w:tcPr>
            <w:tcW w:w="572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9"/>
              </w:rPr>
              <w:t>One Liberty Plaza, One Liberty St., Ste. 305-306,</w:t>
            </w:r>
          </w:p>
        </w:tc>
        <w:tc>
          <w:tcPr>
            <w:tcW w:w="1520" w:type="dxa"/>
            <w:vAlign w:val="bottom"/>
          </w:tcPr>
          <w:p>
            <w:pPr>
              <w:spacing w:after="0"/>
              <w:rPr>
                <w:sz w:val="18"/>
                <w:szCs w:val="18"/>
                <w:color w:val="auto"/>
              </w:rPr>
            </w:pPr>
          </w:p>
        </w:tc>
      </w:tr>
      <w:tr>
        <w:trPr>
          <w:trHeight w:val="238"/>
        </w:trPr>
        <w:tc>
          <w:tcPr>
            <w:tcW w:w="5720" w:type="dxa"/>
            <w:vAlign w:val="bottom"/>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8"/>
              </w:rPr>
              <w:t>New York, New York 10006</w:t>
            </w:r>
          </w:p>
        </w:tc>
        <w:tc>
          <w:tcPr>
            <w:tcW w:w="15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(678) 534-5849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p>
        </w:tc>
        <w:tc>
          <w:tcPr>
            <w:tcW w:w="5760" w:type="dxa"/>
            <w:vAlign w:val="bottom"/>
          </w:tcPr>
          <w:p>
            <w:pPr>
              <w:ind w:left="6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37"/>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Jared M. Fishman</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Marc D’Annunzio</w:t>
            </w:r>
          </w:p>
        </w:tc>
      </w:tr>
      <w:tr>
        <w:trPr>
          <w:trHeight w:val="216"/>
        </w:trPr>
        <w:tc>
          <w:tcPr>
            <w:tcW w:w="2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Matthew Goodman</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Mario Schollmeyer</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One Liberty Plaza, One Liberty St., Ste. 305-306,</w:t>
            </w:r>
          </w:p>
        </w:tc>
      </w:tr>
      <w:tr>
        <w:trPr>
          <w:trHeight w:val="216"/>
        </w:trPr>
        <w:tc>
          <w:tcPr>
            <w:tcW w:w="27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Sullivan &amp; Cromwell LLP</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8"/>
              </w:rPr>
              <w:t>New York, New York 10006</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125 Broad Street</w:t>
            </w:r>
          </w:p>
        </w:tc>
        <w:tc>
          <w:tcPr>
            <w:tcW w:w="5760" w:type="dxa"/>
            <w:vAlign w:val="bottom"/>
          </w:tcPr>
          <w:p>
            <w:pPr>
              <w:jc w:val="center"/>
              <w:ind w:left="1910"/>
              <w:spacing w:after="0"/>
              <w:rPr>
                <w:sz w:val="20"/>
                <w:szCs w:val="20"/>
                <w:color w:val="auto"/>
              </w:rPr>
            </w:pPr>
            <w:r>
              <w:rPr>
                <w:rFonts w:ascii="Times New Roman" w:cs="Times New Roman" w:eastAsia="Times New Roman" w:hAnsi="Times New Roman"/>
                <w:sz w:val="18"/>
                <w:szCs w:val="18"/>
                <w:b w:val="1"/>
                <w:bCs w:val="1"/>
                <w:color w:val="auto"/>
                <w:w w:val="99"/>
              </w:rPr>
              <w:t>(678) 534-5849</w:t>
            </w:r>
          </w:p>
        </w:tc>
      </w:tr>
      <w:tr>
        <w:trPr>
          <w:trHeight w:val="216"/>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New York, NY 10004</w:t>
            </w:r>
          </w:p>
        </w:tc>
        <w:tc>
          <w:tcPr>
            <w:tcW w:w="5760" w:type="dxa"/>
            <w:vAlign w:val="bottom"/>
          </w:tcPr>
          <w:p>
            <w:pPr>
              <w:spacing w:after="0"/>
              <w:rPr>
                <w:sz w:val="18"/>
                <w:szCs w:val="18"/>
                <w:color w:val="auto"/>
              </w:rPr>
            </w:pPr>
          </w:p>
        </w:tc>
      </w:tr>
      <w:tr>
        <w:trPr>
          <w:trHeight w:val="238"/>
        </w:trPr>
        <w:tc>
          <w:tcPr>
            <w:tcW w:w="27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(212) 558-4000</w:t>
            </w:r>
          </w:p>
        </w:tc>
        <w:tc>
          <w:tcPr>
            <w:tcW w:w="57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121"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This Post-Effective Amendment No. 1 (the “Amendment”) is being filed pursuant to Rule 414 under the Securities Act of 1933, as amended (the “Securities Act”), to notify the Securities and Exchange Commission (the “Commission”) that effective as of November 3, 2025, Bakkt Intermediate Holdings, Inc. (formerly “Bakkt Holdings, Inc.”), a Delaware corporation (the “Predecessor Registrant”), merged (the “Merger”) with and into Bakkt Merger Sub 1, Inc., a Delaware corporation (“Merger Sub”) and a direct wholly-owned subsidiary of Bakkt Holdings, Inc. (formerly “Bakkt NewCo Holdings, Inc.”), a Delaware corporation (the “Successor Registrant”), pursuant to which the Predecessor Registrant became a direct wholly-owned subsidiary of the Successor Registrant, in accordance with the Agreement and Plan of Merger, dated November 3, 2025, among the Predecessor Registrant, the Successor Registrant and Merger Sub. For the purposes of this Amendment and the Registration Statement (as defined below), (i) as of any time prior to the effective time of the Merger, references to the “Company,” “we,” “us,” “our” and similar terms mean the Predecessor Registrant and references to “Class A Common Stock” mean the Class A Common Stock, par value $0.0001 per share, of the Predecessor Registrant and (ii) as of the effective time of the Merger and thereafter, references to the “Company,” “we,” “us,” “our” and similar terms mean the Successor Registrant and references to “Class A Common Stock” mean the Class A Common Stock, par value $0.0001 per share, of the Successor Registrant. This Amendment does not reflect any increase in the number of shares issuable pursuant to the Company’s equity compensation plans.</w:t>
      </w:r>
    </w:p>
    <w:p>
      <w:pPr>
        <w:spacing w:after="0" w:line="190"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relates to the Registration Statement (the “Registration Statement”) of the Predecessor Registrant on Form S-8 (</w:t>
      </w:r>
      <w:hyperlink r:id="rId18">
        <w:r>
          <w:rPr>
            <w:rFonts w:ascii="Times New Roman" w:cs="Times New Roman" w:eastAsia="Times New Roman" w:hAnsi="Times New Roman"/>
            <w:sz w:val="18"/>
            <w:szCs w:val="18"/>
            <w:u w:val="single" w:color="auto"/>
            <w:color w:val="0000EE"/>
          </w:rPr>
          <w:t>File No. 333-275869</w:t>
        </w:r>
      </w:hyperlink>
      <w:r>
        <w:rPr>
          <w:rFonts w:ascii="Times New Roman" w:cs="Times New Roman" w:eastAsia="Times New Roman" w:hAnsi="Times New Roman"/>
          <w:sz w:val="18"/>
          <w:szCs w:val="18"/>
          <w:color w:val="auto"/>
        </w:rPr>
        <w:t>), filed with the Commission on December 4, 2023, registering 26,590,466 shares of Class A Common Stock issuable under the Bakkt Holdings, Inc. 2021 Omnibus Incentive Plan (the “Plan”).</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Merger, all of the outstanding capital stock of the Predecessor Registrant (including any options or other rights to acquire the same) was converted automatically, on a share-for-share basis, into equivalent capital stock of the Successor Registrant (and rights to acquire the same). As a result of the Merger, each stockholder of the Predecessor Registrant became a stockholder of the Successor Registrant. In connection with the Merger, the Successor Registrant assumed the Predecessor Registrant’s existing obligations in connection with awards granted under the Plan.</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accordance with Rule 414 under the Securities Act, the Successor Registrant hereby expressly adopts the Registration Statement as its own registration statement except as amended by this Amendment, for all purposes of the Securities Act and under the Securities Exchange Act of 1934, as amended (the “Exchange Act”). All registration fees were paid at the time of filing of the original Registration Statement.</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incorporates by reference the following documents that the Company has previously filed with the Commission:</w:t>
      </w:r>
    </w:p>
    <w:p>
      <w:pPr>
        <w:spacing w:after="0" w:line="131" w:lineRule="exact"/>
        <w:rPr>
          <w:sz w:val="20"/>
          <w:szCs w:val="20"/>
          <w:color w:val="auto"/>
        </w:rPr>
      </w:pPr>
    </w:p>
    <w:p>
      <w:pPr>
        <w:ind w:left="960" w:right="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Commission on March 20, 2025 (the “Annual Report”);</w:t>
      </w:r>
    </w:p>
    <w:p>
      <w:pPr>
        <w:spacing w:after="0" w:line="67" w:lineRule="exact"/>
        <w:rPr>
          <w:rFonts w:ascii="Times New Roman" w:cs="Times New Roman" w:eastAsia="Times New Roman" w:hAnsi="Times New Roman"/>
          <w:sz w:val="18"/>
          <w:szCs w:val="18"/>
          <w:color w:val="auto"/>
        </w:rPr>
      </w:pPr>
    </w:p>
    <w:p>
      <w:pPr>
        <w:ind w:left="960" w:right="20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Company’s Definitive Proxy Statement on </w:t>
      </w:r>
      <w:hyperlink r:id="rId20">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(other than information furnished rather than filed) that are incorporated by reference into the Annual Report, filed with the Commission on April 28, 2025;</w:t>
      </w:r>
    </w:p>
    <w:p>
      <w:pPr>
        <w:spacing w:after="0" w:line="67"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Reports on Form 10-Q for the quarters ended March 31, 2025, filed with the Commission on </w:t>
      </w:r>
      <w:hyperlink r:id="rId21">
        <w:r>
          <w:rPr>
            <w:rFonts w:ascii="Times New Roman" w:cs="Times New Roman" w:eastAsia="Times New Roman" w:hAnsi="Times New Roman"/>
            <w:sz w:val="18"/>
            <w:szCs w:val="18"/>
            <w:u w:val="single" w:color="auto"/>
            <w:color w:val="0000EE"/>
          </w:rPr>
          <w:t>May 12, 2025</w:t>
        </w:r>
      </w:hyperlink>
      <w:r>
        <w:rPr>
          <w:rFonts w:ascii="Times New Roman" w:cs="Times New Roman" w:eastAsia="Times New Roman" w:hAnsi="Times New Roman"/>
          <w:sz w:val="18"/>
          <w:szCs w:val="18"/>
          <w:color w:val="auto"/>
        </w:rPr>
        <w:t xml:space="preserve">, and June 30, 2025, filed with the Commission on </w:t>
      </w:r>
      <w:hyperlink r:id="rId22">
        <w:r>
          <w:rPr>
            <w:rFonts w:ascii="Times New Roman" w:cs="Times New Roman" w:eastAsia="Times New Roman" w:hAnsi="Times New Roman"/>
            <w:sz w:val="18"/>
            <w:szCs w:val="18"/>
            <w:u w:val="single" w:color="auto"/>
            <w:color w:val="0000EE"/>
          </w:rPr>
          <w:t>August 11, 2025</w:t>
        </w:r>
      </w:hyperlink>
      <w:r>
        <w:rPr>
          <w:rFonts w:ascii="Times New Roman" w:cs="Times New Roman" w:eastAsia="Times New Roman" w:hAnsi="Times New Roman"/>
          <w:sz w:val="18"/>
          <w:szCs w:val="18"/>
          <w:color w:val="auto"/>
        </w:rPr>
        <w:t>;</w:t>
      </w:r>
    </w:p>
    <w:p>
      <w:pPr>
        <w:sectPr>
          <w:pgSz w:w="11900" w:h="16838" w:orient="portrait"/>
          <w:cols w:equalWidth="0" w:num="1">
            <w:col w:w="10980"/>
          </w:cols>
          <w:pgMar w:left="440" w:top="266" w:right="479" w:bottom="1440" w:gutter="0" w:footer="0" w:header="0"/>
        </w:sectPr>
      </w:pPr>
    </w:p>
    <w:bookmarkStart w:id="2" w:name="page3"/>
    <w:bookmarkEnd w:id="2"/>
    <w:p>
      <w:pPr>
        <w:ind w:left="960" w:right="40" w:hanging="532"/>
        <w:spacing w:after="0" w:line="254" w:lineRule="auto"/>
        <w:tabs>
          <w:tab w:leader="none" w:pos="960"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r:id="rId24">
        <w:r>
          <w:rPr>
            <w:rFonts w:ascii="Times New Roman" w:cs="Times New Roman" w:eastAsia="Times New Roman" w:hAnsi="Times New Roman"/>
            <w:sz w:val="18"/>
            <w:szCs w:val="18"/>
            <w:color w:val="auto"/>
          </w:rPr>
          <w:t xml:space="preserve">The Company’s Current Reports on Form 8-K filed with the Commission on </w:t>
        </w:r>
        <w:r>
          <w:rPr>
            <w:rFonts w:ascii="Times New Roman" w:cs="Times New Roman" w:eastAsia="Times New Roman" w:hAnsi="Times New Roman"/>
            <w:sz w:val="18"/>
            <w:szCs w:val="18"/>
            <w:u w:val="single" w:color="auto"/>
            <w:color w:val="0000EE"/>
          </w:rPr>
          <w:t>March 17,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22,</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 xml:space="preserve">June 10, 2025 </w:t>
        </w:r>
      </w:hyperlink>
      <w:hyperlink r:id="rId24">
        <w:r>
          <w:rPr>
            <w:rFonts w:ascii="Times New Roman" w:cs="Times New Roman" w:eastAsia="Times New Roman" w:hAnsi="Times New Roman"/>
            <w:sz w:val="18"/>
            <w:szCs w:val="18"/>
            <w:color w:val="000000"/>
          </w:rPr>
          <w:t>(other than information furnished rather than filed),</w:t>
        </w:r>
        <w:r>
          <w:rPr>
            <w:rFonts w:ascii="Times New Roman" w:cs="Times New Roman" w:eastAsia="Times New Roman" w:hAnsi="Times New Roman"/>
            <w:sz w:val="18"/>
            <w:szCs w:val="18"/>
            <w:color w:val="0000EE"/>
          </w:rPr>
          <w:t xml:space="preserve"> </w:t>
        </w:r>
      </w:hyperlink>
      <w:hyperlink r:id="rId26">
        <w:r>
          <w:rPr>
            <w:rFonts w:ascii="Times New Roman" w:cs="Times New Roman" w:eastAsia="Times New Roman" w:hAnsi="Times New Roman"/>
            <w:sz w:val="18"/>
            <w:szCs w:val="18"/>
            <w:u w:val="single" w:color="auto"/>
            <w:color w:val="0000EE"/>
          </w:rPr>
          <w:t>June 10, 2025</w:t>
        </w:r>
      </w:hyperlink>
      <w:hyperlink r:id="rId2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
        <w:r>
          <w:rPr>
            <w:rFonts w:ascii="Times New Roman" w:cs="Times New Roman" w:eastAsia="Times New Roman" w:hAnsi="Times New Roman"/>
            <w:sz w:val="18"/>
            <w:szCs w:val="18"/>
            <w:u w:val="single" w:color="auto"/>
            <w:color w:val="0000EE"/>
          </w:rPr>
          <w:t>June 13, 2025</w:t>
        </w:r>
      </w:hyperlink>
      <w:hyperlink r:id="rId2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8">
        <w:r>
          <w:rPr>
            <w:rFonts w:ascii="Times New Roman" w:cs="Times New Roman" w:eastAsia="Times New Roman" w:hAnsi="Times New Roman"/>
            <w:sz w:val="18"/>
            <w:szCs w:val="18"/>
            <w:u w:val="single" w:color="auto"/>
            <w:color w:val="0000EE"/>
          </w:rPr>
          <w:t>June 20, 2025</w:t>
        </w:r>
      </w:hyperlink>
      <w:hyperlink r:id="rId2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9">
        <w:r>
          <w:rPr>
            <w:rFonts w:ascii="Times New Roman" w:cs="Times New Roman" w:eastAsia="Times New Roman" w:hAnsi="Times New Roman"/>
            <w:sz w:val="18"/>
            <w:szCs w:val="18"/>
            <w:u w:val="single" w:color="auto"/>
            <w:color w:val="0000EE"/>
          </w:rPr>
          <w:t xml:space="preserve">July 28, 2025 </w:t>
        </w:r>
      </w:hyperlink>
      <w:hyperlink r:id="rId24">
        <w:r>
          <w:rPr>
            <w:rFonts w:ascii="Times New Roman" w:cs="Times New Roman" w:eastAsia="Times New Roman" w:hAnsi="Times New Roman"/>
            <w:sz w:val="18"/>
            <w:szCs w:val="18"/>
            <w:color w:val="000000"/>
          </w:rPr>
          <w:t>(other</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than information furnished rather than filed), </w:t>
      </w:r>
      <w:hyperlink r:id="rId30">
        <w:r>
          <w:rPr>
            <w:rFonts w:ascii="Times New Roman" w:cs="Times New Roman" w:eastAsia="Times New Roman" w:hAnsi="Times New Roman"/>
            <w:sz w:val="18"/>
            <w:szCs w:val="18"/>
            <w:u w:val="single" w:color="auto"/>
            <w:color w:val="0000EE"/>
          </w:rPr>
          <w:t>July 30,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(other than information furnished rather than filed), </w:t>
      </w:r>
      <w:hyperlink r:id="rId31">
        <w:r>
          <w:rPr>
            <w:rFonts w:ascii="Times New Roman" w:cs="Times New Roman" w:eastAsia="Times New Roman" w:hAnsi="Times New Roman"/>
            <w:sz w:val="18"/>
            <w:szCs w:val="18"/>
            <w:u w:val="single" w:color="auto"/>
            <w:color w:val="0000EE"/>
          </w:rPr>
          <w:t>August 6,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(other than information furnished rather than filed), </w:t>
      </w:r>
      <w:hyperlink r:id="rId32">
        <w:r>
          <w:rPr>
            <w:rFonts w:ascii="Times New Roman" w:cs="Times New Roman" w:eastAsia="Times New Roman" w:hAnsi="Times New Roman"/>
            <w:sz w:val="18"/>
            <w:szCs w:val="18"/>
            <w:u w:val="single" w:color="auto"/>
            <w:color w:val="0000EE"/>
          </w:rPr>
          <w:t>August 8, 2025</w:t>
        </w:r>
      </w:hyperlink>
      <w:r>
        <w:rPr>
          <w:rFonts w:ascii="Times New Roman" w:cs="Times New Roman" w:eastAsia="Times New Roman" w:hAnsi="Times New Roman"/>
          <w:sz w:val="18"/>
          <w:szCs w:val="18"/>
          <w:color w:val="000000"/>
        </w:rPr>
        <w:t xml:space="preserve">, </w:t>
      </w:r>
      <w:hyperlink r:id="rId33">
        <w:r>
          <w:rPr>
            <w:rFonts w:ascii="Times New Roman" w:cs="Times New Roman" w:eastAsia="Times New Roman" w:hAnsi="Times New Roman"/>
            <w:sz w:val="18"/>
            <w:szCs w:val="18"/>
            <w:u w:val="single" w:color="auto"/>
            <w:color w:val="0000EE"/>
          </w:rPr>
          <w:t>August 12, 2025</w:t>
        </w:r>
      </w:hyperlink>
      <w:r>
        <w:rPr>
          <w:rFonts w:ascii="Times New Roman" w:cs="Times New Roman" w:eastAsia="Times New Roman" w:hAnsi="Times New Roman"/>
          <w:sz w:val="18"/>
          <w:szCs w:val="18"/>
          <w:color w:val="000000"/>
        </w:rPr>
        <w:t xml:space="preserve">, </w:t>
      </w:r>
      <w:hyperlink r:id="rId34">
        <w:r>
          <w:rPr>
            <w:rFonts w:ascii="Times New Roman" w:cs="Times New Roman" w:eastAsia="Times New Roman" w:hAnsi="Times New Roman"/>
            <w:sz w:val="18"/>
            <w:szCs w:val="18"/>
            <w:u w:val="single" w:color="auto"/>
            <w:color w:val="0000EE"/>
          </w:rPr>
          <w:t>August 29, 2025</w:t>
        </w:r>
      </w:hyperlink>
      <w:r>
        <w:rPr>
          <w:rFonts w:ascii="Times New Roman" w:cs="Times New Roman" w:eastAsia="Times New Roman" w:hAnsi="Times New Roman"/>
          <w:sz w:val="18"/>
          <w:szCs w:val="18"/>
          <w:color w:val="000000"/>
        </w:rPr>
        <w:t xml:space="preserve">, </w:t>
      </w:r>
      <w:hyperlink r:id="rId35">
        <w:r>
          <w:rPr>
            <w:rFonts w:ascii="Times New Roman" w:cs="Times New Roman" w:eastAsia="Times New Roman" w:hAnsi="Times New Roman"/>
            <w:sz w:val="18"/>
            <w:szCs w:val="18"/>
            <w:u w:val="single" w:color="auto"/>
            <w:color w:val="0000EE"/>
          </w:rPr>
          <w:t>September 15, 2025</w:t>
        </w:r>
      </w:hyperlink>
      <w:r>
        <w:rPr>
          <w:rFonts w:ascii="Times New Roman" w:cs="Times New Roman" w:eastAsia="Times New Roman" w:hAnsi="Times New Roman"/>
          <w:sz w:val="18"/>
          <w:szCs w:val="18"/>
          <w:color w:val="000000"/>
        </w:rPr>
        <w:t xml:space="preserve">, </w:t>
      </w:r>
      <w:hyperlink r:id="rId36">
        <w:r>
          <w:rPr>
            <w:rFonts w:ascii="Times New Roman" w:cs="Times New Roman" w:eastAsia="Times New Roman" w:hAnsi="Times New Roman"/>
            <w:sz w:val="18"/>
            <w:szCs w:val="18"/>
            <w:u w:val="single" w:color="auto"/>
            <w:color w:val="0000EE"/>
          </w:rPr>
          <w:t>September 22, 2025</w:t>
        </w:r>
      </w:hyperlink>
      <w:r>
        <w:rPr>
          <w:rFonts w:ascii="Times New Roman" w:cs="Times New Roman" w:eastAsia="Times New Roman" w:hAnsi="Times New Roman"/>
          <w:sz w:val="18"/>
          <w:szCs w:val="18"/>
          <w:color w:val="000000"/>
        </w:rPr>
        <w:t xml:space="preserve">, </w:t>
      </w:r>
      <w:hyperlink r:id="rId37">
        <w:r>
          <w:rPr>
            <w:rFonts w:ascii="Times New Roman" w:cs="Times New Roman" w:eastAsia="Times New Roman" w:hAnsi="Times New Roman"/>
            <w:sz w:val="18"/>
            <w:szCs w:val="18"/>
            <w:u w:val="single" w:color="auto"/>
            <w:color w:val="0000EE"/>
          </w:rPr>
          <w:t>October 1, 2025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 information furnished rather than filed),</w:t>
      </w:r>
      <w:r>
        <w:rPr>
          <w:rFonts w:ascii="Times New Roman" w:cs="Times New Roman" w:eastAsia="Times New Roman" w:hAnsi="Times New Roman"/>
          <w:sz w:val="18"/>
          <w:szCs w:val="18"/>
          <w:color w:val="0000EE"/>
        </w:rPr>
        <w:t xml:space="preserve"> </w:t>
      </w:r>
      <w:hyperlink r:id="rId38">
        <w:r>
          <w:rPr>
            <w:rFonts w:ascii="Times New Roman" w:cs="Times New Roman" w:eastAsia="Times New Roman" w:hAnsi="Times New Roman"/>
            <w:sz w:val="18"/>
            <w:szCs w:val="18"/>
            <w:u w:val="single" w:color="auto"/>
            <w:color w:val="0000EE"/>
          </w:rPr>
          <w:t>October 8,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39">
        <w:r>
          <w:rPr>
            <w:rFonts w:ascii="Times New Roman" w:cs="Times New Roman" w:eastAsia="Times New Roman" w:hAnsi="Times New Roman"/>
            <w:sz w:val="18"/>
            <w:szCs w:val="18"/>
            <w:u w:val="single" w:color="auto"/>
            <w:color w:val="0000EE"/>
          </w:rPr>
          <w:t>October 14,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 xml:space="preserve">October 20, 2025 </w:t>
        </w:r>
      </w:hyperlink>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information furnished rather than filed), </w:t>
      </w:r>
      <w:hyperlink r:id="rId41">
        <w:r>
          <w:rPr>
            <w:rFonts w:ascii="Times New Roman" w:cs="Times New Roman" w:eastAsia="Times New Roman" w:hAnsi="Times New Roman"/>
            <w:sz w:val="18"/>
            <w:szCs w:val="18"/>
            <w:u w:val="single" w:color="auto"/>
            <w:color w:val="0000EE"/>
          </w:rPr>
          <w:t>October 21, 2025</w:t>
        </w:r>
      </w:hyperlink>
      <w:r>
        <w:rPr>
          <w:rFonts w:ascii="Times New Roman" w:cs="Times New Roman" w:eastAsia="Times New Roman" w:hAnsi="Times New Roman"/>
          <w:sz w:val="18"/>
          <w:szCs w:val="18"/>
          <w:color w:val="000000"/>
        </w:rPr>
        <w:t xml:space="preserve">, </w:t>
      </w:r>
      <w:hyperlink r:id="rId42">
        <w:r>
          <w:rPr>
            <w:rFonts w:ascii="Times New Roman" w:cs="Times New Roman" w:eastAsia="Times New Roman" w:hAnsi="Times New Roman"/>
            <w:sz w:val="18"/>
            <w:szCs w:val="18"/>
            <w:u w:val="single" w:color="auto"/>
            <w:color w:val="0000EE"/>
          </w:rPr>
          <w:t>October 22, 2025</w:t>
        </w:r>
      </w:hyperlink>
      <w:r>
        <w:rPr>
          <w:rFonts w:ascii="Times New Roman" w:cs="Times New Roman" w:eastAsia="Times New Roman" w:hAnsi="Times New Roman"/>
          <w:sz w:val="18"/>
          <w:szCs w:val="18"/>
          <w:color w:val="000000"/>
        </w:rPr>
        <w:t xml:space="preserve">, </w:t>
      </w:r>
      <w:hyperlink r:id="rId43">
        <w:r>
          <w:rPr>
            <w:rFonts w:ascii="Times New Roman" w:cs="Times New Roman" w:eastAsia="Times New Roman" w:hAnsi="Times New Roman"/>
            <w:sz w:val="18"/>
            <w:szCs w:val="18"/>
            <w:u w:val="single" w:color="auto"/>
            <w:color w:val="0000EE"/>
          </w:rPr>
          <w:t>October 31,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(other than information furnished rather than filed), </w:t>
      </w:r>
      <w:hyperlink r:id="rId44">
        <w:r>
          <w:rPr>
            <w:rFonts w:ascii="Times New Roman" w:cs="Times New Roman" w:eastAsia="Times New Roman" w:hAnsi="Times New Roman"/>
            <w:sz w:val="18"/>
            <w:szCs w:val="18"/>
            <w:u w:val="single" w:color="auto"/>
            <w:color w:val="0000EE"/>
          </w:rPr>
          <w:t>November 3,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44">
        <w:r>
          <w:rPr>
            <w:rFonts w:ascii="Times New Roman" w:cs="Times New Roman" w:eastAsia="Times New Roman" w:hAnsi="Times New Roman"/>
            <w:sz w:val="18"/>
            <w:szCs w:val="18"/>
            <w:u w:val="single" w:color="auto"/>
            <w:color w:val="0000EE"/>
          </w:rPr>
          <w:t>November 3, 2025</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the Company’s Current Report on Form 8-K/A filed with the Commission on </w:t>
      </w:r>
      <w:hyperlink r:id="rId45">
        <w:r>
          <w:rPr>
            <w:rFonts w:ascii="Times New Roman" w:cs="Times New Roman" w:eastAsia="Times New Roman" w:hAnsi="Times New Roman"/>
            <w:sz w:val="18"/>
            <w:szCs w:val="18"/>
            <w:u w:val="single" w:color="auto"/>
            <w:color w:val="0000EE"/>
          </w:rPr>
          <w:t>November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97" w:lineRule="exact"/>
        <w:rPr>
          <w:rFonts w:ascii="Times New Roman" w:cs="Times New Roman" w:eastAsia="Times New Roman" w:hAnsi="Times New Roman"/>
          <w:sz w:val="18"/>
          <w:szCs w:val="18"/>
          <w:color w:val="0000EE"/>
        </w:rPr>
      </w:pPr>
    </w:p>
    <w:p>
      <w:pPr>
        <w:ind w:left="960" w:right="120" w:hanging="532"/>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w:t>
      </w:r>
      <w:hyperlink r:id="rId46">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Company’s Current Report on Form 8-K filed on November 3, 2025, which updates the description of the Company’s Class A Common Stock contained in the Company’s Registration Statement on </w:t>
      </w:r>
      <w:hyperlink r:id="rId4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001-39544) filed with the Commission on October 15, 2021, pursuant to Section 12(b) of the Exchange Act, including any amendment or report filed for the purpose of updating such description, including </w:t>
      </w:r>
      <w:hyperlink r:id="rId48">
        <w:r>
          <w:rPr>
            <w:rFonts w:ascii="Times New Roman" w:cs="Times New Roman" w:eastAsia="Times New Roman" w:hAnsi="Times New Roman"/>
            <w:sz w:val="18"/>
            <w:szCs w:val="18"/>
            <w:u w:val="single" w:color="auto"/>
            <w:color w:val="0000EE"/>
          </w:rPr>
          <w:t>Exhibit 4.9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Annual Report.</w:t>
      </w:r>
    </w:p>
    <w:p>
      <w:pPr>
        <w:spacing w:after="0" w:line="180" w:lineRule="exact"/>
        <w:rPr>
          <w:rFonts w:ascii="Times New Roman" w:cs="Times New Roman" w:eastAsia="Times New Roman" w:hAnsi="Times New Roman"/>
          <w:sz w:val="18"/>
          <w:szCs w:val="18"/>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All documents filed by the Company with the Commission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(including, without limitation, information furnished under Item 2.02 or Item 7.01 of Current Reports on Form 8-K and the exhibits related to such items furnished under Item 9.01) shall not be deemed incorporated by reference into this Registration Statement.</w:t>
      </w:r>
    </w:p>
    <w:p>
      <w:pPr>
        <w:spacing w:after="0" w:line="189" w:lineRule="exact"/>
        <w:rPr>
          <w:rFonts w:ascii="Times New Roman" w:cs="Times New Roman" w:eastAsia="Times New Roman" w:hAnsi="Times New Roman"/>
          <w:sz w:val="18"/>
          <w:szCs w:val="18"/>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Registration Statement, or in a document incorporated or deemed to be incorporated by reference herein, shall be deemed to be modified or superseded for purposes of this Registration Statement to the extent that a statement contained herein or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Registration Statement.</w:t>
      </w:r>
    </w:p>
    <w:p>
      <w:pPr>
        <w:spacing w:after="0" w:line="180"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Current Report on Form 8-K, or any exhibit thereto, is or was furnished to, rather than filed with, the Commission, such information or exhibit is specifically not incorporated by reference.</w:t>
      </w:r>
    </w:p>
    <w:p>
      <w:pPr>
        <w:spacing w:after="0" w:line="266"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rFonts w:ascii="Times New Roman" w:cs="Times New Roman" w:eastAsia="Times New Roman" w:hAnsi="Times New Roman"/>
          <w:sz w:val="18"/>
          <w:szCs w:val="18"/>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Section 145 of the Delaware General Corporate Law (“DGCL”) authorizes a corporation’s board of directors to grant, and authorizes a court to award, indemnity to officers, directors and other corporate agents.</w:t>
      </w:r>
    </w:p>
    <w:p>
      <w:pPr>
        <w:spacing w:after="0" w:line="162" w:lineRule="exact"/>
        <w:rPr>
          <w:rFonts w:ascii="Times New Roman" w:cs="Times New Roman" w:eastAsia="Times New Roman" w:hAnsi="Times New Roman"/>
          <w:sz w:val="18"/>
          <w:szCs w:val="18"/>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The Company’s Amended and Restated Certificate of Incorporation (“Certificate of Incorporation”) contains provisions that limit the liability of the Company’s directors for monetary damages to the fullest extent permitted by the DGCL. Consequently, the Company’s directors will not be personally liable to the Company or its stockholders for monetary damages for any breach of fiduciary duties as directors, except liability for the following:</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their duty of loyalty to the Company or its stockholders;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jc w:val="center"/>
        <w:ind w:left="5460" w:right="1160" w:hanging="4924"/>
        <w:spacing w:after="0" w:line="454" w:lineRule="auto"/>
        <w:tabs>
          <w:tab w:leader="none" w:pos="9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 2</w:t>
      </w:r>
    </w:p>
    <w:p>
      <w:pPr>
        <w:sectPr>
          <w:pgSz w:w="11900" w:h="16838" w:orient="portrait"/>
          <w:cols w:equalWidth="0" w:num="1">
            <w:col w:w="10980"/>
          </w:cols>
          <w:pgMar w:left="440" w:top="270" w:right="479" w:bottom="1440" w:gutter="0" w:footer="0" w:header="0"/>
        </w:sectPr>
      </w:pPr>
    </w:p>
    <w:bookmarkStart w:id="3" w:name="page4"/>
    <w:bookmarkEnd w:id="3"/>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transaction from which they derived an improper personal benefit.</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Any amendment, repeal or elimination of these provisions will not eliminate or reduce the effect of these provisions in respect of any act, omission or claim that occurred or arose prior to that amendment, repeal or elimination. If the DGCL is amended to provide for further limitations on the personal liability of directors of corporations, then the personal liability of the Company’s directors will be further limited to the greatest extent permitted by the DGCL.</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the Company’s Amended and Restated Bylaws (“By-Laws”) provide that the Company will indemnify its directors and officers, and may indemnify its employees, agents and any other persons, to the fullest extent permitted by the DGCL. The Company’s By-Laws also provide that the Company must advance expenses incurred by or on behalf of a director or officer in advance of the final disposition of any action or proceeding, subject to limited exceptions.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Further, the Company has entered into or will enter into indemnification agreements with each of its directors and executive officers that may be broader than the specific indemnification provisions contained in the DGCL. These indemnification agreements require the Company, among other things, to indemnify its directors and executive officers against liabilities that may arise by reason of their status or service. These indemnification agreements also require the Company to advance all expenses reasonably and actually incurred by the directors and executive officers in investigating or defending any such action, suit or proceeding. The Company believes that these agreements are necessary to attract and retain qualified individuals to serve as directors and executive officers.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included in the Company’s Certificate of Incorporation, By-Laws and the indemnification agreements that the Company has entered into or will enter into with its directors and executive officers may discourage stockholders from bringing a lawsuit against the Company’s directors and executive officers for breach of their fiduciary duties. They may also reduce the likelihood of derivative litigation against the Company’s directors and executive officers, even though an action, if successful, might benefit the Company and its stockholders. Further, a stockholder’s investment may be adversely affected to the extent that the Company pays the costs of settlement and damage awards against directors and executive officers as required by these indemnification provisions.</w:t>
      </w:r>
    </w:p>
    <w:p>
      <w:pPr>
        <w:spacing w:after="0" w:line="18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obtained insurance policies under which, subject to the limitations of the policies, coverage is provided to the Company’s directors and executive officers against loss arising from claims made by reason of breach of fiduciary duty or other wrongful acts as a director or executive officer, including claims relating to public securities matters, and to the Company with respect to payments that may be made by the Company to these directors and executive officers pursuant to the Company’s indemnification obligations or otherwise as a matter of law.</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Certain of the Company’s non-employee directors may, through their relationships with their employers, be insured and/or indemnified against certain liabilities incurred in their capacity as members of the board of directors.</w:t>
      </w:r>
    </w:p>
    <w:p>
      <w:pPr>
        <w:spacing w:after="0" w:line="16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 Exhibits.</w:t>
      </w:r>
    </w:p>
    <w:p>
      <w:pPr>
        <w:spacing w:after="0" w:line="333"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60" w:type="dxa"/>
            <w:vAlign w:val="bottom"/>
            <w:gridSpan w:val="15"/>
          </w:tcPr>
          <w:p>
            <w:pPr>
              <w:ind w:left="4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520" w:type="dxa"/>
            <w:vAlign w:val="bottom"/>
            <w:gridSpan w:val="10"/>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520" w:type="dxa"/>
            <w:vAlign w:val="bottom"/>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98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Amended and Restated Certificate of Incorporation of Bakkt Holdings, Inc. (incorporated by reference to Exhibit 3.1 to Bakkt Holdings,</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1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Inc.’s Current Report on Form 8-K (File No. 001-39544) filed with the SEC on November 3, 2025).</w:t>
              </w:r>
            </w:hyperlink>
          </w:p>
        </w:tc>
        <w:tc>
          <w:tcPr>
            <w:tcW w:w="27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99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Amended and Restated Bylaws of Bakkt Holdings, Inc. (incorporated by reference to Exhibit 3.2 to Bakkt Holdings, Inc.’s Current Report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on Form 8-K (File No. 001-39544) filed with the SEC on November 3, 2025).</w:t>
              </w:r>
            </w:hyperlink>
          </w:p>
        </w:tc>
        <w:tc>
          <w:tcPr>
            <w:tcW w:w="4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99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Specimen Class A Common Stock Certificate of the Company (incorporated by reference to Exhibit 4.1 to the Company’s Form 8-K filed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940" w:type="dxa"/>
            <w:vAlign w:val="bottom"/>
            <w:gridSpan w:val="19"/>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with the Commission on October 21, 2021).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98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Bakkt Holdings, Inc. 2021 Omnibus Incentive Plan (incorporated by reference to Exhibit 10.9 to the Company’s Form 8-K filed with the</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Commission on October 21, 2021).</w:t>
              </w:r>
            </w:hyperlink>
          </w:p>
        </w:tc>
        <w:tc>
          <w:tcPr>
            <w:tcW w:w="74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9940" w:type="dxa"/>
            <w:vAlign w:val="bottom"/>
            <w:gridSpan w:val="19"/>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Amendment No. 1 to Bakkt Holdings, Inc. 2021 Omnibus Incentive Plan (incorporated by reference to Exhibit 10.11 to the Company’s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Form 10-K filed with the Commission on March 20, 2025).</w:t>
              </w:r>
            </w:hyperlink>
          </w:p>
        </w:tc>
        <w:tc>
          <w:tcPr>
            <w:tcW w:w="5480" w:type="dxa"/>
            <w:vAlign w:val="bottom"/>
            <w:tcBorders>
              <w:top w:val="single" w:sz="8" w:color="0000EE"/>
            </w:tcBorders>
            <w:gridSpan w:val="9"/>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9940" w:type="dxa"/>
            <w:vAlign w:val="bottom"/>
            <w:gridSpan w:val="19"/>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Amendment No. 2 to Bakkt Holdings, Inc. 2021 Omnibus Incentive Plan (incorporated by reference to Exhibit 10.12 to the Company’s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Form 10-K filed with the Commission on March 20, 2025).</w:t>
              </w:r>
            </w:hyperlink>
          </w:p>
        </w:tc>
        <w:tc>
          <w:tcPr>
            <w:tcW w:w="5480" w:type="dxa"/>
            <w:vAlign w:val="bottom"/>
            <w:tcBorders>
              <w:top w:val="single" w:sz="8" w:color="0000EE"/>
            </w:tcBorders>
            <w:gridSpan w:val="9"/>
          </w:tcPr>
          <w:p>
            <w:pPr>
              <w:spacing w:after="0"/>
              <w:rPr>
                <w:sz w:val="17"/>
                <w:szCs w:val="17"/>
                <w:color w:val="auto"/>
              </w:rPr>
            </w:pPr>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24"/>
                <w:szCs w:val="24"/>
                <w:color w:val="auto"/>
              </w:rPr>
            </w:pPr>
          </w:p>
        </w:tc>
        <w:tc>
          <w:tcPr>
            <w:tcW w:w="9940" w:type="dxa"/>
            <w:vAlign w:val="bottom"/>
            <w:gridSpan w:val="19"/>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Amendment No. 3 to Bakkt Holdings, Inc. 2021 Omnibus Incentive Plan (incorporated by reference to Exhibit 4.5 to the Company’s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Form S-8 filed with the Commission on June 27, 2025).</w:t>
              </w:r>
            </w:hyperlink>
          </w:p>
        </w:tc>
        <w:tc>
          <w:tcPr>
            <w:tcW w:w="5520" w:type="dxa"/>
            <w:vAlign w:val="bottom"/>
            <w:tcBorders>
              <w:top w:val="single" w:sz="8" w:color="0000EE"/>
            </w:tcBorders>
            <w:gridSpan w:val="9"/>
          </w:tcPr>
          <w:p>
            <w:pPr>
              <w:spacing w:after="0"/>
              <w:rPr>
                <w:sz w:val="17"/>
                <w:szCs w:val="17"/>
                <w:color w:val="auto"/>
              </w:rPr>
            </w:pPr>
          </w:p>
        </w:tc>
        <w:tc>
          <w:tcPr>
            <w:tcW w:w="4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99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Opinion of Sullivan &amp; Cromwell LLP.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69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 independent registered public accounting firm of the Company.</w:t>
            </w:r>
          </w:p>
        </w:tc>
        <w:tc>
          <w:tcPr>
            <w:tcW w:w="30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6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Consent of KPMG LLP, independent registered public accounting firm of the Company.</w:t>
            </w:r>
          </w:p>
        </w:tc>
        <w:tc>
          <w:tcPr>
            <w:tcW w:w="36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420" w:type="dxa"/>
            <w:vAlign w:val="bottom"/>
          </w:tcPr>
          <w:p>
            <w:pPr>
              <w:spacing w:after="0"/>
              <w:rPr>
                <w:sz w:val="24"/>
                <w:szCs w:val="24"/>
                <w:color w:val="auto"/>
              </w:rPr>
            </w:pPr>
          </w:p>
        </w:tc>
        <w:tc>
          <w:tcPr>
            <w:tcW w:w="46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Sullivan &amp; Cromwell LLP (included in Exhibit 5.1).</w:t>
            </w:r>
          </w:p>
        </w:tc>
        <w:tc>
          <w:tcPr>
            <w:tcW w:w="53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0" w:type="dxa"/>
            <w:vAlign w:val="bottom"/>
          </w:tcPr>
          <w:p>
            <w:pPr>
              <w:spacing w:after="0"/>
              <w:rPr>
                <w:sz w:val="24"/>
                <w:szCs w:val="24"/>
                <w:color w:val="auto"/>
              </w:rPr>
            </w:pPr>
          </w:p>
        </w:tc>
        <w:tc>
          <w:tcPr>
            <w:tcW w:w="3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64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5"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444" w:firstLine="419"/>
        <w:spacing w:after="0" w:line="255" w:lineRule="auto"/>
        <w:tabs>
          <w:tab w:leader="none" w:pos="113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or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444" w:right="100" w:firstLine="419"/>
        <w:spacing w:after="0" w:line="256" w:lineRule="auto"/>
        <w:tabs>
          <w:tab w:leader="none" w:pos="118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or the Exchange Act, that are incorporated by reference in the registration statement, or is contained in a form of prospectus filed pursuant to Rule 424(b) that is part of the registration statement.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5" w:name="page6"/>
    <w:bookmarkEnd w:id="5"/>
    <w:p>
      <w:pPr>
        <w:ind w:left="964" w:hanging="532"/>
        <w:spacing w:after="0" w:line="266"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1" w:lineRule="exact"/>
        <w:rPr>
          <w:rFonts w:ascii="Times New Roman" w:cs="Times New Roman" w:eastAsia="Times New Roman" w:hAnsi="Times New Roman"/>
          <w:sz w:val="18"/>
          <w:szCs w:val="18"/>
          <w:color w:val="auto"/>
        </w:rPr>
      </w:pPr>
    </w:p>
    <w:p>
      <w:pPr>
        <w:ind w:left="964" w:right="400" w:hanging="532"/>
        <w:spacing w:after="0" w:line="282"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444" w:right="240" w:firstLine="419"/>
        <w:spacing w:after="0" w:line="282" w:lineRule="auto"/>
        <w:tabs>
          <w:tab w:leader="none" w:pos="108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w:t>
      </w:r>
    </w:p>
    <w:p>
      <w:pPr>
        <w:spacing w:after="0" w:line="27" w:lineRule="exact"/>
        <w:rPr>
          <w:sz w:val="20"/>
          <w:szCs w:val="20"/>
          <w:color w:val="auto"/>
        </w:rPr>
      </w:pPr>
    </w:p>
    <w:p>
      <w:pPr>
        <w:ind w:left="444" w:right="20"/>
        <w:spacing w:after="0" w:line="251" w:lineRule="auto"/>
        <w:rPr>
          <w:sz w:val="20"/>
          <w:szCs w:val="20"/>
          <w:color w:val="auto"/>
        </w:rPr>
      </w:pPr>
      <w:r>
        <w:rPr>
          <w:rFonts w:ascii="Times New Roman" w:cs="Times New Roman" w:eastAsia="Times New Roman" w:hAnsi="Times New Roman"/>
          <w:sz w:val="18"/>
          <w:szCs w:val="18"/>
          <w:color w:val="auto"/>
        </w:rPr>
        <w:t xml:space="preserve">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8" w:lineRule="exact"/>
        <w:rPr>
          <w:sz w:val="20"/>
          <w:szCs w:val="20"/>
          <w:color w:val="auto"/>
        </w:rPr>
      </w:pPr>
    </w:p>
    <w:p>
      <w:pPr>
        <w:ind w:left="964" w:hanging="532"/>
        <w:spacing w:after="0" w:line="258"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a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17" w:lineRule="exact"/>
        <w:rPr>
          <w:rFonts w:ascii="Times New Roman" w:cs="Times New Roman" w:eastAsia="Times New Roman" w:hAnsi="Times New Roman"/>
          <w:sz w:val="18"/>
          <w:szCs w:val="18"/>
          <w:color w:val="auto"/>
        </w:rPr>
      </w:pPr>
    </w:p>
    <w:p>
      <w:pPr>
        <w:ind w:left="444" w:right="280" w:firstLine="419"/>
        <w:spacing w:after="0" w:line="282" w:lineRule="auto"/>
        <w:tabs>
          <w:tab w:leader="none" w:pos="113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444" w:right="60" w:firstLine="419"/>
        <w:spacing w:after="0" w:line="282" w:lineRule="auto"/>
        <w:tabs>
          <w:tab w:leader="none" w:pos="1182"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964" w:right="40" w:hanging="532"/>
        <w:spacing w:after="0" w:line="258" w:lineRule="auto"/>
        <w:tabs>
          <w:tab w:leader="none" w:pos="96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210" w:lineRule="exact"/>
        <w:rPr>
          <w:rFonts w:ascii="Times New Roman" w:cs="Times New Roman" w:eastAsia="Times New Roman" w:hAnsi="Times New Roman"/>
          <w:sz w:val="18"/>
          <w:szCs w:val="18"/>
          <w:color w:val="auto"/>
        </w:rPr>
      </w:pPr>
    </w:p>
    <w:p>
      <w:pPr>
        <w:ind w:left="424" w:right="60" w:hanging="424"/>
        <w:spacing w:after="0" w:line="254"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New York, State of New York, on November 10,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Akshay Naheta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Akshay Naheta</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 AND SIGNATURES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KNOW ALL BY THESE PRESENT, that each individual whose signature appears below hereby constitutes and appoints each of Akshay Naheta, Marc D’Annunzio and Karen Alexander, and each or any one of them, as such person’s true and lawful attorney-in-fact and agent with full power of substitution and resubstitution, for such person in such person’s name, place and stead, in any and all capacities, to sign any and all amendments (including any further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Post-Effective Amendment No. 1 to the Registration Statement has been signed by the following persons in the capacities and on the 10th day of November, 2025.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00" w:type="dxa"/>
            <w:vAlign w:val="bottom"/>
          </w:tcPr>
          <w:p>
            <w:pPr>
              <w:spacing w:after="0"/>
              <w:rPr>
                <w:sz w:val="15"/>
                <w:szCs w:val="15"/>
                <w:color w:val="auto"/>
              </w:rPr>
            </w:pPr>
          </w:p>
        </w:tc>
        <w:tc>
          <w:tcPr>
            <w:tcW w:w="508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9"/>
        </w:trPr>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Akshay Naheta</w:t>
            </w:r>
          </w:p>
        </w:tc>
        <w:tc>
          <w:tcPr>
            <w:tcW w:w="56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Akshay Naheta</w:t>
            </w:r>
          </w:p>
        </w:tc>
        <w:tc>
          <w:tcPr>
            <w:tcW w:w="560" w:type="dxa"/>
            <w:vAlign w:val="bottom"/>
          </w:tcPr>
          <w:p>
            <w:pPr>
              <w:spacing w:after="0"/>
              <w:rPr>
                <w:sz w:val="19"/>
                <w:szCs w:val="19"/>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Karen Alexander</w:t>
            </w:r>
          </w:p>
        </w:tc>
        <w:tc>
          <w:tcPr>
            <w:tcW w:w="56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Karen Alexander</w:t>
            </w:r>
          </w:p>
        </w:tc>
        <w:tc>
          <w:tcPr>
            <w:tcW w:w="560" w:type="dxa"/>
            <w:vAlign w:val="bottom"/>
          </w:tcPr>
          <w:p>
            <w:pPr>
              <w:spacing w:after="0"/>
              <w:rPr>
                <w:sz w:val="19"/>
                <w:szCs w:val="19"/>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27"/>
        </w:trPr>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Joseph Henderson</w:t>
            </w:r>
          </w:p>
        </w:tc>
        <w:tc>
          <w:tcPr>
            <w:tcW w:w="56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2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Henderson</w:t>
            </w:r>
          </w:p>
        </w:tc>
        <w:tc>
          <w:tcPr>
            <w:tcW w:w="560" w:type="dxa"/>
            <w:vAlign w:val="bottom"/>
          </w:tcPr>
          <w:p>
            <w:pPr>
              <w:spacing w:after="0"/>
              <w:rPr>
                <w:sz w:val="19"/>
                <w:szCs w:val="19"/>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27"/>
        </w:trPr>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Sean Collins</w:t>
            </w:r>
          </w:p>
        </w:tc>
        <w:tc>
          <w:tcPr>
            <w:tcW w:w="56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Sean Collins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27"/>
        </w:trPr>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Madelyn Alden Schwartzer</w:t>
            </w:r>
          </w:p>
        </w:tc>
        <w:tc>
          <w:tcPr>
            <w:tcW w:w="56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Madelyn Alden Schwartzer</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41"/>
        </w:trPr>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Alfred</w:t>
            </w:r>
          </w:p>
        </w:tc>
        <w:tc>
          <w:tcPr>
            <w:tcW w:w="56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Alfred</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427"/>
        </w:trPr>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Colleen Brown</w:t>
            </w:r>
          </w:p>
        </w:tc>
        <w:tc>
          <w:tcPr>
            <w:tcW w:w="560" w:type="dxa"/>
            <w:vAlign w:val="bottom"/>
          </w:tcPr>
          <w:p>
            <w:pPr>
              <w:spacing w:after="0"/>
              <w:rPr>
                <w:sz w:val="24"/>
                <w:szCs w:val="24"/>
                <w:color w:val="auto"/>
              </w:rPr>
            </w:pPr>
          </w:p>
        </w:tc>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Colleen Brown</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360"/>
        </w:trPr>
        <w:tc>
          <w:tcPr>
            <w:tcW w:w="6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56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10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w w:val="97"/>
              </w:rPr>
              <w:t>Exhibit 5.1</w:t>
            </w:r>
          </w:p>
        </w:tc>
        <w:tc>
          <w:tcPr>
            <w:tcW w:w="0" w:type="dxa"/>
            <w:vAlign w:val="bottom"/>
          </w:tcPr>
          <w:p>
            <w:pPr>
              <w:spacing w:after="0"/>
              <w:rPr>
                <w:sz w:val="1"/>
                <w:szCs w:val="1"/>
                <w:color w:val="auto"/>
              </w:rPr>
            </w:pPr>
          </w:p>
        </w:tc>
      </w:tr>
      <w:tr>
        <w:trPr>
          <w:trHeight w:val="437"/>
        </w:trPr>
        <w:tc>
          <w:tcPr>
            <w:tcW w:w="5140" w:type="dxa"/>
            <w:vAlign w:val="bottom"/>
          </w:tcPr>
          <w:p>
            <w:pPr>
              <w:spacing w:after="0"/>
              <w:rPr>
                <w:sz w:val="24"/>
                <w:szCs w:val="24"/>
                <w:color w:val="auto"/>
              </w:rPr>
            </w:pP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125 Broad Street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New York, New York 10004-2498</w:t>
            </w:r>
          </w:p>
        </w:tc>
        <w:tc>
          <w:tcPr>
            <w:tcW w:w="0" w:type="dxa"/>
            <w:vAlign w:val="bottom"/>
          </w:tcPr>
          <w:p>
            <w:pPr>
              <w:spacing w:after="0"/>
              <w:rPr>
                <w:sz w:val="1"/>
                <w:szCs w:val="1"/>
                <w:color w:val="auto"/>
              </w:rPr>
            </w:pPr>
          </w:p>
        </w:tc>
      </w:tr>
      <w:tr>
        <w:trPr>
          <w:trHeight w:val="198"/>
        </w:trPr>
        <w:tc>
          <w:tcPr>
            <w:tcW w:w="51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8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                </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3"/>
        </w:trPr>
        <w:tc>
          <w:tcPr>
            <w:tcW w:w="51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TELEPHONE: 1-212-558-4000</w:t>
            </w: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LOS ANGELES • PALO ALTO • WASHINGTON, D.C.</w:t>
            </w:r>
          </w:p>
        </w:tc>
        <w:tc>
          <w:tcPr>
            <w:tcW w:w="0" w:type="dxa"/>
            <w:vAlign w:val="bottom"/>
          </w:tcPr>
          <w:p>
            <w:pPr>
              <w:spacing w:after="0"/>
              <w:rPr>
                <w:sz w:val="1"/>
                <w:szCs w:val="1"/>
                <w:color w:val="auto"/>
              </w:rPr>
            </w:pPr>
          </w:p>
        </w:tc>
      </w:tr>
      <w:tr>
        <w:trPr>
          <w:trHeight w:val="216"/>
        </w:trPr>
        <w:tc>
          <w:tcPr>
            <w:tcW w:w="51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FACSIMILE: 1-212-558-3588</w:t>
            </w:r>
          </w:p>
        </w:tc>
        <w:tc>
          <w:tcPr>
            <w:tcW w:w="5880" w:type="dxa"/>
            <w:vAlign w:val="bottom"/>
            <w:gridSpan w:val="3"/>
            <w:vMerge w:val="restart"/>
          </w:tcPr>
          <w:p>
            <w:pPr>
              <w:jc w:val="center"/>
              <w:ind w:left="490"/>
              <w:spacing w:after="0"/>
              <w:rPr>
                <w:sz w:val="20"/>
                <w:szCs w:val="20"/>
                <w:color w:val="auto"/>
              </w:rPr>
            </w:pPr>
            <w:r>
              <w:rPr>
                <w:rFonts w:ascii="Times New Roman" w:cs="Times New Roman" w:eastAsia="Times New Roman" w:hAnsi="Times New Roman"/>
                <w:sz w:val="18"/>
                <w:szCs w:val="18"/>
                <w:color w:val="auto"/>
                <w:w w:val="99"/>
              </w:rPr>
              <w:t>BRUSSELS • FRANKFURT • LONDON • PARIS</w:t>
            </w:r>
          </w:p>
        </w:tc>
        <w:tc>
          <w:tcPr>
            <w:tcW w:w="0" w:type="dxa"/>
            <w:vAlign w:val="bottom"/>
          </w:tcPr>
          <w:p>
            <w:pPr>
              <w:spacing w:after="0"/>
              <w:rPr>
                <w:sz w:val="1"/>
                <w:szCs w:val="1"/>
                <w:color w:val="auto"/>
              </w:rPr>
            </w:pPr>
          </w:p>
        </w:tc>
      </w:tr>
      <w:tr>
        <w:trPr>
          <w:trHeight w:val="167"/>
        </w:trPr>
        <w:tc>
          <w:tcPr>
            <w:tcW w:w="5140" w:type="dxa"/>
            <w:vAlign w:val="bottom"/>
            <w:vMerge w:val="restart"/>
          </w:tcPr>
          <w:p>
            <w:pPr>
              <w:jc w:val="center"/>
              <w:ind w:left="390"/>
              <w:spacing w:after="0"/>
              <w:rPr>
                <w:sz w:val="20"/>
                <w:szCs w:val="20"/>
                <w:color w:val="auto"/>
              </w:rPr>
            </w:pPr>
            <w:r>
              <w:rPr>
                <w:rFonts w:ascii="Times New Roman" w:cs="Times New Roman" w:eastAsia="Times New Roman" w:hAnsi="Times New Roman"/>
                <w:sz w:val="18"/>
                <w:szCs w:val="18"/>
                <w:color w:val="auto"/>
                <w:w w:val="99"/>
              </w:rPr>
              <w:t>WWW.SULLCROM.COM</w:t>
            </w:r>
          </w:p>
        </w:tc>
        <w:tc>
          <w:tcPr>
            <w:tcW w:w="5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140" w:type="dxa"/>
            <w:vAlign w:val="bottom"/>
            <w:vMerge w:val="continue"/>
          </w:tcPr>
          <w:p>
            <w:pPr>
              <w:spacing w:after="0"/>
              <w:rPr>
                <w:sz w:val="5"/>
                <w:szCs w:val="5"/>
                <w:color w:val="auto"/>
              </w:rPr>
            </w:pPr>
          </w:p>
        </w:tc>
        <w:tc>
          <w:tcPr>
            <w:tcW w:w="27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140" w:type="dxa"/>
            <w:vAlign w:val="bottom"/>
          </w:tcPr>
          <w:p>
            <w:pPr>
              <w:spacing w:after="0"/>
              <w:rPr>
                <w:sz w:val="23"/>
                <w:szCs w:val="23"/>
                <w:color w:val="auto"/>
              </w:rPr>
            </w:pP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BEIJING • HONG KONG • TOKYO</w:t>
            </w:r>
          </w:p>
        </w:tc>
        <w:tc>
          <w:tcPr>
            <w:tcW w:w="0" w:type="dxa"/>
            <w:vAlign w:val="bottom"/>
          </w:tcPr>
          <w:p>
            <w:pPr>
              <w:spacing w:after="0"/>
              <w:rPr>
                <w:sz w:val="1"/>
                <w:szCs w:val="1"/>
                <w:color w:val="auto"/>
              </w:rPr>
            </w:pPr>
          </w:p>
        </w:tc>
      </w:tr>
      <w:tr>
        <w:trPr>
          <w:trHeight w:val="338"/>
        </w:trPr>
        <w:tc>
          <w:tcPr>
            <w:tcW w:w="5140" w:type="dxa"/>
            <w:vAlign w:val="bottom"/>
          </w:tcPr>
          <w:p>
            <w:pPr>
              <w:spacing w:after="0"/>
              <w:rPr>
                <w:sz w:val="24"/>
                <w:szCs w:val="24"/>
                <w:color w:val="auto"/>
              </w:rPr>
            </w:pPr>
          </w:p>
        </w:tc>
        <w:tc>
          <w:tcPr>
            <w:tcW w:w="588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MELBOURNE • SYDNEY</w:t>
            </w:r>
          </w:p>
        </w:tc>
        <w:tc>
          <w:tcPr>
            <w:tcW w:w="0" w:type="dxa"/>
            <w:vAlign w:val="bottom"/>
          </w:tcPr>
          <w:p>
            <w:pPr>
              <w:spacing w:after="0"/>
              <w:rPr>
                <w:sz w:val="1"/>
                <w:szCs w:val="1"/>
                <w:color w:val="auto"/>
              </w:rPr>
            </w:pPr>
          </w:p>
        </w:tc>
      </w:tr>
      <w:tr>
        <w:trPr>
          <w:trHeight w:val="445"/>
        </w:trPr>
        <w:tc>
          <w:tcPr>
            <w:tcW w:w="5140" w:type="dxa"/>
            <w:vAlign w:val="bottom"/>
          </w:tcPr>
          <w:p>
            <w:pPr>
              <w:spacing w:after="0"/>
              <w:rPr>
                <w:sz w:val="24"/>
                <w:szCs w:val="24"/>
                <w:color w:val="auto"/>
              </w:rPr>
            </w:pPr>
          </w:p>
        </w:tc>
        <w:tc>
          <w:tcPr>
            <w:tcW w:w="58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                        November 10, 2025</w:t>
            </w:r>
          </w:p>
        </w:tc>
        <w:tc>
          <w:tcPr>
            <w:tcW w:w="0" w:type="dxa"/>
            <w:vAlign w:val="bottom"/>
          </w:tcPr>
          <w:p>
            <w:pPr>
              <w:spacing w:after="0"/>
              <w:rPr>
                <w:sz w:val="1"/>
                <w:szCs w:val="1"/>
                <w:color w:val="auto"/>
              </w:rPr>
            </w:pPr>
          </w:p>
        </w:tc>
      </w:tr>
      <w:tr>
        <w:trPr>
          <w:trHeight w:val="41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2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One Liberty Plaza,</w:t>
            </w:r>
          </w:p>
        </w:tc>
        <w:tc>
          <w:tcPr>
            <w:tcW w:w="2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One Liberty Street, Suite 305-306,</w:t>
            </w:r>
          </w:p>
        </w:tc>
        <w:tc>
          <w:tcPr>
            <w:tcW w:w="2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New York, New York, 10006.</w:t>
            </w:r>
          </w:p>
        </w:tc>
        <w:tc>
          <w:tcPr>
            <w:tcW w:w="2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2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-2511425</wp:posOffset>
            </wp:positionV>
            <wp:extent cx="2948940" cy="248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1">
                      <a:extLst>
                        <a:ext uri="{28A0092B-C50C-407E-A947-70E740481C1C}"/>
                      </a:extLst>
                    </a:blip>
                    <a:srcRect/>
                    <a:stretch>
                      <a:fillRect/>
                    </a:stretch>
                  </pic:blipFill>
                  <pic:spPr bwMode="auto">
                    <a:xfrm>
                      <a:off x="0" y="0"/>
                      <a:ext cx="2948940" cy="248920"/>
                    </a:xfrm>
                    <a:prstGeom prst="rect">
                      <a:avLst/>
                    </a:prstGeom>
                    <a:noFill/>
                  </pic:spPr>
                </pic:pic>
              </a:graphicData>
            </a:graphic>
          </wp:anchor>
        </w:drawing>
      </w:r>
    </w:p>
    <w:p>
      <w:pPr>
        <w:spacing w:after="0" w:line="178" w:lineRule="exact"/>
        <w:rPr>
          <w:sz w:val="20"/>
          <w:szCs w:val="20"/>
          <w:color w:val="auto"/>
        </w:rPr>
      </w:pPr>
    </w:p>
    <w:p>
      <w:pPr>
        <w:ind w:right="120" w:firstLine="1432"/>
        <w:spacing w:after="0" w:line="261"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26,590,466 shares of Class A common stock, par value $0.0001 per share (the “Securities”), of Bakkt Holdings, Inc., a Delaware corporation (the “Company”), issuable under the Company’s 2021 Omnibus Incentive Plan (the “Plan”), we, as your counsel, have examined such corporate records, certificates and other documents, and such questions of law, as we have considered necessary or appropriate for the purposes of this opinion.</w:t>
      </w:r>
    </w:p>
    <w:p>
      <w:pPr>
        <w:spacing w:after="0" w:line="180" w:lineRule="exact"/>
        <w:rPr>
          <w:sz w:val="20"/>
          <w:szCs w:val="20"/>
          <w:color w:val="auto"/>
        </w:rPr>
      </w:pPr>
    </w:p>
    <w:p>
      <w:pPr>
        <w:jc w:val="both"/>
        <w:ind w:right="40" w:firstLine="1432"/>
        <w:spacing w:after="0" w:line="266" w:lineRule="auto"/>
        <w:rPr>
          <w:sz w:val="20"/>
          <w:szCs w:val="20"/>
          <w:color w:val="auto"/>
        </w:rPr>
      </w:pPr>
      <w:r>
        <w:rPr>
          <w:rFonts w:ascii="Times New Roman" w:cs="Times New Roman" w:eastAsia="Times New Roman" w:hAnsi="Times New Roman"/>
          <w:sz w:val="18"/>
          <w:szCs w:val="18"/>
          <w:color w:val="auto"/>
        </w:rPr>
        <w:t>Upon the basis of such examination, it is our opinion that when the registration statement relating to the Securities (the “Registration Statement”) has become effective under the Act and the Securities have been duly issued in accordance with the terms of the Plan, the Securities will be validly issued, fully paid and nonassessable.</w:t>
      </w:r>
    </w:p>
    <w:p>
      <w:pPr>
        <w:spacing w:after="0" w:line="176" w:lineRule="exact"/>
        <w:rPr>
          <w:sz w:val="20"/>
          <w:szCs w:val="20"/>
          <w:color w:val="auto"/>
        </w:rPr>
      </w:pPr>
    </w:p>
    <w:p>
      <w:pPr>
        <w:ind w:right="380" w:firstLine="1432"/>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2" w:lineRule="exact"/>
        <w:rPr>
          <w:sz w:val="20"/>
          <w:szCs w:val="20"/>
          <w:color w:val="auto"/>
        </w:rPr>
      </w:pPr>
    </w:p>
    <w:p>
      <w:pPr>
        <w:ind w:right="80" w:firstLine="1432"/>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62" w:lineRule="exact"/>
        <w:rPr>
          <w:sz w:val="20"/>
          <w:szCs w:val="20"/>
          <w:color w:val="auto"/>
        </w:rPr>
      </w:pPr>
    </w:p>
    <w:p>
      <w:pPr>
        <w:ind w:right="40" w:firstLine="1432"/>
        <w:spacing w:after="0" w:line="282"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ectPr>
          <w:pgSz w:w="11900" w:h="16838" w:orient="portrait"/>
          <w:cols w:equalWidth="0" w:num="1">
            <w:col w:w="11020"/>
          </w:cols>
          <w:pgMar w:left="440" w:top="117"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Bakkt Holdings, Inc.</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60" w:firstLine="1432"/>
        <w:spacing w:after="0" w:line="282"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In giving such consent, we do not thereby admit that we are in the category of persons whose consent is required under Section 7 of the Act.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SULLIVAN &amp; CROMWELL LLP</w:t>
      </w:r>
    </w:p>
    <w:p>
      <w:pPr>
        <w:sectPr>
          <w:pgSz w:w="11900" w:h="16838" w:orient="portrait"/>
          <w:cols w:equalWidth="0" w:num="1">
            <w:col w:w="11020"/>
          </w:cols>
          <w:pgMar w:left="440" w:top="270"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Post-Effective Amendment No. 1 to the Registration Statement (Form S-8 No. 333-275869) pertaining to the 2021 Omnibus Incentive Plan of Bakkt Holdings, Inc. of our report dated March 25, 2024, except for the effects of Staff Accounting Bulletin 122 Accounting for Obligations to Safeguard Crypto-Assets an Entity Holds for its Platform Users, Accounting Standards Update 2023-07, Segment Reporting (Topic 280): Improvements to Reportable Segment Disclosures, and the Reverse Stock Split completed by the Company on April 29, 2024, all as disclosed in Note 2 as to which the date is March 19, 2025, with respect to the consolidated financial statements of Bakkt Holdings, Inc. for the fiscal year ended December 31, 2023, filed with the Securities and Exchange Commission.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p>
      <w:pPr>
        <w:sectPr>
          <w:pgSz w:w="11900" w:h="16838" w:orient="portrait"/>
          <w:cols w:equalWidth="0" w:num="1">
            <w:col w:w="11020"/>
          </w:cols>
          <w:pgMar w:left="440" w:top="117"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We consent to the use of our reports dated March 19, 2025, with respect to the consolidated financial statements of Bakkt Holdings, Inc., and the effectiveness of internal control over financial reporting, appearing in the Company’s Annual Report (Form 10-K) as of and for the year ended December 31, 2024 incorporated herein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41B71EFB"/>
    <w:multiLevelType w:val="hybridMultilevel"/>
    <w:lvl w:ilvl="0">
      <w:lvlJc w:val="left"/>
      <w:lvlText w:val="(%1)"/>
      <w:numFmt w:val="decimal"/>
      <w:start w:val="2"/>
    </w:lvl>
    <w:lvl w:ilvl="1">
      <w:lvlJc w:val="left"/>
      <w:lvlText w:val="(%2)"/>
      <w:numFmt w:val="lowerRoman"/>
      <w:start w:val="1"/>
    </w:lvl>
  </w:abstractNum>
  <w:abstractNum w:abstractNumId="6">
    <w:nsid w:val="79E2A9E3"/>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7">
    <w:nsid w:val="7545E14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49" Type="http://schemas.openxmlformats.org/officeDocument/2006/relationships/image" Target="media/image12.png"/><Relationship Id="rId50" Type="http://schemas.openxmlformats.org/officeDocument/2006/relationships/image" Target="media/image13.png"/><Relationship Id="rId58" Type="http://schemas.openxmlformats.org/officeDocument/2006/relationships/image" Target="media/image14.png"/><Relationship Id="rId59" Type="http://schemas.openxmlformats.org/officeDocument/2006/relationships/image" Target="media/image15.png"/><Relationship Id="rId60" Type="http://schemas.openxmlformats.org/officeDocument/2006/relationships/image" Target="media/image16.png"/><Relationship Id="rId61" Type="http://schemas.openxmlformats.org/officeDocument/2006/relationships/image" Target="media/image17.jpeg"/><Relationship Id="rId62" Type="http://schemas.openxmlformats.org/officeDocument/2006/relationships/image" Target="media/image18.png"/><Relationship Id="rId18" Type="http://schemas.openxmlformats.org/officeDocument/2006/relationships/hyperlink" Target="http://www.sec.gov/Archives/edgar/data/1820302/000119312523287638/d620990ds8.htm" TargetMode="External"/><Relationship Id="rId19" Type="http://schemas.openxmlformats.org/officeDocument/2006/relationships/hyperlink" Target="http://www.sec.gov/ix?doc=/Archives/edgar/data/1820302/000162828025013959/bakkt-20241231.htm" TargetMode="External"/><Relationship Id="rId20" Type="http://schemas.openxmlformats.org/officeDocument/2006/relationships/hyperlink" Target="http://www.sec.gov/ix?doc=/Archives/edgar/data/1820302/000162828025020274/bakkt-20250428.htm" TargetMode="External"/><Relationship Id="rId21" Type="http://schemas.openxmlformats.org/officeDocument/2006/relationships/hyperlink" Target="http://www.sec.gov/ix?doc=/Archives/edgar/data/1820302/000162828025024743/bakkt-20250331.htm" TargetMode="External"/><Relationship Id="rId22" Type="http://schemas.openxmlformats.org/officeDocument/2006/relationships/hyperlink" Target="http://www.sec.gov/ix?doc=/Archives/edgar/data/1820302/000162828025039625/bakkt-20250630.htm" TargetMode="External"/><Relationship Id="rId24" Type="http://schemas.openxmlformats.org/officeDocument/2006/relationships/hyperlink" Target="http://www.sec.gov/ix?doc=/Archives/edgar/data/1820302/000162828025018854/bakkt-20250421.htm" TargetMode="External"/><Relationship Id="rId25" Type="http://schemas.openxmlformats.org/officeDocument/2006/relationships/hyperlink" Target="http://www.sec.gov/ix?doc=/Archives/edgar/data/1820302/000119312525138191/d76438d8k.htm" TargetMode="External"/><Relationship Id="rId26" Type="http://schemas.openxmlformats.org/officeDocument/2006/relationships/hyperlink" Target="http://www.sec.gov/ix?doc=/Archives/edgar/data/1820302/000162828025030475/bakkt-20250610.htm" TargetMode="External"/><Relationship Id="rId27" Type="http://schemas.openxmlformats.org/officeDocument/2006/relationships/hyperlink" Target="http://www.sec.gov/ix?doc=/Archives/edgar/data/1820302/000162828025031314/bakkt-20250609.htm" TargetMode="External"/><Relationship Id="rId28" Type="http://schemas.openxmlformats.org/officeDocument/2006/relationships/hyperlink" Target="http://www.sec.gov/ix?doc=/Archives/edgar/data/1820302/000119312525142918/d80998d8k.htm" TargetMode="External"/><Relationship Id="rId29" Type="http://schemas.openxmlformats.org/officeDocument/2006/relationships/hyperlink" Target="http://www.sec.gov/ix?doc=/Archives/edgar/data/1820302/000162828025036239/bakkt-20250723.htm" TargetMode="External"/><Relationship Id="rId30" Type="http://schemas.openxmlformats.org/officeDocument/2006/relationships/hyperlink" Target="http://www.sec.gov/ix?doc=/Archives/edgar/data/1820302/000119312525169353/d37228d8k.htm" TargetMode="External"/><Relationship Id="rId31" Type="http://schemas.openxmlformats.org/officeDocument/2006/relationships/hyperlink" Target="http://www.sec.gov/ix?doc=/Archives/edgar/data/1820302/000162828025038417/bakkt-20250806.htm" TargetMode="External"/><Relationship Id="rId32" Type="http://schemas.openxmlformats.org/officeDocument/2006/relationships/hyperlink" Target="http://www.sec.gov/ix?doc=/Archives/edgar/data/1820302/000162828025039333/bakkt-20250806.htm" TargetMode="External"/><Relationship Id="rId33" Type="http://schemas.openxmlformats.org/officeDocument/2006/relationships/hyperlink" Target="http://www.sec.gov/ix?doc=/Archives/edgar/data/1820302/000119312525178246/d18816d8k.htm" TargetMode="External"/><Relationship Id="rId34" Type="http://schemas.openxmlformats.org/officeDocument/2006/relationships/hyperlink" Target="http://www.sec.gov/ix?doc=/Archives/edgar/data/1820302/000182030225000005/bakkt-20250826.htm" TargetMode="External"/><Relationship Id="rId35" Type="http://schemas.openxmlformats.org/officeDocument/2006/relationships/hyperlink" Target="http://www.sec.gov/ix?doc=/Archives/edgar/data/1820302/000119312525203599/d100139d8k.htm" TargetMode="External"/><Relationship Id="rId36" Type="http://schemas.openxmlformats.org/officeDocument/2006/relationships/hyperlink" Target="http://www.sec.gov/ix?doc=/Archives/edgar/data/1820302/000162828025042251/bakkt-20250917.htm" TargetMode="External"/><Relationship Id="rId37" Type="http://schemas.openxmlformats.org/officeDocument/2006/relationships/hyperlink" Target="http://www.sec.gov/ix?doc=/Archives/edgar/data/1820302/000162828025043317/bakkt-20250930.htm" TargetMode="External"/><Relationship Id="rId38" Type="http://schemas.openxmlformats.org/officeDocument/2006/relationships/hyperlink" Target="http://www.sec.gov/ix?doc=/Archives/edgar/data/1820302/000119312525234538/d87349d8k.htm" TargetMode="External"/><Relationship Id="rId39" Type="http://schemas.openxmlformats.org/officeDocument/2006/relationships/hyperlink" Target="http://www.sec.gov/ix?doc=/Archives/edgar/data/1820302/000119312525237364/d32118d8k.htm" TargetMode="External"/><Relationship Id="rId40" Type="http://schemas.openxmlformats.org/officeDocument/2006/relationships/hyperlink" Target="http://www.sec.gov/ix?doc=/Archives/edgar/data/1820302/000119312525242750/d74254d8k.htm" TargetMode="External"/><Relationship Id="rId41" Type="http://schemas.openxmlformats.org/officeDocument/2006/relationships/hyperlink" Target="http://www.sec.gov/ix?doc=/Archives/edgar/data/1820302/000162828025045560/bakkt-20251019.htm" TargetMode="External"/><Relationship Id="rId42" Type="http://schemas.openxmlformats.org/officeDocument/2006/relationships/hyperlink" Target="http://www.sec.gov/ix?doc=/Archives/edgar/data/1820302/000119312525245822/d36779d8k.htm" TargetMode="External"/><Relationship Id="rId43" Type="http://schemas.openxmlformats.org/officeDocument/2006/relationships/hyperlink" Target="http://www.sec.gov/ix?doc=/Archives/edgar/data/1820302/000162828025047840/bakkt-20251031.htm" TargetMode="External"/><Relationship Id="rId44" Type="http://schemas.openxmlformats.org/officeDocument/2006/relationships/hyperlink" Target="http://www.sec.gov/ix?doc=/Archives/edgar/data/1820302/000119312525262474/d98917d8k.htm" TargetMode="External"/><Relationship Id="rId45" Type="http://schemas.openxmlformats.org/officeDocument/2006/relationships/hyperlink" Target="http://www.sec.gov/ix?doc=/Archives/edgar/data/0001820302/000119312525272524/d70742d8ka.htm" TargetMode="External"/><Relationship Id="rId46" Type="http://schemas.openxmlformats.org/officeDocument/2006/relationships/hyperlink" Target="http://www.sec.gov/Archives/edgar/data/1820302/000119312525262732/d83327dex991.htm" TargetMode="External"/><Relationship Id="rId47" Type="http://schemas.openxmlformats.org/officeDocument/2006/relationships/hyperlink" Target="http://www.sec.gov/Archives/edgar/data/1820302/000119312521299620/d211377d8a12b.htm" TargetMode="External"/><Relationship Id="rId48" Type="http://schemas.openxmlformats.org/officeDocument/2006/relationships/hyperlink" Target="http://www.sec.gov/Archives/edgar/data/1820302/000182030222000005/a46-descriptionofsecurit.htm" TargetMode="External"/><Relationship Id="rId51" Type="http://schemas.openxmlformats.org/officeDocument/2006/relationships/hyperlink" Target="http://www.sec.gov/Archives/edgar/data/1820302/000119312525262732/d83327dex31.htm" TargetMode="External"/><Relationship Id="rId52" Type="http://schemas.openxmlformats.org/officeDocument/2006/relationships/hyperlink" Target="http://www.sec.gov/Archives/edgar/data/1820302/000119312525262732/d83327dex32.htm" TargetMode="External"/><Relationship Id="rId53" Type="http://schemas.openxmlformats.org/officeDocument/2006/relationships/hyperlink" Target="http://www.sec.gov/Archives/edgar/data/1820302/000119312521303985/d219325dex41.htm" TargetMode="External"/><Relationship Id="rId54" Type="http://schemas.openxmlformats.org/officeDocument/2006/relationships/hyperlink" Target="http://www.sec.gov/Archives/edgar/data/1820302/000119312521303985/d219325dex109.htm" TargetMode="External"/><Relationship Id="rId55" Type="http://schemas.openxmlformats.org/officeDocument/2006/relationships/hyperlink" Target="http://www.sec.gov/Archives/edgar/data/1820302/000182030224000056/ex1011amendno1toequityplan.htm" TargetMode="External"/><Relationship Id="rId56" Type="http://schemas.openxmlformats.org/officeDocument/2006/relationships/hyperlink" Target="http://www.sec.gov/Archives/edgar/data/1820302/000119312524176416/d133420dex46.htm" TargetMode="External"/><Relationship Id="rId57" Type="http://schemas.openxmlformats.org/officeDocument/2006/relationships/hyperlink" Target="http://www.sec.gov/Archives/edgar/data/1820302/000119312525151371/d41678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2025-11-10T13:44:38Z</dcterms:created>
  <dcterms:modified xsi:type="dcterms:W3CDTF">2025-11-10T13:44:38Z</dcterms:modified>
</cp:coreProperties>
</file>