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VPC Impact Acquisition Holdings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G9441E100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00"/>
        <w:spacing w:after="0"/>
        <w:rPr>
          <w:sz w:val="20"/>
          <w:szCs w:val="20"/>
          <w:color w:val="auto"/>
        </w:rPr>
      </w:pPr>
      <w:r>
        <w:rPr>
          <w:rFonts w:ascii="Arial" w:cs="Arial" w:eastAsia="Arial" w:hAnsi="Arial"/>
          <w:sz w:val="22"/>
          <w:szCs w:val="22"/>
          <w:color w:val="auto"/>
        </w:rPr>
        <w:t>February 26,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G9441E100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Invesco Ltd.</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98-0557567</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 [ ]</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Bermuda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2,264,700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2,391,105</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2,391,105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11.5%</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HC, 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500" w:hanging="587"/>
        <w:spacing w:after="0"/>
        <w:tabs>
          <w:tab w:leader="none" w:pos="15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500"/>
        <w:spacing w:after="0"/>
        <w:rPr>
          <w:rFonts w:ascii="Arial" w:cs="Arial" w:eastAsia="Arial" w:hAnsi="Arial"/>
          <w:sz w:val="22"/>
          <w:szCs w:val="22"/>
          <w:b w:val="1"/>
          <w:bCs w:val="1"/>
          <w:color w:val="auto"/>
        </w:rPr>
      </w:pPr>
      <w:r>
        <w:rPr>
          <w:rFonts w:ascii="Arial" w:cs="Arial" w:eastAsia="Arial" w:hAnsi="Arial"/>
          <w:sz w:val="22"/>
          <w:szCs w:val="22"/>
          <w:color w:val="auto"/>
        </w:rPr>
        <w:t>VPC Impact Acquisition Holdings</w:t>
      </w:r>
    </w:p>
    <w:p>
      <w:pPr>
        <w:spacing w:after="0" w:line="101" w:lineRule="exact"/>
        <w:rPr>
          <w:rFonts w:ascii="Arial" w:cs="Arial" w:eastAsia="Arial" w:hAnsi="Arial"/>
          <w:sz w:val="22"/>
          <w:szCs w:val="22"/>
          <w:b w:val="1"/>
          <w:bCs w:val="1"/>
          <w:color w:val="auto"/>
        </w:rPr>
      </w:pPr>
    </w:p>
    <w:p>
      <w:pPr>
        <w:ind w:left="1500" w:hanging="587"/>
        <w:spacing w:after="0"/>
        <w:tabs>
          <w:tab w:leader="none" w:pos="150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500"/>
        <w:spacing w:after="0"/>
        <w:rPr>
          <w:rFonts w:ascii="Arial" w:cs="Arial" w:eastAsia="Arial" w:hAnsi="Arial"/>
          <w:sz w:val="22"/>
          <w:szCs w:val="22"/>
          <w:b w:val="1"/>
          <w:bCs w:val="1"/>
          <w:color w:val="auto"/>
        </w:rPr>
      </w:pPr>
      <w:r>
        <w:rPr>
          <w:rFonts w:ascii="Arial" w:cs="Arial" w:eastAsia="Arial" w:hAnsi="Arial"/>
          <w:sz w:val="22"/>
          <w:szCs w:val="22"/>
          <w:color w:val="auto"/>
        </w:rPr>
        <w:t>150 North Riverside Plaza, Suite 520, Chicago, IL 60606</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500" w:right="700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Person Filing </w:t>
      </w:r>
      <w:r>
        <w:rPr>
          <w:rFonts w:ascii="Arial" w:cs="Arial" w:eastAsia="Arial" w:hAnsi="Arial"/>
          <w:sz w:val="19"/>
          <w:szCs w:val="19"/>
          <w:color w:val="auto"/>
        </w:rPr>
        <w:t>Invesco Ltd. ("Invesco Ltd.")</w:t>
      </w:r>
    </w:p>
    <w:p>
      <w:pPr>
        <w:spacing w:after="0" w:line="12" w:lineRule="exact"/>
        <w:rPr>
          <w:rFonts w:ascii="Arial" w:cs="Arial" w:eastAsia="Arial" w:hAnsi="Arial"/>
          <w:sz w:val="19"/>
          <w:szCs w:val="19"/>
          <w:b w:val="1"/>
          <w:bCs w:val="1"/>
          <w:color w:val="auto"/>
        </w:rPr>
      </w:pPr>
    </w:p>
    <w:p>
      <w:pPr>
        <w:ind w:left="1500" w:right="412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Address of Principal Business Office or, if None, Residence </w:t>
      </w:r>
      <w:r>
        <w:rPr>
          <w:rFonts w:ascii="Arial" w:cs="Arial" w:eastAsia="Arial" w:hAnsi="Arial"/>
          <w:sz w:val="19"/>
          <w:szCs w:val="19"/>
          <w:color w:val="auto"/>
        </w:rPr>
        <w:t>1555 Peachtree Street NE, Suite 1800, Atlanta, GA 30309</w:t>
      </w:r>
    </w:p>
    <w:p>
      <w:pPr>
        <w:spacing w:after="0" w:line="12" w:lineRule="exact"/>
        <w:rPr>
          <w:rFonts w:ascii="Arial" w:cs="Arial" w:eastAsia="Arial" w:hAnsi="Arial"/>
          <w:sz w:val="19"/>
          <w:szCs w:val="19"/>
          <w:b w:val="1"/>
          <w:bCs w:val="1"/>
          <w:color w:val="auto"/>
        </w:rPr>
      </w:pPr>
    </w:p>
    <w:p>
      <w:pPr>
        <w:ind w:left="1500" w:right="848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Bermuda</w:t>
      </w:r>
    </w:p>
    <w:p>
      <w:pPr>
        <w:spacing w:after="0" w:line="12" w:lineRule="exact"/>
        <w:rPr>
          <w:rFonts w:ascii="Arial" w:cs="Arial" w:eastAsia="Arial" w:hAnsi="Arial"/>
          <w:sz w:val="19"/>
          <w:szCs w:val="19"/>
          <w:b w:val="1"/>
          <w:bCs w:val="1"/>
          <w:color w:val="auto"/>
        </w:rPr>
      </w:pPr>
    </w:p>
    <w:p>
      <w:pPr>
        <w:ind w:left="1500" w:right="714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500" w:right="8060" w:hanging="587"/>
        <w:spacing w:after="0" w:line="334" w:lineRule="auto"/>
        <w:tabs>
          <w:tab w:leader="none" w:pos="15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G9441E100</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[X]</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48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spacing w:after="0"/>
        <w:rPr>
          <w:sz w:val="20"/>
          <w:szCs w:val="20"/>
          <w:color w:val="auto"/>
        </w:rPr>
      </w:pPr>
      <w:r>
        <w:rPr>
          <w:rFonts w:ascii="Arial" w:cs="Arial" w:eastAsia="Arial" w:hAnsi="Arial"/>
          <w:sz w:val="19"/>
          <w:szCs w:val="19"/>
          <w:color w:val="auto"/>
        </w:rPr>
        <w:t>Investment Company registered under Section 8 of the Investment Company Act of 1940 (15 U.S.C.</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80a-8).</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right="56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right="36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A church plan that is excluded from the definition of an investment company under Section 3(c)(14) of the Investment Company Act of 1940 (15 U.S.C. 80a-3);</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color w:val="auto"/>
        </w:rPr>
        <w:t>Group, in accordance with Rule 240.13d-1(b)(1)(ii)(J).</w:t>
      </w:r>
    </w:p>
    <w:p>
      <w:pPr>
        <w:spacing w:after="0" w:line="502" w:lineRule="exact"/>
        <w:rPr>
          <w:sz w:val="20"/>
          <w:szCs w:val="20"/>
          <w:color w:val="auto"/>
        </w:rPr>
      </w:pPr>
    </w:p>
    <w:p>
      <w:pPr>
        <w:sectPr>
          <w:pgSz w:w="11900" w:h="16838" w:orient="portrait"/>
          <w:cols w:equalWidth="0" w:num="2">
            <w:col w:w="1980" w:space="320"/>
            <w:col w:w="8720"/>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500" w:hanging="587"/>
        <w:spacing w:after="0"/>
        <w:tabs>
          <w:tab w:leader="none" w:pos="1500" w:val="left"/>
        </w:tabs>
        <w:numPr>
          <w:ilvl w:val="0"/>
          <w:numId w:val="4"/>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500" w:right="620"/>
        <w:spacing w:after="0" w:line="328" w:lineRule="auto"/>
        <w:rPr>
          <w:rFonts w:ascii="Arial" w:cs="Arial" w:eastAsia="Arial" w:hAnsi="Arial"/>
          <w:sz w:val="22"/>
          <w:szCs w:val="22"/>
          <w:color w:val="auto"/>
        </w:rPr>
      </w:pPr>
      <w:r>
        <w:rPr>
          <w:rFonts w:ascii="Arial" w:cs="Arial" w:eastAsia="Arial" w:hAnsi="Arial"/>
          <w:sz w:val="19"/>
          <w:szCs w:val="19"/>
          <w:color w:val="auto"/>
        </w:rPr>
        <w:t>Invesco Ltd. , in its capacity as a parent holding company to its investment advisers, may be deemed to beneficially own 2,391,105 shares of the Issuer which are held of record by clients of Invesco Ltd. ..</w:t>
      </w:r>
    </w:p>
    <w:p>
      <w:pPr>
        <w:sectPr>
          <w:pgSz w:w="11900" w:h="16838" w:orient="portrait"/>
          <w:cols w:equalWidth="0" w:num="1">
            <w:col w:w="11020"/>
          </w:cols>
          <w:pgMar w:left="400" w:top="423" w:right="479" w:bottom="0" w:gutter="0" w:footer="0" w:header="0"/>
          <w:type w:val="continuous"/>
        </w:sectPr>
      </w:pPr>
    </w:p>
    <w:p>
      <w:pPr>
        <w:spacing w:after="0" w:line="24" w:lineRule="exact"/>
        <w:rPr>
          <w:sz w:val="20"/>
          <w:szCs w:val="20"/>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11.5%</w:t>
      </w:r>
    </w:p>
    <w:p>
      <w:pPr>
        <w:spacing w:after="0" w:line="125" w:lineRule="exact"/>
        <w:rPr>
          <w:rFonts w:ascii="Arial" w:cs="Arial" w:eastAsia="Arial" w:hAnsi="Arial"/>
          <w:sz w:val="22"/>
          <w:szCs w:val="22"/>
          <w:color w:val="auto"/>
        </w:rPr>
      </w:pPr>
    </w:p>
    <w:p>
      <w:pPr>
        <w:ind w:left="1500" w:hanging="587"/>
        <w:spacing w:after="0"/>
        <w:tabs>
          <w:tab w:leader="none" w:pos="150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300" w:hanging="806"/>
        <w:spacing w:after="0"/>
        <w:tabs>
          <w:tab w:leader="none" w:pos="2300" w:val="left"/>
        </w:tabs>
        <w:numPr>
          <w:ilvl w:val="1"/>
          <w:numId w:val="5"/>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300" w:hanging="806"/>
        <w:spacing w:after="0" w:line="183" w:lineRule="auto"/>
        <w:tabs>
          <w:tab w:leader="none" w:pos="23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300" w:right="800" w:hanging="806"/>
        <w:spacing w:after="0" w:line="183" w:lineRule="auto"/>
        <w:tabs>
          <w:tab w:leader="none" w:pos="2300" w:val="left"/>
        </w:tabs>
        <w:numPr>
          <w:ilvl w:val="1"/>
          <w:numId w:val="5"/>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9"/>
          <w:szCs w:val="19"/>
          <w:color w:val="auto"/>
        </w:rPr>
        <w:t>2,264,700</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2,391,105</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500" w:space="260"/>
            <w:col w:w="42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line="238" w:lineRule="auto"/>
        <w:rPr>
          <w:sz w:val="20"/>
          <w:szCs w:val="20"/>
          <w:color w:val="auto"/>
        </w:rPr>
      </w:pPr>
      <w:r>
        <w:rPr>
          <w:rFonts w:ascii="Arial" w:cs="Arial" w:eastAsia="Arial" w:hAnsi="Arial"/>
          <w:sz w:val="22"/>
          <w:szCs w:val="22"/>
          <w:color w:val="auto"/>
        </w:rPr>
        <w:t>Invesco Advisers, Inc. is a subsidiary of Invesco Ltd. and it advises the Invesco Small Cap Growth Fund which owns 5.32% of the security reported herein. However, no one individual has greater than 5% economic ownership. The shareholders of the Fund have the right to receive or the power to direct the receipt of dividends and proceeds from the sale of securities listed above.</w:t>
      </w:r>
    </w:p>
    <w:p>
      <w:pPr>
        <w:spacing w:after="0" w:line="98" w:lineRule="exact"/>
        <w:rPr>
          <w:sz w:val="20"/>
          <w:szCs w:val="20"/>
          <w:color w:val="auto"/>
        </w:rPr>
      </w:pPr>
    </w:p>
    <w:p>
      <w:pPr>
        <w:ind w:left="920" w:right="40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Invesco Advisers, Inc.</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 This schedule is not being filed pursuant to Rule 13d-1(b)(1)(ii)(J) or Rule 13d-1(d).</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20"/>
        <w:spacing w:after="0"/>
        <w:rPr>
          <w:sz w:val="20"/>
          <w:szCs w:val="20"/>
          <w:color w:val="auto"/>
        </w:rPr>
      </w:pPr>
      <w:r>
        <w:rPr>
          <w:rFonts w:ascii="Arial" w:cs="Arial" w:eastAsia="Arial" w:hAnsi="Arial"/>
          <w:sz w:val="22"/>
          <w:szCs w:val="22"/>
          <w:color w:val="auto"/>
        </w:rPr>
        <w:t>Invesco Ltd.</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Date: March 10, 2021</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Name: Robert R. Leveille</w:t>
      </w:r>
    </w:p>
    <w:p>
      <w:pPr>
        <w:spacing w:after="0" w:line="44" w:lineRule="exact"/>
        <w:rPr>
          <w:sz w:val="20"/>
          <w:szCs w:val="20"/>
          <w:color w:val="auto"/>
        </w:rPr>
      </w:pPr>
    </w:p>
    <w:p>
      <w:pPr>
        <w:ind w:left="620"/>
        <w:spacing w:after="0"/>
        <w:rPr>
          <w:sz w:val="20"/>
          <w:szCs w:val="20"/>
          <w:color w:val="auto"/>
        </w:rPr>
      </w:pPr>
      <w:r>
        <w:rPr>
          <w:rFonts w:ascii="Arial" w:cs="Arial" w:eastAsia="Arial" w:hAnsi="Arial"/>
          <w:sz w:val="22"/>
          <w:szCs w:val="22"/>
          <w:color w:val="auto"/>
        </w:rPr>
        <w:t>Title: Global Assurance Officer</w:t>
      </w:r>
    </w:p>
    <w:p>
      <w:pPr>
        <w:sectPr>
          <w:pgSz w:w="11900" w:h="16838" w:orient="portrait"/>
          <w:cols w:equalWidth="0" w:num="1">
            <w:col w:w="9019"/>
          </w:cols>
          <w:pgMar w:left="1440" w:top="409" w:right="1440" w:bottom="1440" w:gutter="0" w:footer="0" w:header="0"/>
        </w:sectPr>
      </w:pPr>
    </w:p>
    <w:bookmarkStart w:id="5" w:name="page6"/>
    <w:bookmarkEnd w:id="5"/>
    <w:p>
      <w:pPr>
        <w:spacing w:after="0" w:line="3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JOINT FILING AGREEMENT</w:t>
      </w:r>
    </w:p>
    <w:p>
      <w:pPr>
        <w:spacing w:after="0" w:line="240"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In accordance with Rule 13d-1(k) (l) under the Securities Exchange Act of 1934, as amended, the undersigned hereby agree to the joint filing of the attached Schedule 13G, and any and all amendments thereto, and expressly authorize Invesco Ltd., as the ultimate parent company of each of its undersigned subsidiaries, to file such Schedule 13G, and any and all amendments thereto, on behalf of each of them.</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Dated: 02/10/2021</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Invesco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Robert R. Leveille</w:t>
      </w:r>
    </w:p>
    <w:p>
      <w:pPr>
        <w:spacing w:after="0" w:line="230" w:lineRule="auto"/>
        <w:rPr>
          <w:sz w:val="20"/>
          <w:szCs w:val="20"/>
          <w:color w:val="auto"/>
        </w:rPr>
      </w:pPr>
      <w:r>
        <w:rPr>
          <w:rFonts w:ascii="Arial" w:cs="Arial" w:eastAsia="Arial" w:hAnsi="Arial"/>
          <w:sz w:val="22"/>
          <w:szCs w:val="22"/>
          <w:color w:val="auto"/>
        </w:rPr>
        <w:t>Name: Robert R. Leveille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Global Assurance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Advisers,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Todd F. Kuehl</w:t>
      </w:r>
    </w:p>
    <w:p>
      <w:pPr>
        <w:spacing w:after="0" w:line="230" w:lineRule="auto"/>
        <w:rPr>
          <w:sz w:val="20"/>
          <w:szCs w:val="20"/>
          <w:color w:val="auto"/>
        </w:rPr>
      </w:pPr>
      <w:r>
        <w:rPr>
          <w:rFonts w:ascii="Arial" w:cs="Arial" w:eastAsia="Arial" w:hAnsi="Arial"/>
          <w:sz w:val="22"/>
          <w:szCs w:val="22"/>
          <w:color w:val="auto"/>
        </w:rPr>
        <w:t>Name: Todd F. Kuehl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Canada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Kate Archibald</w:t>
      </w:r>
    </w:p>
    <w:p>
      <w:pPr>
        <w:spacing w:after="0" w:line="230" w:lineRule="auto"/>
        <w:rPr>
          <w:sz w:val="20"/>
          <w:szCs w:val="20"/>
          <w:color w:val="auto"/>
        </w:rPr>
      </w:pPr>
      <w:r>
        <w:rPr>
          <w:rFonts w:ascii="Arial" w:cs="Arial" w:eastAsia="Arial" w:hAnsi="Arial"/>
          <w:sz w:val="22"/>
          <w:szCs w:val="22"/>
          <w:color w:val="auto"/>
        </w:rPr>
        <w:t>Name: Kate Archibald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SVP, Head of Compliance, and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Trust Company</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Odeh Stevens</w:t>
      </w:r>
    </w:p>
    <w:p>
      <w:pPr>
        <w:spacing w:after="0" w:line="230" w:lineRule="auto"/>
        <w:rPr>
          <w:sz w:val="20"/>
          <w:szCs w:val="20"/>
          <w:color w:val="auto"/>
        </w:rPr>
      </w:pPr>
      <w:r>
        <w:rPr>
          <w:rFonts w:ascii="Arial" w:cs="Arial" w:eastAsia="Arial" w:hAnsi="Arial"/>
          <w:sz w:val="22"/>
          <w:szCs w:val="22"/>
          <w:color w:val="auto"/>
        </w:rPr>
        <w:t>Name: Odeh Stevens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Lee Siu Mei</w:t>
      </w:r>
    </w:p>
    <w:p>
      <w:pPr>
        <w:spacing w:after="0" w:line="230" w:lineRule="auto"/>
        <w:rPr>
          <w:sz w:val="20"/>
          <w:szCs w:val="20"/>
          <w:color w:val="auto"/>
        </w:rPr>
      </w:pPr>
      <w:r>
        <w:rPr>
          <w:rFonts w:ascii="Arial" w:cs="Arial" w:eastAsia="Arial" w:hAnsi="Arial"/>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Hong Kong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Pang Sin Chu</w:t>
      </w:r>
    </w:p>
    <w:p>
      <w:pPr>
        <w:spacing w:after="0" w:line="230" w:lineRule="auto"/>
        <w:rPr>
          <w:sz w:val="20"/>
          <w:szCs w:val="20"/>
          <w:color w:val="auto"/>
        </w:rPr>
      </w:pPr>
      <w:r>
        <w:rPr>
          <w:rFonts w:ascii="Arial" w:cs="Arial" w:eastAsia="Arial" w:hAnsi="Arial"/>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Deutschland GmbH</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Alexander Taft</w:t>
      </w:r>
    </w:p>
    <w:p>
      <w:pPr>
        <w:spacing w:after="0" w:line="230" w:lineRule="auto"/>
        <w:rPr>
          <w:sz w:val="20"/>
          <w:szCs w:val="20"/>
          <w:color w:val="auto"/>
        </w:rPr>
      </w:pPr>
      <w:r>
        <w:rPr>
          <w:rFonts w:ascii="Arial" w:cs="Arial" w:eastAsia="Arial" w:hAnsi="Arial"/>
          <w:sz w:val="22"/>
          <w:szCs w:val="22"/>
          <w:color w:val="auto"/>
        </w:rPr>
        <w:t>Name: Alexander Taft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MD - Struct. Finance, Europe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Chris Edge</w:t>
      </w:r>
    </w:p>
    <w:p>
      <w:pPr>
        <w:spacing w:after="0" w:line="230" w:lineRule="auto"/>
        <w:rPr>
          <w:sz w:val="20"/>
          <w:szCs w:val="20"/>
          <w:color w:val="auto"/>
        </w:rPr>
      </w:pPr>
      <w:r>
        <w:rPr>
          <w:rFonts w:ascii="Arial" w:cs="Arial" w:eastAsia="Arial" w:hAnsi="Arial"/>
          <w:sz w:val="22"/>
          <w:szCs w:val="22"/>
          <w:color w:val="auto"/>
        </w:rPr>
        <w:t>Name: Chris Edge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UK Compliance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Management S.A.</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Peter Carroll</w:t>
      </w:r>
    </w:p>
    <w:p>
      <w:pPr>
        <w:spacing w:after="0" w:line="230" w:lineRule="auto"/>
        <w:rPr>
          <w:sz w:val="20"/>
          <w:szCs w:val="20"/>
          <w:color w:val="auto"/>
        </w:rPr>
      </w:pPr>
      <w:r>
        <w:rPr>
          <w:rFonts w:ascii="Arial" w:cs="Arial" w:eastAsia="Arial" w:hAnsi="Arial"/>
          <w:sz w:val="22"/>
          <w:szCs w:val="22"/>
          <w:color w:val="auto"/>
        </w:rPr>
        <w:t>Name: Peter Carroll</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EMEA Delegation Oversight</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Taiwan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Jacky Hsiao</w:t>
      </w:r>
    </w:p>
    <w:p>
      <w:pPr>
        <w:spacing w:after="0" w:line="230" w:lineRule="auto"/>
        <w:rPr>
          <w:sz w:val="20"/>
          <w:szCs w:val="20"/>
          <w:color w:val="auto"/>
        </w:rPr>
      </w:pPr>
      <w:r>
        <w:rPr>
          <w:rFonts w:ascii="Arial" w:cs="Arial" w:eastAsia="Arial" w:hAnsi="Arial"/>
          <w:sz w:val="22"/>
          <w:szCs w:val="22"/>
          <w:color w:val="auto"/>
        </w:rPr>
        <w:t>Name: Jacky Hsiao</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General Manager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(Japan)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Tsuyoshi Mochiyama</w:t>
      </w:r>
    </w:p>
    <w:p>
      <w:pPr>
        <w:spacing w:after="0" w:line="230" w:lineRule="auto"/>
        <w:rPr>
          <w:sz w:val="20"/>
          <w:szCs w:val="20"/>
          <w:color w:val="auto"/>
        </w:rPr>
      </w:pPr>
      <w:r>
        <w:rPr>
          <w:rFonts w:ascii="Arial" w:cs="Arial" w:eastAsia="Arial" w:hAnsi="Arial"/>
          <w:sz w:val="22"/>
          <w:szCs w:val="22"/>
          <w:color w:val="auto"/>
        </w:rPr>
        <w:t>Name: Tsuyoshi Mochiyama</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Head of Compliance</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Asset Management Singapore Limited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Lee Siu Mei</w:t>
      </w:r>
    </w:p>
    <w:p>
      <w:pPr>
        <w:spacing w:after="0" w:line="230" w:lineRule="auto"/>
        <w:rPr>
          <w:sz w:val="20"/>
          <w:szCs w:val="20"/>
          <w:color w:val="auto"/>
        </w:rPr>
      </w:pPr>
      <w:r>
        <w:rPr>
          <w:rFonts w:ascii="Arial" w:cs="Arial" w:eastAsia="Arial" w:hAnsi="Arial"/>
          <w:sz w:val="22"/>
          <w:szCs w:val="22"/>
          <w:color w:val="auto"/>
        </w:rPr>
        <w:t>Name: Lee Siu Mei</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ectPr>
          <w:pgSz w:w="11900" w:h="16871" w:orient="portrait"/>
          <w:cols w:equalWidth="0" w:num="1">
            <w:col w:w="10940"/>
          </w:cols>
          <w:pgMar w:left="420" w:top="111" w:right="539" w:bottom="0" w:gutter="0" w:footer="0" w:header="0"/>
        </w:sectPr>
      </w:pPr>
    </w:p>
    <w:bookmarkStart w:id="6" w:name="page7"/>
    <w:bookmarkEnd w:id="6"/>
    <w:p>
      <w:pPr>
        <w:spacing w:after="0"/>
        <w:rPr>
          <w:sz w:val="20"/>
          <w:szCs w:val="20"/>
          <w:color w:val="auto"/>
        </w:rPr>
      </w:pPr>
      <w:r>
        <w:rPr>
          <w:rFonts w:ascii="Arial" w:cs="Arial" w:eastAsia="Arial" w:hAnsi="Arial"/>
          <w:sz w:val="19"/>
          <w:szCs w:val="19"/>
          <w:color w:val="auto"/>
        </w:rPr>
        <w:t>Invesco Asset Management Singapore Limited</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Pang Sin Chu</w:t>
      </w:r>
    </w:p>
    <w:p>
      <w:pPr>
        <w:spacing w:after="0" w:line="230" w:lineRule="auto"/>
        <w:rPr>
          <w:sz w:val="20"/>
          <w:szCs w:val="20"/>
          <w:color w:val="auto"/>
        </w:rPr>
      </w:pPr>
      <w:r>
        <w:rPr>
          <w:rFonts w:ascii="Arial" w:cs="Arial" w:eastAsia="Arial" w:hAnsi="Arial"/>
          <w:sz w:val="22"/>
          <w:szCs w:val="22"/>
          <w:color w:val="auto"/>
        </w:rPr>
        <w:t>Name: Pang Sin Chu</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Authorized Signatory</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Capital Management,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Melanie Zimdars</w:t>
      </w:r>
    </w:p>
    <w:p>
      <w:pPr>
        <w:spacing w:after="0" w:line="230" w:lineRule="auto"/>
        <w:rPr>
          <w:sz w:val="20"/>
          <w:szCs w:val="20"/>
          <w:color w:val="auto"/>
        </w:rPr>
      </w:pPr>
      <w:r>
        <w:rPr>
          <w:rFonts w:ascii="Arial" w:cs="Arial" w:eastAsia="Arial" w:hAnsi="Arial"/>
          <w:sz w:val="22"/>
          <w:szCs w:val="22"/>
          <w:color w:val="auto"/>
        </w:rPr>
        <w:t>Name: Melanie Zimdars</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CCO, ICM &amp; ETFs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Investment Advisers, LLC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Trisha B Hancock</w:t>
      </w:r>
    </w:p>
    <w:p>
      <w:pPr>
        <w:spacing w:after="0" w:line="230" w:lineRule="auto"/>
        <w:rPr>
          <w:sz w:val="20"/>
          <w:szCs w:val="20"/>
          <w:color w:val="auto"/>
        </w:rPr>
      </w:pPr>
      <w:r>
        <w:rPr>
          <w:rFonts w:ascii="Arial" w:cs="Arial" w:eastAsia="Arial" w:hAnsi="Arial"/>
          <w:sz w:val="22"/>
          <w:szCs w:val="22"/>
          <w:color w:val="auto"/>
        </w:rPr>
        <w:t>Name: Trisha B Hancock</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CCO, Broker-Dealers and UITs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Australia Ltd.</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Tas Seedat</w:t>
      </w:r>
    </w:p>
    <w:p>
      <w:pPr>
        <w:spacing w:after="0" w:line="230" w:lineRule="auto"/>
        <w:rPr>
          <w:sz w:val="20"/>
          <w:szCs w:val="20"/>
          <w:color w:val="auto"/>
        </w:rPr>
      </w:pPr>
      <w:r>
        <w:rPr>
          <w:rFonts w:ascii="Arial" w:cs="Arial" w:eastAsia="Arial" w:hAnsi="Arial"/>
          <w:sz w:val="22"/>
          <w:szCs w:val="22"/>
          <w:color w:val="auto"/>
        </w:rPr>
        <w:t>Name: Tas Seedat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Senior Compliance Manager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Invesco Private Capital,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Josh E Levit</w:t>
      </w:r>
    </w:p>
    <w:p>
      <w:pPr>
        <w:spacing w:after="0" w:line="230" w:lineRule="auto"/>
        <w:rPr>
          <w:sz w:val="20"/>
          <w:szCs w:val="20"/>
          <w:color w:val="auto"/>
        </w:rPr>
      </w:pPr>
      <w:r>
        <w:rPr>
          <w:rFonts w:ascii="Arial" w:cs="Arial" w:eastAsia="Arial" w:hAnsi="Arial"/>
          <w:sz w:val="22"/>
          <w:szCs w:val="22"/>
          <w:color w:val="auto"/>
        </w:rPr>
        <w:t>Name: Josh E Levit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Chief Compliance Officer</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OppenheimerFunds, Inc.</w:t>
      </w:r>
    </w:p>
    <w:p>
      <w:pPr>
        <w:spacing w:after="0" w:line="238" w:lineRule="auto"/>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Donna White</w:t>
      </w:r>
    </w:p>
    <w:p>
      <w:pPr>
        <w:spacing w:after="0" w:line="230" w:lineRule="auto"/>
        <w:rPr>
          <w:sz w:val="20"/>
          <w:szCs w:val="20"/>
          <w:color w:val="auto"/>
        </w:rPr>
      </w:pPr>
      <w:r>
        <w:rPr>
          <w:rFonts w:ascii="Arial" w:cs="Arial" w:eastAsia="Arial" w:hAnsi="Arial"/>
          <w:sz w:val="22"/>
          <w:szCs w:val="22"/>
          <w:color w:val="auto"/>
        </w:rPr>
        <w:t>Name: Donna White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Compliance Director</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Invesco Real Estate Management S.A.R.L.</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Fabrice Coste</w:t>
      </w:r>
    </w:p>
    <w:p>
      <w:pPr>
        <w:spacing w:after="0" w:line="230" w:lineRule="auto"/>
        <w:rPr>
          <w:sz w:val="20"/>
          <w:szCs w:val="20"/>
          <w:color w:val="auto"/>
        </w:rPr>
      </w:pPr>
      <w:r>
        <w:rPr>
          <w:rFonts w:ascii="Arial" w:cs="Arial" w:eastAsia="Arial" w:hAnsi="Arial"/>
          <w:sz w:val="22"/>
          <w:szCs w:val="22"/>
          <w:color w:val="auto"/>
        </w:rPr>
        <w:t>Name: Fabrice Coste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Compliance Director</w:t>
      </w: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color w:val="auto"/>
        </w:rPr>
        <w:t>Invesco Real Estate Management S.A.R.L.</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By: /s/ </w:t>
      </w:r>
      <w:r>
        <w:rPr>
          <w:rFonts w:ascii="Arial" w:cs="Arial" w:eastAsia="Arial" w:hAnsi="Arial"/>
          <w:sz w:val="22"/>
          <w:szCs w:val="22"/>
          <w:u w:val="single" w:color="auto"/>
          <w:color w:val="auto"/>
        </w:rPr>
        <w:t>Marion Geniaux</w:t>
      </w:r>
    </w:p>
    <w:p>
      <w:pPr>
        <w:spacing w:after="0" w:line="230" w:lineRule="auto"/>
        <w:rPr>
          <w:sz w:val="20"/>
          <w:szCs w:val="20"/>
          <w:color w:val="auto"/>
        </w:rPr>
      </w:pPr>
      <w:r>
        <w:rPr>
          <w:rFonts w:ascii="Arial" w:cs="Arial" w:eastAsia="Arial" w:hAnsi="Arial"/>
          <w:sz w:val="22"/>
          <w:szCs w:val="22"/>
          <w:color w:val="auto"/>
        </w:rPr>
        <w:t>Name: Marion Geniaux</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Title: Senior Director, Fund Accounting</w:t>
      </w:r>
    </w:p>
    <w:sectPr>
      <w:pgSz w:w="11900" w:h="16838" w:orient="portrait"/>
      <w:cols w:equalWidth="0" w:num="1">
        <w:col w:w="10039"/>
      </w:cols>
      <w:pgMar w:left="420" w:top="3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2021-03-10T12:32:45Z</dcterms:created>
  <dcterms:modified xsi:type="dcterms:W3CDTF">2021-03-10T12:32:45Z</dcterms:modified>
</cp:coreProperties>
</file>