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1934(Amendment No. 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Bakkt Holdings, Inc. (f/k/a 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common stock, par value $0.0001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05759B107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520" w:hanging="216"/>
        <w:spacing w:after="0"/>
        <w:tabs>
          <w:tab w:leader="none" w:pos="1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520" w:hanging="216"/>
        <w:spacing w:after="0"/>
        <w:tabs>
          <w:tab w:leader="none" w:pos="1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CUSIP No.</w:t>
            </w:r>
          </w:p>
        </w:tc>
        <w:tc>
          <w:tcPr>
            <w:tcW w:w="1080" w:type="dxa"/>
            <w:vAlign w:val="bottom"/>
          </w:tcPr>
          <w:p>
            <w:pPr>
              <w:ind w:left="240"/>
              <w:spacing w:after="0"/>
              <w:rPr>
                <w:sz w:val="20"/>
                <w:szCs w:val="20"/>
                <w:color w:val="auto"/>
              </w:rPr>
            </w:pPr>
            <w:r>
              <w:rPr>
                <w:rFonts w:ascii="Arial" w:cs="Arial" w:eastAsia="Arial" w:hAnsi="Arial"/>
                <w:sz w:val="18"/>
                <w:szCs w:val="18"/>
                <w:color w:val="auto"/>
                <w:w w:val="89"/>
              </w:rPr>
              <w:t>05759B107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500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Tenor Capital Management Company, L.P.</w:t>
      </w: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 ]</w:t>
      </w:r>
    </w:p>
    <w:p>
      <w:pPr>
        <w:spacing w:after="0" w:line="9"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660" w:right="6920" w:hanging="652"/>
        <w:spacing w:after="0" w:line="51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 USA</w:t>
      </w:r>
    </w:p>
    <w:p>
      <w:pPr>
        <w:ind w:left="2280" w:hanging="328"/>
        <w:spacing w:after="0"/>
        <w:tabs>
          <w:tab w:leader="none" w:pos="2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6"/>
              </w:rPr>
              <w:t>NUMBER OF</w:t>
            </w:r>
          </w:p>
        </w:tc>
        <w:tc>
          <w:tcPr>
            <w:tcW w:w="22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620" w:type="dxa"/>
            <w:vAlign w:val="bottom"/>
            <w:vMerge w:val="continue"/>
          </w:tcPr>
          <w:p>
            <w:pPr>
              <w:spacing w:after="0"/>
              <w:rPr>
                <w:sz w:val="17"/>
                <w:szCs w:val="17"/>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6.</w:t>
            </w:r>
          </w:p>
        </w:tc>
        <w:tc>
          <w:tcPr>
            <w:tcW w:w="9060" w:type="dxa"/>
            <w:vAlign w:val="bottom"/>
          </w:tcPr>
          <w:p>
            <w:pPr>
              <w:ind w:left="10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1"/>
              </w:rPr>
              <w:t>SHARES</w:t>
            </w:r>
          </w:p>
        </w:tc>
        <w:tc>
          <w:tcPr>
            <w:tcW w:w="2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Pr>
          <w:p>
            <w:pPr>
              <w:jc w:val="center"/>
              <w:ind w:right="250"/>
              <w:spacing w:after="0"/>
              <w:rPr>
                <w:sz w:val="20"/>
                <w:szCs w:val="20"/>
                <w:color w:val="auto"/>
              </w:rPr>
            </w:pPr>
            <w:r>
              <w:rPr>
                <w:rFonts w:ascii="Arial" w:cs="Arial" w:eastAsia="Arial" w:hAnsi="Arial"/>
                <w:sz w:val="18"/>
                <w:szCs w:val="18"/>
                <w:color w:val="auto"/>
              </w:rPr>
              <w:t>BENEFICIALLY</w:t>
            </w:r>
          </w:p>
        </w:tc>
        <w:tc>
          <w:tcPr>
            <w:tcW w:w="22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620" w:type="dxa"/>
            <w:vAlign w:val="bottom"/>
          </w:tcPr>
          <w:p>
            <w:pPr>
              <w:jc w:val="center"/>
              <w:ind w:right="250"/>
              <w:spacing w:after="0" w:line="175" w:lineRule="exact"/>
              <w:rPr>
                <w:sz w:val="20"/>
                <w:szCs w:val="20"/>
                <w:color w:val="auto"/>
              </w:rPr>
            </w:pPr>
            <w:r>
              <w:rPr>
                <w:rFonts w:ascii="Arial" w:cs="Arial" w:eastAsia="Arial" w:hAnsi="Arial"/>
                <w:sz w:val="18"/>
                <w:szCs w:val="18"/>
                <w:color w:val="auto"/>
                <w:w w:val="97"/>
              </w:rPr>
              <w:t>OWNED BY</w:t>
            </w:r>
          </w:p>
        </w:tc>
        <w:tc>
          <w:tcPr>
            <w:tcW w:w="220" w:type="dxa"/>
            <w:vAlign w:val="bottom"/>
          </w:tcPr>
          <w:p>
            <w:pPr>
              <w:jc w:val="right"/>
              <w:ind w:right="16"/>
              <w:spacing w:after="0" w:line="175" w:lineRule="exact"/>
              <w:rPr>
                <w:sz w:val="20"/>
                <w:szCs w:val="20"/>
                <w:color w:val="auto"/>
              </w:rPr>
            </w:pPr>
            <w:r>
              <w:rPr>
                <w:rFonts w:ascii="Arial" w:cs="Arial" w:eastAsia="Arial" w:hAnsi="Arial"/>
                <w:sz w:val="17"/>
                <w:szCs w:val="17"/>
                <w:color w:val="auto"/>
                <w:w w:val="70"/>
              </w:rPr>
              <w:t>7.</w:t>
            </w:r>
          </w:p>
        </w:tc>
        <w:tc>
          <w:tcPr>
            <w:tcW w:w="9060" w:type="dxa"/>
            <w:vAlign w:val="bottom"/>
          </w:tcPr>
          <w:p>
            <w:pPr>
              <w:ind w:left="100"/>
              <w:spacing w:after="0" w:line="17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5"/>
              </w:rPr>
              <w:t>EACH</w:t>
            </w:r>
          </w:p>
        </w:tc>
        <w:tc>
          <w:tcPr>
            <w:tcW w:w="2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PERSON WITH</w:t>
            </w:r>
          </w:p>
        </w:tc>
        <w:tc>
          <w:tcPr>
            <w:tcW w:w="22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20"/>
                <w:szCs w:val="20"/>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8.</w:t>
            </w:r>
          </w:p>
        </w:tc>
        <w:tc>
          <w:tcPr>
            <w:tcW w:w="9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right="4040" w:hanging="652"/>
        <w:spacing w:after="0" w:line="39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660" w:right="5520" w:hanging="652"/>
        <w:spacing w:after="0" w:line="39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0.00%*</w:t>
      </w:r>
    </w:p>
    <w:p>
      <w:pPr>
        <w:ind w:left="660" w:right="6260" w:hanging="652"/>
        <w:spacing w:after="0" w:line="52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CUSIP No.</w:t>
            </w:r>
          </w:p>
        </w:tc>
        <w:tc>
          <w:tcPr>
            <w:tcW w:w="1080" w:type="dxa"/>
            <w:vAlign w:val="bottom"/>
          </w:tcPr>
          <w:p>
            <w:pPr>
              <w:ind w:left="240"/>
              <w:spacing w:after="0"/>
              <w:rPr>
                <w:sz w:val="20"/>
                <w:szCs w:val="20"/>
                <w:color w:val="auto"/>
              </w:rPr>
            </w:pPr>
            <w:r>
              <w:rPr>
                <w:rFonts w:ascii="Arial" w:cs="Arial" w:eastAsia="Arial" w:hAnsi="Arial"/>
                <w:sz w:val="18"/>
                <w:szCs w:val="18"/>
                <w:color w:val="auto"/>
                <w:w w:val="89"/>
              </w:rPr>
              <w:t>05759B107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500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Tenor Opportunity Master Fund, Ltd.</w:t>
      </w: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 ]</w:t>
      </w:r>
    </w:p>
    <w:p>
      <w:pPr>
        <w:spacing w:after="0" w:line="9"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660" w:right="6920" w:hanging="652"/>
        <w:spacing w:after="0" w:line="51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2280" w:hanging="328"/>
        <w:spacing w:after="0"/>
        <w:tabs>
          <w:tab w:leader="none" w:pos="2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1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6"/>
              </w:rPr>
              <w:t>NUMBER OF</w:t>
            </w:r>
          </w:p>
        </w:tc>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6.</w:t>
            </w:r>
          </w:p>
        </w:tc>
        <w:tc>
          <w:tcPr>
            <w:tcW w:w="906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1"/>
              </w:rPr>
              <w:t>SHARES</w:t>
            </w:r>
          </w:p>
        </w:tc>
        <w:tc>
          <w:tcPr>
            <w:tcW w:w="220" w:type="dxa"/>
            <w:vAlign w:val="bottom"/>
          </w:tcPr>
          <w:p>
            <w:pPr>
              <w:spacing w:after="0"/>
              <w:rPr>
                <w:sz w:val="18"/>
                <w:szCs w:val="18"/>
                <w:color w:val="auto"/>
              </w:rPr>
            </w:pP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1620" w:type="dxa"/>
            <w:vAlign w:val="bottom"/>
          </w:tcPr>
          <w:p>
            <w:pPr>
              <w:jc w:val="center"/>
              <w:ind w:right="250"/>
              <w:spacing w:after="0"/>
              <w:rPr>
                <w:sz w:val="20"/>
                <w:szCs w:val="20"/>
                <w:color w:val="auto"/>
              </w:rPr>
            </w:pPr>
            <w:r>
              <w:rPr>
                <w:rFonts w:ascii="Arial" w:cs="Arial" w:eastAsia="Arial" w:hAnsi="Arial"/>
                <w:sz w:val="18"/>
                <w:szCs w:val="18"/>
                <w:color w:val="auto"/>
              </w:rPr>
              <w:t>BENEFICIALLY</w:t>
            </w:r>
          </w:p>
        </w:tc>
        <w:tc>
          <w:tcPr>
            <w:tcW w:w="220" w:type="dxa"/>
            <w:vAlign w:val="bottom"/>
            <w:tcBorders>
              <w:bottom w:val="single" w:sz="8" w:color="auto"/>
            </w:tcBorders>
          </w:tcPr>
          <w:p>
            <w:pPr>
              <w:spacing w:after="0"/>
              <w:rPr>
                <w:sz w:val="19"/>
                <w:szCs w:val="19"/>
                <w:color w:val="auto"/>
              </w:rPr>
            </w:pPr>
          </w:p>
        </w:tc>
        <w:tc>
          <w:tcPr>
            <w:tcW w:w="9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2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7"/>
              </w:rPr>
              <w:t>OWNED BY</w:t>
            </w:r>
          </w:p>
        </w:tc>
        <w:tc>
          <w:tcPr>
            <w:tcW w:w="220" w:type="dxa"/>
            <w:vAlign w:val="bottom"/>
          </w:tcPr>
          <w:p>
            <w:pPr>
              <w:jc w:val="right"/>
              <w:ind w:right="16"/>
              <w:spacing w:after="0" w:line="189" w:lineRule="exact"/>
              <w:rPr>
                <w:sz w:val="20"/>
                <w:szCs w:val="20"/>
                <w:color w:val="auto"/>
              </w:rPr>
            </w:pPr>
            <w:r>
              <w:rPr>
                <w:rFonts w:ascii="Arial" w:cs="Arial" w:eastAsia="Arial" w:hAnsi="Arial"/>
                <w:sz w:val="17"/>
                <w:szCs w:val="17"/>
                <w:color w:val="auto"/>
                <w:w w:val="70"/>
              </w:rPr>
              <w:t>7.</w:t>
            </w:r>
          </w:p>
        </w:tc>
        <w:tc>
          <w:tcPr>
            <w:tcW w:w="9060" w:type="dxa"/>
            <w:vAlign w:val="bottom"/>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5"/>
              </w:rPr>
              <w:t>EACH</w:t>
            </w:r>
          </w:p>
        </w:tc>
        <w:tc>
          <w:tcPr>
            <w:tcW w:w="2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PERSON WITH</w:t>
            </w:r>
          </w:p>
        </w:tc>
        <w:tc>
          <w:tcPr>
            <w:tcW w:w="2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20"/>
                <w:szCs w:val="20"/>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8.</w:t>
            </w:r>
          </w:p>
        </w:tc>
        <w:tc>
          <w:tcPr>
            <w:tcW w:w="9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right="4040" w:hanging="652"/>
        <w:spacing w:after="0" w:line="39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660" w:right="5520" w:hanging="652"/>
        <w:spacing w:after="0" w:line="39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0.00%*</w:t>
      </w:r>
    </w:p>
    <w:p>
      <w:pPr>
        <w:ind w:left="660" w:right="6260" w:hanging="652"/>
        <w:spacing w:after="0" w:line="52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CUSIP No.</w:t>
            </w:r>
          </w:p>
        </w:tc>
        <w:tc>
          <w:tcPr>
            <w:tcW w:w="1080" w:type="dxa"/>
            <w:vAlign w:val="bottom"/>
          </w:tcPr>
          <w:p>
            <w:pPr>
              <w:ind w:left="240"/>
              <w:spacing w:after="0"/>
              <w:rPr>
                <w:sz w:val="20"/>
                <w:szCs w:val="20"/>
                <w:color w:val="auto"/>
              </w:rPr>
            </w:pPr>
            <w:r>
              <w:rPr>
                <w:rFonts w:ascii="Arial" w:cs="Arial" w:eastAsia="Arial" w:hAnsi="Arial"/>
                <w:sz w:val="18"/>
                <w:szCs w:val="18"/>
                <w:color w:val="auto"/>
                <w:w w:val="89"/>
              </w:rPr>
              <w:t>05759B107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500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Robin Shah</w:t>
      </w: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 ]</w:t>
      </w:r>
    </w:p>
    <w:p>
      <w:pPr>
        <w:spacing w:after="0" w:line="9"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660" w:right="6920" w:hanging="652"/>
        <w:spacing w:after="0" w:line="51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ind w:left="2280" w:hanging="328"/>
        <w:spacing w:after="0"/>
        <w:tabs>
          <w:tab w:leader="none" w:pos="2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1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6"/>
              </w:rPr>
              <w:t>NUMBER OF</w:t>
            </w:r>
          </w:p>
        </w:tc>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6.</w:t>
            </w:r>
          </w:p>
        </w:tc>
        <w:tc>
          <w:tcPr>
            <w:tcW w:w="906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1"/>
              </w:rPr>
              <w:t>SHARES</w:t>
            </w:r>
          </w:p>
        </w:tc>
        <w:tc>
          <w:tcPr>
            <w:tcW w:w="220" w:type="dxa"/>
            <w:vAlign w:val="bottom"/>
          </w:tcPr>
          <w:p>
            <w:pPr>
              <w:spacing w:after="0"/>
              <w:rPr>
                <w:sz w:val="18"/>
                <w:szCs w:val="18"/>
                <w:color w:val="auto"/>
              </w:rPr>
            </w:pP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1620" w:type="dxa"/>
            <w:vAlign w:val="bottom"/>
          </w:tcPr>
          <w:p>
            <w:pPr>
              <w:jc w:val="center"/>
              <w:ind w:right="250"/>
              <w:spacing w:after="0"/>
              <w:rPr>
                <w:sz w:val="20"/>
                <w:szCs w:val="20"/>
                <w:color w:val="auto"/>
              </w:rPr>
            </w:pPr>
            <w:r>
              <w:rPr>
                <w:rFonts w:ascii="Arial" w:cs="Arial" w:eastAsia="Arial" w:hAnsi="Arial"/>
                <w:sz w:val="18"/>
                <w:szCs w:val="18"/>
                <w:color w:val="auto"/>
              </w:rPr>
              <w:t>BENEFICIALLY</w:t>
            </w:r>
          </w:p>
        </w:tc>
        <w:tc>
          <w:tcPr>
            <w:tcW w:w="220" w:type="dxa"/>
            <w:vAlign w:val="bottom"/>
            <w:tcBorders>
              <w:bottom w:val="single" w:sz="8" w:color="auto"/>
            </w:tcBorders>
          </w:tcPr>
          <w:p>
            <w:pPr>
              <w:spacing w:after="0"/>
              <w:rPr>
                <w:sz w:val="19"/>
                <w:szCs w:val="19"/>
                <w:color w:val="auto"/>
              </w:rPr>
            </w:pPr>
          </w:p>
        </w:tc>
        <w:tc>
          <w:tcPr>
            <w:tcW w:w="9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2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7"/>
              </w:rPr>
              <w:t>OWNED BY</w:t>
            </w:r>
          </w:p>
        </w:tc>
        <w:tc>
          <w:tcPr>
            <w:tcW w:w="220" w:type="dxa"/>
            <w:vAlign w:val="bottom"/>
          </w:tcPr>
          <w:p>
            <w:pPr>
              <w:jc w:val="right"/>
              <w:ind w:right="16"/>
              <w:spacing w:after="0" w:line="189" w:lineRule="exact"/>
              <w:rPr>
                <w:sz w:val="20"/>
                <w:szCs w:val="20"/>
                <w:color w:val="auto"/>
              </w:rPr>
            </w:pPr>
            <w:r>
              <w:rPr>
                <w:rFonts w:ascii="Arial" w:cs="Arial" w:eastAsia="Arial" w:hAnsi="Arial"/>
                <w:sz w:val="17"/>
                <w:szCs w:val="17"/>
                <w:color w:val="auto"/>
                <w:w w:val="70"/>
              </w:rPr>
              <w:t>7.</w:t>
            </w:r>
          </w:p>
        </w:tc>
        <w:tc>
          <w:tcPr>
            <w:tcW w:w="9060" w:type="dxa"/>
            <w:vAlign w:val="bottom"/>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5"/>
              </w:rPr>
              <w:t>EACH</w:t>
            </w:r>
          </w:p>
        </w:tc>
        <w:tc>
          <w:tcPr>
            <w:tcW w:w="2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PERSON WITH</w:t>
            </w:r>
          </w:p>
        </w:tc>
        <w:tc>
          <w:tcPr>
            <w:tcW w:w="2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20"/>
                <w:szCs w:val="20"/>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8.</w:t>
            </w:r>
          </w:p>
        </w:tc>
        <w:tc>
          <w:tcPr>
            <w:tcW w:w="9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right="4040" w:hanging="652"/>
        <w:spacing w:after="0" w:line="39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660" w:right="5520" w:hanging="652"/>
        <w:spacing w:after="0" w:line="39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0.00%*</w:t>
      </w:r>
    </w:p>
    <w:p>
      <w:pPr>
        <w:ind w:left="660" w:right="6260" w:hanging="652"/>
        <w:spacing w:after="0" w:line="52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w w:val="99"/>
              </w:rPr>
              <w:t>CUSIP No.</w:t>
            </w:r>
          </w:p>
        </w:tc>
        <w:tc>
          <w:tcPr>
            <w:tcW w:w="7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05759B107</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720" w:type="dxa"/>
            <w:vAlign w:val="bottom"/>
          </w:tcPr>
          <w:p>
            <w:pPr>
              <w:ind w:left="80"/>
              <w:spacing w:after="0"/>
              <w:rPr>
                <w:sz w:val="20"/>
                <w:szCs w:val="20"/>
                <w:color w:val="auto"/>
              </w:rPr>
            </w:pPr>
            <w:r>
              <w:rPr>
                <w:rFonts w:ascii="Arial" w:cs="Arial" w:eastAsia="Arial" w:hAnsi="Arial"/>
                <w:sz w:val="18"/>
                <w:szCs w:val="18"/>
                <w:color w:val="auto"/>
              </w:rPr>
              <w:t>(a).</w:t>
            </w:r>
          </w:p>
        </w:tc>
        <w:tc>
          <w:tcPr>
            <w:tcW w:w="9620" w:type="dxa"/>
            <w:vAlign w:val="bottom"/>
          </w:tcPr>
          <w:p>
            <w:pPr>
              <w:spacing w:after="0"/>
              <w:rPr>
                <w:sz w:val="20"/>
                <w:szCs w:val="20"/>
                <w:color w:val="auto"/>
              </w:rPr>
            </w:pPr>
            <w:r>
              <w:rPr>
                <w:rFonts w:ascii="Arial" w:cs="Arial" w:eastAsia="Arial" w:hAnsi="Arial"/>
                <w:sz w:val="18"/>
                <w:szCs w:val="18"/>
                <w:color w:val="auto"/>
              </w:rPr>
              <w:t>Name of Issuer:</w:t>
            </w:r>
          </w:p>
        </w:tc>
      </w:tr>
      <w:tr>
        <w:trPr>
          <w:trHeight w:val="439"/>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Bakkt Holdings, Inc.</w:t>
            </w:r>
          </w:p>
        </w:tc>
      </w:tr>
      <w:tr>
        <w:trPr>
          <w:trHeight w:val="432"/>
        </w:trPr>
        <w:tc>
          <w:tcPr>
            <w:tcW w:w="90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w:t>
            </w:r>
          </w:p>
        </w:tc>
        <w:tc>
          <w:tcPr>
            <w:tcW w:w="962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10000 Avalon Boulevard,</w:t>
            </w:r>
          </w:p>
        </w:tc>
      </w:tr>
      <w:tr>
        <w:trPr>
          <w:trHeight w:val="230"/>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Suite 1000, Alpharetta, GA, 30009</w:t>
            </w:r>
          </w:p>
        </w:tc>
      </w:tr>
      <w:tr>
        <w:trPr>
          <w:trHeight w:val="223"/>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20" w:type="dxa"/>
            <w:vAlign w:val="bottom"/>
            <w:tcBorders>
              <w:bottom w:val="single" w:sz="8" w:color="auto"/>
            </w:tcBorders>
          </w:tcPr>
          <w:p>
            <w:pPr>
              <w:spacing w:after="0"/>
              <w:rPr>
                <w:sz w:val="19"/>
                <w:szCs w:val="19"/>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Pr>
          <w:p>
            <w:pPr>
              <w:ind w:left="80"/>
              <w:spacing w:after="0"/>
              <w:rPr>
                <w:sz w:val="20"/>
                <w:szCs w:val="20"/>
                <w:color w:val="auto"/>
              </w:rPr>
            </w:pPr>
            <w:r>
              <w:rPr>
                <w:rFonts w:ascii="Arial" w:cs="Arial" w:eastAsia="Arial" w:hAnsi="Arial"/>
                <w:sz w:val="18"/>
                <w:szCs w:val="18"/>
                <w:color w:val="auto"/>
              </w:rPr>
              <w:t>(a).</w:t>
            </w:r>
          </w:p>
        </w:tc>
        <w:tc>
          <w:tcPr>
            <w:tcW w:w="9620" w:type="dxa"/>
            <w:vAlign w:val="bottom"/>
          </w:tcPr>
          <w:p>
            <w:pPr>
              <w:spacing w:after="0"/>
              <w:rPr>
                <w:sz w:val="20"/>
                <w:szCs w:val="20"/>
                <w:color w:val="auto"/>
              </w:rPr>
            </w:pPr>
            <w:r>
              <w:rPr>
                <w:rFonts w:ascii="Arial" w:cs="Arial" w:eastAsia="Arial" w:hAnsi="Arial"/>
                <w:sz w:val="18"/>
                <w:szCs w:val="18"/>
                <w:color w:val="auto"/>
              </w:rPr>
              <w:t>Name of person filing:</w:t>
            </w:r>
          </w:p>
        </w:tc>
      </w:tr>
      <w:tr>
        <w:trPr>
          <w:trHeight w:val="41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Tenor Capital Management Company, L.P.</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Tenor Opportunity Master Fund, Ltd.</w:t>
            </w:r>
          </w:p>
        </w:tc>
      </w:tr>
      <w:tr>
        <w:trPr>
          <w:trHeight w:val="230"/>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Robin Shah</w:t>
            </w:r>
          </w:p>
        </w:tc>
      </w:tr>
      <w:tr>
        <w:trPr>
          <w:trHeight w:val="223"/>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20" w:type="dxa"/>
            <w:vAlign w:val="bottom"/>
            <w:tcBorders>
              <w:bottom w:val="single" w:sz="8" w:color="auto"/>
            </w:tcBorders>
          </w:tcPr>
          <w:p>
            <w:pPr>
              <w:spacing w:after="0"/>
              <w:rPr>
                <w:sz w:val="19"/>
                <w:szCs w:val="19"/>
                <w:color w:val="auto"/>
              </w:rPr>
            </w:pPr>
          </w:p>
        </w:tc>
      </w:tr>
      <w:tr>
        <w:trPr>
          <w:trHeight w:val="432"/>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18"/>
        </w:trPr>
        <w:tc>
          <w:tcPr>
            <w:tcW w:w="90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w:t>
            </w:r>
          </w:p>
        </w:tc>
        <w:tc>
          <w:tcPr>
            <w:tcW w:w="9620" w:type="dxa"/>
            <w:vAlign w:val="bottom"/>
          </w:tcPr>
          <w:p>
            <w:pPr>
              <w:spacing w:after="0"/>
              <w:rPr>
                <w:sz w:val="20"/>
                <w:szCs w:val="20"/>
                <w:color w:val="auto"/>
              </w:rPr>
            </w:pPr>
            <w:r>
              <w:rPr>
                <w:rFonts w:ascii="Arial" w:cs="Arial" w:eastAsia="Arial" w:hAnsi="Arial"/>
                <w:sz w:val="18"/>
                <w:szCs w:val="18"/>
                <w:color w:val="auto"/>
              </w:rPr>
              <w:t>Tenor Capital Management Company, L.P.</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Tenor Opportunity Master Fund, Ltd.</w:t>
            </w:r>
          </w:p>
        </w:tc>
      </w:tr>
      <w:tr>
        <w:trPr>
          <w:trHeight w:val="230"/>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Robin Shah</w:t>
            </w:r>
          </w:p>
        </w:tc>
      </w:tr>
      <w:tr>
        <w:trPr>
          <w:trHeight w:val="432"/>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810 Seventh Avenue, Suite 1905, New York, NY 10019</w:t>
            </w:r>
          </w:p>
        </w:tc>
      </w:tr>
      <w:tr>
        <w:trPr>
          <w:trHeight w:val="223"/>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20" w:type="dxa"/>
            <w:vAlign w:val="bottom"/>
            <w:tcBorders>
              <w:bottom w:val="single" w:sz="8" w:color="auto"/>
            </w:tcBorders>
          </w:tcPr>
          <w:p>
            <w:pPr>
              <w:spacing w:after="0"/>
              <w:rPr>
                <w:sz w:val="19"/>
                <w:szCs w:val="19"/>
                <w:color w:val="auto"/>
              </w:rPr>
            </w:pPr>
          </w:p>
        </w:tc>
      </w:tr>
      <w:tr>
        <w:trPr>
          <w:trHeight w:val="432"/>
        </w:trPr>
        <w:tc>
          <w:tcPr>
            <w:tcW w:w="90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(c).</w:t>
            </w:r>
          </w:p>
        </w:tc>
        <w:tc>
          <w:tcPr>
            <w:tcW w:w="9620" w:type="dxa"/>
            <w:vAlign w:val="bottom"/>
          </w:tcPr>
          <w:p>
            <w:pPr>
              <w:spacing w:after="0"/>
              <w:rPr>
                <w:sz w:val="20"/>
                <w:szCs w:val="20"/>
                <w:color w:val="auto"/>
              </w:rPr>
            </w:pPr>
            <w:r>
              <w:rPr>
                <w:rFonts w:ascii="Arial" w:cs="Arial" w:eastAsia="Arial" w:hAnsi="Arial"/>
                <w:sz w:val="18"/>
                <w:szCs w:val="18"/>
                <w:color w:val="auto"/>
              </w:rPr>
              <w:t>Citizenship:</w:t>
            </w:r>
          </w:p>
        </w:tc>
      </w:tr>
      <w:tr>
        <w:trPr>
          <w:trHeight w:val="41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Tenor Capital Management Company, L.P. – Delaware, USA</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Tenor Opportunity Master Fund, Ltd. – Cayman Islands</w:t>
            </w:r>
          </w:p>
        </w:tc>
      </w:tr>
      <w:tr>
        <w:trPr>
          <w:trHeight w:val="230"/>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Robin Shah – USA</w:t>
            </w:r>
          </w:p>
        </w:tc>
      </w:tr>
      <w:tr>
        <w:trPr>
          <w:trHeight w:val="223"/>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20" w:type="dxa"/>
            <w:vAlign w:val="bottom"/>
            <w:tcBorders>
              <w:bottom w:val="single" w:sz="8" w:color="auto"/>
            </w:tcBorders>
          </w:tcPr>
          <w:p>
            <w:pPr>
              <w:spacing w:after="0"/>
              <w:rPr>
                <w:sz w:val="19"/>
                <w:szCs w:val="19"/>
                <w:color w:val="auto"/>
              </w:rPr>
            </w:pPr>
          </w:p>
        </w:tc>
      </w:tr>
      <w:tr>
        <w:trPr>
          <w:trHeight w:val="432"/>
        </w:trPr>
        <w:tc>
          <w:tcPr>
            <w:tcW w:w="90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(d)</w:t>
            </w:r>
          </w:p>
        </w:tc>
        <w:tc>
          <w:tcPr>
            <w:tcW w:w="9620" w:type="dxa"/>
            <w:vAlign w:val="bottom"/>
          </w:tcPr>
          <w:p>
            <w:pPr>
              <w:spacing w:after="0"/>
              <w:rPr>
                <w:sz w:val="20"/>
                <w:szCs w:val="20"/>
                <w:color w:val="auto"/>
              </w:rPr>
            </w:pPr>
            <w:r>
              <w:rPr>
                <w:rFonts w:ascii="Arial" w:cs="Arial" w:eastAsia="Arial" w:hAnsi="Arial"/>
                <w:sz w:val="18"/>
                <w:szCs w:val="18"/>
                <w:color w:val="auto"/>
              </w:rPr>
              <w:t>Title of class of securities:</w:t>
            </w:r>
          </w:p>
        </w:tc>
      </w:tr>
      <w:tr>
        <w:trPr>
          <w:trHeight w:val="439"/>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 A common stock</w:t>
            </w:r>
          </w:p>
        </w:tc>
      </w:tr>
      <w:tr>
        <w:trPr>
          <w:trHeight w:val="432"/>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CUSIP No.:</w:t>
            </w:r>
          </w:p>
        </w:tc>
      </w:tr>
      <w:tr>
        <w:trPr>
          <w:trHeight w:val="439"/>
        </w:trPr>
        <w:tc>
          <w:tcPr>
            <w:tcW w:w="90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(e).</w:t>
            </w:r>
          </w:p>
        </w:tc>
        <w:tc>
          <w:tcPr>
            <w:tcW w:w="9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05759B107</w:t>
            </w:r>
          </w:p>
        </w:tc>
      </w:tr>
      <w:tr>
        <w:trPr>
          <w:trHeight w:val="655"/>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r>
      <w:tr>
        <w:trPr>
          <w:trHeight w:val="655"/>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r>
      <w:tr>
        <w:trPr>
          <w:trHeight w:val="439"/>
        </w:trPr>
        <w:tc>
          <w:tcPr>
            <w:tcW w:w="9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25" w:lineRule="exact"/>
        <w:rPr>
          <w:sz w:val="20"/>
          <w:szCs w:val="20"/>
          <w:color w:val="auto"/>
        </w:rPr>
      </w:pPr>
    </w:p>
    <w:p>
      <w:pPr>
        <w:ind w:left="1620" w:hanging="64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280" w:right="20" w:hanging="1300"/>
        <w:spacing w:after="0" w:line="277" w:lineRule="auto"/>
        <w:tabs>
          <w:tab w:leader="none" w:pos="1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2280" w:hanging="1300"/>
        <w:spacing w:after="0" w:line="277" w:lineRule="auto"/>
        <w:tabs>
          <w:tab w:leader="none" w:pos="1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[_]Group, in accordance with §240.13d-1(b)(1)(ii)(K). If filing as a non-U.S. institution in accordance with §240.13d-1(b)(1) (ii)(J),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(a)</w:t>
            </w:r>
          </w:p>
        </w:tc>
        <w:tc>
          <w:tcPr>
            <w:tcW w:w="8240" w:type="dxa"/>
            <w:vAlign w:val="bottom"/>
            <w:gridSpan w:val="2"/>
          </w:tcPr>
          <w:p>
            <w:pPr>
              <w:ind w:left="40"/>
              <w:spacing w:after="0"/>
              <w:rPr>
                <w:sz w:val="20"/>
                <w:szCs w:val="20"/>
                <w:color w:val="auto"/>
              </w:rPr>
            </w:pPr>
            <w:r>
              <w:rPr>
                <w:rFonts w:ascii="Arial" w:cs="Arial" w:eastAsia="Arial" w:hAnsi="Arial"/>
                <w:sz w:val="18"/>
                <w:szCs w:val="18"/>
                <w:color w:val="auto"/>
              </w:rPr>
              <w:t>Amount beneficially owned:</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Tenor Capital Management Company, L.P. – 0 *</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Tenor Opportunity Master Fund, Ltd. – 0 *</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Robin Shah – 0 *</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8240" w:type="dxa"/>
            <w:vAlign w:val="bottom"/>
            <w:gridSpan w:val="2"/>
          </w:tcPr>
          <w:p>
            <w:pPr>
              <w:ind w:left="40"/>
              <w:spacing w:after="0"/>
              <w:rPr>
                <w:sz w:val="20"/>
                <w:szCs w:val="20"/>
                <w:color w:val="auto"/>
              </w:rPr>
            </w:pPr>
            <w:r>
              <w:rPr>
                <w:rFonts w:ascii="Arial" w:cs="Arial" w:eastAsia="Arial" w:hAnsi="Arial"/>
                <w:sz w:val="18"/>
                <w:szCs w:val="18"/>
                <w:color w:val="auto"/>
              </w:rPr>
              <w:t>Percent of class:</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Tenor Capital Management Company, L.P. – 0.00%*</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Tenor Opportunity Master Fund, Ltd. – 0.00%*</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Robin Shah – 0.00%*</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(c)</w:t>
            </w:r>
          </w:p>
        </w:tc>
        <w:tc>
          <w:tcPr>
            <w:tcW w:w="8240" w:type="dxa"/>
            <w:vAlign w:val="bottom"/>
            <w:gridSpan w:val="2"/>
          </w:tcPr>
          <w:p>
            <w:pPr>
              <w:ind w:left="40"/>
              <w:spacing w:after="0"/>
              <w:rPr>
                <w:sz w:val="20"/>
                <w:szCs w:val="20"/>
                <w:color w:val="auto"/>
              </w:rPr>
            </w:pPr>
            <w:r>
              <w:rPr>
                <w:rFonts w:ascii="Arial" w:cs="Arial" w:eastAsia="Arial" w:hAnsi="Arial"/>
                <w:sz w:val="18"/>
                <w:szCs w:val="18"/>
                <w:color w:val="auto"/>
              </w:rPr>
              <w:t>Number of shares as to which Tenor Capital Management Company, L.P. has:</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2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(i)</w:t>
            </w:r>
          </w:p>
        </w:tc>
        <w:tc>
          <w:tcPr>
            <w:tcW w:w="7900" w:type="dxa"/>
            <w:vAlign w:val="bottom"/>
          </w:tcPr>
          <w:p>
            <w:pPr>
              <w:ind w:left="360"/>
              <w:spacing w:after="0"/>
              <w:rPr>
                <w:sz w:val="20"/>
                <w:szCs w:val="20"/>
                <w:color w:val="auto"/>
              </w:rPr>
            </w:pPr>
            <w:r>
              <w:rPr>
                <w:rFonts w:ascii="Arial" w:cs="Arial" w:eastAsia="Arial" w:hAnsi="Arial"/>
                <w:sz w:val="18"/>
                <w:szCs w:val="18"/>
                <w:color w:val="auto"/>
              </w:rPr>
              <w:t>Sole power to vote or to direct the vote</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0</w:t>
            </w:r>
          </w:p>
        </w:tc>
        <w:tc>
          <w:tcPr>
            <w:tcW w:w="40" w:type="dxa"/>
            <w:vAlign w:val="bottom"/>
            <w:gridSpan w:val="2"/>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2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(ii)</w:t>
            </w:r>
          </w:p>
        </w:tc>
        <w:tc>
          <w:tcPr>
            <w:tcW w:w="7900" w:type="dxa"/>
            <w:vAlign w:val="bottom"/>
          </w:tcPr>
          <w:p>
            <w:pPr>
              <w:ind w:left="360"/>
              <w:spacing w:after="0"/>
              <w:rPr>
                <w:sz w:val="20"/>
                <w:szCs w:val="20"/>
                <w:color w:val="auto"/>
              </w:rPr>
            </w:pPr>
            <w:r>
              <w:rPr>
                <w:rFonts w:ascii="Arial" w:cs="Arial" w:eastAsia="Arial" w:hAnsi="Arial"/>
                <w:sz w:val="18"/>
                <w:szCs w:val="18"/>
                <w:color w:val="auto"/>
              </w:rPr>
              <w:t>Shared power to vote or to direct the vote</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0</w:t>
            </w:r>
          </w:p>
        </w:tc>
        <w:tc>
          <w:tcPr>
            <w:tcW w:w="40" w:type="dxa"/>
            <w:vAlign w:val="bottom"/>
            <w:gridSpan w:val="2"/>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2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(iii)</w:t>
            </w:r>
          </w:p>
        </w:tc>
        <w:tc>
          <w:tcPr>
            <w:tcW w:w="7900" w:type="dxa"/>
            <w:vAlign w:val="bottom"/>
          </w:tcPr>
          <w:p>
            <w:pPr>
              <w:ind w:left="360"/>
              <w:spacing w:after="0"/>
              <w:rPr>
                <w:sz w:val="20"/>
                <w:szCs w:val="20"/>
                <w:color w:val="auto"/>
              </w:rPr>
            </w:pPr>
            <w:r>
              <w:rPr>
                <w:rFonts w:ascii="Arial" w:cs="Arial" w:eastAsia="Arial" w:hAnsi="Arial"/>
                <w:sz w:val="18"/>
                <w:szCs w:val="18"/>
                <w:color w:val="auto"/>
              </w:rPr>
              <w:t>Sole power to dispose or to direct the disposition of</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0</w:t>
            </w:r>
          </w:p>
        </w:tc>
        <w:tc>
          <w:tcPr>
            <w:tcW w:w="40" w:type="dxa"/>
            <w:vAlign w:val="bottom"/>
            <w:gridSpan w:val="2"/>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2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(iv)</w:t>
            </w:r>
          </w:p>
        </w:tc>
        <w:tc>
          <w:tcPr>
            <w:tcW w:w="7900" w:type="dxa"/>
            <w:vAlign w:val="bottom"/>
          </w:tcPr>
          <w:p>
            <w:pPr>
              <w:ind w:left="360"/>
              <w:spacing w:after="0"/>
              <w:rPr>
                <w:sz w:val="20"/>
                <w:szCs w:val="20"/>
                <w:color w:val="auto"/>
              </w:rPr>
            </w:pPr>
            <w:r>
              <w:rPr>
                <w:rFonts w:ascii="Arial" w:cs="Arial" w:eastAsia="Arial" w:hAnsi="Arial"/>
                <w:sz w:val="18"/>
                <w:szCs w:val="18"/>
                <w:color w:val="auto"/>
              </w:rPr>
              <w:t>Shared power to dispose or to direct the disposition of</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0</w:t>
            </w:r>
          </w:p>
        </w:tc>
        <w:tc>
          <w:tcPr>
            <w:tcW w:w="40" w:type="dxa"/>
            <w:vAlign w:val="bottom"/>
            <w:gridSpan w:val="2"/>
          </w:tcPr>
          <w:p>
            <w:pPr>
              <w:jc w:val="right"/>
              <w:spacing w:after="0"/>
              <w:rPr>
                <w:sz w:val="20"/>
                <w:szCs w:val="20"/>
                <w:color w:val="auto"/>
              </w:rPr>
            </w:pPr>
            <w:r>
              <w:rPr>
                <w:rFonts w:ascii="Arial" w:cs="Arial" w:eastAsia="Arial" w:hAnsi="Arial"/>
                <w:sz w:val="10"/>
                <w:szCs w:val="10"/>
                <w:color w:val="auto"/>
                <w:w w:val="70"/>
              </w:rPr>
              <w:t>.</w:t>
            </w:r>
          </w:p>
        </w:tc>
      </w:tr>
      <w:tr>
        <w:trPr>
          <w:trHeight w:val="432"/>
        </w:trPr>
        <w:tc>
          <w:tcPr>
            <w:tcW w:w="280" w:type="dxa"/>
            <w:vAlign w:val="bottom"/>
          </w:tcPr>
          <w:p>
            <w:pPr>
              <w:spacing w:after="0"/>
              <w:rPr>
                <w:sz w:val="24"/>
                <w:szCs w:val="24"/>
                <w:color w:val="auto"/>
              </w:rPr>
            </w:pPr>
          </w:p>
        </w:tc>
        <w:tc>
          <w:tcPr>
            <w:tcW w:w="8240" w:type="dxa"/>
            <w:vAlign w:val="bottom"/>
            <w:gridSpan w:val="2"/>
          </w:tcPr>
          <w:p>
            <w:pPr>
              <w:ind w:left="40"/>
              <w:spacing w:after="0"/>
              <w:rPr>
                <w:sz w:val="20"/>
                <w:szCs w:val="20"/>
                <w:color w:val="auto"/>
              </w:rPr>
            </w:pPr>
            <w:r>
              <w:rPr>
                <w:rFonts w:ascii="Arial" w:cs="Arial" w:eastAsia="Arial" w:hAnsi="Arial"/>
                <w:sz w:val="18"/>
                <w:szCs w:val="18"/>
                <w:color w:val="auto"/>
              </w:rPr>
              <w:t>Number of shares as to which Tenor Opportunity Master Fund, Ltd. has:</w:t>
            </w:r>
          </w:p>
        </w:tc>
        <w:tc>
          <w:tcPr>
            <w:tcW w:w="1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2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(i)</w:t>
            </w:r>
          </w:p>
        </w:tc>
        <w:tc>
          <w:tcPr>
            <w:tcW w:w="7900" w:type="dxa"/>
            <w:vAlign w:val="bottom"/>
          </w:tcPr>
          <w:p>
            <w:pPr>
              <w:ind w:left="360"/>
              <w:spacing w:after="0"/>
              <w:rPr>
                <w:sz w:val="20"/>
                <w:szCs w:val="20"/>
                <w:color w:val="auto"/>
              </w:rPr>
            </w:pPr>
            <w:r>
              <w:rPr>
                <w:rFonts w:ascii="Arial" w:cs="Arial" w:eastAsia="Arial" w:hAnsi="Arial"/>
                <w:sz w:val="18"/>
                <w:szCs w:val="18"/>
                <w:color w:val="auto"/>
              </w:rPr>
              <w:t>Sole power to vote or to direct the vote</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0</w:t>
            </w:r>
          </w:p>
        </w:tc>
        <w:tc>
          <w:tcPr>
            <w:tcW w:w="40" w:type="dxa"/>
            <w:vAlign w:val="bottom"/>
            <w:gridSpan w:val="2"/>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2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(ii)</w:t>
            </w:r>
          </w:p>
        </w:tc>
        <w:tc>
          <w:tcPr>
            <w:tcW w:w="7900" w:type="dxa"/>
            <w:vAlign w:val="bottom"/>
          </w:tcPr>
          <w:p>
            <w:pPr>
              <w:ind w:left="360"/>
              <w:spacing w:after="0"/>
              <w:rPr>
                <w:sz w:val="20"/>
                <w:szCs w:val="20"/>
                <w:color w:val="auto"/>
              </w:rPr>
            </w:pPr>
            <w:r>
              <w:rPr>
                <w:rFonts w:ascii="Arial" w:cs="Arial" w:eastAsia="Arial" w:hAnsi="Arial"/>
                <w:sz w:val="18"/>
                <w:szCs w:val="18"/>
                <w:color w:val="auto"/>
              </w:rPr>
              <w:t>Shared power to vote or to direct the vote</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0</w:t>
            </w:r>
          </w:p>
        </w:tc>
        <w:tc>
          <w:tcPr>
            <w:tcW w:w="40" w:type="dxa"/>
            <w:vAlign w:val="bottom"/>
            <w:gridSpan w:val="2"/>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2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(iii)</w:t>
            </w:r>
          </w:p>
        </w:tc>
        <w:tc>
          <w:tcPr>
            <w:tcW w:w="7900" w:type="dxa"/>
            <w:vAlign w:val="bottom"/>
          </w:tcPr>
          <w:p>
            <w:pPr>
              <w:ind w:left="360"/>
              <w:spacing w:after="0"/>
              <w:rPr>
                <w:sz w:val="20"/>
                <w:szCs w:val="20"/>
                <w:color w:val="auto"/>
              </w:rPr>
            </w:pPr>
            <w:r>
              <w:rPr>
                <w:rFonts w:ascii="Arial" w:cs="Arial" w:eastAsia="Arial" w:hAnsi="Arial"/>
                <w:sz w:val="18"/>
                <w:szCs w:val="18"/>
                <w:color w:val="auto"/>
              </w:rPr>
              <w:t>Sole power to dispose or to direct the disposition of</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0</w:t>
            </w:r>
          </w:p>
        </w:tc>
        <w:tc>
          <w:tcPr>
            <w:tcW w:w="40" w:type="dxa"/>
            <w:vAlign w:val="bottom"/>
            <w:gridSpan w:val="2"/>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2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(iv)</w:t>
            </w:r>
          </w:p>
        </w:tc>
        <w:tc>
          <w:tcPr>
            <w:tcW w:w="7900" w:type="dxa"/>
            <w:vAlign w:val="bottom"/>
          </w:tcPr>
          <w:p>
            <w:pPr>
              <w:ind w:left="360"/>
              <w:spacing w:after="0"/>
              <w:rPr>
                <w:sz w:val="20"/>
                <w:szCs w:val="20"/>
                <w:color w:val="auto"/>
              </w:rPr>
            </w:pPr>
            <w:r>
              <w:rPr>
                <w:rFonts w:ascii="Arial" w:cs="Arial" w:eastAsia="Arial" w:hAnsi="Arial"/>
                <w:sz w:val="18"/>
                <w:szCs w:val="18"/>
                <w:color w:val="auto"/>
              </w:rPr>
              <w:t>Shared power to dispose or to direct the disposition of</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0</w:t>
            </w:r>
          </w:p>
        </w:tc>
        <w:tc>
          <w:tcPr>
            <w:tcW w:w="40" w:type="dxa"/>
            <w:vAlign w:val="bottom"/>
            <w:gridSpan w:val="2"/>
          </w:tcPr>
          <w:p>
            <w:pPr>
              <w:jc w:val="right"/>
              <w:spacing w:after="0"/>
              <w:rPr>
                <w:sz w:val="20"/>
                <w:szCs w:val="20"/>
                <w:color w:val="auto"/>
              </w:rPr>
            </w:pPr>
            <w:r>
              <w:rPr>
                <w:rFonts w:ascii="Arial" w:cs="Arial" w:eastAsia="Arial" w:hAnsi="Arial"/>
                <w:sz w:val="10"/>
                <w:szCs w:val="10"/>
                <w:color w:val="auto"/>
                <w:w w:val="70"/>
              </w:rPr>
              <w:t>.</w:t>
            </w:r>
          </w:p>
        </w:tc>
      </w:tr>
      <w:tr>
        <w:trPr>
          <w:trHeight w:val="432"/>
        </w:trPr>
        <w:tc>
          <w:tcPr>
            <w:tcW w:w="280" w:type="dxa"/>
            <w:vAlign w:val="bottom"/>
          </w:tcPr>
          <w:p>
            <w:pPr>
              <w:spacing w:after="0"/>
              <w:rPr>
                <w:sz w:val="24"/>
                <w:szCs w:val="24"/>
                <w:color w:val="auto"/>
              </w:rPr>
            </w:pPr>
          </w:p>
        </w:tc>
        <w:tc>
          <w:tcPr>
            <w:tcW w:w="8240" w:type="dxa"/>
            <w:vAlign w:val="bottom"/>
            <w:gridSpan w:val="2"/>
          </w:tcPr>
          <w:p>
            <w:pPr>
              <w:ind w:left="40"/>
              <w:spacing w:after="0"/>
              <w:rPr>
                <w:sz w:val="20"/>
                <w:szCs w:val="20"/>
                <w:color w:val="auto"/>
              </w:rPr>
            </w:pPr>
            <w:r>
              <w:rPr>
                <w:rFonts w:ascii="Arial" w:cs="Arial" w:eastAsia="Arial" w:hAnsi="Arial"/>
                <w:sz w:val="18"/>
                <w:szCs w:val="18"/>
                <w:color w:val="auto"/>
              </w:rPr>
              <w:t>Number of shares as to which Robin Shah has:</w:t>
            </w:r>
          </w:p>
        </w:tc>
        <w:tc>
          <w:tcPr>
            <w:tcW w:w="1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2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(i)</w:t>
            </w:r>
          </w:p>
        </w:tc>
        <w:tc>
          <w:tcPr>
            <w:tcW w:w="7900" w:type="dxa"/>
            <w:vAlign w:val="bottom"/>
          </w:tcPr>
          <w:p>
            <w:pPr>
              <w:ind w:left="360"/>
              <w:spacing w:after="0"/>
              <w:rPr>
                <w:sz w:val="20"/>
                <w:szCs w:val="20"/>
                <w:color w:val="auto"/>
              </w:rPr>
            </w:pPr>
            <w:r>
              <w:rPr>
                <w:rFonts w:ascii="Arial" w:cs="Arial" w:eastAsia="Arial" w:hAnsi="Arial"/>
                <w:sz w:val="18"/>
                <w:szCs w:val="18"/>
                <w:color w:val="auto"/>
              </w:rPr>
              <w:t>Sole power to vote or to direct the vote</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0</w:t>
            </w:r>
          </w:p>
        </w:tc>
        <w:tc>
          <w:tcPr>
            <w:tcW w:w="40" w:type="dxa"/>
            <w:vAlign w:val="bottom"/>
            <w:gridSpan w:val="2"/>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2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(ii)</w:t>
            </w:r>
          </w:p>
        </w:tc>
        <w:tc>
          <w:tcPr>
            <w:tcW w:w="7900" w:type="dxa"/>
            <w:vAlign w:val="bottom"/>
          </w:tcPr>
          <w:p>
            <w:pPr>
              <w:ind w:left="360"/>
              <w:spacing w:after="0"/>
              <w:rPr>
                <w:sz w:val="20"/>
                <w:szCs w:val="20"/>
                <w:color w:val="auto"/>
              </w:rPr>
            </w:pPr>
            <w:r>
              <w:rPr>
                <w:rFonts w:ascii="Arial" w:cs="Arial" w:eastAsia="Arial" w:hAnsi="Arial"/>
                <w:sz w:val="18"/>
                <w:szCs w:val="18"/>
                <w:color w:val="auto"/>
              </w:rPr>
              <w:t>Shared power to vote or to direct the vote</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0</w:t>
            </w:r>
          </w:p>
        </w:tc>
        <w:tc>
          <w:tcPr>
            <w:tcW w:w="40" w:type="dxa"/>
            <w:vAlign w:val="bottom"/>
            <w:gridSpan w:val="2"/>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2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(iii)</w:t>
            </w:r>
          </w:p>
        </w:tc>
        <w:tc>
          <w:tcPr>
            <w:tcW w:w="7900" w:type="dxa"/>
            <w:vAlign w:val="bottom"/>
          </w:tcPr>
          <w:p>
            <w:pPr>
              <w:ind w:left="360"/>
              <w:spacing w:after="0"/>
              <w:rPr>
                <w:sz w:val="20"/>
                <w:szCs w:val="20"/>
                <w:color w:val="auto"/>
              </w:rPr>
            </w:pPr>
            <w:r>
              <w:rPr>
                <w:rFonts w:ascii="Arial" w:cs="Arial" w:eastAsia="Arial" w:hAnsi="Arial"/>
                <w:sz w:val="18"/>
                <w:szCs w:val="18"/>
                <w:color w:val="auto"/>
              </w:rPr>
              <w:t>Sole power to dispose or to direct the disposition of</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0</w:t>
            </w:r>
          </w:p>
        </w:tc>
        <w:tc>
          <w:tcPr>
            <w:tcW w:w="40" w:type="dxa"/>
            <w:vAlign w:val="bottom"/>
            <w:gridSpan w:val="2"/>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2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(iv)</w:t>
            </w:r>
          </w:p>
        </w:tc>
        <w:tc>
          <w:tcPr>
            <w:tcW w:w="7900" w:type="dxa"/>
            <w:vAlign w:val="bottom"/>
          </w:tcPr>
          <w:p>
            <w:pPr>
              <w:ind w:left="360"/>
              <w:spacing w:after="0"/>
              <w:rPr>
                <w:sz w:val="20"/>
                <w:szCs w:val="20"/>
                <w:color w:val="auto"/>
              </w:rPr>
            </w:pPr>
            <w:r>
              <w:rPr>
                <w:rFonts w:ascii="Arial" w:cs="Arial" w:eastAsia="Arial" w:hAnsi="Arial"/>
                <w:sz w:val="18"/>
                <w:szCs w:val="18"/>
                <w:color w:val="auto"/>
              </w:rPr>
              <w:t>Shared power to dispose or to direct the disposition of</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0</w:t>
            </w:r>
          </w:p>
        </w:tc>
        <w:tc>
          <w:tcPr>
            <w:tcW w:w="40" w:type="dxa"/>
            <w:vAlign w:val="bottom"/>
            <w:gridSpan w:val="2"/>
          </w:tcPr>
          <w:p>
            <w:pPr>
              <w:jc w:val="right"/>
              <w:spacing w:after="0"/>
              <w:rPr>
                <w:sz w:val="20"/>
                <w:szCs w:val="20"/>
                <w:color w:val="auto"/>
              </w:rPr>
            </w:pPr>
            <w:r>
              <w:rPr>
                <w:rFonts w:ascii="Arial" w:cs="Arial" w:eastAsia="Arial" w:hAnsi="Arial"/>
                <w:sz w:val="10"/>
                <w:szCs w:val="10"/>
                <w:color w:val="auto"/>
                <w:w w:val="70"/>
              </w:rPr>
              <w:t>.</w:t>
            </w: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Note, on October 15, 2021, the business combination of VPC Impact Acquisition Holdings (“VIH”), Pylon Merger Company LLC, and Bakkt Opco Holdings,</w:t>
      </w:r>
      <w:r>
        <w:rPr>
          <w:rFonts w:ascii="Arial" w:cs="Arial" w:eastAsia="Arial" w:hAnsi="Arial"/>
          <w:sz w:val="18"/>
          <w:szCs w:val="18"/>
          <w:color w:val="auto"/>
        </w:rPr>
        <w:t xml:space="preserve"> </w:t>
      </w:r>
      <w:r>
        <w:rPr>
          <w:rFonts w:ascii="Arial" w:cs="Arial" w:eastAsia="Arial" w:hAnsi="Arial"/>
          <w:sz w:val="17"/>
          <w:szCs w:val="17"/>
          <w:color w:val="auto"/>
        </w:rPr>
        <w:t>LLC was consummated (the “Closing”). Accordingly, the Reporting Persons no longer beneficially own any interest of VIH, as it merged out of existence as a result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300"/>
        <w:spacing w:after="0" w:line="301" w:lineRule="auto"/>
        <w:rPr>
          <w:sz w:val="20"/>
          <w:szCs w:val="20"/>
          <w:color w:val="auto"/>
        </w:rPr>
      </w:pPr>
      <w:r>
        <w:rPr>
          <w:rFonts w:ascii="Arial" w:cs="Arial" w:eastAsia="Arial" w:hAnsi="Arial"/>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1300"/>
        <w:spacing w:after="0" w:line="311" w:lineRule="auto"/>
        <w:rPr>
          <w:sz w:val="20"/>
          <w:szCs w:val="20"/>
          <w:color w:val="auto"/>
        </w:rPr>
      </w:pPr>
      <w:r>
        <w:rPr>
          <w:rFonts w:ascii="Arial" w:cs="Arial" w:eastAsia="Arial" w:hAnsi="Arial"/>
          <w:sz w:val="16"/>
          <w:szCs w:val="16"/>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13d- 1(c) or Rule 13d-1(d), attach an exhibit stating the identity of each member of the group.</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130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February 3, 2022</w:t>
      </w:r>
      <w:r>
        <w:rPr>
          <w:sz w:val="20"/>
          <w:szCs w:val="20"/>
          <w:color w:val="auto"/>
        </w:rPr>
        <w:tab/>
      </w:r>
      <w:r>
        <w:rPr>
          <w:rFonts w:ascii="Arial" w:cs="Arial" w:eastAsia="Arial" w:hAnsi="Arial"/>
          <w:sz w:val="16"/>
          <w:szCs w:val="16"/>
          <w:color w:val="auto"/>
        </w:rPr>
        <w:t>Tenor Capital Management Company,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Robin Shah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 its general partner, Tenor Management GP,</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Tenor Opportunity Master Fund,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Robin Shah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Robin Shah</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Robin Shah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Rule 13d-1(k)(1)</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consent and agree to file a joint statement on Schedule 13G under the Securities Exchange Act of 1934, as amended, with respect to the Class A common stock of Bakkt Holdings,Inc., beneficially owned by them, together with any or all amendments thereto, when and if appropriate. The parties hereto further consent and agree to file this Statement pursuant to Rule 13d-1(k)(1)(iii) as an exhibit to Schedule 13G, thereby incorporating the same into such Schedule 13G.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Tenor Capital Management Company,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Robin Shah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 its general partner, Tenor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Management GP,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Tenor Opportunity Master Fund,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Robin Shah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Robin Shah</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Robin Shah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3"/>
    </w:lvl>
    <w:lvl w:ilvl="1">
      <w:lvlJc w:val="left"/>
      <w:lvlText w:val="%2."/>
      <w:numFmt w:val="decimal"/>
      <w:start w:val="5"/>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3"/>
    </w:lvl>
    <w:lvl w:ilvl="1">
      <w:lvlJc w:val="left"/>
      <w:lvlText w:val="%2."/>
      <w:numFmt w:val="decimal"/>
      <w:start w:val="5"/>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1."/>
      <w:numFmt w:val="decimal"/>
      <w:start w:val="1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3"/>
    </w:lvl>
    <w:lvl w:ilvl="1">
      <w:lvlJc w:val="left"/>
      <w:lvlText w:val="%2."/>
      <w:numFmt w:val="decimal"/>
      <w:start w:val="5"/>
    </w:lvl>
  </w:abstractNum>
  <w:abstractNum w:abstractNumId="13">
    <w:nsid w:val="1BEFD79F"/>
    <w:multiLevelType w:val="hybridMultilevel"/>
    <w:lvl w:ilvl="0">
      <w:lvlJc w:val="left"/>
      <w:lvlText w:val="%1."/>
      <w:numFmt w:val="decimal"/>
      <w:start w:val="9"/>
    </w:lvl>
  </w:abstractNum>
  <w:abstractNum w:abstractNumId="14">
    <w:nsid w:val="41A7C4C9"/>
    <w:multiLevelType w:val="hybridMultilevel"/>
    <w:lvl w:ilvl="0">
      <w:lvlJc w:val="left"/>
      <w:lvlText w:val="%1."/>
      <w:numFmt w:val="decimal"/>
      <w:start w:val="1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2022-02-03T13:05:12Z</dcterms:created>
  <dcterms:modified xsi:type="dcterms:W3CDTF">2022-02-03T13:05:12Z</dcterms:modified>
</cp:coreProperties>
</file>