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60" w:type="dxa"/>
            <w:vAlign w:val="bottom"/>
          </w:tcPr>
          <w:p>
            <w:pPr>
              <w:jc w:val="center"/>
              <w:ind w:right="193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20"/>
              <w:spacing w:after="0"/>
              <w:rPr>
                <w:sz w:val="20"/>
                <w:szCs w:val="20"/>
                <w:color w:val="auto"/>
              </w:rPr>
            </w:pPr>
            <w:r>
              <w:rPr>
                <w:rFonts w:ascii="Arial" w:cs="Arial" w:eastAsia="Arial" w:hAnsi="Arial"/>
                <w:sz w:val="18"/>
                <w:szCs w:val="18"/>
                <w:b w:val="1"/>
                <w:bCs w:val="1"/>
                <w:color w:val="auto"/>
              </w:rPr>
              <w:t>001-39544</w:t>
            </w:r>
          </w:p>
        </w:tc>
        <w:tc>
          <w:tcPr>
            <w:tcW w:w="2820" w:type="dxa"/>
            <w:vAlign w:val="bottom"/>
          </w:tcPr>
          <w:p>
            <w:pPr>
              <w:jc w:val="center"/>
              <w:ind w:left="160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60" w:type="dxa"/>
            <w:vAlign w:val="bottom"/>
          </w:tcPr>
          <w:p>
            <w:pPr>
              <w:jc w:val="center"/>
              <w:ind w:right="19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60" w:type="dxa"/>
            <w:vAlign w:val="bottom"/>
          </w:tcPr>
          <w:p>
            <w:pPr>
              <w:jc w:val="center"/>
              <w:ind w:right="191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500"/>
              <w:spacing w:after="0"/>
              <w:rPr>
                <w:sz w:val="20"/>
                <w:szCs w:val="20"/>
                <w:color w:val="auto"/>
              </w:rPr>
            </w:pPr>
            <w:r>
              <w:rPr>
                <w:rFonts w:ascii="Arial" w:cs="Arial" w:eastAsia="Arial" w:hAnsi="Arial"/>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60" w:type="dxa"/>
            <w:vAlign w:val="bottom"/>
          </w:tcPr>
          <w:p>
            <w:pPr>
              <w:jc w:val="center"/>
              <w:ind w:right="13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6"/>
        </w:trPr>
        <w:tc>
          <w:tcPr>
            <w:tcW w:w="3660" w:type="dxa"/>
            <w:vAlign w:val="bottom"/>
          </w:tcPr>
          <w:p>
            <w:pPr>
              <w:jc w:val="center"/>
              <w:ind w:right="15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5"/>
        </w:trPr>
        <w:tc>
          <w:tcPr>
            <w:tcW w:w="3660" w:type="dxa"/>
            <w:vAlign w:val="bottom"/>
          </w:tcPr>
          <w:p>
            <w:pPr>
              <w:jc w:val="center"/>
              <w:ind w:right="13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Class A ordinary shares, $0.0001 par value</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62"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September 17, 2021, VPC Impact Acquisition Holdings (“VIH”) issued a press release announcing that the U.S. Securities and Exchange Commission (“SEC”) has declared effective VIH’s Registration Statement on Form S-4 (the “Registration Statement”), as amended, which was filed in connection with VIH’s previously announced business combination (the “Proposed Transaction”) with Bakkt Holdings, LLC (“Bakkt”). A copy of the press release is furnished as Exhibit 99.1 hereto and incorporated by reference hereby.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liabilities under that section, and shall not be deemed to be incorporated by reference into the filings of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connection with the Proposed Transaction, VIH filed a registration statement on Form S-4 that included a proxy statement/prospectus of VIH. On September 17, 2021, the registration statement was declared effective by the SEC. This document is not a substitute for the definitive proxy statement/prospectus, that will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VIH will mail the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will be mailed to the shareholders of record of VIH as of September 14, 2021 for voting on the Proposed Transaction. VIH shareholders will also be able to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0960"/>
          </w:cols>
          <w:pgMar w:left="440" w:top="297"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w:t>
      </w:r>
    </w:p>
    <w:p>
      <w:pPr>
        <w:sectPr>
          <w:pgSz w:w="11900" w:h="16838" w:orient="portrait"/>
          <w:cols w:equalWidth="0" w:num="1">
            <w:col w:w="11000"/>
          </w:cols>
          <w:pgMar w:left="440" w:top="297" w:right="459" w:bottom="1440" w:gutter="0" w:footer="0" w:header="0"/>
        </w:sectPr>
      </w:pPr>
    </w:p>
    <w:bookmarkStart w:id="3" w:name="page4"/>
    <w:bookmarkEnd w:id="3"/>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2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405"/>
        </w:trPr>
        <w:tc>
          <w:tcPr>
            <w:tcW w:w="100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9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2"/>
                <w:szCs w:val="22"/>
                <w:color w:val="auto"/>
              </w:rPr>
            </w:pPr>
          </w:p>
        </w:tc>
        <w:tc>
          <w:tcPr>
            <w:tcW w:w="956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dated as of September 17, 2021.</w:t>
              </w:r>
            </w:hyperlink>
          </w:p>
        </w:tc>
      </w:tr>
      <w:tr>
        <w:trPr>
          <w:trHeight w:val="20"/>
        </w:trPr>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bl>
    <w:p>
      <w:pPr>
        <w:sectPr>
          <w:pgSz w:w="11900" w:h="16838" w:orient="portrait"/>
          <w:cols w:equalWidth="0" w:num="1">
            <w:col w:w="11020"/>
          </w:cols>
          <w:pgMar w:left="440" w:top="301"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September 17, 2021</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301" w:right="439" w:bottom="1440" w:gutter="0" w:footer="0" w:header="0"/>
        </w:sectPr>
      </w:pPr>
    </w:p>
    <w:bookmarkStart w:id="5" w:name="page6"/>
    <w:bookmarkEnd w:id="5"/>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VPC Impact Acquisition Holdings and Bakkt Holdings, LLC Announce Effectiveness of Registration Statement and Special Meeting Date for Proposed Business Combination</w:t>
      </w:r>
    </w:p>
    <w:p>
      <w:pPr>
        <w:spacing w:after="0" w:line="71" w:lineRule="exact"/>
        <w:rPr>
          <w:sz w:val="20"/>
          <w:szCs w:val="20"/>
          <w:color w:val="auto"/>
        </w:rPr>
      </w:pPr>
    </w:p>
    <w:p>
      <w:pPr>
        <w:ind w:left="960" w:right="4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Special meeting of VPC Impact Acquisition Holdings’ stockholders to approve the proposed business combination with Bakkt to be held on October 14, 2021</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CHICAGO, IL &amp; ALPHARETTA, GA – September 17, 2021 – VPC Impact Acquisition Holdings (NASDAQ: VIHAU, VIH and VIHAW) (“VIH”), a publicly-traded special purpose acquisition company, and Bakkt Holdings, LLC (“Bakkt”), the digital asset marketplace founded in 2018, announced today that the U.S. Securities and Exchange Commission (“SEC”) has declared effective VIH’s Registration Statement on Form S-4 (the “Registration Statement”), as amended, which was filed in connection with VIH’s previously announced business combination (the “Business Combination”) with Bakkt.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extraordinary general meeting of VIH shareholders (the “Special Meeting”) to approve, among other things, the proposed business combination, will be held at 10:00 a.m. Eastern Time on Thursday, October 14, 2021. VIH will file with the SEC a definitive proxy statement/prospectus relating to the Special Meeting, which mailing is expected to commence on or about September 20, 2021 to VIH shareholders of record as of the close of business on September 14, 2021.</w:t>
      </w:r>
    </w:p>
    <w:p>
      <w:pPr>
        <w:spacing w:after="0" w:line="18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are thrilled to have reached this milestone and look forward to successfully completing the proposed business combination with VIH,” said Gavin Michael, Chief Executive Officer of Bakkt. “I want to thank our team members for their dedication, as we would not be here without their tremendous efforts. Now more than ever, we remain excited about the unique growth opportunities ahead for our business, and are laser focused on furthering our vision of connecting the digital economy.”</w:t>
      </w:r>
    </w:p>
    <w:p>
      <w:pPr>
        <w:spacing w:after="0" w:line="18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“Bakkt has an incredibly unique business model and value proposition, and continues to unlock new ways for consumers, business and financial institutions to participate in the digital economy,” said John Martin, Chief Executive Officer of VPC Impact Acquisition Holdings. “The company is a leader in this rapidly growing market of digital assets and has continued to advance its platform and partnership universe. As Bakkt becomes a public company, we believe there are significant opportunities ahead and look forward to supporting the company in this next phase of growth.”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institutions and consumers to buy, sell, store and spend digital assets. Bakkt’s retail platform, now available through the recently-released Bakkt App, amplifies consumer spending, reduces payment costs,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xml:space="preserve">, Bakkt is headquartered in Alpharetta, GA. For more information, visit: </w:t>
      </w:r>
      <w:r>
        <w:rPr>
          <w:rFonts w:ascii="Arial" w:cs="Arial" w:eastAsia="Arial" w:hAnsi="Arial"/>
          <w:sz w:val="18"/>
          <w:szCs w:val="18"/>
          <w:u w:val="single" w:color="auto"/>
          <w:color w:val="auto"/>
        </w:rPr>
        <w:t>http://www.bakkt.com/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Austin. Victory Park Capital is privately held and a Registered Investment Advisor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communication relates to the proposed transactions between VIH and Bakkt, is for informational purposes only and shall not constitute an offer to sell or exchange, or the solicitation of an offer to buy or exchange, any securities pursuant to the proposed business combination or otherwise, nor shall there be any sale of securities in any jurisdiction in which such offer, solicitation, sale or exchange would be unlawful prior to the registration or qualification under the securities laws of any such jurisdiction. In connection with the Business Combination, VIH has filed the prospectus with respect to changing VIH’s</w:t>
      </w:r>
    </w:p>
    <w:p>
      <w:pPr>
        <w:sectPr>
          <w:pgSz w:w="11900" w:h="16838" w:orient="portrait"/>
          <w:cols w:equalWidth="0" w:num="1">
            <w:col w:w="11020"/>
          </w:cols>
          <w:pgMar w:left="440" w:top="121" w:right="439" w:bottom="1440" w:gutter="0" w:footer="0" w:header="0"/>
        </w:sectPr>
      </w:pPr>
    </w:p>
    <w:bookmarkStart w:id="6" w:name="page7"/>
    <w:bookmarkEnd w:id="6"/>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of incorporation from the Cayman Islands to the State of Delaware and proxy statement with respect to VIH’s shareholder meeting at which VIH shareholders will be asked to vote on the proposed Business Combination, which was included in the Registration Statement that the SEC has declared effective. VIH and Bakkt urge shareholders and other interested persons to read the proxy statement/prospectus, as well as other documents filed with the SEC, because these documents will contain important information about the Business Combination.</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The definitive proxy statement/prospectus and other relevant materials for the Business Combination will be mailed to shareholders of VIH as of a record date to be established for voting on the Business Combination. VIH’s shareholders are also be able to obtain copies of the definitive proxy statement/prospectus and other documents filed with the SEC, without charge, once available,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can also be obtained free of charge from VIH upon written request to VIH by emailing </w:t>
      </w:r>
      <w:r>
        <w:rPr>
          <w:rFonts w:ascii="Arial" w:cs="Arial" w:eastAsia="Arial" w:hAnsi="Arial"/>
          <w:sz w:val="17"/>
          <w:szCs w:val="17"/>
          <w:u w:val="single" w:color="auto"/>
          <w:color w:val="auto"/>
        </w:rPr>
        <w:t>vihinfo@victoryparkcapital.co</w:t>
      </w:r>
      <w:r>
        <w:rPr>
          <w:rFonts w:ascii="Arial" w:cs="Arial" w:eastAsia="Arial" w:hAnsi="Arial"/>
          <w:sz w:val="17"/>
          <w:szCs w:val="17"/>
          <w:color w:val="auto"/>
        </w:rPr>
        <w:t>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VIH, Bakkt and their respective directors, managers, executive officers and other members of their management and employees, under SEC rules, may be deemed to be participants in the solicitation of proxies of VIH shareholders in connection with the Business Combination. Information regarding the persons who may, under SEC rules, be deemed participants in the solicitation of proxies to VIH’s shareholders in connection with the Business Combination is set forth in the definitive proxy statement/prospectus for the Business Combination. Information concerning the interests of VIH and Bakkt’s participants in the solicitation, which may, in some cases, be different than those of VIH and Bakkt’s equity holders generally, is also set forth in the definitive proxy statement/prospectus for the Business Combination.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the timing of the closing of the Business Combination; our plans, objectives, expectations and intentions with respect to future operations;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the occurrence of any event, change or other circumstances that could give rise to the termination of the definitive agreement; (ii) the inability to complete the Business Combination due to the failure to obtain approval of VIH’s shareholders,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 (v) risks related to disruption of management time from ongoing business operations due to the Business Combination;</w:t>
      </w:r>
    </w:p>
    <w:p>
      <w:pPr>
        <w:spacing w:after="0" w:line="2" w:lineRule="exact"/>
        <w:rPr>
          <w:sz w:val="20"/>
          <w:szCs w:val="20"/>
          <w:color w:val="auto"/>
        </w:rPr>
      </w:pPr>
    </w:p>
    <w:p>
      <w:pPr>
        <w:ind w:left="4" w:right="140" w:hanging="4"/>
        <w:spacing w:after="0" w:line="252" w:lineRule="auto"/>
        <w:tabs>
          <w:tab w:leader="none" w:pos="30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and (x) risks relating to data security. The foregoing list of factors is not exhaustive. You should carefully consider the foregoing factors and the other risks and uncertainties described in the “Risk Factors” section of the Registration Statement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2" w:lineRule="exact"/>
        <w:rPr>
          <w:sz w:val="20"/>
          <w:szCs w:val="20"/>
          <w:color w:val="auto"/>
        </w:rPr>
      </w:pPr>
    </w:p>
    <w:p>
      <w:pPr>
        <w:ind w:left="4" w:right="6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VIH and Bakkt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ann.devries@bakkt.com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BakkIR@edelman.com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 Post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Lauren.Post@bakkt.com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VIH: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Julia.Fisher@edelman.com</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sectPr>
      <w:pgSz w:w="11900" w:h="16838" w:orient="portrait"/>
      <w:cols w:equalWidth="0" w:num="1">
        <w:col w:w="10944"/>
      </w:cols>
      <w:pgMar w:left="436"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2021-09-20T05:09:11Z</dcterms:created>
  <dcterms:modified xsi:type="dcterms:W3CDTF">2021-09-20T05:09:11Z</dcterms:modified>
</cp:coreProperties>
</file>