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Main Andrew A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BKKT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8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Co-CEO &amp; President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58,265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 w:line="3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446,403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47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securities are restricted stock units (RSUs). Each RSU represents a contingent right to receive one share of Class A Common Stock of the issuer. 50% of the RSUs shall vest on the one year anniversary of the grant date, 12.5% shall vest on the fifteen (15) month anniversary of the grant date, 12.5% shall vest on the eighteen (18) month anniversary of the grant date, 12.5% shall vest on the twenty one (21) month anniversary of the grant date, and 12.5% shall vest on the twenty four (24) month anniversary of the grant date, provided that the reporting person continues to provide services to the issuer through each such date.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338,744 shares of Class A Common Stock subject to RSUs and performance stock units awards that remain subject to vesting.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239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Andrew</w:t>
        <w:tab/>
        <w:t>04/15/2025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Main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63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6731" TargetMode="External"/><Relationship Id="rId14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2025-04-15T16:52:04Z</dcterms:created>
  <dcterms:modified xsi:type="dcterms:W3CDTF">2025-04-15T16:52:04Z</dcterms:modified>
</cp:coreProperties>
</file>