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637540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662940</wp:posOffset>
            </wp:positionV>
            <wp:extent cx="466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890"/>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March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089" w:right="339" w:bottom="1440" w:gutter="0" w:footer="0" w:header="0"/>
          <w:type w:val="continuous"/>
        </w:sectPr>
      </w:pPr>
    </w:p>
    <w:tbl>
      <w:tblPr>
        <w:tblLayout w:type="fixed"/>
        <w:tblInd w:w="1120" w:type="dxa"/>
        <w:tblCellMar>
          <w:top w:w="0" w:type="dxa"/>
          <w:left w:w="0" w:type="dxa"/>
          <w:bottom w:w="0" w:type="dxa"/>
          <w:right w:w="0" w:type="dxa"/>
        </w:tblCellMar>
      </w:tblPr>
      <w:tr>
        <w:trPr>
          <w:trHeight w:val="207"/>
        </w:trPr>
        <w:tc>
          <w:tcPr>
            <w:tcW w:w="5140" w:type="dxa"/>
            <w:vAlign w:val="bottom"/>
          </w:tcPr>
          <w:p>
            <w:pPr>
              <w:jc w:val="center"/>
              <w:ind w:right="1775"/>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2560" w:type="dxa"/>
            <w:vAlign w:val="bottom"/>
          </w:tcPr>
          <w:p>
            <w:pPr>
              <w:spacing w:after="0"/>
              <w:rPr>
                <w:sz w:val="17"/>
                <w:szCs w:val="17"/>
                <w:color w:val="auto"/>
              </w:rPr>
            </w:pPr>
          </w:p>
        </w:tc>
      </w:tr>
      <w:tr>
        <w:trPr>
          <w:trHeight w:val="216"/>
        </w:trPr>
        <w:tc>
          <w:tcPr>
            <w:tcW w:w="5140" w:type="dxa"/>
            <w:vAlign w:val="bottom"/>
          </w:tcPr>
          <w:p>
            <w:pPr>
              <w:jc w:val="center"/>
              <w:ind w:right="1795"/>
              <w:spacing w:after="0"/>
              <w:rPr>
                <w:sz w:val="20"/>
                <w:szCs w:val="20"/>
                <w:color w:val="auto"/>
              </w:rPr>
            </w:pPr>
            <w:r>
              <w:rPr>
                <w:rFonts w:ascii="Times New Roman" w:cs="Times New Roman" w:eastAsia="Times New Roman" w:hAnsi="Times New Roman"/>
                <w:sz w:val="18"/>
                <w:szCs w:val="18"/>
                <w:b w:val="1"/>
                <w:bCs w:val="1"/>
                <w:color w:val="auto"/>
                <w:w w:val="99"/>
              </w:rPr>
              <w:t>One Liberty Street, Floor 3, Suite 305-306,</w:t>
            </w:r>
          </w:p>
        </w:tc>
        <w:tc>
          <w:tcPr>
            <w:tcW w:w="25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238"/>
        </w:trPr>
        <w:tc>
          <w:tcPr>
            <w:tcW w:w="5140" w:type="dxa"/>
            <w:vAlign w:val="bottom"/>
          </w:tcPr>
          <w:p>
            <w:pPr>
              <w:jc w:val="center"/>
              <w:ind w:right="1795"/>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560" w:type="dxa"/>
            <w:vAlign w:val="bottom"/>
          </w:tcPr>
          <w:p>
            <w:pPr>
              <w:spacing w:after="0"/>
              <w:rPr>
                <w:sz w:val="20"/>
                <w:szCs w:val="20"/>
                <w:color w:val="auto"/>
              </w:rPr>
            </w:pPr>
          </w:p>
        </w:tc>
      </w:tr>
      <w:tr>
        <w:trPr>
          <w:trHeight w:val="206"/>
        </w:trPr>
        <w:tc>
          <w:tcPr>
            <w:tcW w:w="5140" w:type="dxa"/>
            <w:vAlign w:val="bottom"/>
          </w:tcPr>
          <w:p>
            <w:pPr>
              <w:jc w:val="center"/>
              <w:ind w:right="179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60" w:type="dxa"/>
            <w:vAlign w:val="bottom"/>
          </w:tcPr>
          <w:p>
            <w:pPr>
              <w:jc w:val="center"/>
              <w:ind w:left="18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203-3017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March 24, 2026, Bakkt, Inc. (“Bakkt” or the “Company”) convened and then determined to adjourn, without conducting any business, the special meeting of stockholders (the “Special Meeting”) until Friday, April 17, 2026 at 1:00 p.m. Eastern Time in order to provide Bakkt stockholders with additional time to cast their votes. The purpose of the Special Meeting is for Bakkt’s stockholders to, among other things, approve the issuance of shares of the Company’s Class A Common Stock, par value $0.0001 per share (the “Class A Common Stock”), to the beneficial owners of shares of Distributed Technologies Research Global Ltd., including Akshay Naheta, in accordance with Sections 312.03(b), 312.03(c), and 312.03(d) of the New York Stock Exchange Listed Company Manual, in connection with Bakkt’s acquisition of DTR (the “Issuance Proposal”), which is more fully described in the Company’s definitive proxy statement on Schedule 14A filed with the U.S. Securities and Exchange Commission (the “SEC”) on February 13, 2026 (the “Definitive Proxy Statement”).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close of business on March 23, 2026, approximately 48.2% of the shares outstanding had submitted proxies to be voted at the Special Meeting, of which approximately 99.1% had voted in favor of the Issuance Proposal.</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Special Meeting was adjourned because there were not present in person, by remote communication or by proxy the holders of a sufficient number of shares of Class A Common Stock required to constitute a quorum for the Special Meeting. The Special Meeting will reconvene again virtually on April 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www.virtualshareholdermeeting.com/BKKT2026SM.</w:t>
      </w:r>
    </w:p>
    <w:p>
      <w:pPr>
        <w:spacing w:after="0" w:line="219" w:lineRule="exact"/>
        <w:rPr>
          <w:sz w:val="20"/>
          <w:szCs w:val="20"/>
          <w:color w:val="auto"/>
        </w:rPr>
      </w:pPr>
    </w:p>
    <w:p>
      <w:pPr>
        <w:jc w:val="both"/>
        <w:ind w:right="360"/>
        <w:spacing w:after="0" w:line="242" w:lineRule="auto"/>
        <w:rPr>
          <w:sz w:val="20"/>
          <w:szCs w:val="20"/>
          <w:color w:val="auto"/>
        </w:rPr>
      </w:pPr>
      <w:r>
        <w:rPr>
          <w:rFonts w:ascii="Times New Roman" w:cs="Times New Roman" w:eastAsia="Times New Roman" w:hAnsi="Times New Roman"/>
          <w:sz w:val="18"/>
          <w:szCs w:val="18"/>
          <w:color w:val="auto"/>
        </w:rPr>
        <w:t>The record date for the Special Meeting remains close of business on February 10, 2026 and will apply to the reconvened Special Meeting on April 17, 2026. No changes have been made to the Issuance Proposal or the other proposal(s) to be voted on by the stockholders at the Special Meeting. Proxies previously submitted in respect of the Special Meeting will be voted at the reconvened Special Meeting unless properly withdrawn or revoked.</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Stockholders who have previously submitted their proxy or otherwise voted need not take any action. Stockholders may cast their votes by following the instructions set forth in the Definitive Proxy Statement, which is available on the SEC’s website at www.sec.gov</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4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This Current Report on Form 8-K shall not constitute a solicitation of any proxy, vote, consent or approval in any jurisdiction in connection with the proposed Transactions and shall not constitute an offer to sell or a solicitation of an offer to buy the securities of the Company resulting from the proposed Transactions,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DTR and certain of their respective directors, certain of their respective executive officers and other members of management and employees may be considered participants in the solicitation of proxies with respect to the proposed Transactions under the rules of the SEC. Information about the directors and executive officers of the Company is set forth in its proxy statement for its 2025 annual meeting of stockholders, which was filed with the SEC on April 28, 2025, including under the headings entitled “Leadership and Corporate Governance,” “Director Nominees and Continuing Directors,” “Information on Board of Directors and Corporate Governance,” “Director Compensation,” “Proposal No, 1: Election of Class I Directors,” “Proposal No. 2: Approval of Amendment to 2021 Omnibus Incentive Plan to Increase the Number of Authorized Shares of Class A Common Stock Issuable Thereunder,” “Proposal No. 5: Advisory Vote on the Compensation of our Named Executive Officers,” “Proposal No. 6: Advisory Vote on the Frequency of Future Stockholder Advisory Votes on the Compensation of our Named Executive Officers,” “Executive Officers,” “Executive Compensation,” “Security Ownership of Certain Beneficial Owners, Directors and Management,” and “Related Person Transactions,” in the Form 3 and Form 4 statements of beneficial ownership and statements of changes of beneficial ownership filed with the SEC by the Company’s directors and executive officers, and under the heading entitled “Item 5.02 Departure of Directors or Certain Officers; Election of Directors; Appointment of Certain Officers; Compensatory Arrangements of Certain Officers” in the Company’s Current Report on Form 8-K filed with the SEC on July 30, 2025, August 12, 2025, September 22, 2025, October 21, 2025, October 31, 2025, November 3, 2025, November 7, 2025 and November 14,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which statements involve substantial risks and uncertainties. Forward-looking statements generally relate to future events or the Company’s future financial or operating performance. You can identify forward-looking statements because they contain words such as “will,” “likely,” “expect,” “continue,” “anticipate,”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 w:name="page3"/>
    <w:bookmarkEnd w:id="2"/>
    <w:p>
      <w:pPr>
        <w:jc w:val="both"/>
        <w:spacing w:after="0" w:line="236" w:lineRule="auto"/>
        <w:rPr>
          <w:sz w:val="20"/>
          <w:szCs w:val="20"/>
          <w:color w:val="auto"/>
        </w:rPr>
      </w:pPr>
      <w:r>
        <w:rPr>
          <w:rFonts w:ascii="Times New Roman" w:cs="Times New Roman" w:eastAsia="Times New Roman" w:hAnsi="Times New Roman"/>
          <w:sz w:val="18"/>
          <w:szCs w:val="18"/>
          <w:color w:val="auto"/>
        </w:rPr>
        <w:t>“believe,” “intend,” “plan,” “projection,” “outlook,” “grow,” “progress,” “potential”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Company’s control, incident to the Company’s business. Forward-looking statements in this Current Report on Form 8-K may include, for example, statements about the potential impacts, benefits and risks associated with the Issuance Proposal, the projected financial and operational information regarding DTR and the Company after giving effect to the acquisition by Bakkt of DTR, in exchange for the Consideration Shares. These forward-looking statements are based on information available as of the date of this Current Report on Form 8-K and management’s current expectations, forecasts and assumptions, and involve a number of judgments, known and/or unknown risks and uncertainties. Accordingly, forward-looking statements should not be relied upon as representing the Company’s views as of any subsequent date. The Company does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2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the Company’s assumptions prove incorrect, the Company’s actual results or performance may be materially different from those expressed or implied by these forward-looking statements. The following factors, among others, could cause actual results and the timing of events to differ materially from the anticipated results or other expectations expressed in such forward-looking statements: the inability to obtain stockholder approval of the Issuance Proposal; the amount of the costs, fees, expenses, and charges related to the Purchase Agreement or the Acquisition; risks related to the Acquisition diverting Management’s or employee’s attention from ongoing business operations; the Company’s ability to grow and manage growth profitably;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 w:name="page4"/>
    <w:bookmarkEnd w:id="3"/>
    <w:p>
      <w:pPr>
        <w:jc w:val="both"/>
        <w:spacing w:after="0"/>
        <w:rPr>
          <w:sz w:val="20"/>
          <w:szCs w:val="20"/>
          <w:color w:val="auto"/>
        </w:rPr>
      </w:pPr>
      <w:r>
        <w:rPr>
          <w:rFonts w:ascii="Times New Roman" w:cs="Times New Roman" w:eastAsia="Times New Roman" w:hAnsi="Times New Roman"/>
          <w:sz w:val="18"/>
          <w:szCs w:val="18"/>
          <w:color w:val="auto"/>
        </w:rPr>
        <w:t>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24, 2026</w:t>
      </w:r>
    </w:p>
    <w:p>
      <w:pPr>
        <w:spacing w:after="0" w:line="2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8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2026-03-24T15:36:02Z</dcterms:created>
  <dcterms:modified xsi:type="dcterms:W3CDTF">2026-03-24T15:36:02Z</dcterms:modified>
</cp:coreProperties>
</file>