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20" w:type="dxa"/>
            <w:vAlign w:val="bottom"/>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O'Prey Daniel</w:t>
              </w:r>
            </w:hyperlink>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02/10/2023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Product Officer, Crypto</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02/10/2023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10,389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250,246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2023, the issuer withheld Class A Common Stock that would otherwise have been issued to the reporting person to satisfy such person's tax withholding obligations. The number of shares withheld was determined based on the closing price per share of Class A Common Stock on February 1,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192,328 shares of Class A Common Stock subject to restricted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Daniel</w:t>
      </w:r>
      <w:r>
        <w:rPr>
          <w:sz w:val="20"/>
          <w:szCs w:val="20"/>
          <w:color w:val="auto"/>
        </w:rPr>
        <w:tab/>
      </w:r>
      <w:r>
        <w:rPr>
          <w:rFonts w:ascii="Times New Roman" w:cs="Times New Roman" w:eastAsia="Times New Roman" w:hAnsi="Times New Roman"/>
          <w:sz w:val="17"/>
          <w:szCs w:val="17"/>
          <w:color w:val="0000FF"/>
        </w:rPr>
        <w:t>02/14/2023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O'Prey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0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4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2023-02-14T19:15:20Z</dcterms:created>
  <dcterms:modified xsi:type="dcterms:W3CDTF">2023-02-14T19:15:20Z</dcterms:modified>
</cp:coreProperties>
</file>