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1442720</wp:posOffset>
            </wp:positionH>
            <wp:positionV relativeFrom="page">
              <wp:posOffset>1049020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1075055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87630</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44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April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64135</wp:posOffset>
            </wp:positionV>
            <wp:extent cx="2511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36"/>
          <w:szCs w:val="36"/>
          <w:b w:val="1"/>
          <w:bCs w:val="1"/>
          <w:color w:val="auto"/>
        </w:rPr>
        <w:t>Bakkt Holdings, Inc.</w:t>
      </w:r>
    </w:p>
    <w:p>
      <w:pPr>
        <w:ind w:lef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73025</wp:posOffset>
            </wp:positionV>
            <wp:extent cx="2511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rPr>
              <w:t>98-1550750</w:t>
            </w:r>
          </w:p>
        </w:tc>
      </w:tr>
      <w:tr>
        <w:trPr>
          <w:trHeight w:val="17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45" w:lineRule="exact"/>
        <w:rPr>
          <w:sz w:val="24"/>
          <w:szCs w:val="24"/>
          <w:color w:val="auto"/>
        </w:rPr>
      </w:pPr>
    </w:p>
    <w:p>
      <w:pPr>
        <w:sectPr>
          <w:pgSz w:w="11900" w:h="16838" w:orient="portrait"/>
          <w:cols w:equalWidth="0" w:num="2">
            <w:col w:w="2720" w:space="720"/>
            <w:col w:w="7800"/>
          </w:cols>
          <w:pgMar w:left="320" w:top="1440" w:right="339" w:bottom="1440" w:gutter="0" w:footer="0" w:header="0"/>
          <w:type w:val="continuous"/>
        </w:sectPr>
      </w:pPr>
    </w:p>
    <w:tbl>
      <w:tblPr>
        <w:tblLayout w:type="fixed"/>
        <w:tblInd w:w="1360" w:type="dxa"/>
        <w:tblCellMar>
          <w:top w:w="0" w:type="dxa"/>
          <w:left w:w="0" w:type="dxa"/>
          <w:bottom w:w="0" w:type="dxa"/>
          <w:right w:w="0" w:type="dxa"/>
        </w:tblCellMar>
      </w:tblPr>
      <w:tr>
        <w:trPr>
          <w:trHeight w:val="207"/>
        </w:trPr>
        <w:tc>
          <w:tcPr>
            <w:tcW w:w="480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66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30009</w:t>
            </w:r>
          </w:p>
        </w:tc>
        <w:tc>
          <w:tcPr>
            <w:tcW w:w="0" w:type="dxa"/>
            <w:vAlign w:val="bottom"/>
          </w:tcPr>
          <w:p>
            <w:pPr>
              <w:spacing w:after="0"/>
              <w:rPr>
                <w:sz w:val="1"/>
                <w:szCs w:val="1"/>
                <w:color w:val="auto"/>
              </w:rPr>
            </w:pPr>
          </w:p>
        </w:tc>
      </w:tr>
      <w:tr>
        <w:trPr>
          <w:trHeight w:val="144"/>
        </w:trPr>
        <w:tc>
          <w:tcPr>
            <w:tcW w:w="4800" w:type="dxa"/>
            <w:vAlign w:val="bottom"/>
            <w:vMerge w:val="restart"/>
          </w:tcPr>
          <w:p>
            <w:pPr>
              <w:jc w:val="center"/>
              <w:ind w:right="1936"/>
              <w:spacing w:after="0"/>
              <w:rPr>
                <w:sz w:val="20"/>
                <w:szCs w:val="20"/>
                <w:color w:val="auto"/>
              </w:rPr>
            </w:pPr>
            <w:r>
              <w:rPr>
                <w:rFonts w:ascii="Times New Roman" w:cs="Times New Roman" w:eastAsia="Times New Roman" w:hAnsi="Times New Roman"/>
                <w:sz w:val="18"/>
                <w:szCs w:val="18"/>
                <w:b w:val="1"/>
                <w:bCs w:val="1"/>
                <w:color w:val="auto"/>
                <w:w w:val="99"/>
              </w:rPr>
              <w:t>Alpharetta, Georgia</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80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800" w:type="dxa"/>
            <w:vAlign w:val="bottom"/>
          </w:tcPr>
          <w:p>
            <w:pPr>
              <w:jc w:val="center"/>
              <w:ind w:right="193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jc w:val="center"/>
              <w:ind w:left="191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191135</wp:posOffset>
            </wp:positionV>
            <wp:extent cx="251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4" w:lineRule="exact"/>
        <w:rPr>
          <w:sz w:val="24"/>
          <w:szCs w:val="24"/>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4"/>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38"/>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51435</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76835</wp:posOffset>
            </wp:positionV>
            <wp:extent cx="466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1060" w:hanging="1201"/>
        <w:spacing w:after="0" w:line="286" w:lineRule="auto"/>
        <w:tabs>
          <w:tab w:leader="none" w:pos="104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of Certain Officers; Election of Directors; Appointment of Certain Officers; Compensatory Arrangements of Certain Officers.</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previously disclosed in a Current Report on Form 8-K filed by Bakkt Holdings, Inc. (the “Company”) with the Securities and Exchange Commission on March 20, 2025 (the “Prior Form 8-K”), and pursuant to the Employment Agreement, dated as of March 19, 2025, by and between the Company and Akshay Naheta (the “Naheta Employment Agreement”), Mr. Naheta is entitled to certain equity-based awards as a material inducement to his appointment as Co-Chief Executive Officer of the Company. On April 21, 2025, the Compensation Committee of the Board of Directors of the Company (the “Compensation Committee”) approved the following equity-based grants for Mr. Naheta: (1) 1,607,717 performance-based restricted stock units (the “PSUs”) and (2) 11,426 service-based restricted stock units (the “RSUs” and, together with the PSUs, the “Inducement Grant”). The material terms of the Naheta Employment Agreement the PSUs and the RSUs are described in the Prior Form 8-K, which is incorporated by reference herein.</w:t>
      </w:r>
    </w:p>
    <w:p>
      <w:pPr>
        <w:spacing w:after="0" w:line="2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PSUs and RSUs were granted as inducement awards pursuant to the NYSE Listing Rule 303A.08 and without shareholder approval. In connection with the Inducement Grant, the Compensation Committee also approved a stand-alone Performance Stock Unit Agreement (the “PSU Agreement”) and a stand-alone Restricted Stock Unit Agreement (the “RSU Agreement”) under which the PSUs and RSUs, respectively, were granted to Mr. Naheta. The PSU Agreement and the RSU Agreement are subject to the terms of the Company’s 2021 Omnibus Incentive Plan, as if granted thereunder.</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foregoing is not a complete description of the PSU Agreement or the RSU Agreement. Each such description is qualified in its entirety by reference to the full text of the Form of PSU Agreement and the Form of RSU Agreement, as applicable, copies of which are filed as Exhibit 10.1 and Exhibit 10.2, respectively, to this Current Report on Form 8-K and are incorporated herein by reference.</w:t>
      </w:r>
    </w:p>
    <w:p>
      <w:pPr>
        <w:spacing w:after="0" w:line="200" w:lineRule="exact"/>
        <w:rPr>
          <w:sz w:val="20"/>
          <w:szCs w:val="20"/>
          <w:color w:val="auto"/>
        </w:rPr>
      </w:pPr>
    </w:p>
    <w:p>
      <w:pPr>
        <w:spacing w:after="0" w:line="215" w:lineRule="exact"/>
        <w:rPr>
          <w:sz w:val="20"/>
          <w:szCs w:val="20"/>
          <w:color w:val="auto"/>
        </w:rPr>
      </w:pPr>
    </w:p>
    <w:p>
      <w:pPr>
        <w:ind w:left="1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3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60" w:type="dxa"/>
            <w:vAlign w:val="bottom"/>
            <w:tcBorders>
              <w:bottom w:val="single" w:sz="8" w:color="auto"/>
            </w:tcBorders>
            <w:gridSpan w:val="4"/>
          </w:tcPr>
          <w:p>
            <w:pPr>
              <w:ind w:left="40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6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Form of Performance Stock Unit Agreement by and between Bakkt Holdings, Inc. and Akshay Naheta (incorporated by</w:t>
              </w:r>
            </w:hyperlink>
          </w:p>
        </w:tc>
        <w:tc>
          <w:tcPr>
            <w:tcW w:w="13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1300" w:type="dxa"/>
            <w:vAlign w:val="bottom"/>
            <w:vMerge w:val="continue"/>
          </w:tcPr>
          <w:p>
            <w:pPr>
              <w:spacing w:after="0"/>
              <w:rPr>
                <w:sz w:val="7"/>
                <w:szCs w:val="7"/>
                <w:color w:val="auto"/>
              </w:rPr>
            </w:pPr>
          </w:p>
        </w:tc>
        <w:tc>
          <w:tcPr>
            <w:tcW w:w="8520" w:type="dxa"/>
            <w:vAlign w:val="bottom"/>
            <w:gridSpan w:val="2"/>
            <w:vMerge w:val="restart"/>
          </w:tcPr>
          <w:p>
            <w:pPr>
              <w:spacing w:after="0" w:line="156" w:lineRule="exact"/>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reference to Exhibit 4.4 to the Registrant’s Registration Statement on Form S-8 filed with the SEC on April 18, 2025).</w:t>
              </w:r>
            </w:hyperlink>
          </w:p>
        </w:tc>
        <w:tc>
          <w:tcPr>
            <w:tcW w:w="1420" w:type="dxa"/>
            <w:vAlign w:val="bottom"/>
            <w:gridSpan w:val="3"/>
            <w:vMerge w:val="restart"/>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1300" w:type="dxa"/>
            <w:vAlign w:val="bottom"/>
          </w:tcPr>
          <w:p>
            <w:pPr>
              <w:spacing w:after="0"/>
              <w:rPr>
                <w:sz w:val="5"/>
                <w:szCs w:val="5"/>
                <w:color w:val="auto"/>
              </w:rPr>
            </w:pPr>
          </w:p>
        </w:tc>
        <w:tc>
          <w:tcPr>
            <w:tcW w:w="8520" w:type="dxa"/>
            <w:vAlign w:val="bottom"/>
            <w:tcBorders>
              <w:bottom w:val="single" w:sz="8" w:color="0000FF"/>
            </w:tcBorders>
            <w:gridSpan w:val="2"/>
            <w:vMerge w:val="continue"/>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9940" w:type="dxa"/>
            <w:vAlign w:val="bottom"/>
            <w:gridSpan w:val="5"/>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Form of Restricted Stock Unit Agreement by and between Bakkt Holdings, Inc. and Akshay Naheta (incorporated by</w:t>
              </w:r>
            </w:hyperlink>
          </w:p>
        </w:tc>
        <w:tc>
          <w:tcPr>
            <w:tcW w:w="0" w:type="dxa"/>
            <w:vAlign w:val="bottom"/>
          </w:tcPr>
          <w:p>
            <w:pPr>
              <w:spacing w:after="0"/>
              <w:rPr>
                <w:sz w:val="1"/>
                <w:szCs w:val="1"/>
                <w:color w:val="auto"/>
              </w:rPr>
            </w:pPr>
          </w:p>
        </w:tc>
      </w:tr>
      <w:tr>
        <w:trPr>
          <w:trHeight w:val="20"/>
        </w:trPr>
        <w:tc>
          <w:tcPr>
            <w:tcW w:w="1300" w:type="dxa"/>
            <w:vAlign w:val="bottom"/>
            <w:vMerge w:val="continue"/>
          </w:tcPr>
          <w:p>
            <w:pPr>
              <w:spacing w:after="0" w:line="20" w:lineRule="exact"/>
              <w:rPr>
                <w:sz w:val="1"/>
                <w:szCs w:val="1"/>
                <w:color w:val="auto"/>
              </w:rPr>
            </w:pPr>
          </w:p>
        </w:tc>
        <w:tc>
          <w:tcPr>
            <w:tcW w:w="8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8520" w:type="dxa"/>
            <w:vAlign w:val="bottom"/>
            <w:gridSpan w:val="2"/>
            <w:vMerge w:val="restart"/>
          </w:tcPr>
          <w:p>
            <w:pPr>
              <w:spacing w:after="0" w:line="196" w:lineRule="exact"/>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reference to Exhibit 4.5 to the Registrant’s Registration Statement on Form S-8 filed with the SEC on April 18, 2025).</w:t>
              </w:r>
            </w:hyperlink>
          </w:p>
        </w:tc>
        <w:tc>
          <w:tcPr>
            <w:tcW w:w="142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300" w:type="dxa"/>
            <w:vAlign w:val="bottom"/>
          </w:tcPr>
          <w:p>
            <w:pPr>
              <w:spacing w:after="0"/>
              <w:rPr>
                <w:sz w:val="5"/>
                <w:szCs w:val="5"/>
                <w:color w:val="auto"/>
              </w:rPr>
            </w:pPr>
          </w:p>
        </w:tc>
        <w:tc>
          <w:tcPr>
            <w:tcW w:w="8520" w:type="dxa"/>
            <w:vAlign w:val="bottom"/>
            <w:tcBorders>
              <w:bottom w:val="single" w:sz="8" w:color="0000FF"/>
            </w:tcBorders>
            <w:gridSpan w:val="2"/>
            <w:vMerge w:val="continue"/>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330"/>
        </w:trPr>
        <w:tc>
          <w:tcPr>
            <w:tcW w:w="1300" w:type="dxa"/>
            <w:vAlign w:val="bottom"/>
            <w:tcBorders>
              <w:bottom w:val="single" w:sz="8" w:color="9A9A9A"/>
            </w:tcBorders>
          </w:tcPr>
          <w:p>
            <w:pPr>
              <w:spacing w:after="0"/>
              <w:rPr>
                <w:sz w:val="24"/>
                <w:szCs w:val="24"/>
                <w:color w:val="auto"/>
              </w:rPr>
            </w:pPr>
          </w:p>
        </w:tc>
        <w:tc>
          <w:tcPr>
            <w:tcW w:w="8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6" w:lineRule="exact"/>
        <w:rPr>
          <w:sz w:val="20"/>
          <w:szCs w:val="20"/>
          <w:color w:val="auto"/>
        </w:rPr>
      </w:pPr>
    </w:p>
    <w:p>
      <w:pPr>
        <w:ind w:left="80"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5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1475105</wp:posOffset>
            </wp:positionH>
            <wp:positionV relativeFrom="paragraph">
              <wp:posOffset>17145</wp:posOffset>
            </wp:positionV>
            <wp:extent cx="27089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2700"/>
        <w:spacing w:after="0"/>
        <w:tabs>
          <w:tab w:leader="none" w:pos="3260" w:val="left"/>
        </w:tabs>
        <w:rPr>
          <w:sz w:val="20"/>
          <w:szCs w:val="20"/>
          <w:color w:val="auto"/>
        </w:rPr>
      </w:pPr>
      <w:r>
        <w:rPr>
          <w:rFonts w:ascii="Times New Roman" w:cs="Times New Roman" w:eastAsia="Times New Roman" w:hAnsi="Times New Roman"/>
          <w:sz w:val="18"/>
          <w:szCs w:val="18"/>
          <w:color w:val="auto"/>
        </w:rPr>
        <w:t>Title:</w:t>
        <w:tab/>
        <w:t>General Counsel and Secretary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22, 2025</w:t>
      </w:r>
    </w:p>
    <w:sectPr>
      <w:pgSz w:w="11900" w:h="16838" w:orient="portrait"/>
      <w:cols w:equalWidth="0" w:num="1">
        <w:col w:w="11000"/>
      </w:cols>
      <w:pgMar w:left="340" w:top="1373"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8" Type="http://schemas.openxmlformats.org/officeDocument/2006/relationships/hyperlink" Target="https://www.sec.gov/Archives/edgar/data/1820302/000119312525085820/d930118dex44.htm" TargetMode="External"/><Relationship Id="rId19" Type="http://schemas.openxmlformats.org/officeDocument/2006/relationships/hyperlink" Target="https://www.sec.gov/Archives/edgar/data/1820302/000119312525085820/d930118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2025-04-22T15:34:52Z</dcterms:created>
  <dcterms:modified xsi:type="dcterms:W3CDTF">2025-04-22T15:34:52Z</dcterms:modified>
</cp:coreProperties>
</file>