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1442720</wp:posOffset>
            </wp:positionH>
            <wp:positionV relativeFrom="page">
              <wp:posOffset>740410</wp:posOffset>
            </wp:positionV>
            <wp:extent cx="4663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825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766445</wp:posOffset>
            </wp:positionV>
            <wp:extent cx="4663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8255"/>
                    </a:xfrm>
                    <a:prstGeom prst="rect">
                      <a:avLst/>
                    </a:prstGeom>
                    <a:noFill/>
                  </pic:spPr>
                </pic:pic>
              </a:graphicData>
            </a:graphic>
          </wp:anchor>
        </w:drawing>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3039745</wp:posOffset>
            </wp:positionH>
            <wp:positionV relativeFrom="paragraph">
              <wp:posOffset>73025</wp:posOffset>
            </wp:positionV>
            <wp:extent cx="10458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96520</wp:posOffset>
            </wp:positionV>
            <wp:extent cx="4972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44"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01"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 to ________</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001-39544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251460</wp:posOffset>
            </wp:positionV>
            <wp:extent cx="4972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BAKKT HOLDINGS, INC.</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73025</wp:posOffset>
            </wp:positionV>
            <wp:extent cx="4972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6"/>
          <w:szCs w:val="16"/>
          <w:b w:val="1"/>
          <w:bCs w:val="1"/>
          <w:color w:val="auto"/>
        </w:rPr>
        <w:t>98-1550750</w:t>
      </w:r>
    </w:p>
    <w:p>
      <w:pPr>
        <w:spacing w:after="0" w:line="2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5" w:lineRule="exact"/>
        <w:rPr>
          <w:sz w:val="24"/>
          <w:szCs w:val="24"/>
          <w:color w:val="auto"/>
        </w:rPr>
      </w:pPr>
    </w:p>
    <w:p>
      <w:pPr>
        <w:sectPr>
          <w:pgSz w:w="11900" w:h="16838" w:orient="portrait"/>
          <w:cols w:equalWidth="0" w:num="2">
            <w:col w:w="7220" w:space="720"/>
            <w:col w:w="3300"/>
          </w:cols>
          <w:pgMar w:left="320" w:top="1359" w:right="339" w:bottom="1440" w:gutter="0" w:footer="0" w:header="0"/>
          <w:type w:val="continuous"/>
        </w:sectPr>
      </w:pPr>
    </w:p>
    <w:tbl>
      <w:tblPr>
        <w:tblLayout w:type="fixed"/>
        <w:tblInd w:w="1440" w:type="dxa"/>
        <w:tblCellMar>
          <w:top w:w="0" w:type="dxa"/>
          <w:left w:w="0" w:type="dxa"/>
          <w:bottom w:w="0" w:type="dxa"/>
          <w:right w:w="0" w:type="dxa"/>
        </w:tblCellMar>
      </w:tblPr>
      <w:tr>
        <w:trPr>
          <w:trHeight w:val="207"/>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8"/>
                <w:szCs w:val="18"/>
                <w:b w:val="1"/>
                <w:bCs w:val="1"/>
                <w:color w:val="auto"/>
                <w:w w:val="99"/>
              </w:rPr>
              <w:t>10000 Avalon Boulevard, Suite 1000</w:t>
            </w:r>
          </w:p>
        </w:tc>
        <w:tc>
          <w:tcPr>
            <w:tcW w:w="2560" w:type="dxa"/>
            <w:vAlign w:val="bottom"/>
          </w:tcPr>
          <w:p>
            <w:pPr>
              <w:spacing w:after="0"/>
              <w:rPr>
                <w:sz w:val="18"/>
                <w:szCs w:val="18"/>
                <w:color w:val="auto"/>
              </w:rPr>
            </w:pPr>
          </w:p>
        </w:tc>
      </w:tr>
      <w:tr>
        <w:trPr>
          <w:trHeight w:val="259"/>
        </w:trPr>
        <w:tc>
          <w:tcPr>
            <w:tcW w:w="47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9"/>
              </w:rPr>
              <w:t>Alpharetta, Georgia</w:t>
            </w: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30009</w:t>
            </w:r>
          </w:p>
        </w:tc>
      </w:tr>
      <w:tr>
        <w:trPr>
          <w:trHeight w:val="166"/>
        </w:trPr>
        <w:tc>
          <w:tcPr>
            <w:tcW w:w="4720" w:type="dxa"/>
            <w:vAlign w:val="bottom"/>
          </w:tcPr>
          <w:p>
            <w:pPr>
              <w:jc w:val="center"/>
              <w:ind w:right="187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560" w:type="dxa"/>
            <w:vAlign w:val="bottom"/>
          </w:tcPr>
          <w:p>
            <w:pPr>
              <w:jc w:val="center"/>
              <w:ind w:left="190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(678) 534-5849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3314065</wp:posOffset>
            </wp:positionH>
            <wp:positionV relativeFrom="paragraph">
              <wp:posOffset>88265</wp:posOffset>
            </wp:positionV>
            <wp:extent cx="4972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68"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4800" w:type="dxa"/>
            <w:vAlign w:val="bottom"/>
            <w:gridSpan w:val="2"/>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Trading Symbol (s)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4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18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Class A Common Stock, par value $0.0001 per share</w:t>
            </w:r>
          </w:p>
        </w:tc>
        <w:tc>
          <w:tcPr>
            <w:tcW w:w="16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BKKT</w:t>
            </w:r>
          </w:p>
        </w:tc>
        <w:tc>
          <w:tcPr>
            <w:tcW w:w="160" w:type="dxa"/>
            <w:vAlign w:val="bottom"/>
          </w:tcPr>
          <w:p>
            <w:pPr>
              <w:spacing w:after="0"/>
              <w:rPr>
                <w:sz w:val="15"/>
                <w:szCs w:val="15"/>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r>
        <w:trPr>
          <w:trHeight w:val="191"/>
        </w:trPr>
        <w:tc>
          <w:tcPr>
            <w:tcW w:w="4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Warrants to purchase Class A Common Stock</w:t>
            </w:r>
          </w:p>
        </w:tc>
        <w:tc>
          <w:tcPr>
            <w:tcW w:w="2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BKKT WS</w:t>
            </w:r>
          </w:p>
        </w:tc>
        <w:tc>
          <w:tcPr>
            <w:tcW w:w="4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New York Stock Exchange</w:t>
            </w:r>
          </w:p>
        </w:tc>
      </w:tr>
    </w:tbl>
    <w:p>
      <w:pPr>
        <w:spacing w:after="0" w:line="158" w:lineRule="exact"/>
        <w:rPr>
          <w:sz w:val="24"/>
          <w:szCs w:val="24"/>
          <w:color w:val="auto"/>
        </w:rPr>
      </w:pPr>
    </w:p>
    <w:p>
      <w:pPr>
        <w:jc w:val="both"/>
        <w:ind w:firstLine="518"/>
        <w:spacing w:after="0" w:line="217"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54" w:lineRule="exact"/>
        <w:rPr>
          <w:sz w:val="24"/>
          <w:szCs w:val="24"/>
          <w:color w:val="auto"/>
        </w:rPr>
      </w:pPr>
    </w:p>
    <w:p>
      <w:pPr>
        <w:ind w:right="180" w:firstLine="5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ind w:right="300" w:firstLine="518"/>
        <w:spacing w:after="0" w:line="22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4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3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spacing w:after="0"/>
              <w:rPr>
                <w:sz w:val="23"/>
                <w:szCs w:val="23"/>
                <w:color w:val="auto"/>
              </w:rPr>
            </w:pPr>
          </w:p>
        </w:tc>
        <w:tc>
          <w:tcPr>
            <w:tcW w:w="540" w:type="dxa"/>
            <w:vAlign w:val="bottom"/>
          </w:tcPr>
          <w:p>
            <w:pPr>
              <w:spacing w:after="0"/>
              <w:rPr>
                <w:sz w:val="23"/>
                <w:szCs w:val="23"/>
                <w:color w:val="auto"/>
              </w:rPr>
            </w:pPr>
          </w:p>
        </w:tc>
      </w:tr>
    </w:tbl>
    <w:p>
      <w:pPr>
        <w:spacing w:after="0" w:line="290" w:lineRule="exact"/>
        <w:rPr>
          <w:sz w:val="24"/>
          <w:szCs w:val="24"/>
          <w:color w:val="auto"/>
        </w:rPr>
      </w:pPr>
    </w:p>
    <w:p>
      <w:pPr>
        <w:ind w:right="60" w:firstLine="518"/>
        <w:spacing w:after="0" w:line="19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5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52" w:lineRule="exact"/>
        <w:rPr>
          <w:sz w:val="24"/>
          <w:szCs w:val="24"/>
          <w:color w:val="auto"/>
        </w:rPr>
      </w:pPr>
    </w:p>
    <w:p>
      <w:pPr>
        <w:ind w:right="260" w:firstLine="518"/>
        <w:spacing w:after="0" w:line="245" w:lineRule="auto"/>
        <w:rPr>
          <w:sz w:val="20"/>
          <w:szCs w:val="20"/>
          <w:color w:val="auto"/>
        </w:rPr>
      </w:pPr>
      <w:r>
        <w:rPr>
          <w:rFonts w:ascii="Times New Roman" w:cs="Times New Roman" w:eastAsia="Times New Roman" w:hAnsi="Times New Roman"/>
          <w:sz w:val="16"/>
          <w:szCs w:val="16"/>
          <w:color w:val="auto"/>
        </w:rPr>
        <w:t>As of August 9, 2024, there were 6,321,593 shares of the registrant’s Class A Common Stock, 7,194,941 shares of Class V Common Stock, and 7,140,508 public warrants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53340</wp:posOffset>
            </wp:positionV>
            <wp:extent cx="46634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8890"/>
                    </a:xfrm>
                    <a:prstGeom prst="rect">
                      <a:avLst/>
                    </a:prstGeom>
                    <a:noFill/>
                  </pic:spPr>
                </pic:pic>
              </a:graphicData>
            </a:graphic>
          </wp:anchor>
        </w:drawing>
        <w:drawing>
          <wp:anchor simplePos="0" relativeHeight="251657728" behindDoc="1" locked="0" layoutInCell="0" allowOverlap="1">
            <wp:simplePos x="0" y="0"/>
            <wp:positionH relativeFrom="column">
              <wp:posOffset>1239520</wp:posOffset>
            </wp:positionH>
            <wp:positionV relativeFrom="paragraph">
              <wp:posOffset>78740</wp:posOffset>
            </wp:positionV>
            <wp:extent cx="46634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663440" cy="8890"/>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80" w:type="dxa"/>
            <w:vAlign w:val="bottom"/>
            <w:gridSpan w:val="6"/>
          </w:tcPr>
          <w:p>
            <w:pPr>
              <w:ind w:left="2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2"/>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1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22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E32E1"/>
              </w:rPr>
              <w:t>FINANCIAL INFORMATION</w:t>
            </w: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120" w:type="dxa"/>
            <w:vAlign w:val="bottom"/>
            <w:vMerge w:val="continue"/>
          </w:tcPr>
          <w:p>
            <w:pPr>
              <w:spacing w:after="0"/>
              <w:rPr>
                <w:sz w:val="14"/>
                <w:szCs w:val="14"/>
                <w:color w:val="auto"/>
              </w:rPr>
            </w:pPr>
          </w:p>
        </w:tc>
        <w:tc>
          <w:tcPr>
            <w:tcW w:w="9220" w:type="dxa"/>
            <w:vAlign w:val="bottom"/>
            <w:gridSpan w:val="21"/>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2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Financial Statements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100" w:type="dxa"/>
            <w:vAlign w:val="bottom"/>
            <w:tcBorders>
              <w:top w:val="single" w:sz="8" w:color="0E32E1"/>
              <w:bottom w:val="single" w:sz="8" w:color="0E32E1"/>
            </w:tcBorders>
            <w:gridSpan w:val="9"/>
          </w:tcPr>
          <w:p>
            <w:pPr>
              <w:spacing w:after="0"/>
              <w:rPr>
                <w:sz w:val="20"/>
                <w:szCs w:val="20"/>
                <w:color w:val="auto"/>
              </w:rPr>
            </w:pPr>
            <w:r>
              <w:rPr>
                <w:rFonts w:ascii="Times New Roman" w:cs="Times New Roman" w:eastAsia="Times New Roman" w:hAnsi="Times New Roman"/>
                <w:sz w:val="18"/>
                <w:szCs w:val="18"/>
                <w:color w:val="0E32E1"/>
                <w:w w:val="99"/>
              </w:rPr>
              <w:t>Consolidated Balance Sheets</w:t>
            </w:r>
          </w:p>
        </w:tc>
        <w:tc>
          <w:tcPr>
            <w:tcW w:w="1320" w:type="dxa"/>
            <w:vAlign w:val="bottom"/>
            <w:tcBorders>
              <w:top w:val="single" w:sz="8" w:color="0E32E1"/>
            </w:tcBorders>
            <w:gridSpan w:val="5"/>
          </w:tcPr>
          <w:p>
            <w:pPr>
              <w:spacing w:after="0"/>
              <w:rPr>
                <w:sz w:val="18"/>
                <w:szCs w:val="18"/>
                <w:color w:val="auto"/>
              </w:rPr>
            </w:pPr>
          </w:p>
        </w:tc>
        <w:tc>
          <w:tcPr>
            <w:tcW w:w="5800" w:type="dxa"/>
            <w:vAlign w:val="bottom"/>
            <w:gridSpan w:val="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480" w:type="dxa"/>
            <w:vAlign w:val="bottom"/>
            <w:shd w:val="clear" w:color="auto" w:fill="0E32E1"/>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Comprehensive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40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440" w:type="dxa"/>
            <w:vAlign w:val="bottom"/>
            <w:shd w:val="clear" w:color="auto" w:fill="0E32E1"/>
          </w:tcPr>
          <w:p>
            <w:pPr>
              <w:spacing w:after="0" w:line="20" w:lineRule="exact"/>
              <w:rPr>
                <w:sz w:val="1"/>
                <w:szCs w:val="1"/>
                <w:color w:val="auto"/>
              </w:rPr>
            </w:pPr>
          </w:p>
        </w:tc>
        <w:tc>
          <w:tcPr>
            <w:tcW w:w="20" w:type="dxa"/>
            <w:vAlign w:val="bottom"/>
            <w:shd w:val="clear" w:color="auto" w:fill="0E32E1"/>
          </w:tcPr>
          <w:p>
            <w:pPr>
              <w:spacing w:after="0" w:line="20" w:lineRule="exact"/>
              <w:rPr>
                <w:sz w:val="1"/>
                <w:szCs w:val="1"/>
                <w:color w:val="auto"/>
              </w:rPr>
            </w:pPr>
          </w:p>
        </w:tc>
        <w:tc>
          <w:tcPr>
            <w:tcW w:w="100" w:type="dxa"/>
            <w:vAlign w:val="bottom"/>
            <w:shd w:val="clear" w:color="auto" w:fill="0E32E1"/>
          </w:tcPr>
          <w:p>
            <w:pPr>
              <w:spacing w:after="0" w:line="20" w:lineRule="exact"/>
              <w:rPr>
                <w:sz w:val="1"/>
                <w:szCs w:val="1"/>
                <w:color w:val="auto"/>
              </w:rPr>
            </w:pPr>
          </w:p>
        </w:tc>
        <w:tc>
          <w:tcPr>
            <w:tcW w:w="440" w:type="dxa"/>
            <w:vAlign w:val="bottom"/>
            <w:gridSpan w:val="3"/>
            <w:shd w:val="clear" w:color="auto" w:fill="0E32E1"/>
          </w:tcPr>
          <w:p>
            <w:pPr>
              <w:spacing w:after="0" w:line="20" w:lineRule="exact"/>
              <w:rPr>
                <w:sz w:val="1"/>
                <w:szCs w:val="1"/>
                <w:color w:val="auto"/>
              </w:rPr>
            </w:pPr>
          </w:p>
        </w:tc>
        <w:tc>
          <w:tcPr>
            <w:tcW w:w="540" w:type="dxa"/>
            <w:vAlign w:val="bottom"/>
            <w:gridSpan w:val="2"/>
            <w:shd w:val="clear" w:color="auto" w:fill="0E32E1"/>
          </w:tcPr>
          <w:p>
            <w:pPr>
              <w:spacing w:after="0" w:line="20" w:lineRule="exact"/>
              <w:rPr>
                <w:sz w:val="1"/>
                <w:szCs w:val="1"/>
                <w:color w:val="auto"/>
              </w:rPr>
            </w:pPr>
          </w:p>
        </w:tc>
        <w:tc>
          <w:tcPr>
            <w:tcW w:w="660" w:type="dxa"/>
            <w:vAlign w:val="bottom"/>
            <w:gridSpan w:val="2"/>
            <w:shd w:val="clear" w:color="auto" w:fill="0E32E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Consolidated Statements of Changes in Stockholders’ Equity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2880" w:type="dxa"/>
            <w:vAlign w:val="bottom"/>
            <w:tcBorders>
              <w:top w:val="single" w:sz="8" w:color="0E32E1"/>
              <w:bottom w:val="single" w:sz="8" w:color="0E32E1"/>
            </w:tcBorders>
            <w:gridSpan w:val="13"/>
          </w:tcPr>
          <w:p>
            <w:pPr>
              <w:spacing w:after="0"/>
              <w:rPr>
                <w:sz w:val="20"/>
                <w:szCs w:val="20"/>
                <w:color w:val="auto"/>
              </w:rPr>
            </w:pPr>
            <w:r>
              <w:rPr>
                <w:rFonts w:ascii="Times New Roman" w:cs="Times New Roman" w:eastAsia="Times New Roman" w:hAnsi="Times New Roman"/>
                <w:sz w:val="18"/>
                <w:szCs w:val="18"/>
                <w:color w:val="0E32E1"/>
                <w:w w:val="99"/>
              </w:rPr>
              <w:t>Consolidated Statements of Cash Flows</w:t>
            </w:r>
          </w:p>
        </w:tc>
        <w:tc>
          <w:tcPr>
            <w:tcW w:w="1520" w:type="dxa"/>
            <w:vAlign w:val="bottom"/>
            <w:tcBorders>
              <w:top w:val="single" w:sz="8" w:color="0E32E1"/>
            </w:tcBorders>
            <w:gridSpan w:val="5"/>
          </w:tcPr>
          <w:p>
            <w:pPr>
              <w:spacing w:after="0"/>
              <w:rPr>
                <w:sz w:val="18"/>
                <w:szCs w:val="18"/>
                <w:color w:val="auto"/>
              </w:rPr>
            </w:pPr>
          </w:p>
        </w:tc>
        <w:tc>
          <w:tcPr>
            <w:tcW w:w="4820" w:type="dxa"/>
            <w:vAlign w:val="bottom"/>
            <w:gridSpan w:val="3"/>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18"/>
                <w:szCs w:val="18"/>
                <w:color w:val="auto"/>
              </w:rPr>
            </w:pPr>
          </w:p>
        </w:tc>
        <w:tc>
          <w:tcPr>
            <w:tcW w:w="3960" w:type="dxa"/>
            <w:vAlign w:val="bottom"/>
            <w:tcBorders>
              <w:bottom w:val="single" w:sz="8" w:color="0E32E1"/>
            </w:tcBorders>
            <w:gridSpan w:val="16"/>
          </w:tcPr>
          <w:p>
            <w:pPr>
              <w:spacing w:after="0"/>
              <w:rPr>
                <w:sz w:val="20"/>
                <w:szCs w:val="20"/>
                <w:color w:val="auto"/>
              </w:rPr>
            </w:pPr>
            <w:r>
              <w:rPr>
                <w:rFonts w:ascii="Times New Roman" w:cs="Times New Roman" w:eastAsia="Times New Roman" w:hAnsi="Times New Roman"/>
                <w:sz w:val="18"/>
                <w:szCs w:val="18"/>
                <w:color w:val="0E32E1"/>
                <w:w w:val="99"/>
              </w:rPr>
              <w:t>Notes to Unaudited Consolidated Financial Statements</w:t>
            </w:r>
          </w:p>
        </w:tc>
        <w:tc>
          <w:tcPr>
            <w:tcW w:w="5260" w:type="dxa"/>
            <w:vAlign w:val="bottom"/>
            <w:gridSpan w:val="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E32E1"/>
            </w:tcBorders>
            <w:gridSpan w:val="19"/>
          </w:tcPr>
          <w:p>
            <w:pPr>
              <w:spacing w:after="0"/>
              <w:rPr>
                <w:sz w:val="20"/>
                <w:szCs w:val="20"/>
                <w:color w:val="auto"/>
              </w:rPr>
            </w:pPr>
            <w:r>
              <w:rPr>
                <w:rFonts w:ascii="Times New Roman" w:cs="Times New Roman" w:eastAsia="Times New Roman" w:hAnsi="Times New Roman"/>
                <w:sz w:val="18"/>
                <w:szCs w:val="18"/>
                <w:color w:val="0E32E1"/>
              </w:rPr>
              <w:t>Quantitative and Qualitative Disclosures About Market Risk</w:t>
            </w:r>
          </w:p>
        </w:tc>
        <w:tc>
          <w:tcPr>
            <w:tcW w:w="2760" w:type="dxa"/>
            <w:vAlign w:val="bottom"/>
            <w:gridSpan w:val="2"/>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top w:val="single" w:sz="8" w:color="0E32E1"/>
              <w:bottom w:val="single" w:sz="8" w:color="0E32E1"/>
            </w:tcBorders>
            <w:gridSpan w:val="7"/>
          </w:tcPr>
          <w:p>
            <w:pPr>
              <w:spacing w:after="0"/>
              <w:rPr>
                <w:sz w:val="20"/>
                <w:szCs w:val="20"/>
                <w:color w:val="auto"/>
              </w:rPr>
            </w:pPr>
            <w:r>
              <w:rPr>
                <w:rFonts w:ascii="Times New Roman" w:cs="Times New Roman" w:eastAsia="Times New Roman" w:hAnsi="Times New Roman"/>
                <w:sz w:val="18"/>
                <w:szCs w:val="18"/>
                <w:color w:val="0E32E1"/>
              </w:rPr>
              <w:t>Controls and Procedures</w:t>
            </w:r>
          </w:p>
        </w:tc>
        <w:tc>
          <w:tcPr>
            <w:tcW w:w="2560" w:type="dxa"/>
            <w:vAlign w:val="bottom"/>
            <w:tcBorders>
              <w:top w:val="single" w:sz="8" w:color="0E32E1"/>
            </w:tcBorders>
            <w:gridSpan w:val="10"/>
          </w:tcPr>
          <w:p>
            <w:pPr>
              <w:spacing w:after="0"/>
              <w:rPr>
                <w:sz w:val="18"/>
                <w:szCs w:val="18"/>
                <w:color w:val="auto"/>
              </w:rPr>
            </w:pPr>
          </w:p>
        </w:tc>
        <w:tc>
          <w:tcPr>
            <w:tcW w:w="4860" w:type="dxa"/>
            <w:vAlign w:val="bottom"/>
            <w:gridSpan w:val="4"/>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900" w:type="dxa"/>
            <w:vAlign w:val="bottom"/>
            <w:tcBorders>
              <w:bottom w:val="single" w:sz="8" w:color="0E32E1"/>
            </w:tcBorders>
            <w:gridSpan w:val="8"/>
          </w:tcPr>
          <w:p>
            <w:pPr>
              <w:spacing w:after="0"/>
              <w:rPr>
                <w:sz w:val="20"/>
                <w:szCs w:val="20"/>
                <w:color w:val="auto"/>
              </w:rPr>
            </w:pPr>
            <w:r>
              <w:rPr>
                <w:rFonts w:ascii="Times New Roman" w:cs="Times New Roman" w:eastAsia="Times New Roman" w:hAnsi="Times New Roman"/>
                <w:sz w:val="18"/>
                <w:szCs w:val="18"/>
                <w:color w:val="0E32E1"/>
                <w:w w:val="98"/>
              </w:rPr>
              <w:t>OTHER INFORMATION</w:t>
            </w:r>
          </w:p>
        </w:tc>
        <w:tc>
          <w:tcPr>
            <w:tcW w:w="7320" w:type="dxa"/>
            <w:vAlign w:val="bottom"/>
            <w:gridSpan w:val="13"/>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Legal Proceedings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E32E1"/>
              <w:bottom w:val="single" w:sz="8" w:color="0E32E1"/>
            </w:tcBorders>
            <w:gridSpan w:val="3"/>
          </w:tcPr>
          <w:p>
            <w:pPr>
              <w:spacing w:after="0"/>
              <w:rPr>
                <w:sz w:val="20"/>
                <w:szCs w:val="20"/>
                <w:color w:val="auto"/>
              </w:rPr>
            </w:pPr>
            <w:r>
              <w:rPr>
                <w:rFonts w:ascii="Times New Roman" w:cs="Times New Roman" w:eastAsia="Times New Roman" w:hAnsi="Times New Roman"/>
                <w:sz w:val="18"/>
                <w:szCs w:val="18"/>
                <w:color w:val="0E32E1"/>
                <w:w w:val="99"/>
              </w:rPr>
              <w:t>Risk Factors</w:t>
            </w:r>
          </w:p>
        </w:tc>
        <w:tc>
          <w:tcPr>
            <w:tcW w:w="420" w:type="dxa"/>
            <w:vAlign w:val="bottom"/>
            <w:tcBorders>
              <w:top w:val="single" w:sz="8" w:color="0E32E1"/>
            </w:tcBorders>
            <w:gridSpan w:val="2"/>
          </w:tcPr>
          <w:p>
            <w:pPr>
              <w:spacing w:after="0"/>
              <w:rPr>
                <w:sz w:val="18"/>
                <w:szCs w:val="18"/>
                <w:color w:val="auto"/>
              </w:rPr>
            </w:pPr>
          </w:p>
        </w:tc>
        <w:tc>
          <w:tcPr>
            <w:tcW w:w="7880" w:type="dxa"/>
            <w:vAlign w:val="bottom"/>
            <w:gridSpan w:val="16"/>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160" w:type="dxa"/>
            <w:vAlign w:val="bottom"/>
            <w:tcBorders>
              <w:bottom w:val="single" w:sz="8" w:color="0E32E1"/>
            </w:tcBorders>
            <w:gridSpan w:val="20"/>
          </w:tcPr>
          <w:p>
            <w:pPr>
              <w:spacing w:after="0"/>
              <w:rPr>
                <w:sz w:val="20"/>
                <w:szCs w:val="20"/>
                <w:color w:val="auto"/>
              </w:rPr>
            </w:pPr>
            <w:r>
              <w:rPr>
                <w:rFonts w:ascii="Times New Roman" w:cs="Times New Roman" w:eastAsia="Times New Roman" w:hAnsi="Times New Roman"/>
                <w:sz w:val="18"/>
                <w:szCs w:val="18"/>
                <w:color w:val="0E32E1"/>
                <w:w w:val="99"/>
              </w:rPr>
              <w:t>Unregistered Sales of Equity Securities, Use of Proceeds, and Issuer Purchases of Equity Securities</w:t>
            </w:r>
          </w:p>
        </w:tc>
        <w:tc>
          <w:tcPr>
            <w:tcW w:w="20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E32E1"/>
            </w:tcBorders>
            <w:gridSpan w:val="11"/>
          </w:tcPr>
          <w:p>
            <w:pPr>
              <w:spacing w:after="0"/>
              <w:rPr>
                <w:sz w:val="20"/>
                <w:szCs w:val="20"/>
                <w:color w:val="auto"/>
              </w:rPr>
            </w:pPr>
            <w:r>
              <w:rPr>
                <w:rFonts w:ascii="Times New Roman" w:cs="Times New Roman" w:eastAsia="Times New Roman" w:hAnsi="Times New Roman"/>
                <w:sz w:val="18"/>
                <w:szCs w:val="18"/>
                <w:color w:val="0E32E1"/>
                <w:w w:val="99"/>
              </w:rPr>
              <w:t>Defaults Upon Senior Securities</w:t>
            </w:r>
          </w:p>
        </w:tc>
        <w:tc>
          <w:tcPr>
            <w:tcW w:w="6880" w:type="dxa"/>
            <w:vAlign w:val="bottom"/>
            <w:gridSpan w:val="10"/>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E32E1"/>
            </w:tcBorders>
            <w:gridSpan w:val="6"/>
          </w:tcPr>
          <w:p>
            <w:pPr>
              <w:spacing w:after="0"/>
              <w:rPr>
                <w:sz w:val="20"/>
                <w:szCs w:val="20"/>
                <w:color w:val="auto"/>
              </w:rPr>
            </w:pPr>
            <w:r>
              <w:rPr>
                <w:rFonts w:ascii="Times New Roman" w:cs="Times New Roman" w:eastAsia="Times New Roman" w:hAnsi="Times New Roman"/>
                <w:sz w:val="18"/>
                <w:szCs w:val="18"/>
                <w:color w:val="0E32E1"/>
                <w:w w:val="99"/>
              </w:rPr>
              <w:t>Mine Safety Disclosures</w:t>
            </w:r>
          </w:p>
        </w:tc>
        <w:tc>
          <w:tcPr>
            <w:tcW w:w="7440" w:type="dxa"/>
            <w:vAlign w:val="bottom"/>
            <w:gridSpan w:val="15"/>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Other Information</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E32E1"/>
            </w:tcBorders>
            <w:gridSpan w:val="4"/>
          </w:tcPr>
          <w:p>
            <w:pPr>
              <w:spacing w:after="0"/>
              <w:rPr>
                <w:sz w:val="20"/>
                <w:szCs w:val="20"/>
                <w:color w:val="auto"/>
              </w:rPr>
            </w:pPr>
            <w:r>
              <w:rPr>
                <w:rFonts w:ascii="Times New Roman" w:cs="Times New Roman" w:eastAsia="Times New Roman" w:hAnsi="Times New Roman"/>
                <w:sz w:val="18"/>
                <w:szCs w:val="18"/>
                <w:color w:val="0E32E1"/>
              </w:rPr>
              <w:t>Exhibits</w:t>
            </w:r>
          </w:p>
        </w:tc>
        <w:tc>
          <w:tcPr>
            <w:tcW w:w="7900" w:type="dxa"/>
            <w:vAlign w:val="bottom"/>
            <w:gridSpan w:val="17"/>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60" w:type="dxa"/>
            <w:vAlign w:val="bottom"/>
            <w:gridSpan w:val="19"/>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20" w:type="dxa"/>
            <w:vAlign w:val="bottom"/>
          </w:tcPr>
          <w:p>
            <w:pPr>
              <w:spacing w:after="0"/>
              <w:rPr>
                <w:sz w:val="18"/>
                <w:szCs w:val="18"/>
                <w:color w:val="auto"/>
              </w:rPr>
            </w:pPr>
          </w:p>
        </w:tc>
        <w:tc>
          <w:tcPr>
            <w:tcW w:w="9220" w:type="dxa"/>
            <w:vAlign w:val="bottom"/>
            <w:gridSpan w:val="21"/>
          </w:tcPr>
          <w:p>
            <w:pPr>
              <w:spacing w:after="0"/>
              <w:rPr>
                <w:sz w:val="20"/>
                <w:szCs w:val="20"/>
                <w:color w:val="auto"/>
              </w:rPr>
            </w:pPr>
            <w:r>
              <w:rPr>
                <w:rFonts w:ascii="Times New Roman" w:cs="Times New Roman" w:eastAsia="Times New Roman" w:hAnsi="Times New Roman"/>
                <w:sz w:val="18"/>
                <w:szCs w:val="18"/>
                <w:color w:val="0E32E1"/>
              </w:rPr>
              <w:t>Signatures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0" w:type="dxa"/>
            <w:vAlign w:val="bottom"/>
            <w:shd w:val="clear" w:color="auto" w:fill="0E32E1"/>
          </w:tcPr>
          <w:p>
            <w:pPr>
              <w:spacing w:after="0" w:line="20" w:lineRule="exact"/>
              <w:rPr>
                <w:sz w:val="1"/>
                <w:szCs w:val="1"/>
                <w:color w:val="auto"/>
              </w:rPr>
            </w:pPr>
          </w:p>
        </w:tc>
        <w:tc>
          <w:tcPr>
            <w:tcW w:w="160" w:type="dxa"/>
            <w:vAlign w:val="bottom"/>
            <w:shd w:val="clear" w:color="auto" w:fill="0E32E1"/>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55880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91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to “Bakkt,” “we,” “us,” “our,” or the “Company” in this Quarterly Report on Form 10-Q (this “Report”) refer to Bakkt Holdings, Inc. and its subsidiaries.</w:t>
      </w:r>
    </w:p>
    <w:p>
      <w:pPr>
        <w:spacing w:after="0" w:line="174"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You can identify forward-looking statements because they contain words such as “anticipate,” “believe,” “continue,” “could,” “estimate,” “expect,” “intends,” “may,” “might,” “plan,” “possible,” “potential,” “predict,” “project,” “should,” “will,” “would,” the negative of such terms, and other similar expressions are intended to identify forward-looking statements. These forward-looking statements are based on management’s current expectations, assumptions, hopes, beliefs, intentions and strategies regarding future events and are based on currently available information as to the outcome and timing of future events. We caution you that these forward-looking statements are subject to all of the risks and uncertainties, most of which are difficult to predict and many of which are beyond our control, incident to our business. Forward-looking statements in this Report may include, for example, statements about:</w:t>
      </w:r>
    </w:p>
    <w:p>
      <w:pPr>
        <w:spacing w:after="0" w:line="125" w:lineRule="exact"/>
        <w:rPr>
          <w:sz w:val="20"/>
          <w:szCs w:val="20"/>
          <w:color w:val="auto"/>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future financial performance;</w:t>
      </w:r>
    </w:p>
    <w:p>
      <w:pPr>
        <w:spacing w:after="0" w:line="157" w:lineRule="exact"/>
        <w:rPr>
          <w:rFonts w:ascii="Times New Roman" w:cs="Times New Roman" w:eastAsia="Times New Roman" w:hAnsi="Times New Roman"/>
          <w:sz w:val="18"/>
          <w:szCs w:val="18"/>
          <w:color w:val="231F20"/>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market for our products and services;</w:t>
      </w:r>
    </w:p>
    <w:p>
      <w:pPr>
        <w:spacing w:after="0" w:line="144" w:lineRule="exact"/>
        <w:rPr>
          <w:rFonts w:ascii="Times New Roman" w:cs="Times New Roman" w:eastAsia="Times New Roman" w:hAnsi="Times New Roman"/>
          <w:sz w:val="18"/>
          <w:szCs w:val="18"/>
          <w:color w:val="231F20"/>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reduction in force announced in May 2024 and future potential reductions of expenses; and</w:t>
      </w:r>
    </w:p>
    <w:p>
      <w:pPr>
        <w:spacing w:after="0" w:line="157" w:lineRule="exact"/>
        <w:rPr>
          <w:rFonts w:ascii="Times New Roman" w:cs="Times New Roman" w:eastAsia="Times New Roman" w:hAnsi="Times New Roman"/>
          <w:sz w:val="18"/>
          <w:szCs w:val="18"/>
          <w:color w:val="231F20"/>
        </w:rPr>
      </w:pPr>
    </w:p>
    <w:p>
      <w:pPr>
        <w:ind w:left="740" w:hanging="246"/>
        <w:spacing w:after="0"/>
        <w:tabs>
          <w:tab w:leader="none" w:pos="740" w:val="left"/>
        </w:tabs>
        <w:numPr>
          <w:ilvl w:val="0"/>
          <w:numId w:val="3"/>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expansion plans and opportunities.</w:t>
      </w:r>
    </w:p>
    <w:p>
      <w:pPr>
        <w:spacing w:after="0" w:line="25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These forward-looking statements are based on information available as of the date of this </w:t>
      </w:r>
      <w:r>
        <w:rPr>
          <w:rFonts w:ascii="Times New Roman" w:cs="Times New Roman" w:eastAsia="Times New Roman" w:hAnsi="Times New Roman"/>
          <w:sz w:val="18"/>
          <w:szCs w:val="18"/>
          <w:color w:val="000000"/>
        </w:rPr>
        <w:t>Report</w:t>
      </w:r>
      <w:r>
        <w:rPr>
          <w:rFonts w:ascii="Times New Roman" w:cs="Times New Roman" w:eastAsia="Times New Roman" w:hAnsi="Times New Roman"/>
          <w:sz w:val="18"/>
          <w:szCs w:val="18"/>
          <w:color w:val="231F20"/>
        </w:rPr>
        <w:t xml:space="preserve"> and management’s current expectations, forecasts and assumptions, and involve a number of judgments, known and/or unknown risks and uncertainties. Accordingly, forward-looking statements should not be relied upon as representing our views as of any subsequent date. We do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91" w:lineRule="exact"/>
        <w:rPr>
          <w:sz w:val="20"/>
          <w:szCs w:val="20"/>
          <w:color w:val="auto"/>
        </w:rPr>
      </w:pPr>
    </w:p>
    <w:p>
      <w:pPr>
        <w:jc w:val="both"/>
        <w:ind w:right="40" w:firstLine="648"/>
        <w:spacing w:after="0" w:line="305" w:lineRule="auto"/>
        <w:rPr>
          <w:sz w:val="20"/>
          <w:szCs w:val="20"/>
          <w:color w:val="auto"/>
        </w:rPr>
      </w:pPr>
      <w:r>
        <w:rPr>
          <w:rFonts w:ascii="Times New Roman" w:cs="Times New Roman" w:eastAsia="Times New Roman" w:hAnsi="Times New Roman"/>
          <w:sz w:val="18"/>
          <w:szCs w:val="18"/>
          <w:color w:val="231F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75" w:lineRule="exact"/>
        <w:rPr>
          <w:sz w:val="20"/>
          <w:szCs w:val="20"/>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and manage growth profitably;</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business strategy;</w:t>
      </w:r>
    </w:p>
    <w:p>
      <w:pPr>
        <w:spacing w:after="0" w:line="144" w:lineRule="exact"/>
        <w:rPr>
          <w:rFonts w:ascii="Times New Roman" w:cs="Times New Roman" w:eastAsia="Times New Roman" w:hAnsi="Times New Roman"/>
          <w:sz w:val="18"/>
          <w:szCs w:val="18"/>
          <w:color w:val="auto"/>
        </w:rPr>
      </w:pPr>
    </w:p>
    <w:p>
      <w:pPr>
        <w:ind w:left="820" w:hanging="326"/>
        <w:spacing w:after="0" w:line="329"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we compete, including with respect to our competitive landscape, technology evolution or changes in applicable laws or regulations;</w:t>
      </w:r>
    </w:p>
    <w:p>
      <w:pPr>
        <w:spacing w:after="0" w:line="40"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that we target;</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crypto market that subject us to additional risks, including the risk that banks may not provide banking services to us;</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w:t>
      </w:r>
    </w:p>
    <w:p>
      <w:pPr>
        <w:spacing w:after="0" w:line="157" w:lineRule="exact"/>
        <w:rPr>
          <w:rFonts w:ascii="Times New Roman" w:cs="Times New Roman" w:eastAsia="Times New Roman" w:hAnsi="Times New Roman"/>
          <w:sz w:val="18"/>
          <w:szCs w:val="18"/>
          <w:color w:val="auto"/>
        </w:rPr>
      </w:pPr>
    </w:p>
    <w:p>
      <w:pPr>
        <w:ind w:left="820" w:hanging="326"/>
        <w:spacing w:after="0" w:line="313" w:lineRule="auto"/>
        <w:tabs>
          <w:tab w:leader="none" w:pos="8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launch new services and products or to profitably expand into new markets and services, or the inability to continue offering existing services or products;</w:t>
      </w:r>
    </w:p>
    <w:p>
      <w:pPr>
        <w:spacing w:after="0" w:line="6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execute our growth strategies, including identifying and executing acquisitions and our initiatives to add new clients;</w:t>
      </w:r>
    </w:p>
    <w:p>
      <w:pPr>
        <w:spacing w:after="0" w:line="16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4"/>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reach definitive agreements with our expected commercial counterparties;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achieve the expected benefits from the acquisition of Bakkt Crypto;</w:t>
      </w:r>
    </w:p>
    <w:p>
      <w:pPr>
        <w:spacing w:after="0" w:line="152"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inability to reduce cash expenses and align headcount and employee-related costs with our budget priorities;</w:t>
      </w:r>
    </w:p>
    <w:p>
      <w:pPr>
        <w:spacing w:after="0" w:line="152"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failure to comply with extensive government regulation, oversight, licensure and appraisals;</w:t>
      </w:r>
    </w:p>
    <w:p>
      <w:pPr>
        <w:spacing w:after="0" w:line="165"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the uncertain regulatory regime governing blockchain technologies and crypto;</w:t>
      </w:r>
    </w:p>
    <w:p>
      <w:pPr>
        <w:spacing w:after="0" w:line="152"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remediate the material weakness in and establish and maintain effective internal controls and procedures;</w:t>
      </w:r>
    </w:p>
    <w:p>
      <w:pPr>
        <w:spacing w:after="0" w:line="170" w:lineRule="exact"/>
        <w:rPr>
          <w:rFonts w:ascii="Arial" w:cs="Arial" w:eastAsia="Arial" w:hAnsi="Arial"/>
          <w:sz w:val="22"/>
          <w:szCs w:val="22"/>
          <w:color w:val="auto"/>
        </w:rPr>
      </w:pPr>
    </w:p>
    <w:p>
      <w:pPr>
        <w:ind w:left="820" w:hanging="326"/>
        <w:spacing w:after="0" w:line="275" w:lineRule="auto"/>
        <w:tabs>
          <w:tab w:leader="none" w:pos="81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color w:val="auto"/>
        </w:rPr>
        <w:t>our exposure to any liability, protracted and costly litigation, settlement expenses or reputational damage relating to legal proceedings or our data security;</w:t>
      </w:r>
    </w:p>
    <w:p>
      <w:pPr>
        <w:spacing w:after="0" w:line="93" w:lineRule="exact"/>
        <w:rPr>
          <w:rFonts w:ascii="Arial" w:cs="Arial" w:eastAsia="Arial" w:hAnsi="Arial"/>
          <w:sz w:val="22"/>
          <w:szCs w:val="22"/>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goodwill or other intangible assets impairments on our operating results;</w:t>
      </w:r>
    </w:p>
    <w:p>
      <w:pPr>
        <w:spacing w:after="0" w:line="144"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pandemics or other public health emergencies;</w:t>
      </w:r>
    </w:p>
    <w:p>
      <w:pPr>
        <w:spacing w:after="0" w:line="15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securities on the NYSE; and</w:t>
      </w:r>
    </w:p>
    <w:p>
      <w:pPr>
        <w:spacing w:after="0" w:line="155"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risks and uncertainties indicated in this Report, including those set forth under “</w:t>
      </w:r>
      <w:r>
        <w:rPr>
          <w:rFonts w:ascii="Times New Roman" w:cs="Times New Roman" w:eastAsia="Times New Roman" w:hAnsi="Times New Roman"/>
          <w:sz w:val="18"/>
          <w:szCs w:val="18"/>
          <w:i w:val="1"/>
          <w:iCs w:val="1"/>
          <w:color w:val="231F20"/>
        </w:rPr>
        <w:t>Risk Factors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tbl>
      <w:tblPr>
        <w:tblLayout w:type="fixed"/>
        <w:tblInd w:w="0" w:type="dxa"/>
        <w:tblCellMar>
          <w:top w:w="0" w:type="dxa"/>
          <w:left w:w="0" w:type="dxa"/>
          <w:bottom w:w="0" w:type="dxa"/>
          <w:right w:w="0" w:type="dxa"/>
        </w:tblCellMar>
      </w:tblPr>
      <w:tr>
        <w:trPr>
          <w:trHeight w:val="156"/>
        </w:trPr>
        <w:tc>
          <w:tcPr>
            <w:tcW w:w="7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2"/>
          </w:tcPr>
          <w:p>
            <w:pPr>
              <w:jc w:val="center"/>
              <w:ind w:right="340"/>
              <w:spacing w:after="0" w:line="156"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3"/>
                <w:szCs w:val="13"/>
                <w:color w:val="auto"/>
              </w:rPr>
            </w:pPr>
          </w:p>
        </w:tc>
        <w:tc>
          <w:tcPr>
            <w:tcW w:w="1520" w:type="dxa"/>
            <w:vAlign w:val="bottom"/>
          </w:tcPr>
          <w:p>
            <w:pPr>
              <w:jc w:val="right"/>
              <w:ind w:right="628"/>
              <w:spacing w:after="0" w:line="156"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37"/>
        </w:trPr>
        <w:tc>
          <w:tcPr>
            <w:tcW w:w="7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4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1"/>
                <w:szCs w:val="11"/>
                <w:color w:val="auto"/>
              </w:rPr>
            </w:pPr>
          </w:p>
        </w:tc>
        <w:tc>
          <w:tcPr>
            <w:tcW w:w="1520" w:type="dxa"/>
            <w:vAlign w:val="bottom"/>
          </w:tcPr>
          <w:p>
            <w:pPr>
              <w:jc w:val="right"/>
              <w:ind w:right="208"/>
              <w:spacing w:after="0" w:line="137"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90"/>
        </w:trPr>
        <w:tc>
          <w:tcPr>
            <w:tcW w:w="7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52,882</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31,838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Customer funds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53,330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Available-for-sale securities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13,170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17,398</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24,437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29,664</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insurance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13,049</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Safeguarding asset for crypto</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701,556</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1,157,405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882,644</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equipment and software, net</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68,001</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2,900</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12,665</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13,262</w:t>
            </w:r>
          </w:p>
        </w:tc>
        <w:tc>
          <w:tcPr>
            <w:tcW w:w="0" w:type="dxa"/>
            <w:vAlign w:val="bottom"/>
          </w:tcPr>
          <w:p>
            <w:pPr>
              <w:spacing w:after="0"/>
              <w:rPr>
                <w:sz w:val="1"/>
                <w:szCs w:val="1"/>
                <w:color w:val="auto"/>
              </w:rPr>
            </w:pPr>
          </w:p>
        </w:tc>
      </w:tr>
      <w:tr>
        <w:trPr>
          <w:trHeight w:val="20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1,242,902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966,867</w:t>
            </w:r>
          </w:p>
        </w:tc>
        <w:tc>
          <w:tcPr>
            <w:tcW w:w="0" w:type="dxa"/>
            <w:vAlign w:val="bottom"/>
          </w:tcPr>
          <w:p>
            <w:pPr>
              <w:spacing w:after="0"/>
              <w:rPr>
                <w:sz w:val="1"/>
                <w:szCs w:val="1"/>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 and accrued liabilities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39,284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55,379</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Customer funds payable</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53,330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32,925</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Deferred revenue, current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Due to related party</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3,230</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Safeguarding obligation for crypto</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974,486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701,556</w:t>
            </w:r>
          </w:p>
        </w:tc>
        <w:tc>
          <w:tcPr>
            <w:tcW w:w="0" w:type="dxa"/>
            <w:vAlign w:val="bottom"/>
          </w:tcPr>
          <w:p>
            <w:pPr>
              <w:spacing w:after="0"/>
              <w:rPr>
                <w:sz w:val="1"/>
                <w:szCs w:val="1"/>
                <w:color w:val="auto"/>
              </w:rPr>
            </w:pPr>
          </w:p>
        </w:tc>
      </w:tr>
      <w:tr>
        <w:trPr>
          <w:trHeight w:val="195"/>
        </w:trPr>
        <w:tc>
          <w:tcPr>
            <w:tcW w:w="77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Unsettled crypto trades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3,706</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1,077,385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802,074</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 noncurrent</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2,753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3,198</w:t>
            </w: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Warrant liability</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38,757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21,428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23,525</w:t>
            </w:r>
          </w:p>
        </w:tc>
        <w:tc>
          <w:tcPr>
            <w:tcW w:w="0" w:type="dxa"/>
            <w:vAlign w:val="bottom"/>
          </w:tcPr>
          <w:p>
            <w:pPr>
              <w:spacing w:after="0"/>
              <w:rPr>
                <w:sz w:val="1"/>
                <w:szCs w:val="1"/>
                <w:color w:val="auto"/>
              </w:rPr>
            </w:pPr>
          </w:p>
        </w:tc>
      </w:tr>
      <w:tr>
        <w:trPr>
          <w:trHeight w:val="189"/>
        </w:trPr>
        <w:tc>
          <w:tcPr>
            <w:tcW w:w="77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Total liabilities</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1,140,323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831,153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7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A Common Stock ($0.0001 par value, 30,000,000 shares authorized, 6,310,548 shares</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issued and outstanding as of June 30, 2024 and 3,793,837 shares issued and outstanding</w:t>
            </w:r>
          </w:p>
        </w:tc>
        <w:tc>
          <w:tcPr>
            <w:tcW w:w="26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6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7740" w:type="dxa"/>
            <w:vAlign w:val="bottom"/>
            <w:shd w:val="clear" w:color="auto" w:fill="CCEEFF"/>
          </w:tcPr>
          <w:p>
            <w:pPr>
              <w:ind w:left="20"/>
              <w:spacing w:after="0" w:line="135" w:lineRule="exact"/>
              <w:rPr>
                <w:sz w:val="20"/>
                <w:szCs w:val="20"/>
                <w:color w:val="auto"/>
              </w:rPr>
            </w:pPr>
            <w:r>
              <w:rPr>
                <w:rFonts w:ascii="Times New Roman" w:cs="Times New Roman" w:eastAsia="Times New Roman" w:hAnsi="Times New Roman"/>
                <w:sz w:val="14"/>
                <w:szCs w:val="14"/>
                <w:color w:val="auto"/>
              </w:rPr>
              <w:t>Class V Common Stock ($0.0001 par value, 10,000,000 shares authorized, 7,194,941 shares</w:t>
            </w:r>
          </w:p>
        </w:tc>
        <w:tc>
          <w:tcPr>
            <w:tcW w:w="260" w:type="dxa"/>
            <w:vAlign w:val="bottom"/>
            <w:shd w:val="clear" w:color="auto" w:fill="CCEEFF"/>
          </w:tcPr>
          <w:p>
            <w:pPr>
              <w:spacing w:after="0"/>
              <w:rPr>
                <w:sz w:val="11"/>
                <w:szCs w:val="11"/>
                <w:color w:val="auto"/>
              </w:rPr>
            </w:pPr>
          </w:p>
        </w:tc>
        <w:tc>
          <w:tcPr>
            <w:tcW w:w="1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issued and outstanding as of June 30, 2024 and 7,200,064 shares issued and outstanding</w:t>
            </w:r>
          </w:p>
        </w:tc>
        <w:tc>
          <w:tcPr>
            <w:tcW w:w="26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2"/>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of December 31, 2023)</w:t>
            </w:r>
          </w:p>
        </w:tc>
        <w:tc>
          <w:tcPr>
            <w:tcW w:w="2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824,023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799,683</w:t>
            </w:r>
          </w:p>
        </w:tc>
        <w:tc>
          <w:tcPr>
            <w:tcW w:w="0" w:type="dxa"/>
            <w:vAlign w:val="bottom"/>
          </w:tcPr>
          <w:p>
            <w:pPr>
              <w:spacing w:after="0"/>
              <w:rPr>
                <w:sz w:val="1"/>
                <w:szCs w:val="1"/>
                <w:color w:val="auto"/>
              </w:rPr>
            </w:pPr>
          </w:p>
        </w:tc>
      </w:tr>
      <w:tr>
        <w:trPr>
          <w:trHeight w:val="21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(775,890)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(751,301)</w:t>
            </w:r>
          </w:p>
        </w:tc>
        <w:tc>
          <w:tcPr>
            <w:tcW w:w="0" w:type="dxa"/>
            <w:vAlign w:val="bottom"/>
          </w:tcPr>
          <w:p>
            <w:pPr>
              <w:spacing w:after="0"/>
              <w:rPr>
                <w:sz w:val="1"/>
                <w:szCs w:val="1"/>
                <w:color w:val="auto"/>
              </w:rPr>
            </w:pPr>
          </w:p>
        </w:tc>
      </w:tr>
      <w:tr>
        <w:trPr>
          <w:trHeight w:val="203"/>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26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47,794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48,282</w:t>
            </w:r>
          </w:p>
        </w:tc>
        <w:tc>
          <w:tcPr>
            <w:tcW w:w="0" w:type="dxa"/>
            <w:vAlign w:val="bottom"/>
          </w:tcPr>
          <w:p>
            <w:pPr>
              <w:spacing w:after="0"/>
              <w:rPr>
                <w:sz w:val="1"/>
                <w:szCs w:val="1"/>
                <w:color w:val="auto"/>
              </w:rPr>
            </w:pPr>
          </w:p>
        </w:tc>
      </w:tr>
      <w:tr>
        <w:trPr>
          <w:trHeight w:val="196"/>
        </w:trPr>
        <w:tc>
          <w:tcPr>
            <w:tcW w:w="7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Noncontrolling interest</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87,432</w:t>
            </w:r>
          </w:p>
        </w:tc>
        <w:tc>
          <w:tcPr>
            <w:tcW w:w="0" w:type="dxa"/>
            <w:vAlign w:val="bottom"/>
          </w:tcPr>
          <w:p>
            <w:pPr>
              <w:spacing w:after="0"/>
              <w:rPr>
                <w:sz w:val="1"/>
                <w:szCs w:val="1"/>
                <w:color w:val="auto"/>
              </w:rPr>
            </w:pPr>
          </w:p>
        </w:tc>
      </w:tr>
      <w:tr>
        <w:trPr>
          <w:trHeight w:val="196"/>
        </w:trPr>
        <w:tc>
          <w:tcPr>
            <w:tcW w:w="7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 equity</w:t>
            </w:r>
          </w:p>
        </w:tc>
        <w:tc>
          <w:tcPr>
            <w:tcW w:w="260" w:type="dxa"/>
            <w:vAlign w:val="bottom"/>
            <w:tcBorders>
              <w:bottom w:val="single" w:sz="8" w:color="auto"/>
            </w:tcBorders>
            <w:shd w:val="clear" w:color="auto" w:fill="CCEEFF"/>
          </w:tcPr>
          <w:p>
            <w:pPr>
              <w:spacing w:after="0"/>
              <w:rPr>
                <w:sz w:val="17"/>
                <w:szCs w:val="17"/>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102,579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135,714</w:t>
            </w:r>
          </w:p>
        </w:tc>
        <w:tc>
          <w:tcPr>
            <w:tcW w:w="0" w:type="dxa"/>
            <w:vAlign w:val="bottom"/>
          </w:tcPr>
          <w:p>
            <w:pPr>
              <w:spacing w:after="0"/>
              <w:rPr>
                <w:sz w:val="1"/>
                <w:szCs w:val="1"/>
                <w:color w:val="auto"/>
              </w:rPr>
            </w:pPr>
          </w:p>
        </w:tc>
      </w:tr>
      <w:tr>
        <w:trPr>
          <w:trHeight w:val="203"/>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1,242,902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966,867</w:t>
            </w: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2"/>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335,333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1,338,481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335,776</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Loyalty services, net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12,296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25,999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25,072</w:t>
            </w:r>
          </w:p>
        </w:tc>
      </w:tr>
      <w:tr>
        <w:trPr>
          <w:trHeight w:val="212"/>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509,898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347,629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1,364,480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360,848</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491,701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1,323,673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332,173</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61,209</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5,242</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10,111</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14,275</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17,792</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6,884</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Related party expenses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2,112</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4,471</w:t>
            </w:r>
          </w:p>
        </w:tc>
      </w:tr>
      <w:tr>
        <w:trPr>
          <w:trHeight w:val="213"/>
        </w:trPr>
        <w:tc>
          <w:tcPr>
            <w:tcW w:w="4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12"/>
        </w:trPr>
        <w:tc>
          <w:tcPr>
            <w:tcW w:w="49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531,915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398,717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1,418,334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457,382</w:t>
            </w:r>
          </w:p>
        </w:tc>
      </w:tr>
      <w:tr>
        <w:trPr>
          <w:trHeight w:val="20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(22,017)</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(51,088)</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(53,854)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(96,534)</w:t>
            </w:r>
          </w:p>
        </w:tc>
      </w:tr>
      <w:tr>
        <w:trPr>
          <w:trHeight w:val="212"/>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13"/>
        </w:trPr>
        <w:tc>
          <w:tcPr>
            <w:tcW w:w="49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gain from change in fair value of warrant liability</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(35,438)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(95,196)</w:t>
            </w:r>
          </w:p>
        </w:tc>
      </w:tr>
      <w:tr>
        <w:trPr>
          <w:trHeight w:val="219"/>
        </w:trPr>
        <w:tc>
          <w:tcPr>
            <w:tcW w:w="4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(50,511)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(95,366)</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(33,663)</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(32,198)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(64,546)</w:t>
            </w: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(24,589)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(30,820)</w:t>
            </w: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37"/>
        </w:trPr>
        <w:tc>
          <w:tcPr>
            <w:tcW w:w="4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Class A Common Stockholders:</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4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10"/>
        </w:trPr>
        <w:tc>
          <w:tcPr>
            <w:tcW w:w="49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r>
    </w:tbl>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231F20"/>
        </w:rPr>
        <w:t>Consolidated Statements of Comprehensive Loss</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4"/>
        </w:trPr>
        <w:tc>
          <w:tcPr>
            <w:tcW w:w="4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0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11"/>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(95,366)</w:t>
            </w: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Currency translation adjustment, net of tax</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r>
      <w:tr>
        <w:trPr>
          <w:trHeight w:val="21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(losses) gains on available-for-sale securities,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7"/>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(35,554)</w:t>
            </w:r>
          </w:p>
        </w:tc>
        <w:tc>
          <w:tcPr>
            <w:tcW w:w="10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(49,939)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(57,408)</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(95,004)</w:t>
            </w: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(33,281)</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(32,580)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(64,308)</w:t>
            </w:r>
          </w:p>
        </w:tc>
      </w:tr>
      <w:tr>
        <w:trPr>
          <w:trHeight w:val="212"/>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 attributable to Bakkt Holdings, Inc.</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(16,443)</w:t>
            </w:r>
          </w:p>
        </w:tc>
        <w:tc>
          <w:tcPr>
            <w:tcW w:w="100" w:type="dxa"/>
            <w:vAlign w:val="bottom"/>
          </w:tcPr>
          <w:p>
            <w:pPr>
              <w:spacing w:after="0"/>
              <w:rPr>
                <w:sz w:val="18"/>
                <w:szCs w:val="18"/>
                <w:color w:val="auto"/>
              </w:rPr>
            </w:pPr>
          </w:p>
        </w:tc>
        <w:tc>
          <w:tcPr>
            <w:tcW w:w="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(16,658)</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(30,696)</w:t>
            </w:r>
          </w:p>
        </w:tc>
      </w:tr>
      <w:tr>
        <w:trPr>
          <w:trHeight w:val="21"/>
        </w:trPr>
        <w:tc>
          <w:tcPr>
            <w:tcW w:w="4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jc w:val="center"/>
        <w:spacing w:after="0" w:line="219" w:lineRule="auto"/>
        <w:rPr>
          <w:sz w:val="20"/>
          <w:szCs w:val="20"/>
          <w:color w:val="auto"/>
        </w:rPr>
      </w:pPr>
      <w:r>
        <w:rPr>
          <w:rFonts w:ascii="Times New Roman" w:cs="Times New Roman" w:eastAsia="Times New Roman" w:hAnsi="Times New Roman"/>
          <w:sz w:val="18"/>
          <w:szCs w:val="18"/>
          <w:b w:val="1"/>
          <w:bCs w:val="1"/>
          <w:color w:val="231F20"/>
        </w:rPr>
        <w:t>Consolidated Statements of Changes in Stockholders’ Equity</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231F20"/>
        </w:rPr>
        <w:t>(in thousands, except share data)</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tbl>
      <w:tblPr>
        <w:tblLayout w:type="fixed"/>
        <w:tblInd w:w="0" w:type="dxa"/>
        <w:tblCellMar>
          <w:top w:w="0" w:type="dxa"/>
          <w:left w:w="0" w:type="dxa"/>
          <w:bottom w:w="0" w:type="dxa"/>
          <w:right w:w="0" w:type="dxa"/>
        </w:tblCellMar>
      </w:tblPr>
      <w:tr>
        <w:trPr>
          <w:trHeight w:val="115"/>
        </w:trPr>
        <w:tc>
          <w:tcPr>
            <w:tcW w:w="2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80" w:type="dxa"/>
            <w:vAlign w:val="bottom"/>
          </w:tcPr>
          <w:p>
            <w:pPr>
              <w:spacing w:after="0"/>
              <w:rPr>
                <w:sz w:val="10"/>
                <w:szCs w:val="10"/>
                <w:color w:val="auto"/>
              </w:rPr>
            </w:pPr>
          </w:p>
        </w:tc>
        <w:tc>
          <w:tcPr>
            <w:tcW w:w="860" w:type="dxa"/>
            <w:vAlign w:val="bottom"/>
            <w:vMerge w:val="restart"/>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10"/>
                <w:szCs w:val="10"/>
                <w:color w:val="auto"/>
              </w:rPr>
            </w:pPr>
          </w:p>
        </w:tc>
        <w:tc>
          <w:tcPr>
            <w:tcW w:w="1040" w:type="dxa"/>
            <w:vAlign w:val="bottom"/>
          </w:tcPr>
          <w:p>
            <w:pPr>
              <w:jc w:val="center"/>
              <w:ind w:right="46"/>
              <w:spacing w:after="0" w:line="115" w:lineRule="exact"/>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80" w:type="dxa"/>
            <w:vAlign w:val="bottom"/>
          </w:tcPr>
          <w:p>
            <w:pPr>
              <w:spacing w:after="0"/>
              <w:rPr>
                <w:sz w:val="10"/>
                <w:szCs w:val="10"/>
                <w:color w:val="auto"/>
              </w:rPr>
            </w:pPr>
          </w:p>
        </w:tc>
        <w:tc>
          <w:tcPr>
            <w:tcW w:w="9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20" w:type="dxa"/>
            <w:vAlign w:val="bottom"/>
            <w:gridSpan w:val="3"/>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40" w:type="dxa"/>
            <w:vAlign w:val="bottom"/>
            <w:gridSpan w:val="3"/>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Class V Common Stock</w:t>
            </w: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tcPr>
          <w:p>
            <w:pPr>
              <w:spacing w:after="0"/>
              <w:rPr>
                <w:sz w:val="13"/>
                <w:szCs w:val="13"/>
                <w:color w:val="auto"/>
              </w:rPr>
            </w:pPr>
          </w:p>
        </w:tc>
        <w:tc>
          <w:tcPr>
            <w:tcW w:w="760" w:type="dxa"/>
            <w:vAlign w:val="bottom"/>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46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3"/>
                <w:szCs w:val="13"/>
                <w:color w:val="auto"/>
              </w:rPr>
            </w:pPr>
          </w:p>
        </w:tc>
        <w:tc>
          <w:tcPr>
            <w:tcW w:w="380" w:type="dxa"/>
            <w:vAlign w:val="bottom"/>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2023</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3,793,837</w:t>
            </w: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7,200,064</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799,683</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(751,301)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(101)</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48,282</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87,432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135,714</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8,013</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8,013</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8,013</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118,593</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(2,259)</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(2,259)</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(2,259)</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Equity offerings, net of issuance costs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1,955,924</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11,268</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11,269</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11,269</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4,725</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(4,725)</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63</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(63)</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(160)</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(160)</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(261)</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(421)</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Unrealized losses on available-for-</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(60)</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(60)</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(98)</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sale securities, net of tax</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(8,165)</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(8,165)</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(13,110)</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(21,275)</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March 31, 2024</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5,873,079</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7,195,339</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816,768</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(759,466)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(321)</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56,983</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73,900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130,883</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220" w:type="dxa"/>
            <w:vAlign w:val="bottom"/>
            <w:vMerge w:val="continue"/>
          </w:tcPr>
          <w:p>
            <w:pPr>
              <w:spacing w:after="0"/>
              <w:rPr>
                <w:sz w:val="9"/>
                <w:szCs w:val="9"/>
                <w:color w:val="auto"/>
              </w:rPr>
            </w:pPr>
          </w:p>
        </w:tc>
        <w:tc>
          <w:tcPr>
            <w:tcW w:w="760" w:type="dxa"/>
            <w:vAlign w:val="bottom"/>
          </w:tcPr>
          <w:p>
            <w:pPr>
              <w:jc w:val="right"/>
              <w:ind w:right="2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460" w:type="dxa"/>
            <w:vAlign w:val="bottom"/>
          </w:tcPr>
          <w:p>
            <w:pPr>
              <w:jc w:val="right"/>
              <w:ind w:right="106"/>
              <w:spacing w:after="0" w:line="11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2,406</w:t>
            </w:r>
          </w:p>
        </w:tc>
        <w:tc>
          <w:tcPr>
            <w:tcW w:w="180" w:type="dxa"/>
            <w:vAlign w:val="bottom"/>
          </w:tcPr>
          <w:p>
            <w:pPr>
              <w:spacing w:after="0"/>
              <w:rPr>
                <w:sz w:val="9"/>
                <w:szCs w:val="9"/>
                <w:color w:val="auto"/>
              </w:rPr>
            </w:pPr>
          </w:p>
        </w:tc>
        <w:tc>
          <w:tcPr>
            <w:tcW w:w="8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2,406</w:t>
            </w:r>
          </w:p>
        </w:tc>
        <w:tc>
          <w:tcPr>
            <w:tcW w:w="180" w:type="dxa"/>
            <w:vAlign w:val="bottom"/>
          </w:tcPr>
          <w:p>
            <w:pPr>
              <w:spacing w:after="0"/>
              <w:rPr>
                <w:sz w:val="9"/>
                <w:szCs w:val="9"/>
                <w:color w:val="auto"/>
              </w:rPr>
            </w:pPr>
          </w:p>
        </w:tc>
        <w:tc>
          <w:tcPr>
            <w:tcW w:w="9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rPr>
              <w:t>2,406</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86,178</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(59)</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(59)</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Exercise of warrants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12</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Equity offerings, net of issuance costs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350,881</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4,903</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4,903</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4,903</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398</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(398)</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(5)</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(92)</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(92)</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(107)</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w:t>
            </w:r>
          </w:p>
        </w:tc>
        <w:tc>
          <w:tcPr>
            <w:tcW w:w="0" w:type="dxa"/>
            <w:vAlign w:val="bottom"/>
          </w:tcPr>
          <w:p>
            <w:pPr>
              <w:spacing w:after="0"/>
              <w:rPr>
                <w:sz w:val="1"/>
                <w:szCs w:val="1"/>
                <w:color w:val="auto"/>
              </w:rPr>
            </w:pPr>
          </w:p>
        </w:tc>
      </w:tr>
      <w:tr>
        <w:trPr>
          <w:trHeight w:val="108"/>
        </w:trPr>
        <w:tc>
          <w:tcPr>
            <w:tcW w:w="222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Unrealized losses on available-for-</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72</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85</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157</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sale securities, net of tax</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(16,424)</w:t>
            </w:r>
          </w:p>
        </w:tc>
        <w:tc>
          <w:tcPr>
            <w:tcW w:w="1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(16,424)</w:t>
            </w:r>
          </w:p>
        </w:tc>
        <w:tc>
          <w:tcPr>
            <w:tcW w:w="18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(19,088)</w:t>
            </w: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(35,512)</w:t>
            </w: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Balance as of June 30, 2024</w:t>
            </w:r>
          </w:p>
        </w:tc>
        <w:tc>
          <w:tcPr>
            <w:tcW w:w="76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6,310,548</w:t>
            </w:r>
          </w:p>
        </w:tc>
        <w:tc>
          <w:tcPr>
            <w:tcW w:w="2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top w:val="single" w:sz="8" w:color="auto"/>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rPr>
              <w:t>1</w:t>
            </w:r>
          </w:p>
        </w:tc>
        <w:tc>
          <w:tcPr>
            <w:tcW w:w="8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7,194,941</w:t>
            </w:r>
          </w:p>
        </w:tc>
        <w:tc>
          <w:tcPr>
            <w:tcW w:w="20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824,023</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(775,890)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(341)</w:t>
            </w:r>
          </w:p>
        </w:tc>
        <w:tc>
          <w:tcPr>
            <w:tcW w:w="2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47,794</w:t>
            </w: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top w:val="single" w:sz="8" w:color="auto"/>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rPr>
              <w:t>54,785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color w:val="auto"/>
              </w:rPr>
              <w:t>102,579</w:t>
            </w:r>
          </w:p>
        </w:tc>
        <w:tc>
          <w:tcPr>
            <w:tcW w:w="0" w:type="dxa"/>
            <w:vAlign w:val="bottom"/>
          </w:tcPr>
          <w:p>
            <w:pPr>
              <w:spacing w:after="0"/>
              <w:rPr>
                <w:sz w:val="1"/>
                <w:szCs w:val="1"/>
                <w:color w:val="auto"/>
              </w:rPr>
            </w:pPr>
          </w:p>
        </w:tc>
      </w:tr>
      <w:tr>
        <w:trPr>
          <w:trHeight w:val="21"/>
        </w:trPr>
        <w:tc>
          <w:tcPr>
            <w:tcW w:w="2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Additional Paid-</w:t>
            </w:r>
          </w:p>
        </w:tc>
        <w:tc>
          <w:tcPr>
            <w:tcW w:w="180" w:type="dxa"/>
            <w:vAlign w:val="bottom"/>
          </w:tcPr>
          <w:p>
            <w:pPr>
              <w:spacing w:after="0"/>
              <w:rPr>
                <w:sz w:val="24"/>
                <w:szCs w:val="24"/>
                <w:color w:val="auto"/>
              </w:rPr>
            </w:pPr>
          </w:p>
        </w:tc>
        <w:tc>
          <w:tcPr>
            <w:tcW w:w="860" w:type="dxa"/>
            <w:vAlign w:val="bottom"/>
            <w:vMerge w:val="restart"/>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120" w:type="dxa"/>
            <w:vAlign w:val="bottom"/>
          </w:tcPr>
          <w:p>
            <w:pPr>
              <w:spacing w:after="0"/>
              <w:rPr>
                <w:sz w:val="24"/>
                <w:szCs w:val="24"/>
                <w:color w:val="auto"/>
              </w:rPr>
            </w:pPr>
          </w:p>
        </w:tc>
        <w:tc>
          <w:tcPr>
            <w:tcW w:w="104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6"/>
              </w:rPr>
              <w:t>Accumulated Other</w:t>
            </w:r>
          </w:p>
        </w:tc>
        <w:tc>
          <w:tcPr>
            <w:tcW w:w="10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Total Stockholders’</w:t>
            </w:r>
          </w:p>
        </w:tc>
        <w:tc>
          <w:tcPr>
            <w:tcW w:w="180" w:type="dxa"/>
            <w:vAlign w:val="bottom"/>
          </w:tcPr>
          <w:p>
            <w:pPr>
              <w:spacing w:after="0"/>
              <w:rPr>
                <w:sz w:val="24"/>
                <w:szCs w:val="24"/>
                <w:color w:val="auto"/>
              </w:rPr>
            </w:pPr>
          </w:p>
        </w:tc>
        <w:tc>
          <w:tcPr>
            <w:tcW w:w="960" w:type="dxa"/>
            <w:vAlign w:val="bottom"/>
            <w:vMerge w:val="restart"/>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220" w:type="dxa"/>
            <w:vAlign w:val="bottom"/>
          </w:tcPr>
          <w:p>
            <w:pPr>
              <w:spacing w:after="0"/>
              <w:rPr>
                <w:sz w:val="9"/>
                <w:szCs w:val="9"/>
                <w:color w:val="auto"/>
              </w:rPr>
            </w:pPr>
          </w:p>
        </w:tc>
        <w:tc>
          <w:tcPr>
            <w:tcW w:w="1420" w:type="dxa"/>
            <w:vAlign w:val="bottom"/>
            <w:gridSpan w:val="3"/>
            <w:vMerge w:val="restart"/>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1440" w:type="dxa"/>
            <w:vAlign w:val="bottom"/>
            <w:gridSpan w:val="3"/>
            <w:vMerge w:val="restart"/>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Class V Common Stock</w:t>
            </w:r>
          </w:p>
        </w:tc>
        <w:tc>
          <w:tcPr>
            <w:tcW w:w="9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jc w:val="center"/>
              <w:ind w:right="66"/>
              <w:spacing w:after="0" w:line="108"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6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restart"/>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w w:val="93"/>
              </w:rPr>
              <w:t>Total Equity</w:t>
            </w: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1440" w:type="dxa"/>
            <w:vAlign w:val="bottom"/>
            <w:tcBorders>
              <w:bottom w:val="single" w:sz="8" w:color="auto"/>
            </w:tcBorders>
            <w:gridSpan w:val="3"/>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in Capital</w:t>
            </w: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9"/>
              </w:rPr>
              <w:t>Income (Loss)</w:t>
            </w: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26"/>
              <w:spacing w:after="0"/>
              <w:rPr>
                <w:sz w:val="20"/>
                <w:szCs w:val="20"/>
                <w:color w:val="auto"/>
              </w:rPr>
            </w:pPr>
            <w:r>
              <w:rPr>
                <w:rFonts w:ascii="Times New Roman" w:cs="Times New Roman" w:eastAsia="Times New Roman" w:hAnsi="Times New Roman"/>
                <w:sz w:val="11"/>
                <w:szCs w:val="11"/>
                <w:b w:val="1"/>
                <w:bCs w:val="1"/>
                <w:color w:val="auto"/>
                <w:w w:val="92"/>
              </w:rPr>
              <w:t>Interest</w:t>
            </w: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2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w:t>
            </w:r>
          </w:p>
        </w:tc>
        <w:tc>
          <w:tcPr>
            <w:tcW w:w="1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December 31, 2022</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3,237,074</w:t>
            </w:r>
          </w:p>
        </w:tc>
        <w:tc>
          <w:tcPr>
            <w:tcW w:w="2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7,339,310</w:t>
            </w:r>
          </w:p>
        </w:tc>
        <w:tc>
          <w:tcPr>
            <w:tcW w:w="20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773,000</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(676,447)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(290)</w:t>
            </w:r>
          </w:p>
        </w:tc>
        <w:tc>
          <w:tcPr>
            <w:tcW w:w="2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96,264</w:t>
            </w:r>
          </w:p>
        </w:tc>
        <w:tc>
          <w:tcPr>
            <w:tcW w:w="18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239,811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336,075</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6,713</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6,713</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6,713</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542</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542</w:t>
            </w:r>
          </w:p>
        </w:tc>
        <w:tc>
          <w:tcPr>
            <w:tcW w:w="0" w:type="dxa"/>
            <w:vAlign w:val="bottom"/>
          </w:tcPr>
          <w:p>
            <w:pPr>
              <w:spacing w:after="0"/>
              <w:rPr>
                <w:sz w:val="1"/>
                <w:szCs w:val="1"/>
                <w:color w:val="auto"/>
              </w:rPr>
            </w:pPr>
          </w:p>
        </w:tc>
      </w:tr>
      <w:tr>
        <w:trPr>
          <w:trHeight w:val="108"/>
        </w:trPr>
        <w:tc>
          <w:tcPr>
            <w:tcW w:w="222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59,801</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Exchange of Class V shares for Class A shares</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8,115</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(8,115)</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345</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345</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(345)</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7</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22</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w w:val="98"/>
              </w:rPr>
              <w:t>Unrealized loss on available-for-sale securities,</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(72)</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(72)</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(157)</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net of tax</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(13,976)</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(13,976)</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(30,883)</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(44,859)</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March 31, 2023</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3,304,990</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7,331,195</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780,058</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(690,423)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(355)</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89,281</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208,983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298,264</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1"/>
                <w:szCs w:val="11"/>
                <w:color w:val="auto"/>
              </w:rPr>
              <w:t>Share-based compensation</w:t>
            </w: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220" w:type="dxa"/>
            <w:vAlign w:val="bottom"/>
            <w:vMerge w:val="continue"/>
          </w:tcPr>
          <w:p>
            <w:pPr>
              <w:spacing w:after="0"/>
              <w:rPr>
                <w:sz w:val="9"/>
                <w:szCs w:val="9"/>
                <w:color w:val="auto"/>
              </w:rPr>
            </w:pPr>
          </w:p>
        </w:tc>
        <w:tc>
          <w:tcPr>
            <w:tcW w:w="760" w:type="dxa"/>
            <w:vAlign w:val="bottom"/>
          </w:tcPr>
          <w:p>
            <w:pPr>
              <w:jc w:val="right"/>
              <w:ind w:right="2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460" w:type="dxa"/>
            <w:vAlign w:val="bottom"/>
          </w:tcPr>
          <w:p>
            <w:pPr>
              <w:jc w:val="right"/>
              <w:ind w:right="106"/>
              <w:spacing w:after="0" w:line="114" w:lineRule="exact"/>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4,614</w:t>
            </w:r>
          </w:p>
        </w:tc>
        <w:tc>
          <w:tcPr>
            <w:tcW w:w="180" w:type="dxa"/>
            <w:vAlign w:val="bottom"/>
          </w:tcPr>
          <w:p>
            <w:pPr>
              <w:spacing w:after="0"/>
              <w:rPr>
                <w:sz w:val="9"/>
                <w:szCs w:val="9"/>
                <w:color w:val="auto"/>
              </w:rPr>
            </w:pPr>
          </w:p>
        </w:tc>
        <w:tc>
          <w:tcPr>
            <w:tcW w:w="8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4,614</w:t>
            </w:r>
          </w:p>
        </w:tc>
        <w:tc>
          <w:tcPr>
            <w:tcW w:w="180" w:type="dxa"/>
            <w:vAlign w:val="bottom"/>
          </w:tcPr>
          <w:p>
            <w:pPr>
              <w:spacing w:after="0"/>
              <w:rPr>
                <w:sz w:val="9"/>
                <w:szCs w:val="9"/>
                <w:color w:val="auto"/>
              </w:rPr>
            </w:pPr>
          </w:p>
        </w:tc>
        <w:tc>
          <w:tcPr>
            <w:tcW w:w="960" w:type="dxa"/>
            <w:vAlign w:val="bottom"/>
          </w:tcPr>
          <w:p>
            <w:pPr>
              <w:jc w:val="right"/>
              <w:ind w:right="46"/>
              <w:spacing w:after="0" w:line="114"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tcPr>
          <w:p>
            <w:pPr>
              <w:jc w:val="right"/>
              <w:ind w:right="6"/>
              <w:spacing w:after="0" w:line="114" w:lineRule="exact"/>
              <w:rPr>
                <w:sz w:val="20"/>
                <w:szCs w:val="20"/>
                <w:color w:val="auto"/>
              </w:rPr>
            </w:pPr>
            <w:r>
              <w:rPr>
                <w:rFonts w:ascii="Times New Roman" w:cs="Times New Roman" w:eastAsia="Times New Roman" w:hAnsi="Times New Roman"/>
                <w:sz w:val="11"/>
                <w:szCs w:val="11"/>
                <w:color w:val="auto"/>
              </w:rPr>
              <w:t>4,614</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Unit-based compensation</w:t>
            </w:r>
          </w:p>
        </w:tc>
        <w:tc>
          <w:tcPr>
            <w:tcW w:w="760" w:type="dxa"/>
            <w:vAlign w:val="bottom"/>
            <w:tcBorders>
              <w:bottom w:val="single" w:sz="8" w:color="CCEEFF"/>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377</w:t>
            </w: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377</w:t>
            </w:r>
          </w:p>
        </w:tc>
        <w:tc>
          <w:tcPr>
            <w:tcW w:w="0" w:type="dxa"/>
            <w:vAlign w:val="bottom"/>
          </w:tcPr>
          <w:p>
            <w:pPr>
              <w:spacing w:after="0"/>
              <w:rPr>
                <w:sz w:val="1"/>
                <w:szCs w:val="1"/>
                <w:color w:val="auto"/>
              </w:rPr>
            </w:pPr>
          </w:p>
        </w:tc>
      </w:tr>
      <w:tr>
        <w:trPr>
          <w:trHeight w:val="108"/>
        </w:trPr>
        <w:tc>
          <w:tcPr>
            <w:tcW w:w="2220" w:type="dxa"/>
            <w:vAlign w:val="bottom"/>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upon vesting of share-based</w:t>
            </w:r>
          </w:p>
        </w:tc>
        <w:tc>
          <w:tcPr>
            <w:tcW w:w="76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100,828</w:t>
            </w:r>
          </w:p>
        </w:tc>
        <w:tc>
          <w:tcPr>
            <w:tcW w:w="200" w:type="dxa"/>
            <w:vAlign w:val="bottom"/>
          </w:tcPr>
          <w:p>
            <w:pPr>
              <w:spacing w:after="0"/>
              <w:rPr>
                <w:sz w:val="9"/>
                <w:szCs w:val="9"/>
                <w:color w:val="auto"/>
              </w:rPr>
            </w:pPr>
          </w:p>
        </w:tc>
        <w:tc>
          <w:tcPr>
            <w:tcW w:w="460" w:type="dxa"/>
            <w:vAlign w:val="bottom"/>
            <w:vMerge w:val="restart"/>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8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740" w:type="dxa"/>
            <w:vAlign w:val="bottom"/>
            <w:vMerge w:val="restart"/>
          </w:tcPr>
          <w:p>
            <w:pPr>
              <w:jc w:val="right"/>
              <w:ind w:right="6"/>
              <w:spacing w:after="0"/>
              <w:rPr>
                <w:sz w:val="20"/>
                <w:szCs w:val="20"/>
                <w:color w:val="auto"/>
              </w:rPr>
            </w:pPr>
            <w:r>
              <w:rPr>
                <w:rFonts w:ascii="Times New Roman" w:cs="Times New Roman" w:eastAsia="Times New Roman" w:hAnsi="Times New Roman"/>
                <w:sz w:val="11"/>
                <w:szCs w:val="11"/>
                <w:color w:val="auto"/>
              </w:rPr>
              <w:t>(2,502)</w:t>
            </w:r>
          </w:p>
        </w:tc>
        <w:tc>
          <w:tcPr>
            <w:tcW w:w="180" w:type="dxa"/>
            <w:vAlign w:val="bottom"/>
          </w:tcPr>
          <w:p>
            <w:pPr>
              <w:spacing w:after="0"/>
              <w:rPr>
                <w:sz w:val="9"/>
                <w:szCs w:val="9"/>
                <w:color w:val="auto"/>
              </w:rPr>
            </w:pPr>
          </w:p>
        </w:tc>
        <w:tc>
          <w:tcPr>
            <w:tcW w:w="8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9"/>
                <w:szCs w:val="9"/>
                <w:color w:val="auto"/>
              </w:rPr>
            </w:pPr>
          </w:p>
        </w:tc>
        <w:tc>
          <w:tcPr>
            <w:tcW w:w="800" w:type="dxa"/>
            <w:vAlign w:val="bottom"/>
            <w:vMerge w:val="restart"/>
          </w:tcPr>
          <w:p>
            <w:pPr>
              <w:jc w:val="right"/>
              <w:ind w:right="26"/>
              <w:spacing w:after="0"/>
              <w:rPr>
                <w:sz w:val="20"/>
                <w:szCs w:val="20"/>
                <w:color w:val="auto"/>
              </w:rPr>
            </w:pPr>
            <w:r>
              <w:rPr>
                <w:rFonts w:ascii="Times New Roman" w:cs="Times New Roman" w:eastAsia="Times New Roman" w:hAnsi="Times New Roman"/>
                <w:sz w:val="11"/>
                <w:szCs w:val="11"/>
                <w:color w:val="auto"/>
              </w:rPr>
              <w:t>(2,502)</w:t>
            </w:r>
          </w:p>
        </w:tc>
        <w:tc>
          <w:tcPr>
            <w:tcW w:w="180" w:type="dxa"/>
            <w:vAlign w:val="bottom"/>
          </w:tcPr>
          <w:p>
            <w:pPr>
              <w:spacing w:after="0"/>
              <w:rPr>
                <w:sz w:val="9"/>
                <w:szCs w:val="9"/>
                <w:color w:val="auto"/>
              </w:rPr>
            </w:pPr>
          </w:p>
        </w:tc>
        <w:tc>
          <w:tcPr>
            <w:tcW w:w="96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(2,502)</w:t>
            </w: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awards, net of tax withholding</w:t>
            </w: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Shares issued in connection with Apex</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245,624</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9,062</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9,062</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9,062</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acquisition</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Currency translation adjustment, net of tax</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112</w:t>
            </w:r>
          </w:p>
        </w:tc>
        <w:tc>
          <w:tcPr>
            <w:tcW w:w="26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112</w:t>
            </w:r>
          </w:p>
        </w:tc>
        <w:tc>
          <w:tcPr>
            <w:tcW w:w="18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227</w:t>
            </w:r>
          </w:p>
        </w:tc>
        <w:tc>
          <w:tcPr>
            <w:tcW w:w="140" w:type="dxa"/>
            <w:vAlign w:val="bottom"/>
          </w:tcPr>
          <w:p>
            <w:pPr>
              <w:spacing w:after="0"/>
              <w:rPr>
                <w:sz w:val="12"/>
                <w:szCs w:val="12"/>
                <w:color w:val="auto"/>
              </w:rPr>
            </w:pPr>
          </w:p>
        </w:tc>
        <w:tc>
          <w:tcPr>
            <w:tcW w:w="70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339</w:t>
            </w:r>
          </w:p>
        </w:tc>
        <w:tc>
          <w:tcPr>
            <w:tcW w:w="0" w:type="dxa"/>
            <w:vAlign w:val="bottom"/>
          </w:tcPr>
          <w:p>
            <w:pPr>
              <w:spacing w:after="0"/>
              <w:rPr>
                <w:sz w:val="1"/>
                <w:szCs w:val="1"/>
                <w:color w:val="auto"/>
              </w:rPr>
            </w:pPr>
          </w:p>
        </w:tc>
      </w:tr>
      <w:tr>
        <w:trPr>
          <w:trHeight w:val="22"/>
        </w:trPr>
        <w:tc>
          <w:tcPr>
            <w:tcW w:w="2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220" w:type="dxa"/>
            <w:vAlign w:val="bottom"/>
            <w:shd w:val="clear" w:color="auto" w:fill="CCEEFF"/>
          </w:tcPr>
          <w:p>
            <w:pPr>
              <w:ind w:left="140"/>
              <w:spacing w:after="0" w:line="108" w:lineRule="exact"/>
              <w:rPr>
                <w:sz w:val="20"/>
                <w:szCs w:val="20"/>
                <w:color w:val="auto"/>
              </w:rPr>
            </w:pPr>
            <w:r>
              <w:rPr>
                <w:rFonts w:ascii="Times New Roman" w:cs="Times New Roman" w:eastAsia="Times New Roman" w:hAnsi="Times New Roman"/>
                <w:sz w:val="11"/>
                <w:szCs w:val="11"/>
                <w:color w:val="auto"/>
              </w:rPr>
              <w:t>Unrealized losses on available-for-</w:t>
            </w:r>
          </w:p>
        </w:tc>
        <w:tc>
          <w:tcPr>
            <w:tcW w:w="760" w:type="dxa"/>
            <w:vAlign w:val="bottom"/>
            <w:vMerge w:val="restart"/>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460" w:type="dxa"/>
            <w:vAlign w:val="bottom"/>
            <w:vMerge w:val="restart"/>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8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CEEFF"/>
          </w:tcPr>
          <w:p>
            <w:pPr>
              <w:spacing w:after="0"/>
              <w:rPr>
                <w:sz w:val="9"/>
                <w:szCs w:val="9"/>
                <w:color w:val="auto"/>
              </w:rPr>
            </w:pPr>
          </w:p>
        </w:tc>
        <w:tc>
          <w:tcPr>
            <w:tcW w:w="104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26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77</w:t>
            </w:r>
          </w:p>
        </w:tc>
        <w:tc>
          <w:tcPr>
            <w:tcW w:w="180" w:type="dxa"/>
            <w:vAlign w:val="bottom"/>
            <w:shd w:val="clear" w:color="auto" w:fill="CCEEFF"/>
          </w:tcPr>
          <w:p>
            <w:pPr>
              <w:spacing w:after="0"/>
              <w:rPr>
                <w:sz w:val="9"/>
                <w:szCs w:val="9"/>
                <w:color w:val="auto"/>
              </w:rPr>
            </w:pPr>
          </w:p>
        </w:tc>
        <w:tc>
          <w:tcPr>
            <w:tcW w:w="960" w:type="dxa"/>
            <w:vAlign w:val="bottom"/>
            <w:vMerge w:val="restart"/>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156</w:t>
            </w:r>
          </w:p>
        </w:tc>
        <w:tc>
          <w:tcPr>
            <w:tcW w:w="140" w:type="dxa"/>
            <w:vAlign w:val="bottom"/>
            <w:shd w:val="clear" w:color="auto" w:fill="CCEEFF"/>
          </w:tcPr>
          <w:p>
            <w:pPr>
              <w:spacing w:after="0"/>
              <w:rPr>
                <w:sz w:val="9"/>
                <w:szCs w:val="9"/>
                <w:color w:val="auto"/>
              </w:rPr>
            </w:pPr>
          </w:p>
        </w:tc>
        <w:tc>
          <w:tcPr>
            <w:tcW w:w="700" w:type="dxa"/>
            <w:vAlign w:val="bottom"/>
            <w:vMerge w:val="restart"/>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233</w:t>
            </w:r>
          </w:p>
        </w:tc>
        <w:tc>
          <w:tcPr>
            <w:tcW w:w="0" w:type="dxa"/>
            <w:vAlign w:val="bottom"/>
          </w:tcPr>
          <w:p>
            <w:pPr>
              <w:spacing w:after="0"/>
              <w:rPr>
                <w:sz w:val="1"/>
                <w:szCs w:val="1"/>
                <w:color w:val="auto"/>
              </w:rPr>
            </w:pPr>
          </w:p>
        </w:tc>
      </w:tr>
      <w:tr>
        <w:trPr>
          <w:trHeight w:val="142"/>
        </w:trPr>
        <w:tc>
          <w:tcPr>
            <w:tcW w:w="22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sale securities</w:t>
            </w:r>
          </w:p>
        </w:tc>
        <w:tc>
          <w:tcPr>
            <w:tcW w:w="7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CCEEFF"/>
            </w:tcBorders>
            <w:vMerge w:val="continue"/>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860" w:type="dxa"/>
            <w:vAlign w:val="bottom"/>
            <w:tcBorders>
              <w:bottom w:val="single" w:sz="8" w:color="CCEEFF"/>
            </w:tcBorders>
            <w:vMerge w:val="continue"/>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vMerge w:val="continue"/>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CCEEFF"/>
            </w:tcBorders>
            <w:vMerge w:val="continue"/>
            <w:shd w:val="clear" w:color="auto" w:fill="CCEEFF"/>
          </w:tcPr>
          <w:p>
            <w:pPr>
              <w:spacing w:after="0"/>
              <w:rPr>
                <w:sz w:val="12"/>
                <w:szCs w:val="12"/>
                <w:color w:val="auto"/>
              </w:rPr>
            </w:pPr>
          </w:p>
        </w:tc>
        <w:tc>
          <w:tcPr>
            <w:tcW w:w="1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vMerge w:val="continue"/>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70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20" w:type="dxa"/>
            <w:vAlign w:val="bottom"/>
          </w:tcPr>
          <w:p>
            <w:pPr>
              <w:ind w:left="140"/>
              <w:spacing w:after="0"/>
              <w:rPr>
                <w:sz w:val="20"/>
                <w:szCs w:val="20"/>
                <w:color w:val="auto"/>
              </w:rPr>
            </w:pPr>
            <w:r>
              <w:rPr>
                <w:rFonts w:ascii="Times New Roman" w:cs="Times New Roman" w:eastAsia="Times New Roman" w:hAnsi="Times New Roman"/>
                <w:sz w:val="11"/>
                <w:szCs w:val="11"/>
                <w:color w:val="auto"/>
              </w:rPr>
              <w:t>Net loss</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46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3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7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2"/>
                <w:szCs w:val="12"/>
                <w:color w:val="auto"/>
              </w:rPr>
            </w:pPr>
          </w:p>
        </w:tc>
        <w:tc>
          <w:tcPr>
            <w:tcW w:w="86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rPr>
              <w:t>(16,848)</w:t>
            </w:r>
          </w:p>
        </w:tc>
        <w:tc>
          <w:tcPr>
            <w:tcW w:w="120" w:type="dxa"/>
            <w:vAlign w:val="bottom"/>
          </w:tcPr>
          <w:p>
            <w:pPr>
              <w:spacing w:after="0"/>
              <w:rPr>
                <w:sz w:val="12"/>
                <w:szCs w:val="12"/>
                <w:color w:val="auto"/>
              </w:rPr>
            </w:pP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260" w:type="dxa"/>
            <w:vAlign w:val="bottom"/>
          </w:tcPr>
          <w:p>
            <w:pPr>
              <w:spacing w:after="0"/>
              <w:rPr>
                <w:sz w:val="12"/>
                <w:szCs w:val="12"/>
                <w:color w:val="auto"/>
              </w:rPr>
            </w:pPr>
          </w:p>
        </w:tc>
        <w:tc>
          <w:tcPr>
            <w:tcW w:w="80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(16,848)</w:t>
            </w:r>
          </w:p>
        </w:tc>
        <w:tc>
          <w:tcPr>
            <w:tcW w:w="180" w:type="dxa"/>
            <w:vAlign w:val="bottom"/>
          </w:tcPr>
          <w:p>
            <w:pPr>
              <w:spacing w:after="0"/>
              <w:rPr>
                <w:sz w:val="12"/>
                <w:szCs w:val="12"/>
                <w:color w:val="auto"/>
              </w:rPr>
            </w:pPr>
          </w:p>
        </w:tc>
        <w:tc>
          <w:tcPr>
            <w:tcW w:w="96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rPr>
              <w:t>(33,663)</w:t>
            </w:r>
          </w:p>
        </w:tc>
        <w:tc>
          <w:tcPr>
            <w:tcW w:w="1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(50,511)</w:t>
            </w:r>
          </w:p>
        </w:tc>
        <w:tc>
          <w:tcPr>
            <w:tcW w:w="0" w:type="dxa"/>
            <w:vAlign w:val="bottom"/>
          </w:tcPr>
          <w:p>
            <w:pPr>
              <w:spacing w:after="0"/>
              <w:rPr>
                <w:sz w:val="1"/>
                <w:szCs w:val="1"/>
                <w:color w:val="auto"/>
              </w:rPr>
            </w:pPr>
          </w:p>
        </w:tc>
      </w:tr>
      <w:tr>
        <w:trPr>
          <w:trHeight w:val="22"/>
        </w:trPr>
        <w:tc>
          <w:tcPr>
            <w:tcW w:w="2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Balance as of June 30, 2023</w:t>
            </w:r>
          </w:p>
        </w:tc>
        <w:tc>
          <w:tcPr>
            <w:tcW w:w="76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3,651,442</w:t>
            </w:r>
          </w:p>
        </w:tc>
        <w:tc>
          <w:tcPr>
            <w:tcW w:w="2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Borders>
              <w:bottom w:val="single" w:sz="8" w:color="auto"/>
            </w:tcBorders>
            <w:shd w:val="clear" w:color="auto" w:fill="CCEEFF"/>
          </w:tcPr>
          <w:p>
            <w:pPr>
              <w:jc w:val="right"/>
              <w:ind w:right="10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7,331,195</w:t>
            </w:r>
          </w:p>
        </w:tc>
        <w:tc>
          <w:tcPr>
            <w:tcW w:w="200" w:type="dxa"/>
            <w:vAlign w:val="bottom"/>
            <w:tcBorders>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18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791,232</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(707,271)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(166)</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83,796</w:t>
            </w:r>
          </w:p>
        </w:tc>
        <w:tc>
          <w:tcPr>
            <w:tcW w:w="18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176,080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rPr>
              <w:t>259,876</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(in thousands)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8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Six Months Ended</w:t>
            </w:r>
          </w:p>
        </w:tc>
        <w:tc>
          <w:tcPr>
            <w:tcW w:w="160" w:type="dxa"/>
            <w:vAlign w:val="bottom"/>
          </w:tcPr>
          <w:p>
            <w:pPr>
              <w:spacing w:after="0"/>
              <w:rPr>
                <w:sz w:val="12"/>
                <w:szCs w:val="12"/>
                <w:color w:val="auto"/>
              </w:rPr>
            </w:pPr>
          </w:p>
        </w:tc>
        <w:tc>
          <w:tcPr>
            <w:tcW w:w="13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Six Months Ended</w:t>
            </w:r>
          </w:p>
        </w:tc>
        <w:tc>
          <w:tcPr>
            <w:tcW w:w="0" w:type="dxa"/>
            <w:vAlign w:val="bottom"/>
          </w:tcPr>
          <w:p>
            <w:pPr>
              <w:spacing w:after="0"/>
              <w:rPr>
                <w:sz w:val="1"/>
                <w:szCs w:val="1"/>
                <w:color w:val="auto"/>
              </w:rPr>
            </w:pPr>
          </w:p>
        </w:tc>
      </w:tr>
      <w:tr>
        <w:trPr>
          <w:trHeight w:val="166"/>
        </w:trPr>
        <w:tc>
          <w:tcPr>
            <w:tcW w:w="8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June 30, 2024</w:t>
            </w:r>
          </w:p>
        </w:tc>
        <w:tc>
          <w:tcPr>
            <w:tcW w:w="160" w:type="dxa"/>
            <w:vAlign w:val="bottom"/>
          </w:tcPr>
          <w:p>
            <w:pPr>
              <w:spacing w:after="0"/>
              <w:rPr>
                <w:sz w:val="14"/>
                <w:szCs w:val="14"/>
                <w:color w:val="auto"/>
              </w:rPr>
            </w:pPr>
          </w:p>
        </w:tc>
        <w:tc>
          <w:tcPr>
            <w:tcW w:w="132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June 30, 2023</w:t>
            </w:r>
          </w:p>
        </w:tc>
        <w:tc>
          <w:tcPr>
            <w:tcW w:w="0" w:type="dxa"/>
            <w:vAlign w:val="bottom"/>
          </w:tcPr>
          <w:p>
            <w:pPr>
              <w:spacing w:after="0"/>
              <w:rPr>
                <w:sz w:val="1"/>
                <w:szCs w:val="1"/>
                <w:color w:val="auto"/>
              </w:rPr>
            </w:pPr>
          </w:p>
        </w:tc>
      </w:tr>
      <w:tr>
        <w:trPr>
          <w:trHeight w:val="23"/>
        </w:trPr>
        <w:tc>
          <w:tcPr>
            <w:tcW w:w="814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81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(95,366)</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(used in) operating activities: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6,884</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Non-cash lease expense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Share-based compensation expense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11,327</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Unit-based compensation expense</w:t>
            </w:r>
          </w:p>
        </w:tc>
        <w:tc>
          <w:tcPr>
            <w:tcW w:w="16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946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Impairment of long-lived assets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Loss on disposal of assets</w:t>
            </w:r>
          </w:p>
        </w:tc>
        <w:tc>
          <w:tcPr>
            <w:tcW w:w="16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 from change in fair value of warrant liability</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Other</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receivable</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6,035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Prepaid insurance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6,871</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Accounts payable and accrued liabilities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(11,144)</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Unsettled crypto trades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Due to related party</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Deferred revenue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(820)</w:t>
            </w:r>
          </w:p>
        </w:tc>
        <w:tc>
          <w:tcPr>
            <w:tcW w:w="0" w:type="dxa"/>
            <w:vAlign w:val="bottom"/>
          </w:tcPr>
          <w:p>
            <w:pPr>
              <w:spacing w:after="0"/>
              <w:rPr>
                <w:sz w:val="1"/>
                <w:szCs w:val="1"/>
                <w:color w:val="auto"/>
              </w:rPr>
            </w:pPr>
          </w:p>
        </w:tc>
      </w:tr>
      <w:tr>
        <w:trPr>
          <w:trHeight w:val="170"/>
        </w:trPr>
        <w:tc>
          <w:tcPr>
            <w:tcW w:w="814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(1,934)</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Customer funds payable</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20,405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(1,585)</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(2,151)</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(27,540)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(78,486)</w:t>
            </w:r>
          </w:p>
        </w:tc>
        <w:tc>
          <w:tcPr>
            <w:tcW w:w="0" w:type="dxa"/>
            <w:vAlign w:val="bottom"/>
          </w:tcPr>
          <w:p>
            <w:pPr>
              <w:spacing w:after="0"/>
              <w:rPr>
                <w:sz w:val="1"/>
                <w:szCs w:val="1"/>
                <w:color w:val="auto"/>
              </w:rPr>
            </w:pPr>
          </w:p>
        </w:tc>
      </w:tr>
      <w:tr>
        <w:trPr>
          <w:trHeight w:val="151"/>
        </w:trPr>
        <w:tc>
          <w:tcPr>
            <w:tcW w:w="814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(6,046)</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Purchase of available-for-sale securities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(17,996)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(26,999)</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Proceeds from the settlement of available-for-sale securities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153,158</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Acquisition of Bumped Financial, LLC</w:t>
            </w:r>
          </w:p>
        </w:tc>
        <w:tc>
          <w:tcPr>
            <w:tcW w:w="160" w:type="dxa"/>
            <w:vAlign w:val="bottom"/>
          </w:tcPr>
          <w:p>
            <w:pPr>
              <w:spacing w:after="0"/>
              <w:rPr>
                <w:sz w:val="14"/>
                <w:szCs w:val="14"/>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Acquisition of Apex Crypto LLC, net of cash acquired</w:t>
            </w:r>
          </w:p>
        </w:tc>
        <w:tc>
          <w:tcPr>
            <w:tcW w:w="16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(44,366)</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Net cash provided by investing activities</w:t>
            </w:r>
          </w:p>
        </w:tc>
        <w:tc>
          <w:tcPr>
            <w:tcW w:w="1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75,116</w:t>
            </w:r>
          </w:p>
        </w:tc>
        <w:tc>
          <w:tcPr>
            <w:tcW w:w="0" w:type="dxa"/>
            <w:vAlign w:val="bottom"/>
          </w:tcPr>
          <w:p>
            <w:pPr>
              <w:spacing w:after="0"/>
              <w:rPr>
                <w:sz w:val="1"/>
                <w:szCs w:val="1"/>
                <w:color w:val="auto"/>
              </w:rPr>
            </w:pPr>
          </w:p>
        </w:tc>
      </w:tr>
      <w:tr>
        <w:trPr>
          <w:trHeight w:val="161"/>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Proceeds from Concurrent Offerings, net of issuance costs</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46,505</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the exercise of warrants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Repurchase and retirement of Class A Common Stock</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(used in) financing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44,190</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(2,502)</w:t>
            </w:r>
          </w:p>
        </w:tc>
        <w:tc>
          <w:tcPr>
            <w:tcW w:w="0" w:type="dxa"/>
            <w:vAlign w:val="bottom"/>
          </w:tcPr>
          <w:p>
            <w:pPr>
              <w:spacing w:after="0"/>
              <w:rPr>
                <w:sz w:val="1"/>
                <w:szCs w:val="1"/>
                <w:color w:val="auto"/>
              </w:rPr>
            </w:pPr>
          </w:p>
        </w:tc>
      </w:tr>
      <w:tr>
        <w:trPr>
          <w:trHeight w:val="163"/>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Effect of exchange rate changes</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(620)</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361</w:t>
            </w:r>
          </w:p>
        </w:tc>
        <w:tc>
          <w:tcPr>
            <w:tcW w:w="0" w:type="dxa"/>
            <w:vAlign w:val="bottom"/>
          </w:tcPr>
          <w:p>
            <w:pPr>
              <w:spacing w:after="0"/>
              <w:rPr>
                <w:sz w:val="1"/>
                <w:szCs w:val="1"/>
                <w:color w:val="auto"/>
              </w:rPr>
            </w:pPr>
          </w:p>
        </w:tc>
      </w:tr>
      <w:tr>
        <w:trPr>
          <w:trHeight w:val="175"/>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Net increase (decrease) in cash, cash equivalents, restricted cash, customer funds and deposits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(5,511)</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customer funds and deposits at the beginning of the period</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118,498</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115,423</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cash equivalents, restricted cash, customer funds and deposits at the end of the period</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136,521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109,912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81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Non-cash operating lease right-of-use asset acquired</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3,780</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Supplemental disclosure of non-cash investing and financing activity:</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Capitalized internal-use software development costs and other capital expenditures included in accounts payable and accrued liabilities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w:t>
            </w:r>
          </w:p>
        </w:tc>
        <w:tc>
          <w:tcPr>
            <w:tcW w:w="0" w:type="dxa"/>
            <w:vAlign w:val="bottom"/>
          </w:tcPr>
          <w:p>
            <w:pPr>
              <w:spacing w:after="0"/>
              <w:rPr>
                <w:sz w:val="1"/>
                <w:szCs w:val="1"/>
                <w:color w:val="auto"/>
              </w:rPr>
            </w:pPr>
          </w:p>
        </w:tc>
      </w:tr>
      <w:tr>
        <w:trPr>
          <w:trHeight w:val="170"/>
        </w:trPr>
        <w:tc>
          <w:tcPr>
            <w:tcW w:w="81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Reconciliation of cash, cash equivalents, restricted cash, customer funds and deposits to consolidated balance sheets:</w:t>
            </w: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47,499</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84,519</w:t>
            </w:r>
          </w:p>
        </w:tc>
        <w:tc>
          <w:tcPr>
            <w:tcW w:w="0" w:type="dxa"/>
            <w:vAlign w:val="bottom"/>
          </w:tcPr>
          <w:p>
            <w:pPr>
              <w:spacing w:after="0"/>
              <w:rPr>
                <w:sz w:val="1"/>
                <w:szCs w:val="1"/>
                <w:color w:val="auto"/>
              </w:rPr>
            </w:pPr>
          </w:p>
        </w:tc>
      </w:tr>
      <w:tr>
        <w:trPr>
          <w:trHeight w:val="170"/>
        </w:trPr>
        <w:tc>
          <w:tcPr>
            <w:tcW w:w="8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24,858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Customer funds</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53,330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w:t>
            </w:r>
          </w:p>
        </w:tc>
        <w:tc>
          <w:tcPr>
            <w:tcW w:w="0" w:type="dxa"/>
            <w:vAlign w:val="bottom"/>
          </w:tcPr>
          <w:p>
            <w:pPr>
              <w:spacing w:after="0"/>
              <w:rPr>
                <w:sz w:val="1"/>
                <w:szCs w:val="1"/>
                <w:color w:val="auto"/>
              </w:rPr>
            </w:pPr>
          </w:p>
        </w:tc>
      </w:tr>
      <w:tr>
        <w:trPr>
          <w:trHeight w:val="170"/>
        </w:trPr>
        <w:tc>
          <w:tcPr>
            <w:tcW w:w="8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Deposits (Note 6)</w:t>
            </w: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1,661</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0"/>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cash, cash equivalents, restricted cash, customer funds and deposits</w:t>
            </w: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136,521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109,912</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231F20"/>
        </w:rPr>
        <w:t>The accompanying notes are an integral part of these consolidated financial statements</w:t>
      </w:r>
      <w:r>
        <w:rPr>
          <w:rFonts w:ascii="Times New Roman" w:cs="Times New Roman" w:eastAsia="Times New Roman" w:hAnsi="Times New Roman"/>
          <w:sz w:val="18"/>
          <w:szCs w:val="18"/>
          <w:color w:val="231F20"/>
        </w:rPr>
        <w: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Bakkt Holdings,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231F20"/>
        </w:rPr>
        <w:t>(Unaudited)</w:t>
      </w:r>
    </w:p>
    <w:p>
      <w:pPr>
        <w:spacing w:after="0" w:line="216" w:lineRule="exact"/>
        <w:rPr>
          <w:sz w:val="20"/>
          <w:szCs w:val="20"/>
          <w:color w:val="auto"/>
        </w:rPr>
      </w:pPr>
    </w:p>
    <w:p>
      <w:pPr>
        <w:ind w:right="7720" w:firstLine="8"/>
        <w:spacing w:after="0" w:line="542" w:lineRule="auto"/>
        <w:tabs>
          <w:tab w:leader="none" w:pos="3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Description of Business Organization</w:t>
      </w:r>
    </w:p>
    <w:p>
      <w:pPr>
        <w:spacing w:after="0" w:line="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VPC Impact Acquisition Holdings (“VIH”) was a blank check company incorporated as a Cayman Islands exempted company on July 31, 2020. VIH was incorporated for the purpose of effecting a merger, share exchange, asset acquisition, share purchase, reorganization or similar business combination with one or more businesses or entities.</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October 15, 2021 (the “Closing Date”), VIH and Bakkt Opco Holdings, LLC (then known as Bakkt Holdings, LLC, “Opco”) and its operating subsidiaries consummated a business combination (the “VIH Business Combination”) contemplated by the definitive Agreement and Plan of Merger entered into on January 11, 2021 (as amended, the “Merger Agreement”). In connection with the VIH Business Combination, VIH changed its name to “Bakkt Holdings, Inc.” and changed its jurisdiction of incorporation from the Cayman Islands to the State of Delaware (the “Domestication”).</w:t>
      </w:r>
    </w:p>
    <w:p>
      <w:pPr>
        <w:spacing w:after="0" w:line="19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Unless the context otherwise provides, “we,” “us,” “our,” “Bakkt,” the “Company” and like terms refer to Bakkt Holdings, Inc. and its subsidiaries, including Opco.</w:t>
      </w:r>
    </w:p>
    <w:p>
      <w:pPr>
        <w:spacing w:after="0" w:line="17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Immediately following the Domestication, we became organized in an umbrella partnership corporation, or “up-C,” structure in which substantially all of our assets and business are held by Opco, and our only direct assets consist of common units in Opco (“Opco Common Units”), which are non-voting interests in Opco, and the managing member interest in Opco.</w:t>
      </w:r>
    </w:p>
    <w:p>
      <w:pPr>
        <w:spacing w:after="0" w:line="16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In connection with the VIH Business Combination, a portion of VIH shares were exchanged for cash for shareholders who elected to execute their redemption right. The remaining VIH shares were exchanged for newly issued shares of our Class A Common Stock. Additionally, all outstanding membership interests and rights to acquire membership interests in Opco were exchanged for Opco Common Units and an equal number of newly issued shares of our Class V Common Stock. The existing owners of Opco other than Bakkt are considered noncontrolling interests in the accompanying consolidated financial statements.</w:t>
      </w:r>
    </w:p>
    <w:p>
      <w:pPr>
        <w:spacing w:after="0" w:line="17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LLC ("Apex Crypto") and subsequently changed the name of the legal entity to Bakkt Crypto Solutions, LLC ("Bakkt Crypto Solutions"), effective June 12, 2023. On March 20, 2024, Bakkt Crypto Solutions merged with and into Bakkt Marketplace, LLC ("Bakkt Marketplace"), with Bakkt Marketplace as the surviving entity in the merger. Bakkt Marketplace was then renamed to Bakkt Crypto Solutions, LLC ("Bakkt Crypto").</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or are working to provide, simplified solutions focused in the following areas: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Crypto</w:t>
      </w:r>
    </w:p>
    <w:p>
      <w:pPr>
        <w:spacing w:after="0" w:line="266" w:lineRule="exact"/>
        <w:rPr>
          <w:sz w:val="20"/>
          <w:szCs w:val="20"/>
          <w:color w:val="auto"/>
        </w:rPr>
      </w:pPr>
    </w:p>
    <w:p>
      <w:pPr>
        <w:jc w:val="both"/>
        <w:ind w:left="660" w:hanging="328"/>
        <w:spacing w:after="0" w:line="291" w:lineRule="auto"/>
        <w:tabs>
          <w:tab w:leader="none" w:pos="655" w:val="left"/>
        </w:tabs>
        <w:numPr>
          <w:ilvl w:val="0"/>
          <w:numId w:val="7"/>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Custody. </w:t>
      </w:r>
      <w:r>
        <w:rPr>
          <w:rFonts w:ascii="Times New Roman" w:cs="Times New Roman" w:eastAsia="Times New Roman" w:hAnsi="Times New Roman"/>
          <w:sz w:val="18"/>
          <w:szCs w:val="18"/>
          <w:color w:val="0C0C0C"/>
        </w:rPr>
        <w:t>Our institutional-grade qualified custody solution is primarily provided by our subsidiary, Bakkt Trust Company LLC (“Bakkt Trust”), a</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limited purpose trust company that is supervised by the New York State Department of Financial Services (“NYDFS”) and governed by an</w:t>
      </w:r>
    </w:p>
    <w:p>
      <w:pPr>
        <w:spacing w:after="0" w:line="1" w:lineRule="exact"/>
        <w:rPr>
          <w:rFonts w:ascii="Times New Roman" w:cs="Times New Roman" w:eastAsia="Times New Roman" w:hAnsi="Times New Roman"/>
          <w:sz w:val="18"/>
          <w:szCs w:val="18"/>
          <w:color w:val="0C0C0C"/>
        </w:rPr>
      </w:pPr>
    </w:p>
    <w:p>
      <w:pPr>
        <w:jc w:val="both"/>
        <w:ind w:left="660" w:right="20"/>
        <w:spacing w:after="0" w:line="305"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independent Board of Managers. In connection to the acquisition of Apex Crypto, we acquired third-party custodial relationships with BitGo and Coinbase Custody, which are currently used by Bakkt Crypto for custody and coin transfers, where applicable. In addition, Bakkt Crypto also self-custodies select coins to facilitate consumer withdrawals.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0C0C0C"/>
        </w:rPr>
        <w:t xml:space="preserve">Trading. </w:t>
      </w:r>
      <w:r>
        <w:rPr>
          <w:rFonts w:ascii="Times New Roman" w:cs="Times New Roman" w:eastAsia="Times New Roman" w:hAnsi="Times New Roman"/>
          <w:sz w:val="18"/>
          <w:szCs w:val="18"/>
          <w:color w:val="0C0C0C"/>
        </w:rPr>
        <w:t>Our platform provides customers with the ability to buy, sell and store crypto via application programming interfaces or embedded web</w:t>
      </w:r>
    </w:p>
    <w:p>
      <w:pPr>
        <w:spacing w:after="0" w:line="53"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C0C0C"/>
        </w:rPr>
        <w:t>experience. We enable clients in various industries to provide their customers with the ability to transact in crypto directly in their trusted environments. W</w:t>
      </w:r>
      <w:r>
        <w:rPr>
          <w:rFonts w:ascii="Times New Roman" w:cs="Times New Roman" w:eastAsia="Times New Roman" w:hAnsi="Times New Roman"/>
          <w:sz w:val="18"/>
          <w:szCs w:val="18"/>
          <w:color w:val="000000"/>
        </w:rPr>
        <w:t>e currently facilitate transactions in the crypto assets listed in the table below.</w:t>
      </w:r>
    </w:p>
    <w:p>
      <w:pPr>
        <w:spacing w:after="0" w:line="214" w:lineRule="exact"/>
        <w:rPr>
          <w:sz w:val="20"/>
          <w:szCs w:val="20"/>
          <w:color w:val="auto"/>
        </w:rPr>
      </w:pPr>
    </w:p>
    <w:tbl>
      <w:tblPr>
        <w:tblLayout w:type="fixed"/>
        <w:tblInd w:w="3570" w:type="dxa"/>
        <w:tblCellMar>
          <w:top w:w="0" w:type="dxa"/>
          <w:left w:w="0" w:type="dxa"/>
          <w:bottom w:w="0" w:type="dxa"/>
          <w:right w:w="0" w:type="dxa"/>
        </w:tblCellMar>
      </w:tblPr>
      <w:tr>
        <w:trPr>
          <w:trHeight w:val="275"/>
        </w:trPr>
        <w:tc>
          <w:tcPr>
            <w:tcW w:w="2500" w:type="dxa"/>
            <w:vAlign w:val="bottom"/>
            <w:tcBorders>
              <w:top w:val="single" w:sz="8" w:color="auto"/>
              <w:left w:val="single" w:sz="8" w:color="auto"/>
              <w:bottom w:val="single" w:sz="8" w:color="EEECE1"/>
              <w:right w:val="single" w:sz="8" w:color="auto"/>
            </w:tcBorders>
            <w:shd w:val="clear" w:color="auto" w:fill="EEECE1"/>
          </w:tcPr>
          <w:p>
            <w:pPr>
              <w:ind w:left="40"/>
              <w:spacing w:after="0"/>
              <w:rPr>
                <w:sz w:val="20"/>
                <w:szCs w:val="20"/>
                <w:color w:val="auto"/>
              </w:rPr>
            </w:pPr>
            <w:r>
              <w:rPr>
                <w:rFonts w:ascii="Times New Roman" w:cs="Times New Roman" w:eastAsia="Times New Roman" w:hAnsi="Times New Roman"/>
                <w:sz w:val="18"/>
                <w:szCs w:val="18"/>
                <w:color w:val="auto"/>
              </w:rPr>
              <w:t>Crypto Asset</w:t>
            </w:r>
          </w:p>
        </w:tc>
        <w:tc>
          <w:tcPr>
            <w:tcW w:w="1640" w:type="dxa"/>
            <w:vAlign w:val="bottom"/>
            <w:tcBorders>
              <w:top w:val="single" w:sz="8" w:color="auto"/>
              <w:bottom w:val="single" w:sz="8" w:color="EEECE1"/>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8"/>
                <w:szCs w:val="18"/>
                <w:color w:val="auto"/>
              </w:rPr>
              <w:t>Symbol</w:t>
            </w:r>
          </w:p>
        </w:tc>
      </w:tr>
      <w:tr>
        <w:trPr>
          <w:trHeight w:val="228"/>
        </w:trPr>
        <w:tc>
          <w:tcPr>
            <w:tcW w:w="250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Bitcoin</w:t>
            </w:r>
          </w:p>
        </w:tc>
        <w:tc>
          <w:tcPr>
            <w:tcW w:w="16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BTC</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Bitcoin Cash</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BCH</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Dogecoin</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DOGE</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Ethereum</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ETH</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Ethereum Classic</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ETC</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Litecoin</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LTC</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Shiba Inu</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SHIB</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500" w:type="dxa"/>
            <w:vAlign w:val="bottom"/>
            <w:tcBorders>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USD Coin</w:t>
            </w:r>
          </w:p>
        </w:tc>
        <w:tc>
          <w:tcPr>
            <w:tcW w:w="16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USDC</w:t>
            </w:r>
          </w:p>
        </w:tc>
      </w:tr>
      <w:tr>
        <w:trPr>
          <w:trHeight w:val="22"/>
        </w:trPr>
        <w:tc>
          <w:tcPr>
            <w:tcW w:w="250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right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Bakkt Trust’s custody solution provides support to Bakkt Crypto with respect to all crypto assets supported by the Company. Additionally, until October 2, 2023, Bakkt Trust operated, in conjunction with Intercontinental Exchange, Inc. ("ICE"), regulated infrastructure for trading, clearing, and custody services for physically-delivered bitcoin futures. Refer to Note 8 for a description of a recent delisting of certain Bakkt Bitcoin futures and option contracts by </w:t>
      </w:r>
      <w:r>
        <w:rPr>
          <w:rFonts w:ascii="Times New Roman" w:cs="Times New Roman" w:eastAsia="Times New Roman" w:hAnsi="Times New Roman"/>
          <w:sz w:val="18"/>
          <w:szCs w:val="18"/>
          <w:color w:val="000000"/>
        </w:rPr>
        <w:t>ICE Futures U.S., Inc. ("IFUS")</w:t>
      </w:r>
      <w:r>
        <w:rPr>
          <w:rFonts w:ascii="Times New Roman" w:cs="Times New Roman" w:eastAsia="Times New Roman" w:hAnsi="Times New Roman"/>
          <w:sz w:val="18"/>
          <w:szCs w:val="18"/>
          <w:color w:val="231F20"/>
        </w:rPr>
        <w:t>. Bakkt Crypto holds a New York State virtual currency license (commonly referred to as a "BitLicense"), and money transmitter licenses from all states throughout the U.S. where such licenses are required for the operation of its business, and is registered as a money services business with the Financial Crimes Enforcement Network of the United States Department of the Treasury.</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we offer crypto services in the U.S. and in select markets in Latin America, Europe and Asia.</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Loyalty</w:t>
      </w:r>
    </w:p>
    <w:p>
      <w:pPr>
        <w:spacing w:after="0" w:line="21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0C0C0C"/>
        </w:rPr>
        <w:t>We offer a full spectrum of supplier content through configurable, white-label e-commerce storefronts that end users can acquire via redemption of loyalty points. Our redemption catalog spans a variety of rewards categories including travel, gift cards and merchandise, including a unique Apple product and services storefront. Our travel solution offers a retail e-commerce booking platform with direct supplier integrations, as well as a U.S.-based call center for live-agent booking and servicing. Our platform provides a unified shopping experience that is built to seamlessly extend our customers’ loyalty strategies and user experience for their loyalty programs. Our platform’s functionality includes a mobile-optimized user interface, numerous configurations to support diverse program needs, promotional campaign services, comprehensive fraud protection capabilities and the ability to split payments across both loyalty points and credit cards.</w:t>
      </w:r>
    </w:p>
    <w:p>
      <w:pPr>
        <w:spacing w:after="0" w:line="19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accounting policies are as set forth in the notes to our Annual Report on Form 10-K for the year ended December 31, 2023 (our "Form 10-</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are prepared in accordance with United States generally accepted accounting principles (“U.S. GAAP”) for interim financial information and with the instructions to the Quarterly Report on Form 10-Q and Article 10 of Regulation S-X. Accordingly, they do not include all of the information and footnotes required by U.S. GAAP for complete financial statements. In the opinion of management, the unaudited interim consolidated financial statements include the accounts of the Company and our subsidiaries. All intercompany balances and transactions have been eliminated in consolidation. In addition, certain reclassifications of</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previously reported have been made to the accompanying consolidated financial statements in order to conform to current presentation.</w:t>
      </w:r>
    </w:p>
    <w:p>
      <w:pPr>
        <w:spacing w:after="0" w:line="26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opinion of management, all adjustments (consisting of normal recurring accruals), considered necessary for a fair presentation have been included. The interim results for the three and six months ended June 30, 2024 are not necessarily indicative of the results that may be expected for the year ending December 31, 2024, or for any other future annual or interim period. These consolidated financial statements should be read in conjunction with the Company’s audited financial statements and accompanying notes thereto included in our Form 10-K.</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April 29, 2024, following approval by our stockholders and Board of Directors,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Our Class A Common Stock began trading on a reverse-split adjusted basis on the New York Stock Exchange (the "NYSE") as of the open of trading on April 29, 2024. All outstanding warrants and share-based awards were also adjusted on a 1-for-25 basis. As such, the Reverse Stock Split has been retroactively applied to all share and per share information throughout this Quarterly Report on Form 10-Q (unless otherwise noted).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1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U.S. GAAP requires management to make estimates and assumptions that affect the amounts reported in the financial statements and accompanying notes. We base our estimates and assumptions on historical experience and various judgments that we believe to be reasonable under the circumstances. The significant estimates and assumptions that affect the financial statements may include, but are not limited to, those that are related to going concern, income tax valuation allowances, useful lives and fair value of intangible assets and property, equipment and software, fair value of financial assets and liabilities, determining provision for doubtful accounts, valuation of acquired tangible and intangible assets, the impairment of intangible and long-lived assets and goodwill, our issued warrants, and fair market value of stock-based awards. Actual results and outcomes may differ from management’s estimates and assumptions and such differences may be material to our audited consolidated financial statements.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are prepared on a going concern basis in accordance with U.S. GAAP. This presentation contemplates the realization of assets and the satisfaction of liabilities in the normal course of business and does not include any adjustments relating to the recoverability and classification of recorded asset amounts or the amounts and classification of liabilities that might result from the outcome of the uncertainties described below.</w:t>
      </w:r>
    </w:p>
    <w:p>
      <w:pPr>
        <w:spacing w:after="0" w:line="188" w:lineRule="exact"/>
        <w:rPr>
          <w:sz w:val="20"/>
          <w:szCs w:val="20"/>
          <w:color w:val="auto"/>
        </w:rPr>
      </w:pPr>
    </w:p>
    <w:p>
      <w:pPr>
        <w:jc w:val="both"/>
        <w:ind w:firstLine="648"/>
        <w:spacing w:after="0" w:line="298" w:lineRule="auto"/>
        <w:rPr>
          <w:sz w:val="20"/>
          <w:szCs w:val="20"/>
          <w:color w:val="auto"/>
        </w:rPr>
      </w:pPr>
      <w:r>
        <w:rPr>
          <w:rFonts w:ascii="Times New Roman" w:cs="Times New Roman" w:eastAsia="Times New Roman" w:hAnsi="Times New Roman"/>
          <w:sz w:val="18"/>
          <w:szCs w:val="18"/>
          <w:color w:val="auto"/>
        </w:rPr>
        <w:t xml:space="preserve">At each reporting period, 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we evaluate whether there are conditions or events that raise substantial doubt about our ability to continue as a going concern within one year after the date the financial statements are issued. In accordance with ASC 205-40, our initial evaluation can only include management’s plans that have been fully implemented as of the issuance date. Operating forecasts for new products/markets cannot be considered in the initial evaluation as those product/market launches have not been fully implemented.</w:t>
      </w:r>
    </w:p>
    <w:p>
      <w:pPr>
        <w:spacing w:after="0" w:line="18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Accordingly, our evaluation entails analyzing prospective fully implemented operating budgets and forecasts for expectations of our cash needs and comparing those needs to the current cash and cash equivalent balances. This evaluation initially does not take into consideration the potential mitigating effect of management’s plans that have not been fully implemented as of the date the financial statements are issued. When substantial doubt exists under this methodology, we evaluate whether the mitigating effect of our plans sufficiently alleviates substantial doubt about our ability to continue as a going concern. The mitigating effect of management’s plans, however, is only considered if both (1) it is probable that the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plans will be effectively implemented within one year after the date that the financial statements are issued, and (2) it is probable that the plans, when implemented, will mitigate the relevant conditions or events that raise substantial doubt about the entity’s ability to continue as a going concern within one year after the date that these consolidated financial statements are issued.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in conjunction with the issuance of the June 30, 2024 unaudited Consolidated Financial Statements</w:t>
      </w:r>
    </w:p>
    <w:p>
      <w:pPr>
        <w:spacing w:after="0" w:line="254"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have incurred net losses and consumed cash flow from operations since our inception and incurred losses and consumed cash through the date of this filing in excess of our cash inflows from operations and fundraising. Due to these ongoing losses and a limited supply of remaining cash and available-for-sale securities, we have been executing a strategic plan to optimize our capital allocation and expense base since the fourth quarter of 2022, which has reduced our annual cash expenses year over year and which we expect will continue to reduce our cash expenses in 2024. As a part of those plans, we will continue to align headcount and employee-related costs to further reduce cash expenses. We completed a reduction in force on May 2, 2024 as part of a broader expense restructuring initiative that also contemplated closing certain open roles and optimization of our contact center resources. This expense restructuring initiative is expected to result in aggregate cash savings of approximately $13.0 million, excluding severance over the next 12 months. We expect to enact additional personnel and discretionary spending cuts such as incentive compensation, marketing, professional services and administrative travel to preserve cash to fund operations. We received approval in March 2024 to integrate, and have subsequently merged and integrated, Bakkt Marketplace and Bakkt Crypto Solutions, which reduced the amount of restricted cash we were required to hold for insurance collateral by $11.6 million and eliminated approximately $7.0 million of duplicate regulatory capital requirements. However, it is critical to our plan to mitigate our cash burn that we significantly expand our revenue base to be able to generate a sustainable operating profit. There is significant uncertainty associated with our expansion to new markets and the growth of our revenue base given the uncertain and rapidly evolving environment associated with crypto assets.</w:t>
      </w:r>
    </w:p>
    <w:p>
      <w:pPr>
        <w:spacing w:after="0" w:line="184"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For the six months ended June 30, 2024 we incurred a net loss of $56.8 million and consumed $27.5 million of cash in operations. We have historically relied on our existing cash and available-for-sale securities portfolio to fund operations. As of June 30, 2024, we had $47.5 million of available cash and cash equivalents that was not restricted or required to be held for regulatory capital (Note 13) and $13.2 million in available-for-sale securities. We do not have any long-term debt to service but have commitments under long-term cloud computing, lease and marketing contracts as described in Notes 14 and 17. We expect to continue to incur losses and consume cash for the foreseeable future. As discussed in Note 20, Opco executed a secured revolving credit facility with Intercontinental Exchange Holdings, Inc. (the “Lender”; the credit facility herein referred to as the “ICE Credit Facility”), with Bakkt and certain subsidiaries of Bakkt as guarantors, which provides the Company with a $40.0 million secured revolving line of credit that matures on December 31, 2026. The $40.0 million ICE Credit Facility is available in defined commitment amounts at specified dates in the future. We believe after giving effect to management's execution of the ICE Credit Facility, that our cash, short-term securities, and access to the ICE Credit Facility will be sufficient to fund our operations for the next 12 months from the date of these financial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For the six months ended June 30, 2024, there were no significant changes to the recently adopted accounting pronouncements applicable to us from those disclosed in Note 2 to the consolidated financial statements included in our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14"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(Topic 280), Improvements to Reportable Segment Disclosures</w:t>
      </w:r>
      <w:r>
        <w:rPr>
          <w:rFonts w:ascii="Times New Roman" w:cs="Times New Roman" w:eastAsia="Times New Roman" w:hAnsi="Times New Roman"/>
          <w:sz w:val="18"/>
          <w:szCs w:val="18"/>
          <w:color w:val="auto"/>
        </w:rPr>
        <w:t>, which expands annual and interim disclosure requirements for reportable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primarily through enhanced disclosures about significant segment expenses. The updated standard will be effective for our annual periods beginning in fiscal 2024 and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interim periods beginning in the first quarter of fiscal 2025. Early adoption is permitted. We are currently evaluating the impact that the updated standard will have on our financial statement disclosures.</w:t>
      </w:r>
    </w:p>
    <w:p>
      <w:pPr>
        <w:spacing w:after="0" w:line="146" w:lineRule="exact"/>
        <w:rPr>
          <w:sz w:val="20"/>
          <w:szCs w:val="20"/>
          <w:color w:val="auto"/>
        </w:rPr>
      </w:pPr>
    </w:p>
    <w:p>
      <w:pPr>
        <w:jc w:val="both"/>
        <w:ind w:firstLine="648"/>
        <w:spacing w:after="0" w:line="303"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will require additional tax disclosures, predominantly related to the effective income tax rate reconciliation and income taxes paid. The updated standard will be effective for our annual periods beginning in fiscal 2025. Early adoption is permitted. We are currently evaluating the impact that the updated standard will have on our financial statement disclosures.</w:t>
      </w:r>
    </w:p>
    <w:p>
      <w:pPr>
        <w:spacing w:after="0" w:line="168"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disaggregate revenue by service type and by platform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Service Type</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6"/>
                <w:szCs w:val="16"/>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40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 revenue</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503,717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1,351,701</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350,248</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service revenue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6,181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360,848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Platform</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24"/>
                <w:szCs w:val="24"/>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24"/>
                <w:szCs w:val="24"/>
                <w:color w:val="auto"/>
              </w:rPr>
            </w:pPr>
          </w:p>
        </w:tc>
        <w:tc>
          <w:tcPr>
            <w:tcW w:w="140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6"/>
        </w:trPr>
        <w:tc>
          <w:tcPr>
            <w:tcW w:w="49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40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redemption platform, net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335,333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1,338,481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335,776</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347,629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1,364,480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360,848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We recognized revenue from foreign jurisdictions of $10.5 million and $24.9 million for the three and six months ended June 30, 2024, respectively, and $0.8 million and $1.7 million for the three and six months ended June 30, 2023, respectively.</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one reportable segment to which our revenues relate.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Contract liabilities consist of deferred revenue for amounts invoiced prior to us meeting the criteria for revenue recognition. We invoice customers for service fees at the beginning of service performance, and such fees are recognized as revenue over time as we satisfy performance obligations. Contract liabilities are classified as “Deferred revenue, current” and “Deferred revenue, noncurrent” in our consolidated balance sheets. The activity in deferred revenue for the six months ended June 30, 2024 and June 30, 2023, respectively, was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1660" w:type="dxa"/>
            <w:vAlign w:val="bottom"/>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14"/>
        </w:trPr>
        <w:tc>
          <w:tcPr>
            <w:tcW w:w="7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660" w:type="dxa"/>
            <w:vAlign w:val="bottom"/>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25"/>
        </w:trPr>
        <w:tc>
          <w:tcPr>
            <w:tcW w:w="7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the period contract liability</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color w:val="auto"/>
                <w:w w:val="98"/>
              </w:rPr>
              <w:t>7,084</w:t>
            </w:r>
          </w:p>
        </w:tc>
        <w:tc>
          <w:tcPr>
            <w:tcW w:w="0" w:type="dxa"/>
            <w:vAlign w:val="bottom"/>
          </w:tcPr>
          <w:p>
            <w:pPr>
              <w:spacing w:after="0"/>
              <w:rPr>
                <w:sz w:val="1"/>
                <w:szCs w:val="1"/>
                <w:color w:val="auto"/>
              </w:rPr>
            </w:pPr>
          </w:p>
        </w:tc>
      </w:tr>
      <w:tr>
        <w:trPr>
          <w:trHeight w:val="24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recognized from contract liabilities included in the beginning balance</w:t>
            </w: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center"/>
              <w:ind w:left="993"/>
              <w:spacing w:after="0"/>
              <w:rPr>
                <w:sz w:val="20"/>
                <w:szCs w:val="20"/>
                <w:color w:val="auto"/>
              </w:rPr>
            </w:pPr>
            <w:r>
              <w:rPr>
                <w:rFonts w:ascii="Times New Roman" w:cs="Times New Roman" w:eastAsia="Times New Roman" w:hAnsi="Times New Roman"/>
                <w:sz w:val="18"/>
                <w:szCs w:val="18"/>
                <w:color w:val="auto"/>
              </w:rPr>
              <w:t>(2,121)</w:t>
            </w:r>
          </w:p>
        </w:tc>
        <w:tc>
          <w:tcPr>
            <w:tcW w:w="0" w:type="dxa"/>
            <w:vAlign w:val="bottom"/>
          </w:tcPr>
          <w:p>
            <w:pPr>
              <w:spacing w:after="0"/>
              <w:rPr>
                <w:sz w:val="1"/>
                <w:szCs w:val="1"/>
                <w:color w:val="auto"/>
              </w:rPr>
            </w:pPr>
          </w:p>
        </w:tc>
      </w:tr>
      <w:tr>
        <w:trPr>
          <w:trHeight w:val="243"/>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cash received, net of amounts recognized in revenue during the period</w:t>
            </w: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center"/>
              <w:ind w:left="1013"/>
              <w:spacing w:after="0"/>
              <w:rPr>
                <w:sz w:val="20"/>
                <w:szCs w:val="20"/>
                <w:color w:val="auto"/>
              </w:rPr>
            </w:pPr>
            <w:r>
              <w:rPr>
                <w:rFonts w:ascii="Times New Roman" w:cs="Times New Roman" w:eastAsia="Times New Roman" w:hAnsi="Times New Roman"/>
                <w:sz w:val="18"/>
                <w:szCs w:val="18"/>
                <w:color w:val="auto"/>
                <w:w w:val="98"/>
              </w:rPr>
              <w:t>1,301</w:t>
            </w:r>
          </w:p>
        </w:tc>
        <w:tc>
          <w:tcPr>
            <w:tcW w:w="0" w:type="dxa"/>
            <w:vAlign w:val="bottom"/>
          </w:tcPr>
          <w:p>
            <w:pPr>
              <w:spacing w:after="0"/>
              <w:rPr>
                <w:sz w:val="1"/>
                <w:szCs w:val="1"/>
                <w:color w:val="auto"/>
              </w:rPr>
            </w:pPr>
          </w:p>
        </w:tc>
      </w:tr>
      <w:tr>
        <w:trPr>
          <w:trHeight w:val="223"/>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the period contract liability</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tcPr>
          <w:p>
            <w:pPr>
              <w:jc w:val="center"/>
              <w:ind w:left="1013"/>
              <w:spacing w:after="0"/>
              <w:rPr>
                <w:sz w:val="20"/>
                <w:szCs w:val="20"/>
                <w:color w:val="auto"/>
              </w:rPr>
            </w:pPr>
            <w:r>
              <w:rPr>
                <w:rFonts w:ascii="Times New Roman" w:cs="Times New Roman" w:eastAsia="Times New Roman" w:hAnsi="Times New Roman"/>
                <w:sz w:val="18"/>
                <w:szCs w:val="18"/>
                <w:color w:val="auto"/>
                <w:w w:val="98"/>
              </w:rPr>
              <w:t>6,264</w:t>
            </w:r>
          </w:p>
        </w:tc>
        <w:tc>
          <w:tcPr>
            <w:tcW w:w="0" w:type="dxa"/>
            <w:vAlign w:val="bottom"/>
          </w:tcPr>
          <w:p>
            <w:pPr>
              <w:spacing w:after="0"/>
              <w:rPr>
                <w:sz w:val="1"/>
                <w:szCs w:val="1"/>
                <w:color w:val="auto"/>
              </w:rPr>
            </w:pPr>
          </w:p>
        </w:tc>
      </w:tr>
      <w:tr>
        <w:trPr>
          <w:trHeight w:val="21"/>
        </w:trPr>
        <w:tc>
          <w:tcPr>
            <w:tcW w:w="74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7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74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June 30, 2024, the aggregate amount of the transaction price allocated to the remaining performance obligations related to partially completed contracts is $15.4 million, comprised of $10.3 million of subscription fees and $5.1 million of service fees that are deferred. We recognize our subscription fees as revenue over a weighted-average period of 20 months (ranges from 2 months to 27 months) and our service fees as revenue over approximately 33 months.</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June 30, 2023, the aggregate amount of the transaction price allocated to the remaining performance obligations related to partially completed contracts is $22.2 million, comprised of $15.6 million of subscription fees and $6.6 million of service fees that are deferred. We recognize our subscription fees as revenue over a weighted-average period of 30 months (ranges from 4 months to 39 months) and our service fees as revenue over approximately 15 months.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5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For the three and six months ended June 30, 2024 and June 30, 2023, we incurred no incremental costs to obtain and/or fulfill contracts with customers.</w:t>
      </w:r>
    </w:p>
    <w:p>
      <w:pPr>
        <w:spacing w:after="0" w:line="144"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 and Asset Acquisition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31313"/>
        </w:rPr>
        <w:t>Apex Crypto</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We recognized goodwill from the acquisition due to the assembled, experienced workforce and anticipated growth we expect to achieve from Apex Crypto’s sales pipeline and product capabilities. The total consideration as measured at April 1, 2023 included $55.0 million in cash, approximately $10.5 million in Class A Common Stock payable based on Apex Crypto’s performance in the fourth quarter of 2022, and $11.8 million of cash paid for net working capital, which was predominantly cash held in banks. In addition, we may pay up to $100.0 million of our Class A Common Stock as additional consideration depending on Apex Crypto’s achievement of certain financial targets through 2025 (the "contingent consideration"). As part of the purchase price allocation, the value of the contingent consideration was estimated to be $2.9 million.</w:t>
      </w:r>
    </w:p>
    <w:p>
      <w:pPr>
        <w:spacing w:after="0" w:line="17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following is a reconciliation of the fair value of consideration transferred in the acquisition to the fair value of the assets acquired and liabilities assumed.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0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consideration paid</w:t>
            </w:r>
          </w:p>
        </w:tc>
        <w:tc>
          <w:tcPr>
            <w:tcW w:w="478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paid for working capital and cash</w:t>
            </w:r>
          </w:p>
        </w:tc>
        <w:tc>
          <w:tcPr>
            <w:tcW w:w="4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at transaction close</w:t>
            </w:r>
          </w:p>
        </w:tc>
        <w:tc>
          <w:tcPr>
            <w:tcW w:w="4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55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w w:val="99"/>
              </w:rPr>
              <w:t>Estimated fair value of Class A Common Stock contingent consideration</w:t>
            </w:r>
          </w:p>
        </w:tc>
        <w:tc>
          <w:tcPr>
            <w:tcW w:w="426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8"/>
        </w:trPr>
        <w:tc>
          <w:tcPr>
            <w:tcW w:w="5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42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42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vMerge w:val="continue"/>
          </w:tcPr>
          <w:p>
            <w:pPr>
              <w:spacing w:after="0"/>
              <w:rPr>
                <w:sz w:val="17"/>
                <w:szCs w:val="17"/>
                <w:color w:val="auto"/>
              </w:rPr>
            </w:pPr>
          </w:p>
        </w:tc>
        <w:tc>
          <w:tcPr>
            <w:tcW w:w="4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4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assets</w:t>
            </w:r>
          </w:p>
        </w:tc>
        <w:tc>
          <w:tcPr>
            <w:tcW w:w="4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29"/>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Intangible assets - developed technology</w:t>
            </w:r>
          </w:p>
        </w:tc>
        <w:tc>
          <w:tcPr>
            <w:tcW w:w="4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30"/>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 customer relationships</w:t>
            </w:r>
          </w:p>
        </w:tc>
        <w:tc>
          <w:tcPr>
            <w:tcW w:w="4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42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29"/>
        </w:trPr>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liabilities</w:t>
            </w:r>
          </w:p>
        </w:tc>
        <w:tc>
          <w:tcPr>
            <w:tcW w:w="4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42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(689.3)</w:t>
            </w:r>
          </w:p>
        </w:tc>
        <w:tc>
          <w:tcPr>
            <w:tcW w:w="0" w:type="dxa"/>
            <w:vAlign w:val="bottom"/>
          </w:tcPr>
          <w:p>
            <w:pPr>
              <w:spacing w:after="0"/>
              <w:rPr>
                <w:sz w:val="1"/>
                <w:szCs w:val="1"/>
                <w:color w:val="auto"/>
              </w:rPr>
            </w:pPr>
          </w:p>
        </w:tc>
      </w:tr>
      <w:tr>
        <w:trPr>
          <w:trHeight w:val="223"/>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42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260" w:type="dxa"/>
            <w:vAlign w:val="bottom"/>
            <w:vMerge w:val="restart"/>
          </w:tcPr>
          <w:p>
            <w:pPr>
              <w:jc w:val="right"/>
              <w:ind w:right="3950"/>
              <w:spacing w:after="0"/>
              <w:rPr>
                <w:sz w:val="20"/>
                <w:szCs w:val="20"/>
                <w:color w:val="auto"/>
              </w:rPr>
            </w:pPr>
            <w:r>
              <w:rPr>
                <w:rFonts w:ascii="Times New Roman" w:cs="Times New Roman" w:eastAsia="Times New Roman" w:hAnsi="Times New Roman"/>
                <w:sz w:val="18"/>
                <w:szCs w:val="18"/>
                <w:color w:val="auto"/>
              </w:rPr>
              <w:t>15</w:t>
            </w: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25"/>
        </w:trPr>
        <w:tc>
          <w:tcPr>
            <w:tcW w:w="550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5500" w:type="dxa"/>
            <w:vAlign w:val="bottom"/>
            <w:tcBorders>
              <w:bottom w:val="single" w:sz="8" w:color="9A9A9A"/>
            </w:tcBorders>
          </w:tcPr>
          <w:p>
            <w:pPr>
              <w:spacing w:after="0"/>
              <w:rPr>
                <w:sz w:val="7"/>
                <w:szCs w:val="7"/>
                <w:color w:val="auto"/>
              </w:rPr>
            </w:pPr>
          </w:p>
        </w:tc>
        <w:tc>
          <w:tcPr>
            <w:tcW w:w="42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above fair values are as of the acquisition date. The acquired intangible assets and goodwill required the use of significant unobservable inputs including partner activation forecasts, expectations about customer trading volume and frequency, customer attrition rates, and estimated useful lives of acquired technology and discount rates (level 3 inputs). The acquired customer relationships were valued using a multi-period excess earnings model. The acquired developed technology was valued using a relief from royalty method. Acquired crypto safeguarding asset and obligation were valued based on the midpoint of a bid-ask spread as of the acquisition date (level 2 inputs). Other assets and liabilities were carried over at their acquired costs which was not materially different than their fair values.</w:t>
      </w:r>
    </w:p>
    <w:p>
      <w:pPr>
        <w:spacing w:after="0" w:line="17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contingent consideration payable in Class A Common Stock to Apex Crypto's former owners based on the performance of the business in the 2023 through 2025 annual periods was estimated using a Monte Carlo simulation given the range of possible outcomes. As of December 31, 2023, we determined the value of the contingent consideration was zero, based on our forward-looking projections and minimum profit requirements associated with the contingent consideration and reversed the accrual through acquisition expenses. As of June 30, 2024, we determined the value of the contingent consideration remained zero.</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following unaudited pro forma financial information presents the Company's results of operations as if the acquisition of Apex Crypto had occurred on January 1, 2023. The unaudited pro forma financial information as presented below is for illustrative purposes and does not purport to represent what the results of operations would actually have been if the acquisition of Apex Crypto occurred as of the date indicated or what the results would be for any future periods. The unaudited pro forma results reflect the step-up amortization adjustments for the fair value of intangible assets acquired, acquisition-related expenses, and share-based compensation expense for newly issued restricted stock units. Pro forma revenue for the six months ended June 30, 2023 would be $806.0 million. Pro forma net loss for the six months ended June 30, 2023 would be $86.1 million.</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Subsequent to the acquisition, we changed the name of Apex Crypto to Bakkt Crypto Solutions, LLC ("Bakkt Crypto Solutions").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131313"/>
        </w:rPr>
        <w:t>Bumped Acquisition</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February 8, 2023, we acquired 100% of the units of Bumped Financial, LLC, which we subsequently renamed Bakkt Brokerage, LLC ("Bakkt Brokerage"), a broker-dealer registered with the SEC and the Financial Industry Regulatory Authority, Inc., for cash consideration of $0.6 million. Because of the limited scope of its historical operations, we determined that substantially all of the purchase consideration in the transaction would be allocated to the in-place licenses Bakkt Brokerage held and as such, have accounted for this as an asset acquisition.</w:t>
      </w:r>
    </w:p>
    <w:p>
      <w:pPr>
        <w:spacing w:after="0" w:line="16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Goodwill and Intangible Assets, Net</w:t>
      </w:r>
    </w:p>
    <w:p>
      <w:pPr>
        <w:spacing w:after="0" w:line="2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goodwill consisted of the following (in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gridSpan w:val="2"/>
            <w:shd w:val="clear" w:color="auto" w:fill="CCEEFF"/>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Gross Carrying</w:t>
            </w:r>
          </w:p>
        </w:tc>
        <w:tc>
          <w:tcPr>
            <w:tcW w:w="20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gridSpan w:val="2"/>
            <w:shd w:val="clear" w:color="auto" w:fill="CCEEFF"/>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right"/>
              <w:ind w:right="194"/>
              <w:spacing w:after="0" w:line="175" w:lineRule="exact"/>
              <w:rPr>
                <w:sz w:val="20"/>
                <w:szCs w:val="20"/>
                <w:color w:val="auto"/>
              </w:rPr>
            </w:pPr>
            <w:r>
              <w:rPr>
                <w:rFonts w:ascii="Times New Roman" w:cs="Times New Roman" w:eastAsia="Times New Roman" w:hAnsi="Times New Roman"/>
                <w:sz w:val="16"/>
                <w:szCs w:val="16"/>
                <w:b w:val="1"/>
                <w:bCs w:val="1"/>
                <w:color w:val="auto"/>
              </w:rPr>
              <w:t>Net Carrying</w:t>
            </w:r>
          </w:p>
        </w:tc>
      </w:tr>
      <w:tr>
        <w:trPr>
          <w:trHeight w:val="216"/>
        </w:trPr>
        <w:tc>
          <w:tcPr>
            <w:tcW w:w="6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Impairment Losses</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29"/>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1,579,265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(1,511,264)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30"/>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1,579,265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(1,511,264)</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68,001</w:t>
            </w:r>
          </w:p>
        </w:tc>
      </w:tr>
      <w:tr>
        <w:trPr>
          <w:trHeight w:val="20"/>
        </w:trPr>
        <w:tc>
          <w:tcPr>
            <w:tcW w:w="6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did not identify any indicators of impairment during the three months ended June 30, 2024. During the three months ended March 31, 2024, we identified a triggering event related to the significant decline in our stock price, indicating a potential impairment of our goodwill. We determined no goodwill impairment charge was required based on a comparison of our market capitalization against the carrying value of our equity.</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consisted of the following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158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3"/>
                <w:szCs w:val="13"/>
                <w:color w:val="auto"/>
              </w:rPr>
            </w:pPr>
          </w:p>
        </w:tc>
        <w:tc>
          <w:tcPr>
            <w:tcW w:w="1340" w:type="dxa"/>
            <w:vAlign w:val="bottom"/>
            <w:vMerge w:val="restart"/>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540" w:type="dxa"/>
            <w:vAlign w:val="bottom"/>
          </w:tcPr>
          <w:p>
            <w:pPr>
              <w:spacing w:after="0"/>
              <w:rPr>
                <w:sz w:val="13"/>
                <w:szCs w:val="13"/>
                <w:color w:val="auto"/>
              </w:rPr>
            </w:pPr>
          </w:p>
        </w:tc>
        <w:tc>
          <w:tcPr>
            <w:tcW w:w="130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1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02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Pr>
          <w:p>
            <w:pPr>
              <w:spacing w:after="0"/>
              <w:rPr>
                <w:sz w:val="18"/>
                <w:szCs w:val="18"/>
                <w:color w:val="auto"/>
              </w:rPr>
            </w:pPr>
          </w:p>
        </w:tc>
        <w:tc>
          <w:tcPr>
            <w:tcW w:w="13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3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540" w:type="dxa"/>
            <w:vAlign w:val="bottom"/>
          </w:tcPr>
          <w:p>
            <w:pPr>
              <w:spacing w:after="0"/>
              <w:rPr>
                <w:sz w:val="18"/>
                <w:szCs w:val="18"/>
                <w:color w:val="auto"/>
              </w:rPr>
            </w:pPr>
          </w:p>
        </w:tc>
        <w:tc>
          <w:tcPr>
            <w:tcW w:w="130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31"/>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3"/>
        </w:trPr>
        <w:tc>
          <w:tcPr>
            <w:tcW w:w="5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2,900</w:t>
            </w:r>
          </w:p>
        </w:tc>
        <w:tc>
          <w:tcPr>
            <w:tcW w:w="1300" w:type="dxa"/>
            <w:vAlign w:val="bottom"/>
            <w:tcBorders>
              <w:bottom w:val="single" w:sz="8" w:color="auto"/>
            </w:tcBorders>
          </w:tcPr>
          <w:p>
            <w:pPr>
              <w:jc w:val="right"/>
              <w:ind w:right="103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480" w:type="dxa"/>
            <w:vAlign w:val="bottom"/>
          </w:tcPr>
          <w:p>
            <w:pPr>
              <w:spacing w:after="0"/>
              <w:rPr>
                <w:sz w:val="13"/>
                <w:szCs w:val="13"/>
                <w:color w:val="auto"/>
              </w:rPr>
            </w:pPr>
          </w:p>
        </w:tc>
        <w:tc>
          <w:tcPr>
            <w:tcW w:w="1560" w:type="dxa"/>
            <w:vAlign w:val="bottom"/>
          </w:tcPr>
          <w:p>
            <w:pPr>
              <w:jc w:val="center"/>
              <w:ind w:right="14"/>
              <w:spacing w:after="0" w:line="155"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3"/>
                <w:szCs w:val="13"/>
                <w:color w:val="auto"/>
              </w:rPr>
            </w:pPr>
          </w:p>
        </w:tc>
        <w:tc>
          <w:tcPr>
            <w:tcW w:w="1340" w:type="dxa"/>
            <w:vAlign w:val="bottom"/>
            <w:vMerge w:val="restart"/>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Gross Carrying</w:t>
            </w:r>
          </w:p>
        </w:tc>
        <w:tc>
          <w:tcPr>
            <w:tcW w:w="260" w:type="dxa"/>
            <w:vAlign w:val="bottom"/>
          </w:tcPr>
          <w:p>
            <w:pPr>
              <w:spacing w:after="0"/>
              <w:rPr>
                <w:sz w:val="13"/>
                <w:szCs w:val="13"/>
                <w:color w:val="auto"/>
              </w:rPr>
            </w:pPr>
          </w:p>
        </w:tc>
        <w:tc>
          <w:tcPr>
            <w:tcW w:w="134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vMerge w:val="restart"/>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Net Carrying</w:t>
            </w:r>
          </w:p>
        </w:tc>
        <w:tc>
          <w:tcPr>
            <w:tcW w:w="0" w:type="dxa"/>
            <w:vAlign w:val="bottom"/>
          </w:tcPr>
          <w:p>
            <w:pPr>
              <w:spacing w:after="0"/>
              <w:rPr>
                <w:sz w:val="1"/>
                <w:szCs w:val="1"/>
                <w:color w:val="auto"/>
              </w:rPr>
            </w:pPr>
          </w:p>
        </w:tc>
      </w:tr>
      <w:tr>
        <w:trPr>
          <w:trHeight w:val="162"/>
        </w:trPr>
        <w:tc>
          <w:tcPr>
            <w:tcW w:w="3480" w:type="dxa"/>
            <w:vAlign w:val="bottom"/>
          </w:tcPr>
          <w:p>
            <w:pPr>
              <w:spacing w:after="0"/>
              <w:rPr>
                <w:sz w:val="14"/>
                <w:szCs w:val="14"/>
                <w:color w:val="auto"/>
              </w:rPr>
            </w:pPr>
          </w:p>
        </w:tc>
        <w:tc>
          <w:tcPr>
            <w:tcW w:w="1560" w:type="dxa"/>
            <w:vAlign w:val="bottom"/>
          </w:tcPr>
          <w:p>
            <w:pPr>
              <w:jc w:val="center"/>
              <w:ind w:right="14"/>
              <w:spacing w:after="0" w:line="162" w:lineRule="exact"/>
              <w:rPr>
                <w:sz w:val="20"/>
                <w:szCs w:val="20"/>
                <w:color w:val="auto"/>
              </w:rPr>
            </w:pPr>
            <w:r>
              <w:rPr>
                <w:rFonts w:ascii="Times New Roman" w:cs="Times New Roman" w:eastAsia="Times New Roman" w:hAnsi="Times New Roman"/>
                <w:sz w:val="16"/>
                <w:szCs w:val="16"/>
                <w:b w:val="1"/>
                <w:bCs w:val="1"/>
                <w:color w:val="auto"/>
              </w:rPr>
              <w:t>Useful Life (in</w:t>
            </w:r>
          </w:p>
        </w:tc>
        <w:tc>
          <w:tcPr>
            <w:tcW w:w="1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Impairment</w:t>
            </w:r>
          </w:p>
        </w:tc>
        <w:tc>
          <w:tcPr>
            <w:tcW w:w="2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48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5"/>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560" w:type="dxa"/>
            <w:vAlign w:val="bottom"/>
            <w:shd w:val="clear" w:color="auto" w:fill="CCEEFF"/>
          </w:tcPr>
          <w:p>
            <w:pPr>
              <w:jc w:val="center"/>
              <w:ind w:right="14"/>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611</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 / trade names</w:t>
            </w:r>
          </w:p>
        </w:tc>
        <w:tc>
          <w:tcPr>
            <w:tcW w:w="1560" w:type="dxa"/>
            <w:vAlign w:val="bottom"/>
          </w:tcPr>
          <w:p>
            <w:pPr>
              <w:jc w:val="center"/>
              <w:ind w:right="14"/>
              <w:spacing w:after="0"/>
              <w:rPr>
                <w:sz w:val="20"/>
                <w:szCs w:val="20"/>
                <w:color w:val="auto"/>
              </w:rPr>
            </w:pPr>
            <w:r>
              <w:rPr>
                <w:rFonts w:ascii="Times New Roman" w:cs="Times New Roman" w:eastAsia="Times New Roman" w:hAnsi="Times New Roman"/>
                <w:sz w:val="18"/>
                <w:szCs w:val="18"/>
                <w:color w:val="auto"/>
                <w:w w:val="99"/>
              </w:rPr>
              <w:t>Indefinite</w:t>
            </w:r>
          </w:p>
        </w:tc>
        <w:tc>
          <w:tcPr>
            <w:tcW w:w="160" w:type="dxa"/>
            <w:vAlign w:val="bottom"/>
          </w:tcPr>
          <w:p>
            <w:pPr>
              <w:spacing w:after="0"/>
              <w:rPr>
                <w:sz w:val="19"/>
                <w:szCs w:val="19"/>
                <w:color w:val="auto"/>
              </w:rPr>
            </w:pPr>
          </w:p>
        </w:tc>
        <w:tc>
          <w:tcPr>
            <w:tcW w:w="13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8,000</w:t>
            </w:r>
          </w:p>
        </w:tc>
        <w:tc>
          <w:tcPr>
            <w:tcW w:w="260" w:type="dxa"/>
            <w:vAlign w:val="bottom"/>
          </w:tcPr>
          <w:p>
            <w:pPr>
              <w:spacing w:after="0"/>
              <w:rPr>
                <w:sz w:val="19"/>
                <w:szCs w:val="19"/>
                <w:color w:val="auto"/>
              </w:rPr>
            </w:pPr>
          </w:p>
        </w:tc>
        <w:tc>
          <w:tcPr>
            <w:tcW w:w="13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1560" w:type="dxa"/>
            <w:vAlign w:val="bottom"/>
            <w:shd w:val="clear" w:color="auto" w:fill="CCEEFF"/>
          </w:tcPr>
          <w:p>
            <w:pPr>
              <w:jc w:val="right"/>
              <w:ind w:right="69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18,360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(12,126)</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560" w:type="dxa"/>
            <w:vAlign w:val="bottom"/>
            <w:tcBorders>
              <w:bottom w:val="single" w:sz="8" w:color="CCEEFF"/>
            </w:tcBorders>
          </w:tcPr>
          <w:p>
            <w:pPr>
              <w:jc w:val="right"/>
              <w:ind w:right="634"/>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55,170</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(42,662)</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82,141</w:t>
            </w:r>
          </w:p>
        </w:tc>
        <w:tc>
          <w:tcPr>
            <w:tcW w:w="26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(18,742)</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(60,499)</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did not record any amortization of intangible assets for the three and six months ended June 30, 2024 as our finite-lived intangible assets have been fully impaired. Amortization of intangible assets for the three and six months ended June 30, 2023 was $2.7 million and $4.7 million, respectively, and is included in “Depreciation and amortization” in the consolidated statements of operations.</w:t>
      </w:r>
    </w:p>
    <w:p>
      <w:pPr>
        <w:spacing w:after="0" w:line="16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Estimated future amortization for definite-lived intangible assets as of June 30, 2024 was zero as our finite-lived intangible assets had been fully impaired.</w:t>
      </w:r>
    </w:p>
    <w:p>
      <w:pPr>
        <w:spacing w:after="0" w:line="162"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 xml:space="preserve">We account for crypto we own as indefinite-lived intangible assets and initially measure such crypto at cost (under a first-in, first-out basis) under the guidance in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These assets are not amortized, but assessed for impairment given the volatility of markets for these assets. Impairment exists when the carrying amount exceeds its fair value. The fair value of crypto is determined as the lowest price of executed transactions during the measurement or holding period using the quoted price of the crypto in our principal market. The carrying amount of a crypto asset after its impairment becomes its new cost basis. Impairment losses are not reversible or recoverable and are included in “Crypto costs” in the consolidated statements of operations. Impairment losses were not material for the three and six months ended June 30, 2024 and June 30, 2023, respectively. Our owned crypto is typically liquidated on a daily basis during the fulfillment of customer orders and settlement with our liquidity providers. Our owned crypto was not material as of June 30, 2024 and December 31, 2023 and is included within "Other assets" in the consolidated balance sheets. We classify cash flows from crypto within cash flows from operating activities.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  Consolidated Balance Sheet Components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459"/>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46"/>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86"/>
        </w:trPr>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14,987</w:t>
            </w: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Receivables from customers, clients and liquidity partners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6,125</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receivables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accounts receivable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30,395</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24,437</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29,664</w:t>
            </w:r>
          </w:p>
        </w:tc>
      </w:tr>
      <w:tr>
        <w:trPr>
          <w:trHeight w:val="21"/>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Deposits includes cash, as noted on the consolidated statements of cash flows, at clearing agencies used to settle customer transactions. Amounts payable and receivable to our liquidity providers are reported net by counterparty when the right of offset exists.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1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assets consisted of the following (in thousands):</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3,307</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5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4,508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Equipment and Software, Net</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04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Property, equipment and software, net consisted of the following (in thousands):</w:t>
            </w:r>
          </w:p>
        </w:tc>
        <w:tc>
          <w:tcPr>
            <w:tcW w:w="1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Borders>
              <w:bottom w:val="single" w:sz="8" w:color="CCEEFF"/>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56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1,722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computer and network equipment</w:t>
            </w:r>
          </w:p>
        </w:tc>
        <w:tc>
          <w:tcPr>
            <w:tcW w:w="1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5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gross</w:t>
            </w:r>
          </w:p>
        </w:tc>
        <w:tc>
          <w:tcPr>
            <w:tcW w:w="15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2,846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15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0" w:type="dxa"/>
            <w:vAlign w:val="bottom"/>
          </w:tcPr>
          <w:p>
            <w:pPr>
              <w:spacing w:after="0"/>
              <w:rPr>
                <w:sz w:val="1"/>
                <w:szCs w:val="1"/>
                <w:color w:val="auto"/>
              </w:rPr>
            </w:pPr>
          </w:p>
        </w:tc>
      </w:tr>
      <w:tr>
        <w:trPr>
          <w:trHeight w:val="223"/>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1,931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For the three and six months ended June 30, 2024, depreciation and amortization expense related to property, equipment and software amounted to $0.1 million and $0.2 million, respectively, of which $0.1 million and $0.1 million, respectively, related to amortization expense of capitalized internal-use software placed in service.</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For the three and six months ended June 30, 2023, depreciation and amortization expense related to property, equipment and software amounted to $1.3 million and $2.3 million, respectively, of which $0.4 million and $0.7 million, respectively, related to amortization expense of capitalized internal-use software placed in service.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10,467</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11,456</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 with clearinghouse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12,665</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13,262</w:t>
            </w:r>
          </w:p>
        </w:tc>
        <w:tc>
          <w:tcPr>
            <w:tcW w:w="0" w:type="dxa"/>
            <w:vAlign w:val="bottom"/>
          </w:tcPr>
          <w:p>
            <w:pPr>
              <w:spacing w:after="0"/>
              <w:rPr>
                <w:sz w:val="1"/>
                <w:szCs w:val="1"/>
                <w:color w:val="auto"/>
              </w:rPr>
            </w:pPr>
          </w:p>
        </w:tc>
      </w:tr>
      <w:tr>
        <w:trPr>
          <w:trHeight w:val="21"/>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 and Accrued Liabilities</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7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Accounts payable and accrued liabilities consisted of the following (in thousands):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 to clients and customers</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w:t>
            </w:r>
          </w:p>
        </w:tc>
        <w:tc>
          <w:tcPr>
            <w:tcW w:w="0" w:type="dxa"/>
            <w:vAlign w:val="bottom"/>
          </w:tcPr>
          <w:p>
            <w:pPr>
              <w:spacing w:after="0"/>
              <w:rPr>
                <w:sz w:val="1"/>
                <w:szCs w:val="1"/>
                <w:color w:val="auto"/>
              </w:rPr>
            </w:pPr>
          </w:p>
        </w:tc>
      </w:tr>
      <w:tr>
        <w:trPr>
          <w:trHeight w:val="230"/>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Purchasing card payable</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11,830</w:t>
            </w:r>
          </w:p>
        </w:tc>
        <w:tc>
          <w:tcPr>
            <w:tcW w:w="0" w:type="dxa"/>
            <w:vAlign w:val="bottom"/>
          </w:tcPr>
          <w:p>
            <w:pPr>
              <w:spacing w:after="0"/>
              <w:rPr>
                <w:sz w:val="1"/>
                <w:szCs w:val="1"/>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benefits payable</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Loyalty revenue share liability</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39,284</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55,379</w:t>
            </w:r>
          </w:p>
        </w:tc>
        <w:tc>
          <w:tcPr>
            <w:tcW w:w="0" w:type="dxa"/>
            <w:vAlign w:val="bottom"/>
          </w:tcPr>
          <w:p>
            <w:pPr>
              <w:spacing w:after="0"/>
              <w:rPr>
                <w:sz w:val="1"/>
                <w:szCs w:val="1"/>
                <w:color w:val="auto"/>
              </w:rPr>
            </w:pPr>
          </w:p>
        </w:tc>
      </w:tr>
      <w:tr>
        <w:trPr>
          <w:trHeight w:val="20"/>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Liabilities</w:t>
            </w: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7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current liabilities consisted of the following (in thousands):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maturities of operating lease liability</w:t>
            </w:r>
          </w:p>
        </w:tc>
        <w:tc>
          <w:tcPr>
            <w:tcW w:w="300" w:type="dxa"/>
            <w:vAlign w:val="bottom"/>
            <w:tcBorders>
              <w:top w:val="single" w:sz="8" w:color="auto"/>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3,802</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0" w:type="dxa"/>
            <w:vAlign w:val="bottom"/>
          </w:tcPr>
          <w:p>
            <w:pPr>
              <w:spacing w:after="0"/>
              <w:rPr>
                <w:sz w:val="1"/>
                <w:szCs w:val="1"/>
                <w:color w:val="auto"/>
              </w:rPr>
            </w:pP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Noncurrent 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70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Other noncurrent liabilities consisted of the following (in thousands):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4"/>
                <w:szCs w:val="24"/>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liability, noncurrent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23"/>
        </w:trPr>
        <w:tc>
          <w:tcPr>
            <w:tcW w:w="7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23,525</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Amounts receivable and payable included in the tables above related to our crypto transactions pending settlement with our customers and liquidity providers were settled in July 2024 in amounts consistent with those reflected above.</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Receivable Agreement</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October 15, 2021, we entered into a Tax Receivable Agreement (the "TRA") with certain Opco equity holders. Each Opco common unit, when coupled with one share of our Class V Common Stock is referred to as a “Paired Interest.” Pursuant to the TRA, among other things, holders of Opco Common Units may, subject to certain conditions, from and after April 16, 2022, exchange such Paired Interests for Class A Common Stock on a one-for-one basis, subject to the terms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8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9"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Opco Common Units of 85% of certain net income tax benefits, if any, that we realize (or in certain cases are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June 30, 2024, 1,043,210 Opco Common Units had been exchanged for Class A Common Stock. Refer to Note 14 regarding the contingency related to the TRA.</w:t>
      </w:r>
    </w:p>
    <w:p>
      <w:pPr>
        <w:spacing w:after="0" w:line="192"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ICE Management and Technical Support</w:t>
      </w:r>
    </w:p>
    <w:p>
      <w:pPr>
        <w:spacing w:after="0" w:line="25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Upon consummation of the VIH Business Combination, we entered into a Transition Services Agreement (the “ICE TSA”) with ICE, pursuant to which ICE provides insurance, digital warehouse, data center, technical support, and other transition-related services in exchange for quarterly service fees payable by us. We did not recognize any expense related to the ICE TSA for the three and six months ended June 30, 2024, respectively. We recognized $1.0 million and $1.6 million of expense related to the ICE TSA for the three and six months ended June 30, 2023, respectively, which is reflected as “Related party expenses” in the consolidated statements of operations. As of June 30, 2024 and December 31, 2023, we had $2.2 million and $3.0 million, respectively, reflected as “Due to related party” in the consolidated balance sheets related to the ICE TSA. The agreement terminated in December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Triparty Agreement</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Digital Currency Trading, Clearing, and Warehouse Services Agreement ("Triparty Agreement") provided for ICE Futures U.S., Inc. ("IFUS") to list for trading one or more digital currency futures and/or options contracts, and for ICE Clear US, Inc. ("ICUS") to serve as the clearing house to provide central counterparty and ancillary services for such contracts.</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Effective July 28, 2023, IFUS delisted all Bakkt Bitcoin futures contracts other than the August and September 2023 expiry months, and also delisted all Bakkt Bitcoin Option contracts. Following the delisting, no new Bakkt Bitcoin futures or option expiry months were listed for trading. The August and September 2023 expiry months continued to be listed for trading through their regular last trading days, which were August 24 and September 28, 2023 respectively. No material revenues associated with the Triparty Agreement were recognized during the three and six months ended June 30, 2023, respectively. Effective October 2, 2023, the parties terminated the Triparty Agreement.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Apex Crypto Technical Support</w:t>
      </w:r>
    </w:p>
    <w:p>
      <w:pPr>
        <w:spacing w:after="0" w:line="26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In connection with our acquisition of Apex Crypto, we entered into a Transition Services Agreement (the “Apex TSA”) with Apex Fintech Solutions, Inc. ("AFS"), pursuant to which AFS provides technical support and other transition-related services in exchange for quarterly service fees payable by us. We recognized approximately $0.2 million and $0.3 million of expense related to the Apex TSA for the three and six months ended June 30, 2024, respectively, which are reflected as “Related party expenses” in the consolidated statements of operations. We recognized $0.5 million of expense related to the Apex TSA for the three months ended June 30, 2023 which is reflected as “Related party expenses” in the consolidated statements of operations. As of June 30, 2024 and December 31, 2023, we had approximately $0.5 million and $0.2 million, respectively, reflected as “Due to related party” in the consolidated balance sheets related to the Apex TSA.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ICE Credit Facility</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August 12, 2024, we entered into the ICE Credit Facility with ICE. Refer to Note 20 for more information.</w:t>
      </w: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As of June 30, 2024 and December 31, 2023, there were 7,140,508 public warrants outstanding. Public warrants may only be exercised for a whole number of shares. No fractional shares will be issued upon exercise of the public warrant. Holders of public warrants are entitled to purchase one share of Class A Common Stock for every 25 public warrants. The exercise price associated with such warrants is equivalent to $287.50 per share of Class A Common Stock. The public warrants became exercisable on November 15, 2021. The public warrants will expire on October 15, 2026, or earlier upon redemption or liquidation. We may redeem the outstanding warrants when various conditions are met, such as specific stock prices, as detailed in the specific warrant agreements. The warrants are recorded as a liability and reflected as “Warrant liability” in the consolidated balance sheets.</w:t>
      </w:r>
    </w:p>
    <w:p>
      <w:pPr>
        <w:spacing w:after="0" w:line="17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three and six months ended June 30, 2024, we received less than $0.1 million in proceeds from the exercise of the public warrants. During the three and six months ended June 30, 2023, we did not receive any proceeds from the exercise of the public warrants. We recognized a loss from the change in fair value of the warrant liability during the three months ended June 30, 2024 of $0.3 million and a gain from the change in fair value of the warrant liability during the six months ended June 30, 2024 of $1.1 million. We recognized a gain from the change in fair value of the warrant liability during the three months ended June 30, 2023 of $0.4 million and a loss during the six months ended June 30, 2023 of $0.6 million.</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Concurrent Offerings (Note 10), we issued and sold to the Third-Party Purchasers an aggregate of 1,396,701 shares of the Company’s Class A Common Stock, including 196,701 shares of Class A Common Stock issued upon exercise of certain of the Pre-Funded Warrants (as defined below) prior to the Third-Party Closing,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w:t>
      </w:r>
    </w:p>
    <w:p>
      <w:pPr>
        <w:spacing w:after="0" w:line="17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Concurrently, under the terms of the ICE Offering we entered into a securities purchase agreement (the “ICE Purchase Agreement” and, together with the Third-Party Purchase Agreement, the “Purchase Agreements”)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consummation of the transactions contemplated by the ICE Purchase Agreement occurred on March 4, 2024 and April 25, 2024.</w:t>
      </w:r>
    </w:p>
    <w:p>
      <w:pPr>
        <w:spacing w:after="0" w:line="191"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Class 1 and Class 2 Warrants have an exercise price of $25.50 and have a five-and-a-half year term. The Class 1 and Class 2 Warrants may be exercised at any time after the 6 month anniversary of the relevant closing. The Class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2 warrant agreement contains an alternative exercise clause that entitles the holder to exchange two warrants for a share of stock if certain conditions are met. The Class 1 and Class 2 Warrants issued in the Concurrent Offerings are initially recorded as a liability at fair value and reflected as “Warrant liability” in the consolidated balance sheets.</w:t>
      </w:r>
    </w:p>
    <w:p>
      <w:pPr>
        <w:spacing w:after="0" w:line="18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warrants issued on April 25, 2024 were valued at $2.6 million using the Black-Scholes-Merton model for Class 1 Warrants and a binomial lattice model for the Class 2 Warrants. Prior to the three months ended June 30, 2024, we used a Monte Carlo simulation to measure the fair value of the Class 2 Warrants. During the three months ended June 30, 2024, we adopted a binomial lattice model as our valuation technique as we believe it provides a more accurate and relevant measure of the fair value of the Class 2 Warrants. The Class 1 Warrants and Class 2 Warrants issued on March 4, 2024 were valued at $27.7 million using the Black-Scholes-Merton model for Class 1 Warrants and a Monte Carlo simulation for the Class 2 Warrants.</w:t>
      </w:r>
    </w:p>
    <w:p>
      <w:pPr>
        <w:spacing w:after="0" w:line="17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of June 30, 2024, all Class 1 Warrants and Class 2 Warrants remain outstanding. During the three months ended March 31, 2024, holders exercised all of the Pre-Funded Warrants. The proceeds received from the exercise of Pre-Funded Warrants were immaterial. We recognized a loss from the change in fair value of the warrant liability associated with the Class 1 and Class 2 Warrants during the three and six months ended June 30, 2024 of $14.8 million and $7.2 million, respectively.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Registered Direct Offering</w:t>
      </w:r>
    </w:p>
    <w:p>
      <w:pPr>
        <w:spacing w:after="0" w:line="25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with certain institutional investors, pursuant to which we agreed to sell and issue a combination of Class A Common Stock, Class 1 Warrants, Class 2 Warrants and Pre-Funded Warrants in a registered direct offering (the “Third-Party Offering”). In a concurrent registered direct offering (the “ICE Offering” and, together with the Third-Party Offering, the “Concurrent Offerings”) on February 29, 2024, we entered into a securities purchase agreement with ICE (a related party), pursuant to which we agreed to sell and issue a combination of Class A Common Stock, Class 1 Warrants and Class 2 Warrants. We raised net proceeds from the Third-Party Offering of approximately $37.6 million, after deducting the placement agent’s fees and estimated offering expenses payable by us, and raised net proceeds from the ICE Offering of approximately $9.8 million, after deducting estimated offering expenses payable by us. Approximately $2.4 million of proceeds from the ICE Offering were received concurrently with the closing of the Third-Party Offering, with the remaining $7.4 million received in a subsequent closing of the ICE Offering on April 25, 2024 after we obtained stockholder approval for such issuance. We intend to use the net proceeds from the Concurrent Offerings for working capital and other general corporate purposes.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1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are authorized to issue 1,000,000 shares of preferred stock with a par value of $0.0001 per share. The holders of a series of preferred stock shall be entitled only to such voting rights as shall expressly be granted thereto by the Certificate of Incorporation (including any certificate of designation relating to such series of preferred stock). As of June 30, 2024, no shares of preferred stock have been issued.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authorized to issue 30,000,000 shares with a par value of $0.0001 per share. Each holder of record of Class A Common Stock is entitled to one vote for each share of Class A Common Stock held on all matters on which stockholders generally or holders of Class A Common Stock as a separate class are entitled to vote, including the election or removal of directors (whether voting separately as a class or together with one or more classes of our capital stock). As of June 30, 2024 and December 31, 2023, there were 6,310,548 and 3,793,837 shares of Class A Common Stock issued and outstanding, respectively.</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out of funds legally available therefor. As of June 30, 2024, no dividends have been declared.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68"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A Common Stock are entitled to share ratably in all assets remaining after payment of our debts and other liabilities, subject to prior distribution rights of preferred stock or any class or series of stock having a preference over the Class A Common Stock, then outstanding, if any.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We are authorized to issue 10,000,000 shares with par value $0.0001 per share. These shares have no economic value but entitle the holder to one vote per share. Paired Interests may be exchanged for one share of our Class A Common Stock or a cash amount in accordance with the Third Amended and Restated Limited Liability Company Agreement of Opco and the Amended and Restated Exchange Agreement. Holders of Paired Interests became eligible on April 16, 2022 under the Exchange Agreement to exchange their Paired Interests for Class A Common Stock, or, at our election, cash in lieu thereof. During the three and six months ended June 30, 2024, holders of Paired Interests exchanged 398 and 5,123 Paired Interests for our Class A Common Stock, and we did not elect to settle any such exchanges in cash. As of June 30, 2024 and December 31, 2023, there were 7,194,941 and 7,200,064 shares of Class V Common Stock issued and outstanding,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Dividends will not be declared or paid on the Class V Common Stock.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54"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shall not be entitled to receive any of our assets.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w:t>
      </w:r>
    </w:p>
    <w:p>
      <w:pPr>
        <w:spacing w:after="0" w:line="26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Opco Common Units, such share will automatically be transferred to us and cancelled for no consideration. We will not issue additional shares of Class V Common Stock, other than in connection with the valid issuance or transfer of Opco Common Units in accordance with Opco’s Third Amended and Restated Limited Liability Company Agreement (the “LLC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ownership interest in Opco as of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7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5"/>
        </w:trPr>
        <w:tc>
          <w:tcPr>
            <w:tcW w:w="1280" w:type="dxa"/>
            <w:vAlign w:val="bottom"/>
            <w:tcBorders>
              <w:top w:val="single" w:sz="8" w:color="0000FF"/>
            </w:tcBorders>
          </w:tcPr>
          <w:p>
            <w:pPr>
              <w:spacing w:after="0"/>
              <w:rPr>
                <w:sz w:val="24"/>
                <w:szCs w:val="24"/>
                <w:color w:val="auto"/>
              </w:rPr>
            </w:pPr>
          </w:p>
        </w:tc>
        <w:tc>
          <w:tcPr>
            <w:tcW w:w="3340" w:type="dxa"/>
            <w:vAlign w:val="bottom"/>
          </w:tcPr>
          <w:p>
            <w:pPr>
              <w:spacing w:after="0"/>
              <w:rPr>
                <w:sz w:val="24"/>
                <w:szCs w:val="24"/>
                <w:color w:val="auto"/>
              </w:rPr>
            </w:pPr>
          </w:p>
        </w:tc>
        <w:tc>
          <w:tcPr>
            <w:tcW w:w="326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tcPr>
          <w:p>
            <w:pPr>
              <w:spacing w:after="0"/>
              <w:rPr>
                <w:sz w:val="24"/>
                <w:szCs w:val="24"/>
                <w:color w:val="auto"/>
              </w:rPr>
            </w:pPr>
          </w:p>
        </w:tc>
        <w:tc>
          <w:tcPr>
            <w:tcW w:w="3260" w:type="dxa"/>
            <w:vAlign w:val="bottom"/>
            <w:tcBorders>
              <w:bottom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0" w:type="dxa"/>
            <w:vAlign w:val="bottom"/>
          </w:tcPr>
          <w:p>
            <w:pPr>
              <w:spacing w:after="0"/>
              <w:rPr>
                <w:sz w:val="1"/>
                <w:szCs w:val="1"/>
                <w:color w:val="auto"/>
              </w:rPr>
            </w:pPr>
          </w:p>
        </w:tc>
      </w:tr>
      <w:tr>
        <w:trPr>
          <w:trHeight w:val="169"/>
        </w:trPr>
        <w:tc>
          <w:tcPr>
            <w:tcW w:w="12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40" w:type="dxa"/>
            <w:vAlign w:val="bottom"/>
          </w:tcPr>
          <w:p>
            <w:pPr>
              <w:jc w:val="right"/>
              <w:ind w:right="630"/>
              <w:spacing w:after="0" w:line="169" w:lineRule="exact"/>
              <w:rPr>
                <w:sz w:val="20"/>
                <w:szCs w:val="20"/>
                <w:color w:val="auto"/>
              </w:rPr>
            </w:pPr>
            <w:r>
              <w:rPr>
                <w:rFonts w:ascii="Times New Roman" w:cs="Times New Roman" w:eastAsia="Times New Roman" w:hAnsi="Times New Roman"/>
                <w:sz w:val="18"/>
                <w:szCs w:val="18"/>
                <w:b w:val="1"/>
                <w:bCs w:val="1"/>
                <w:color w:val="auto"/>
              </w:rPr>
              <w:t>Opco</w:t>
            </w:r>
          </w:p>
        </w:tc>
        <w:tc>
          <w:tcPr>
            <w:tcW w:w="16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1760" w:type="dxa"/>
            <w:vAlign w:val="bottom"/>
          </w:tcPr>
          <w:p>
            <w:pPr>
              <w:jc w:val="right"/>
              <w:ind w:right="670"/>
              <w:spacing w:after="0" w:line="169" w:lineRule="exact"/>
              <w:rPr>
                <w:sz w:val="20"/>
                <w:szCs w:val="20"/>
                <w:color w:val="auto"/>
              </w:rPr>
            </w:pPr>
            <w:r>
              <w:rPr>
                <w:rFonts w:ascii="Times New Roman" w:cs="Times New Roman" w:eastAsia="Times New Roman" w:hAnsi="Times New Roman"/>
                <w:sz w:val="18"/>
                <w:szCs w:val="18"/>
                <w:b w:val="1"/>
                <w:bCs w:val="1"/>
                <w:color w:val="auto"/>
              </w:rPr>
              <w:t>Opco</w:t>
            </w:r>
          </w:p>
        </w:tc>
        <w:tc>
          <w:tcPr>
            <w:tcW w:w="150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Ownership %</w:t>
            </w:r>
          </w:p>
        </w:tc>
        <w:tc>
          <w:tcPr>
            <w:tcW w:w="0" w:type="dxa"/>
            <w:vAlign w:val="bottom"/>
          </w:tcPr>
          <w:p>
            <w:pPr>
              <w:spacing w:after="0"/>
              <w:rPr>
                <w:sz w:val="1"/>
                <w:szCs w:val="1"/>
                <w:color w:val="auto"/>
              </w:rPr>
            </w:pPr>
          </w:p>
        </w:tc>
      </w:tr>
      <w:tr>
        <w:trPr>
          <w:trHeight w:val="243"/>
        </w:trPr>
        <w:tc>
          <w:tcPr>
            <w:tcW w:w="128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17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620" w:type="dxa"/>
            <w:vAlign w:val="bottom"/>
            <w:gridSpan w:val="2"/>
            <w:vMerge w:val="continue"/>
          </w:tcPr>
          <w:p>
            <w:pPr>
              <w:spacing w:after="0"/>
              <w:rPr>
                <w:sz w:val="21"/>
                <w:szCs w:val="21"/>
                <w:color w:val="auto"/>
              </w:rPr>
            </w:pPr>
          </w:p>
        </w:tc>
        <w:tc>
          <w:tcPr>
            <w:tcW w:w="1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Common Units</w:t>
            </w:r>
          </w:p>
        </w:tc>
        <w:tc>
          <w:tcPr>
            <w:tcW w:w="15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 held by Bakkt Holdings, Inc.</w:t>
            </w:r>
          </w:p>
        </w:tc>
        <w:tc>
          <w:tcPr>
            <w:tcW w:w="174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6,310,548</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00" w:type="dxa"/>
            <w:vAlign w:val="bottom"/>
            <w:tcBorders>
              <w:top w:val="single" w:sz="8" w:color="CCEEFF"/>
            </w:tcBorders>
            <w:shd w:val="clear" w:color="auto" w:fill="CCEEFF"/>
          </w:tcPr>
          <w:p>
            <w:pPr>
              <w:spacing w:after="0"/>
              <w:rPr>
                <w:sz w:val="19"/>
                <w:szCs w:val="19"/>
                <w:color w:val="auto"/>
              </w:rPr>
            </w:pPr>
          </w:p>
        </w:tc>
        <w:tc>
          <w:tcPr>
            <w:tcW w:w="176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3,793,837</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Opco common units held by noncontrolling interest holders</w:t>
            </w:r>
          </w:p>
        </w:tc>
        <w:tc>
          <w:tcPr>
            <w:tcW w:w="17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7,194,941</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7,200,064</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Opco common units outstanding</w:t>
            </w: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13,505,489</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10,993,901</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weighted average ownership percentages for the applicable reporting periods are used to attribute net loss and other comprehensive loss to the Company and the noncontrolling interest holders. The noncontrolling interest holders' weighted average ownership percentage for the three and six months ended June 30, 2024 was 53.9% and 57.7%,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Equity</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Prior to the VIH Business Combination, Opco had three classes of voting units – Class A, Class B and Class C voting units – and incentive units granted under the Opco Incentive Equity Plan (the “Opco Plan”).</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VIH Business Combination, Class C warrants of Opco ("Class C Warrants") automatically converted into the right to purchase 31,734 Paired Interests in Opco at an exercise price of $126.00 per Paired Interest. Class C Warrants may only be exercised for a whole number of Paired Interests. Holders of Class C Warrants are entitled to purchase one Paired Interest for every 25 Class C Warrants. As of June 30, 2024, 172,055 Class C Warrants have vested but have not been exercised, and the remaining 621,297 Class C Warrants have not vested or been exercised. No expenses were recorded during the three and six months ended June 30, 2024 and June 30, 2023, since the service conditions were not probable of being met in those periods.</w:t>
      </w:r>
    </w:p>
    <w:p>
      <w:pPr>
        <w:spacing w:after="0" w:line="174" w:lineRule="exact"/>
        <w:rPr>
          <w:sz w:val="20"/>
          <w:szCs w:val="20"/>
          <w:color w:val="auto"/>
        </w:rPr>
      </w:pPr>
    </w:p>
    <w:p>
      <w:pPr>
        <w:ind w:right="7560" w:firstLine="8"/>
        <w:spacing w:after="0" w:line="542" w:lineRule="auto"/>
        <w:tabs>
          <w:tab w:leader="none" w:pos="309"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Share-Based and Unit-Based Compensation 2021 Incentive Plan</w:t>
      </w:r>
    </w:p>
    <w:p>
      <w:pPr>
        <w:spacing w:after="0" w:line="1"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Our 2021 Omnibus Incentive Plan, as amended (the “2021 Incentive Plan”), became effective on the Closing Date with the approval of VIH’s shareholders and the Board of Directors. The 2021 Incentive Plan allows us to make equity and equity-based incentive awards to employees, non-employee directors and consultants. As of December 31, 2023, there were 2,096,295 shares of Class A Common Stock reserved for issuance under the 2021 Incentive Plan which can be granted as stock options, stock appreciation rights, restricted shares, restricted stock units ("RSUs"), performance stock units ("PSUs"), dividend equivalent rights and other share-based awards. On May 31, 2024, the 2021 Incentive Plan was amended to increase by 938,625 shares the number of authorized shares of Class A Common Stock available for issuance for a new aggregate total of 3,034,920 shares authorized. No award may vest earlier than the first anniversary of the date of grant, subject to limited exceptions.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During the three and six months ended June 30, 2024, we granted 545,553 and 1,028,152 RSUs, respectively, to employees and directors. During the three and six months ended June 30, 2024, we did not grant any PSUs. During the three and six months ended June 30, 2023, we granted 127,155 and 307,610 RSUs, respectively, to employees and directors. During the three months ended June 30, 2023, we granted 26,945 PSUs to employees and directors. We did not grant any PSUs during the first quarter of 2023.</w:t>
      </w:r>
    </w:p>
    <w:p>
      <w:pPr>
        <w:spacing w:after="0" w:line="17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We recorded $2.4 million and $10.1 million of share-based compensation expense related to RSUs during the three and six months ended June 30, 2024, respectively. We recorded $3.6 million and $9.4 million of share-based compensation expense related to RSUs during the three and six months ended June 30, 2023, respectively. We recorded zero and $0.3 million of share-based compensation expense related to PSUs during the three and six months ended June 30,</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2024, respectively. We recorded $0.5 million and $1.9 million of share-based compensation expense related to PSUs during the three and six months ended June 30, 2023, respectively. Share-based compensation expense for both RSUs and PSUs, except for share-based compensation expense related to the Company's restructuring efforts discussed below, is included in “Compensation and benefits” in the consolidated statements of operations.</w:t>
      </w:r>
    </w:p>
    <w:p>
      <w:pPr>
        <w:spacing w:after="0" w:line="18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Unrecognized compensation expense as of June 30, 2024 and December 31, 2023 was $14.3 million and $14.3 million, respectively, for the RSUs and PSUs. The unrecognized compensation expense as of June 30, 2024 and December 31, 2023 will be recognized over a weighted-average period of 1.71 years and 1.38 years, respectively.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RSU and PSU Activity</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following tables summarize RSU and PSU activity under the 2021 Incentive Plan for the six months ended June 30, 2024 and June 30, 2023 (in thousands,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6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Number of RSUs and</w:t>
            </w: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7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040" w:type="dxa"/>
            <w:vAlign w:val="bottom"/>
            <w:vMerge w:val="restart"/>
          </w:tcPr>
          <w:p>
            <w:pPr>
              <w:ind w:left="1400"/>
              <w:spacing w:after="0"/>
              <w:rPr>
                <w:sz w:val="20"/>
                <w:szCs w:val="20"/>
                <w:color w:val="auto"/>
              </w:rPr>
            </w:pPr>
            <w:r>
              <w:rPr>
                <w:rFonts w:ascii="Times New Roman" w:cs="Times New Roman" w:eastAsia="Times New Roman" w:hAnsi="Times New Roman"/>
                <w:sz w:val="18"/>
                <w:szCs w:val="18"/>
                <w:b w:val="1"/>
                <w:bCs w:val="1"/>
                <w:color w:val="auto"/>
              </w:rPr>
              <w:t>RSUs and PSUs</w:t>
            </w:r>
          </w:p>
        </w:tc>
        <w:tc>
          <w:tcPr>
            <w:tcW w:w="1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5"/>
                <w:szCs w:val="15"/>
                <w:color w:val="auto"/>
              </w:rPr>
            </w:pPr>
          </w:p>
        </w:tc>
        <w:tc>
          <w:tcPr>
            <w:tcW w:w="168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Grant Date Fair</w:t>
            </w:r>
          </w:p>
        </w:tc>
        <w:tc>
          <w:tcPr>
            <w:tcW w:w="1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vMerge w:val="continue"/>
          </w:tcPr>
          <w:p>
            <w:pPr>
              <w:spacing w:after="0"/>
              <w:rPr>
                <w:sz w:val="21"/>
                <w:szCs w:val="21"/>
                <w:color w:val="auto"/>
              </w:rPr>
            </w:pPr>
          </w:p>
        </w:tc>
        <w:tc>
          <w:tcPr>
            <w:tcW w:w="16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00" w:type="dxa"/>
            <w:vAlign w:val="bottom"/>
          </w:tcPr>
          <w:p>
            <w:pPr>
              <w:spacing w:after="0"/>
              <w:rPr>
                <w:sz w:val="21"/>
                <w:szCs w:val="21"/>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1"/>
                <w:szCs w:val="21"/>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380" w:type="dxa"/>
            <w:vAlign w:val="bottom"/>
          </w:tcPr>
          <w:p>
            <w:pPr>
              <w:spacing w:after="0"/>
              <w:rPr>
                <w:sz w:val="21"/>
                <w:szCs w:val="21"/>
                <w:color w:val="auto"/>
              </w:rPr>
            </w:pPr>
          </w:p>
        </w:tc>
        <w:tc>
          <w:tcPr>
            <w:tcW w:w="13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37.25</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12,468</w:t>
            </w:r>
          </w:p>
        </w:tc>
        <w:tc>
          <w:tcPr>
            <w:tcW w:w="0" w:type="dxa"/>
            <w:vAlign w:val="bottom"/>
          </w:tcPr>
          <w:p>
            <w:pPr>
              <w:spacing w:after="0"/>
              <w:rPr>
                <w:sz w:val="1"/>
                <w:szCs w:val="1"/>
                <w:color w:val="auto"/>
              </w:rPr>
            </w:pPr>
          </w:p>
        </w:tc>
      </w:tr>
      <w:tr>
        <w:trPr>
          <w:trHeight w:val="22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2023</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During the three and six months ended June 30, 2024, we recorded $4.9 million and $4.9 million, respectively, of share-based compensation expense related to the accelerated vesting of awards for certain employees, primarily related to the termination of a former executive. Acceleration of share-based compensation expense related to our restructuring efforts is included in “Restructuring expenses” in the consolidated statements of operations. We also recorded reversal of share-based compensation expense of $0.3 million and $0.4 million during the three and six months ended June 30, 2024, respectively, for forfeitures related to the termination of employees. Reversal of share-based compensation expense related to the Company's restructuring efforts is included in “Restructuring expenses” in the consolidated statements of operations.</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fair value of vested RSU and PSU awards was $1.6 million and $6.4 million for the three and six months ended June 30, 2024, respectively.</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fair value of vested RSU and PSU awards was $3.8 million and $8.2 million for the three and six months ended June 30, 2023, respectively.</w:t>
      </w:r>
    </w:p>
    <w:p>
      <w:pPr>
        <w:spacing w:after="0" w:line="26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fair value of the RSUs and PSUs used in determining share-based compensation expense is based on the closing price of our common stock on the grant date.</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PSUs provide an opportunity for the recipient to receive a number of shares of our Class A Common Stock based on various performance metrics. Upon vesting, each performance stock unit equals one share of Class A Common Stock of the Company. We accrue compensation expense for the PSUs based on our assessment of the probable outcome of the performance conditions. The metrics for PSUs granted during 2022 relate to our performance during fiscal years 2022, 2023 and 2024, as measured against objective performance goals approved by the Board. The actual number of units earned may range from 0% to 150% of the target number of units depending upon achievement of each year's performance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goals. PSUs granted in 2022 vest in three equal annual installments, subject to a catch-up provision over the three annual performance targets. The metrics for PSUs granted during 2023 relate to our performance during fiscal year 2023, as measured against objective performance goals approved by the Board. The actual number of units earned may range from 0% to 150% of the target number of units depending upon achievement of the 2023 performance goals. PSUs granted in 2023 vest in three equal annual installments from 2024 to 2026.</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Opco Plan</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Preferred incentive units and common incentive units (collectively, “incentive units”) represent an ownership interest in Opco and are entitled to receive distributions from Opco, subject to certain vesting conditions. Opco classifies incentive units as equity awards on its consolidated balance sheets. Participation units, issued directly by Opco to Opco Plan participants, do not represent an ownership interest in Opco but rather provide Opco Plan participants the contractual right to participate in the value of Opco, if any, through either a cash payment or issuance of Class A Common Stock upon the occurrence of certain events following vesting of the participation units. Refer to Note 11 to our consolidated financial statements included in our Form 10-K where the modifications to the Opco Plan are described in detail.</w:t>
      </w:r>
    </w:p>
    <w:p>
      <w:pPr>
        <w:spacing w:after="0" w:line="191"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Upon consummation of the VIH Business Combination, the 76,475,000 outstanding preferred incentive units and 23,219,745 outstanding common incentive units were converted into 698,934 common incentive units, and the 10,811,502 outstanding participation units were converted into 1,197,250 participation units. Opco preferred incentive units and common incentive units outstanding prior to the VIH Business Combination, as well as participation units, were not impacted by the Reverse Stock Split discussed in Note 2, therefore these amounts are presented without consideration of the Reverse Stock Split Ratio. Contemporaneously with the conversion, approximately one-third of the awards in the Opco Plan vested. The second tranche vested on the one-year anniversary of the Closing Date and the third tranche vested on the two-year anniversary of the Closing Date, although under the terms of the Opco Plan, employees who were terminated without cause after the Closing Date would vest in the unvested portion of their awards immediately upon their termination date. There has not been, and will not be, any additional awards made under the Opco Plan following the VIH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Unit-Based Compensation Expense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Unit-based compensation expense for the three and six months ended June 30, 2023 was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Type of unit</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400" w:type="dxa"/>
            <w:vAlign w:val="bottom"/>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0" w:type="dxa"/>
            <w:vAlign w:val="bottom"/>
          </w:tcPr>
          <w:p>
            <w:pPr>
              <w:spacing w:after="0"/>
              <w:rPr>
                <w:sz w:val="1"/>
                <w:szCs w:val="1"/>
                <w:color w:val="auto"/>
              </w:rPr>
            </w:pPr>
          </w:p>
        </w:tc>
      </w:tr>
      <w:tr>
        <w:trPr>
          <w:trHeight w:val="216"/>
        </w:trPr>
        <w:tc>
          <w:tcPr>
            <w:tcW w:w="81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140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incentive unit</w:t>
            </w: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6"/>
              </w:rPr>
              <w:t>377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29"/>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Participation unit</w:t>
            </w: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left="812"/>
              <w:spacing w:after="0"/>
              <w:rPr>
                <w:sz w:val="20"/>
                <w:szCs w:val="20"/>
                <w:color w:val="auto"/>
              </w:rPr>
            </w:pPr>
            <w:r>
              <w:rPr>
                <w:rFonts w:ascii="Times New Roman" w:cs="Times New Roman" w:eastAsia="Times New Roman" w:hAnsi="Times New Roman"/>
                <w:sz w:val="18"/>
                <w:szCs w:val="18"/>
                <w:color w:val="auto"/>
                <w:w w:val="97"/>
              </w:rPr>
              <w:t>(111)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center"/>
              <w:ind w:left="812"/>
              <w:spacing w:after="0"/>
              <w:rPr>
                <w:sz w:val="20"/>
                <w:szCs w:val="20"/>
                <w:color w:val="auto"/>
              </w:rPr>
            </w:pPr>
            <w:r>
              <w:rPr>
                <w:rFonts w:ascii="Times New Roman" w:cs="Times New Roman" w:eastAsia="Times New Roman" w:hAnsi="Times New Roman"/>
                <w:sz w:val="18"/>
                <w:szCs w:val="18"/>
                <w:color w:val="auto"/>
                <w:w w:val="96"/>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0" w:type="dxa"/>
            <w:vAlign w:val="bottom"/>
          </w:tcPr>
          <w:p>
            <w:pPr>
              <w:spacing w:after="0"/>
              <w:rPr>
                <w:sz w:val="1"/>
                <w:szCs w:val="1"/>
                <w:color w:val="auto"/>
              </w:rPr>
            </w:pP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As of December 31, 2023, all Common Incentive Units and Participation Units had vested or been forfeited and there was no unrecognized unit-based compensation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Incentive Unit Activity</w:t>
      </w:r>
    </w:p>
    <w:p>
      <w:pPr>
        <w:spacing w:after="0" w:line="270"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The following table summarizes common incentive unit activity under the Opco Plan for the six months ended June 30, 2024 (in thousands, except per unit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Pr>
          <w:p>
            <w:pPr>
              <w:spacing w:after="0"/>
              <w:rPr>
                <w:sz w:val="17"/>
                <w:szCs w:val="17"/>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Number of Common</w:t>
            </w: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Aggregate Intrinsic</w:t>
            </w:r>
          </w:p>
        </w:tc>
        <w:tc>
          <w:tcPr>
            <w:tcW w:w="0" w:type="dxa"/>
            <w:vAlign w:val="bottom"/>
          </w:tcPr>
          <w:p>
            <w:pPr>
              <w:spacing w:after="0"/>
              <w:rPr>
                <w:sz w:val="1"/>
                <w:szCs w:val="1"/>
                <w:color w:val="auto"/>
              </w:rPr>
            </w:pPr>
          </w:p>
        </w:tc>
      </w:tr>
      <w:tr>
        <w:trPr>
          <w:trHeight w:val="176"/>
        </w:trPr>
        <w:tc>
          <w:tcPr>
            <w:tcW w:w="44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gridSpan w:val="2"/>
            <w:vMerge w:val="continue"/>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Contractual Term</w:t>
            </w:r>
          </w:p>
        </w:tc>
        <w:tc>
          <w:tcPr>
            <w:tcW w:w="12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0" w:type="dxa"/>
            <w:vAlign w:val="bottom"/>
            <w:gridSpan w:val="2"/>
            <w:vMerge w:val="continue"/>
          </w:tcPr>
          <w:p>
            <w:pPr>
              <w:spacing w:after="0"/>
              <w:rPr>
                <w:sz w:val="21"/>
                <w:szCs w:val="21"/>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Incentive Units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1"/>
                <w:szCs w:val="21"/>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Pr>
          <w:p>
            <w:pPr>
              <w:spacing w:after="0"/>
              <w:rPr>
                <w:sz w:val="21"/>
                <w:szCs w:val="21"/>
                <w:color w:val="auto"/>
              </w:rPr>
            </w:pPr>
          </w:p>
        </w:tc>
        <w:tc>
          <w:tcPr>
            <w:tcW w:w="13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51,467</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7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166.75</w:t>
            </w:r>
          </w:p>
        </w:tc>
        <w:tc>
          <w:tcPr>
            <w:tcW w:w="40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50,677</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CCEEFF"/>
            </w:tcBorders>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8"/>
        </w:trPr>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4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Number of Common</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Aggregate Intrinsic</w:t>
            </w:r>
          </w:p>
        </w:tc>
        <w:tc>
          <w:tcPr>
            <w:tcW w:w="0" w:type="dxa"/>
            <w:vAlign w:val="bottom"/>
          </w:tcPr>
          <w:p>
            <w:pPr>
              <w:spacing w:after="0"/>
              <w:rPr>
                <w:sz w:val="1"/>
                <w:szCs w:val="1"/>
                <w:color w:val="auto"/>
              </w:rPr>
            </w:pPr>
          </w:p>
        </w:tc>
      </w:tr>
      <w:tr>
        <w:trPr>
          <w:trHeight w:val="176"/>
        </w:trPr>
        <w:tc>
          <w:tcPr>
            <w:tcW w:w="44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8"/>
                <w:szCs w:val="18"/>
                <w:b w:val="1"/>
                <w:bCs w:val="1"/>
                <w:color w:val="auto"/>
              </w:rPr>
              <w:t>Common Incentive Units</w:t>
            </w:r>
          </w:p>
        </w:tc>
        <w:tc>
          <w:tcPr>
            <w:tcW w:w="1700" w:type="dxa"/>
            <w:vAlign w:val="bottom"/>
            <w:gridSpan w:val="2"/>
            <w:vMerge w:val="continue"/>
          </w:tcPr>
          <w:p>
            <w:pPr>
              <w:spacing w:after="0"/>
              <w:rPr>
                <w:sz w:val="15"/>
                <w:szCs w:val="15"/>
                <w:color w:val="auto"/>
              </w:rPr>
            </w:pPr>
          </w:p>
        </w:tc>
        <w:tc>
          <w:tcPr>
            <w:tcW w:w="17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 Term</w:t>
            </w:r>
          </w:p>
        </w:tc>
        <w:tc>
          <w:tcPr>
            <w:tcW w:w="120" w:type="dxa"/>
            <w:vAlign w:val="bottom"/>
          </w:tcPr>
          <w:p>
            <w:pPr>
              <w:spacing w:after="0"/>
              <w:rPr>
                <w:sz w:val="15"/>
                <w:szCs w:val="15"/>
                <w:color w:val="auto"/>
              </w:rPr>
            </w:pPr>
          </w:p>
        </w:tc>
        <w:tc>
          <w:tcPr>
            <w:tcW w:w="156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2"/>
            <w:vMerge w:val="continue"/>
          </w:tcPr>
          <w:p>
            <w:pPr>
              <w:spacing w:after="0"/>
              <w:rPr>
                <w:sz w:val="19"/>
                <w:szCs w:val="19"/>
                <w:color w:val="auto"/>
              </w:rPr>
            </w:pPr>
          </w:p>
        </w:tc>
        <w:tc>
          <w:tcPr>
            <w:tcW w:w="17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Incentive Units</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20" w:type="dxa"/>
            <w:vAlign w:val="bottom"/>
          </w:tcPr>
          <w:p>
            <w:pPr>
              <w:spacing w:after="0"/>
              <w:rPr>
                <w:sz w:val="19"/>
                <w:szCs w:val="19"/>
                <w:color w:val="auto"/>
              </w:rPr>
            </w:pPr>
          </w:p>
        </w:tc>
        <w:tc>
          <w:tcPr>
            <w:tcW w:w="15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00" w:type="dxa"/>
            <w:vAlign w:val="bottom"/>
          </w:tcPr>
          <w:p>
            <w:pPr>
              <w:spacing w:after="0"/>
              <w:rPr>
                <w:sz w:val="19"/>
                <w:szCs w:val="19"/>
                <w:color w:val="auto"/>
              </w:rPr>
            </w:pPr>
          </w:p>
        </w:tc>
        <w:tc>
          <w:tcPr>
            <w:tcW w:w="1340" w:type="dxa"/>
            <w:vAlign w:val="bottom"/>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30"/>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67,635</w:t>
            </w: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2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Borders>
              <w:bottom w:val="single" w:sz="8" w:color="CCEEFF"/>
            </w:tcBorders>
          </w:tcPr>
          <w:p>
            <w:pPr>
              <w:spacing w:after="0"/>
              <w:rPr>
                <w:sz w:val="19"/>
                <w:szCs w:val="19"/>
                <w:color w:val="auto"/>
              </w:rPr>
            </w:pPr>
          </w:p>
        </w:tc>
        <w:tc>
          <w:tcPr>
            <w:tcW w:w="17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2023</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157.50</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65,980</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There were no participation units granted during the three and six months ended June 30, 2023. We did not make any cash payments to settle vested participation units during the three months ended June 30, 2023. We made cash payments of less than $0.1 million to settle vested participation units during the six months ended June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Fair Value</w:t>
      </w:r>
    </w:p>
    <w:p>
      <w:pPr>
        <w:spacing w:after="0" w:line="25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fair value of incentive and participation units granted is calculated through a Monte Carlo simulation based on various outcomes. Opco determined that a Monte Carlo simulation was an appropriate estimation model because of the market conditions associated with the vesting of the units. The determination of the fair value of the units is affected by Opco’s stock price and certain assumptions such as Opco’s expected stock price volatility over the term of the units, risk-free interest rates, and expected dividends, which are determined as follows:</w:t>
      </w:r>
    </w:p>
    <w:p>
      <w:pPr>
        <w:spacing w:after="0" w:line="173"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term – The expected term represents the period that a unit is expected to be outstanding.</w:t>
      </w:r>
    </w:p>
    <w:p>
      <w:pPr>
        <w:spacing w:after="0" w:line="265" w:lineRule="exact"/>
        <w:rPr>
          <w:rFonts w:ascii="Times New Roman" w:cs="Times New Roman" w:eastAsia="Times New Roman" w:hAnsi="Times New Roman"/>
          <w:sz w:val="18"/>
          <w:szCs w:val="18"/>
          <w:color w:val="auto"/>
        </w:rPr>
      </w:pPr>
    </w:p>
    <w:p>
      <w:pPr>
        <w:ind w:left="660" w:right="20" w:hanging="328"/>
        <w:spacing w:after="0" w:line="31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 Opco has limited historical data available to derive its own stock price volatility. As such, Opco estimates stock price volatility based on the average historic price volatility of comparable public industry peers.</w:t>
      </w:r>
    </w:p>
    <w:p>
      <w:pPr>
        <w:spacing w:after="0" w:line="175"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Risk-free interest rate – The risk-free rate is based on the U.S. Treasury yield curve in effect on the grant date for securities with similar expected terms to the term of Opco’s incentive units.</w:t>
      </w:r>
    </w:p>
    <w:p>
      <w:pPr>
        <w:spacing w:after="0" w:line="175"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dividends – Expected dividends is assumed to be zero as Opco has not paid and does not expect to pay cash dividends or non-liquidating distributions.</w:t>
      </w:r>
    </w:p>
    <w:p>
      <w:pPr>
        <w:spacing w:after="0" w:line="175"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 for lack of marketability – an estimated two-year time to exit Predecessor awards and the six-month lock-up restriction on Successor awards is reflected as a discount for lack of marketability estimated using the Finnerty model.</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Loss per share</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Basic earnings per share is based on the weighted average number of shares of Class A Common Stock issued and outstanding. Diluted earnings per share is based on the weighted average number shares of Class A Common Stock issued and outstanding and the effect of all dilutive common stock equivalents and potentially dilutive share-based awards outstanding. There is no difference in the number of shares used to calculate basic and diluted shares outstanding due to our net loss position. The potentially dilutive securities that would be anti-dilutive due to our net loss are not included in the calculation of diluted net loss per share attributable to controlling interest.</w:t>
      </w:r>
    </w:p>
    <w:p>
      <w:pPr>
        <w:spacing w:after="0" w:line="177"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following is a reconciliation of the denominators of the basic and diluted per share computations for net loss (in thousands, except share and per share data):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4"/>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42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8"/>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per share:</w:t>
            </w:r>
          </w:p>
        </w:tc>
        <w:tc>
          <w:tcPr>
            <w:tcW w:w="18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r>
      <w:tr>
        <w:trPr>
          <w:trHeight w:val="214"/>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 – basic and diluted:</w:t>
            </w: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8"/>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(95,366)</w:t>
            </w:r>
          </w:p>
        </w:tc>
      </w:tr>
      <w:tr>
        <w:trPr>
          <w:trHeight w:val="213"/>
        </w:trPr>
        <w:tc>
          <w:tcPr>
            <w:tcW w:w="49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(64,546)</w:t>
            </w:r>
          </w:p>
        </w:tc>
      </w:tr>
      <w:tr>
        <w:trPr>
          <w:trHeight w:val="212"/>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Bakkt Holdings, Inc. – basic</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(30,820)</w:t>
            </w: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and tax effect attributable to noncontrolling interests</w:t>
            </w:r>
          </w:p>
        </w:tc>
        <w:tc>
          <w:tcPr>
            <w:tcW w:w="1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490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attributable to Bakkt Holdings, Inc. – diluted</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 – basic and diluted:</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13"/>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basic</w:t>
            </w:r>
          </w:p>
        </w:tc>
        <w:tc>
          <w:tcPr>
            <w:tcW w:w="1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6,161,704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3,593,491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5,279,065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3,435,211</w:t>
            </w:r>
          </w:p>
        </w:tc>
      </w:tr>
      <w:tr>
        <w:trPr>
          <w:trHeight w:val="219"/>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 average shares outstanding – diluted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6,161,704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3,593,491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5,279,065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3,435,211</w:t>
            </w: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16"/>
        </w:trPr>
        <w:tc>
          <w:tcPr>
            <w:tcW w:w="4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 per share – basic</w:t>
            </w: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10"/>
        </w:trPr>
        <w:tc>
          <w:tcPr>
            <w:tcW w:w="49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loss per share – diluted</w:t>
            </w: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r>
    </w:tbl>
    <w:p>
      <w:pPr>
        <w:spacing w:after="0" w:line="31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Potential common shares issuable to employees or directors upon exercise or conversion of shares under our share-based and unit-based compensation plans and upon exercise of warrants are excluded from the computation of diluted earnings per common share when the effect would be anti-dilutive.</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No shares that are contingently issuable as part of the Bakkt Crypto Solutions acquisition have been included in the calculation of diluted EPS as no amounts are payable as of June 30, 2024. The following table summarizes the total potential common shares excluded from diluted loss per common share as their effect would be anti-dilutive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80" w:type="dxa"/>
            <w:vAlign w:val="bottom"/>
          </w:tcPr>
          <w:p>
            <w:pPr>
              <w:spacing w:after="0"/>
              <w:rPr>
                <w:sz w:val="18"/>
                <w:szCs w:val="18"/>
                <w:color w:val="auto"/>
              </w:rPr>
            </w:pPr>
          </w:p>
        </w:tc>
        <w:tc>
          <w:tcPr>
            <w:tcW w:w="15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41"/>
        </w:trPr>
        <w:tc>
          <w:tcPr>
            <w:tcW w:w="9680" w:type="dxa"/>
            <w:vAlign w:val="bottom"/>
          </w:tcPr>
          <w:p>
            <w:pPr>
              <w:spacing w:after="0"/>
              <w:rPr>
                <w:sz w:val="20"/>
                <w:szCs w:val="20"/>
                <w:color w:val="auto"/>
              </w:rPr>
            </w:pPr>
          </w:p>
        </w:tc>
        <w:tc>
          <w:tcPr>
            <w:tcW w:w="15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32"/>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and PSUs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Public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warrants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1 and Class 2 warrants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3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Opco common units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7,195</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10,929</w:t>
            </w:r>
          </w:p>
        </w:tc>
      </w:tr>
      <w:tr>
        <w:trPr>
          <w:trHeight w:val="20"/>
        </w:trPr>
        <w:tc>
          <w:tcPr>
            <w:tcW w:w="9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Capital Requirements</w:t>
      </w:r>
    </w:p>
    <w:p>
      <w:pPr>
        <w:spacing w:after="0" w:line="252" w:lineRule="exact"/>
        <w:rPr>
          <w:sz w:val="20"/>
          <w:szCs w:val="20"/>
          <w:color w:val="auto"/>
        </w:rPr>
      </w:pPr>
    </w:p>
    <w:p>
      <w:pPr>
        <w:jc w:val="both"/>
        <w:ind w:firstLine="648"/>
        <w:spacing w:after="0" w:line="333" w:lineRule="auto"/>
        <w:rPr>
          <w:sz w:val="20"/>
          <w:szCs w:val="20"/>
          <w:color w:val="auto"/>
        </w:rPr>
      </w:pPr>
      <w:r>
        <w:rPr>
          <w:rFonts w:ascii="Times New Roman" w:cs="Times New Roman" w:eastAsia="Times New Roman" w:hAnsi="Times New Roman"/>
          <w:sz w:val="18"/>
          <w:szCs w:val="18"/>
          <w:b w:val="1"/>
          <w:bCs w:val="1"/>
          <w:color w:val="auto"/>
        </w:rPr>
        <w:t xml:space="preserve">Bakkt Trust </w:t>
      </w:r>
      <w:r>
        <w:rPr>
          <w:rFonts w:ascii="Times New Roman" w:cs="Times New Roman" w:eastAsia="Times New Roman" w:hAnsi="Times New Roman"/>
          <w:sz w:val="18"/>
          <w:szCs w:val="18"/>
          <w:color w:val="auto"/>
        </w:rPr>
        <w:t>is subject to certain regulatory capital requirements imposed by NYDFS. These capital requirements require Bakkt Trust to maintain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cash the greater of a defined positive net worth or the sum of the required percentages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established for transmitted assets and cold wallet and hot wallet custody assets. The amounts set aside to satisfy these requirements are included within “Restricted cash” in the consolidated balance sheets.</w:t>
      </w:r>
    </w:p>
    <w:p>
      <w:pPr>
        <w:spacing w:after="0" w:line="144"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b w:val="1"/>
          <w:bCs w:val="1"/>
          <w:color w:val="auto"/>
        </w:rPr>
        <w:t xml:space="preserve">Bakkt Crypto </w:t>
      </w:r>
      <w:r>
        <w:rPr>
          <w:rFonts w:ascii="Times New Roman" w:cs="Times New Roman" w:eastAsia="Times New Roman" w:hAnsi="Times New Roman"/>
          <w:sz w:val="18"/>
          <w:szCs w:val="18"/>
          <w:color w:val="0C0C0C"/>
        </w:rPr>
        <w:t>holds a BitLicense from NYDFS, which subjects it to NYDFS’s oversight with respect to business activities conducted in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0C0C0C"/>
        </w:rPr>
        <w:t xml:space="preserve">York State and with New York residents, and </w:t>
      </w:r>
      <w:r>
        <w:rPr>
          <w:rFonts w:ascii="Times New Roman" w:cs="Times New Roman" w:eastAsia="Times New Roman" w:hAnsi="Times New Roman"/>
          <w:sz w:val="18"/>
          <w:szCs w:val="18"/>
          <w:color w:val="000000"/>
        </w:rPr>
        <w:t>is required to maintain a capital balance equal to the greater of a predefined minimum amount or the sum of</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the required percentages established for transmitted assets, cold wallet and hot wallet custody assets, and predefined wind-down costs, or expected costs associated with the orderly wind-down of the business. Bakkt Crypto also has money transmitter licenses wherever its business model requires (46 states plus Washington D.C., giving effect to the surrender of duplicative and unneeded licenses following the merger of Bakkt Crypto Solutions and Bakkt Marketplace discussed below) which require it to maintain a minimum tangible net worth. Several states have adopted the Model Money Transmission Modernization Act (“MMTMA”), which defined tangible net worth as the aggregate assets of a licensee excluding all intangible assets, less liabilities, and established a calculation for minimum tangible net worth as a percentage of total assets. For states that have not adopted the MMTMA, Bakkt Crypto is required to maintain tangible net worth of a minimum amount, plus the amount of customer funds held in transit. In March 2024, we received approval from NYDFS to merge, and have since merged, Bakkt Crypto Solutions and Bakkt Marketplace into one legal entity, now referred to as Bakkt Crypto.</w:t>
      </w:r>
    </w:p>
    <w:p>
      <w:pPr>
        <w:spacing w:after="0" w:line="17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b w:val="1"/>
          <w:bCs w:val="1"/>
          <w:color w:val="auto"/>
        </w:rPr>
        <w:t xml:space="preserve">Bakkt Brokerage </w:t>
      </w:r>
      <w:r>
        <w:rPr>
          <w:rFonts w:ascii="Times New Roman" w:cs="Times New Roman" w:eastAsia="Times New Roman" w:hAnsi="Times New Roman"/>
          <w:sz w:val="18"/>
          <w:szCs w:val="18"/>
          <w:color w:val="auto"/>
        </w:rPr>
        <w:t>is registered as a broker-dealer with the Financial Industry Regulatory Authority and is required to maintain a minimum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net capital. Bakkt Brokerage's net capital requirement is not material. Bakkt Brokerage was registered as a broker-dealer with the Financial Industry Regulatory Authority, which filed for a withdrawal of its membership on July 16, 2024, and was required to maintain a non-material minimum amount of net capital. The Financial Industry Regulatory Authority has expelled Bakkt Brokerage for a failure to file independently audited financial statements for 2023, a period when Bakkt Brokerage was inactive. Bakkt Brokerage is working to correct this filing prior to final withdrawal of its membership</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of June 30, 2024 and December 31, 2023, the above mentioned subsidiaries were in compliance with their respective regulatory capital requirements. The minimum capital requirements to which our subsidiaries are subject may restrict their ability to transfer cash. We may also be required to transfer cash to our subsidiaries such that they may continue to meet these minimum capital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401(k) Plan</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sponsor a 401(k) defined contribution plan covering all eligible U.S. employees. Both Company and employee contributions to the 401(k) plan are discretionary. For the three and six months ended June 30, 2024, we recorded approximately $0.6 million and $1.3 million, respectively, of expenses related to the 401(k) plan, which is included in "Compensation and benefits" in the consolidated statements of operations. For the three and six months ended June 30, 2023, we recorded approximately $0.7 million and $1.7 million, respectively, of expenses related to the 401(k) plan, which is included in "Compensation and benefits" in the consolidated statements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Company is party to a TRA with certain Opco equity holders. As of June 30, 2024, the Company has not recorded a liability under the TRA related to the income tax benefits originating from the exchanges of Opco Common Units as it is not probable that the Company will realize such tax benefits. The amounts payable under the TRA will vary depending upon a number of factors, including the amount, character, and timing of the taxable income of the Company in the future. Should the Company determine that the payment of the TRA liability becomes probable at a future date based on new information, any changes will be recorded on the Company's consolidated statements of operations and comprehensive loss at that time.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70"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8"/>
          <w:szCs w:val="18"/>
          <w:color w:val="auto"/>
        </w:rPr>
        <w:t>As described above, in October 2021, we completed the VIH Business Combination with VIH, pursuant to which VIH changed its name to Bakkt Holdings, Inc. and the current directors and officers of the Company replaced the directors and officers in place prior to the VIH Business Combination. On April 21, 2022, a putative class action was filed against Bakkt Holdings, Inc. and certain of its directors and officers prior to the VIH Business Combination in the U.S. District Court for the Eastern District of New York on behalf of certain purchasers of securities of VIH and/or purchasers of Bakkt Class A Common Stock issued in connection with the VIH Business Combination. On August 3, 2022, the Court appointed lead plaintiffs and lead counsel and on October 18, 2022, lead plaintiffs filed an amended complaint (the "Amended Complaint"). The Amended Complaint alleged that VIH made false or misleading statements and omissions of material fact in the registration statement and prospectus/proxy statement filing in connection with the VIH Business Combination and in other SEC filings made by VIH, in violation of federal securities laws in connection with disclosures relating to certain of VIH’s financial statements, accounting, and internal controls and that, as a result, VIH securities traded at artificially inflated prices. Plaintiffs sought certification of a class of purchasers of (1) VIH/Bakkt’s publicly traded securities between March 31, 2021 and November 19, 2021, and/or (2) Bakkt’s publicly traded securities pursuant and/or traceable to the registration statement. The Amended Complaint sought damages, as well as fees and costs. The Amended Complaint named as defendants only one current director, and no current officers, of Bakkt. On March 14, 2023, the parties reached a settlement in principle. On April 12, 2023, the parties completed a stipulation of settlement resolving the litigation for $3.0 million, subject to Court approval. On September 21, 2023, the Court granted the motion for preliminary approval. On February 27, 2024, the Court held a final approval hearing at which the Court sought certain limited additional information from Plaintiffs, which Plaintiffs provided on March 5, 2024. On April 17, 2024, the Court granted the Plaintiffs' motion for final approval and terminated the class action. We expect the settlement will be covered by our insurance less our contractual retention.</w:t>
      </w:r>
    </w:p>
    <w:p>
      <w:pPr>
        <w:spacing w:after="0" w:line="20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June 23, 2023, an “opt-out” action related to the foregoing class action was filed against Bakkt Holdings, Inc. and the individuals named in the class action. In late February 2024, plaintiff provided notice that he intended to pursue his remedies as a class member, and therefore did not expect further to pursue this action. On March 1, 2024, the parties filed a joint stipulation of dismissal without a settlement or compromise between the parties, and on March 5, 2024 the Court issued an order dismissing the action.</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February 20, 2023, a derivative action related to the foregoing class action was filed against Bakkt Holdings, Inc. and all of its directors in the U.S. District Court for the Eastern District of New York. On June 13, 2023, the defendants filed with the Court a pre-motion letter setting forth the reasons for the dismissal of the action. On July 20, 2023, the parties filed with the Court a stipulation of a voluntary dismissal of the action without a settlement or compromise between them. On July 31, 2023, the Court issued an order to dismiss the action.</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Prior to its acquisition by the Company, Apex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the Company has continued to respond to those requests on a timely basis. Based on the ongoing nature of this matter, the outcome remains uncertain and the Company cannot estimate the potential impact, if any, on its business or financial statements at this time.</w:t>
      </w:r>
    </w:p>
    <w:p>
      <w:pPr>
        <w:spacing w:after="0" w:line="177"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January 25, 2024, the Company’s subsidiary, Aspire Loyalty Travel Solutions, LLC (“Aspire”) received a letter from one of its vendors alleging breach of its agreement with that vendor relating to a migration of Aspire’s systems to a different vendor. The alleged breach relates to a contractual provision requiring Aspire to originate at least a given percentage of its redemptions on the vendor’s systems. In May 2024, we settled the matter for $1.1 million. We recognized $0.4 million of expense for this matter during the six months ended June 30, 2024.</w:t>
      </w:r>
    </w:p>
    <w:p>
      <w:pPr>
        <w:spacing w:after="0" w:line="187"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Other legal and regulatory proceedings have arisen and may arise in the ordinary course of business. However, we do not believe that the resolution of these matters will have a material adverse effect on our financial position, results of</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operations or cash flows. However, future results could be materially and adversely affected by new developments relating to the legal proceedings and claims.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Purchasing Card Facility</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purchasing card facility that we utilize for redemption purchases made from vendors as part of our loyalty redemption platform. Total borrowing capacity under the facility was $35 million and there is no defined maturity date. Expenditures 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25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In December 2021, we entered into a four-year cloud computing arrangement which includes minimum contractual payments due to the third-party provider. In December 2023, we agreed to amend the contract and extend the payment period for an additional year. During the year ended December 31, 2023, we entered into a five-year strategic marketing agreement which required a committed spend. In July 2024, we terminated the agreement, which required a settlement payment of $1.1 million and resulted in the release from future obligations. As of June 30, 2024, our outstanding purchase obligations, inclusive of the settlement described above, consisted of the following future minimum commitments (in thousands):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560" w:type="dxa"/>
            <w:vAlign w:val="bottom"/>
            <w:tcBorders>
              <w:bottom w:val="single" w:sz="8" w:color="auto"/>
            </w:tcBorders>
            <w:gridSpan w:val="4"/>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23"/>
        </w:trPr>
        <w:tc>
          <w:tcPr>
            <w:tcW w:w="35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5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a result of the VIH Business Combination, the Company acquired a controlling interest in Opco, which is treated as a partnership for U.S. federal income tax purposes, and in most applicable state and local income tax jurisdictions. As a partnership, Opco is not itself subject to U.S. federal and certain state and local income taxes. Any taxable income or loss generated by Opco is passed through to and included in the taxable income or loss of its partners, including the Company following the VIH Business Combination, on a pro rata basis. The Company's U.S. federal and state income tax expense primarily relates to the Company’s allocable share of any taxable income or loss of Opco following the VIH Business Combination. In addition, Opco’s wholly owned corporate subsidiaries that are consolidated for U.S. GAAP purposes but separately taxed for federal, state, and foreign income tax purposes as corporations are generating federal, state, and foreign income tax expense.</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 of (0.3)% and (0.4)% for the three and six months ended June 30, 2024, respectively, differ from statutory rates primarily due to the loss that is not taxed to the Company and the absence of taxable income to realize the Company's net operating losses and other deferred tax assets.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effective tax rate of (0.2)% and (0.4)% for the three and six months ended June 30, 2023, respectively, differ from statutory rates primarily due to the loss that is not taxed to the Company and the absence of taxable income to realize the Company's net operating losses and other deferred tax assets.</w:t>
      </w:r>
    </w:p>
    <w:p>
      <w:pPr>
        <w:spacing w:after="0" w:line="18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Deferred tax assets are reduced by a valuation allowance if, based on the weight of available evidence, it is more likely than not that some portion or all of the deferred tax assets will not be realized. Our realizability of our deferred tax assets, in each jurisdiction, is dependent upon the generation of future taxable income sufficient to utilize the deferred tax assets on income tax returns, including the reversal of existing temporary differences, historical and projected operating results and tax planning strategies. We assessed that substantially all of our deferred tax assets were not more likely than not to be realized. As of June 30, 2024 and December 31, 2023, the Company believed that it was not more likely than not that the net deferred tax assets would be realizable and thus has maintained a full valuation allowance.</w:t>
      </w:r>
    </w:p>
    <w:p>
      <w:pPr>
        <w:spacing w:after="0" w:line="19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effects of uncertain tax positions are recognized in the consolidated financial statements if these positions meet a “more-likely-than-not” threshold. For those uncertain tax positions that are recognized in the consolidated financial statements, liabilities are established to reflect the portion of those positions it cannot conclude “more-likely-than-not” to be realized upon ultimate settlement. The Company had no unrecognized tax benefits or related interest and penalties accrued as of June 30, 2024 or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Financial assets and liabilities that are measured at fair value on a recurring basis are classified as Level 1, Level 2 and Level 3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r>
      <w:tr>
        <w:trPr>
          <w:trHeight w:val="223"/>
        </w:trPr>
        <w:tc>
          <w:tcPr>
            <w:tcW w:w="53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974,486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974,486</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987,656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974,486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5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30"/>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974,486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974,486</w:t>
            </w: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liability - Class 1 and Class 2 warrants</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37,543</w:t>
            </w: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1,013,243</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974,486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37,543</w:t>
            </w:r>
          </w:p>
        </w:tc>
      </w:tr>
      <w:tr>
        <w:trPr>
          <w:trHeight w:val="20"/>
        </w:trPr>
        <w:tc>
          <w:tcPr>
            <w:tcW w:w="5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debt securities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718,954</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Warrant liability - public warrants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703,912</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c>
          <w:tcPr>
            <w:tcW w:w="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5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1"/>
        </w:trPr>
        <w:tc>
          <w:tcPr>
            <w:tcW w:w="5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carrying amounts of certain financial instruments, including cash and cash equivalents, accounts receivables, unbilled accounts receivables, due from related party, deposits with clearinghouse, due to related party, accounts payable and accrued liabilities, and operating lease obligations approximate their fair values due to their short-term nature. The balance of deposits with clearinghouse not invested in U.S. government securities are in the form of cash, and therefore approximate fair value.</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investments in debt securities consist of U.S. Treasury debt securities held in the custody of a major financial institution. As of June 30, 2024, our investment in available-for-sale debt securities was determined to be a Level 1 investment based on quoted prices in active markets and was recorded in the consolidated balance sheet at fair value.</w:t>
      </w:r>
    </w:p>
    <w:p>
      <w:pPr>
        <w:spacing w:after="0" w:line="18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fair value of the safeguarding obligation for crypto and the corresponding safeguarding asset for crypto was determined using Level 2 inputs which included using the value of the safeguarded asset determined as the mid-point of a bid-ask spread in the market we determined to be the principal market for the related crypto as of June 30, 2024.</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contingent consideration associated with the acquisition of Bakkt Crypto Solutions is valued using Level 3 inputs, which includes a Monte Carlo simulation. The inputs for the Monte Carlo simulation included forecasted financial performance of Bakkt Crypto Solutions and estimated earnings volatility. The contingent consideration liability is revalued each reporting period and any change in the liability is reflected in the Company's statements of operations in “Acquisition-related expenses". As of the acquisition date, the fair value of the contingent consideration was estimated to be $2.9 million and used an estimated gross profit volatility of 66%. As of December 31, 2023, we determined the value of the contingent consideration was zero, based on our forward-looking projections and minimum profit requirements associated with the contingent consideration and reversed the accrual through acquisition expenses. As of June 30, 2024, we determined the value of the contingent consideration remained zero.</w:t>
      </w:r>
    </w:p>
    <w:p>
      <w:pPr>
        <w:spacing w:after="0" w:line="17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Our public warrant liability is valued based on quoted prices in active markets and is classified within Level 1. During the three months ended June 30, 2024, our Class 1 Warrants and Class 2 Warrants were valued using the Black-Scholes-Merton model and a binomial lattice model, respectively, both of which utilize certain Level 3 inputs. Prior to the three months ended June 30, 2024, our Class 1 Warrants and Class 2 Warrants were valued using the Black-Scholes-Merton model and a Monte Carlo simulation, respectively. A significant input to the Monte Carlo simulation included the volatility of movement in the price of the stock underlying the warrants, which was estimated using the historical volatility of our Class A Common Stock over the contractual period of the warrant.</w:t>
      </w:r>
    </w:p>
    <w:p>
      <w:pPr>
        <w:spacing w:after="0" w:line="178"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The significant unobservable inputs used for the fair value measurement of our Class 1 Warrants and Class 2 Warrants liabilities as of June 30, 2024 are summarized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term (years)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Continuous risk-free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Expected volatility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5.18 - 5.50</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4.12% - 4.59%</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125.0% - 145.0%</w:t>
      </w:r>
    </w:p>
    <w:p>
      <w:pPr>
        <w:spacing w:after="0" w:line="200" w:lineRule="exact"/>
        <w:rPr>
          <w:sz w:val="20"/>
          <w:szCs w:val="20"/>
          <w:color w:val="auto"/>
        </w:rPr>
      </w:pPr>
    </w:p>
    <w:p>
      <w:pPr>
        <w:sectPr>
          <w:pgSz w:w="11900" w:h="16838" w:orient="portrait"/>
          <w:cols w:equalWidth="0" w:num="2">
            <w:col w:w="9240" w:space="720"/>
            <w:col w:w="1280"/>
          </w:cols>
          <w:pgMar w:left="320" w:top="108" w:right="339" w:bottom="1440" w:gutter="0" w:footer="0" w:header="0"/>
          <w:type w:val="continuous"/>
        </w:sectPr>
      </w:pPr>
    </w:p>
    <w:p>
      <w:pPr>
        <w:spacing w:after="0" w:line="145"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preceding methods described may produce fair value calculations that may not be indicative of net realizable value or reflective of future fair values. Furthermore, although we believe our valuation techniques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As described in Note 5, our owned crypto is continually evaluated for impairment using the lowest quoted price in the market we determine to be the principal market for the related crypto, which we determined was a Level 2 input. Other fair value inputs associated with non-recurring impairment analyses are discussed in the notes of the related assets.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Leases</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lease real estate for office space under operating leases. On December 21, 2023, we signed an agreement to sublease a portion of our corporate headquarters office space in Alpharetta, Georgia. The sublease commenced in March 2024. On March 15, 2023, we signed an amendment to our Scottsdale, Arizona lease that extended the lease term. The amended lease has a term of 89 months and total fixed lease payments over the term of the amended lease are $5.7 million. During the year ended December 31, 2023, we entered into a new real estate lease for office space in New York, New York, that commenced on January 31, 2022. The lease has a term of 94 months and the total fixed lease payments over the term of the lease are $7.3 million. On April 25, 2022, we signed a lease agreement for call center office space in Alpharetta, Georgia. On May 12, 2022, we executed our option to lease additional space for the Alpharetta call center. The call center lease commenced on June 3, 2022. The lease has a term of 47 months and total fixed lease payments over the term of the lease are $5.9 million. We consider a lease to have commenced on the date when we are granted access to the leased asset. Several of these leases include escalation clauses for adjusting rentals. As of June 30, 2024, we do not have any active finance leases.</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Our real estate leases have remaining lease terms as of June 30, 2024 ranging from 22 months to 99 months, with three of our leases containing an option to extend the term for a period of 5 years exercisable by us, which we are not reasonably certain of exercising at commencement. None of our leases contain an option to terminate the lease without cause at the option of either party during the lease term.</w:t>
      </w:r>
    </w:p>
    <w:p>
      <w:pPr>
        <w:spacing w:after="0" w:line="1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Certain of our real estate leasing agreements include terms requiring us to reimburse the lessor for its share of real estate taxes, insurance, operating costs and utilities which we account for as variable lease costs when incurred since we have elected to not separate lease and non-lease components, and hence are not included in the measurement of lease liability. There are no restrictions or covenants imposed by any of the leases, and none of our leases contain material residual value guarantees.</w:t>
      </w:r>
    </w:p>
    <w:p>
      <w:pPr>
        <w:spacing w:after="0" w:line="17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discount rates for all of our leases are based on our estimated incremental borrowing rate since the rates implicit in the leases were not determinable. Our incremental borrowing rate is based on management’s estimate of the rate of interest we would have to pay to borrow on a fully collateralized basis over a similar term an amount equal to the lease payments in a similar economic environment.</w:t>
      </w:r>
    </w:p>
    <w:p>
      <w:pPr>
        <w:spacing w:after="0" w:line="18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have elected the practical expedient under which lease components would not be separated from the non-lease components for all our classes of underlying assets. Accordingly, each lease component and the non-lease components related to the lease component are accounted for as a single lease component. As of June 30, 2024, the weighted average remaining lease term for our operating leases was approximately 80 months, and the weighted average discount rate for our operating leases was 5.3%. As of December 31, 2023, the weighted average remaining lease term for our operating leases was approximately 84 months, and the weighted average discount rate for our operating leases was 5.3%. We were party to short-term leases during the three and six months ended June 30, 2024, which resulted in less than $0.1 million and less than $0.1 million of rent expense, respectively. We were party to short-term leases during the three and six months ended June 30, 2023, which resulted in less than $0.1 million and less than $0.1 million of rent expense, respectively.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18. Safeguarding Obligation For Crypto</w:t>
      </w:r>
    </w:p>
    <w:p>
      <w:pPr>
        <w:spacing w:after="0" w:line="21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We provide custody services for Bakkt Crypto's customers and for Bakkt Trust's standalone custody customers. Bakkt Trust may also provide sub-custodian services for Bakkt Crypto customers. We do not own crypto held in a custodial capacity on behalf of our customers. We maintain the internal recordkeeping of those assets and are obligated to safeguard the assets and protect them from loss or theft. We hold the controlling majority of cryptographic key information on behalf of our Bakkt Trust custodial customers. A significant portion of the crypto we hold in a custodial capacity are</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custodied by institutional grade sub-custodians. Sub-custodians used by Bakkt Crypto hold our customer cryptographic key information and are not permitted to move assets without our specific authorization.</w:t>
      </w:r>
    </w:p>
    <w:p>
      <w:pPr>
        <w:spacing w:after="0" w:line="14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As of June 30, 2024, we have a safeguarding obligation for crypto of $974.5 million. The safeguarding liability, and corresponding safeguarding asset for crypto on the balance sheet, are measured at the fair value of the crypto held for our customers. We are not aware of any actual or possible safeguarding loss events as of June 30, 2024. Therefore, the safeguarding obligation for crypto and the related safeguarding asset for crypto are recorded at the same amount.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responsible for holding the following crypto on behalf of our customers as of June 30, 2024 and December 31, 2023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8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23"/>
        </w:trPr>
        <w:tc>
          <w:tcPr>
            <w:tcW w:w="7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389,991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262,231</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Ether</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233,233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196,016</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Shiba Inu</w:t>
            </w: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143,237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Dogecoin</w:t>
            </w:r>
          </w:p>
        </w:tc>
        <w:tc>
          <w:tcPr>
            <w:tcW w:w="3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78,524</w:t>
            </w: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30,221</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21,548</w:t>
            </w: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Safeguarding obligation for crypto</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974,486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70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spacing w:after="0"/>
              <w:rPr>
                <w:sz w:val="20"/>
                <w:szCs w:val="20"/>
                <w:color w:val="auto"/>
              </w:rPr>
            </w:pPr>
          </w:p>
        </w:tc>
      </w:tr>
      <w:tr>
        <w:trPr>
          <w:trHeight w:val="223"/>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Safeguarding asset for crypto</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974,486</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701,556</w:t>
            </w:r>
          </w:p>
        </w:tc>
      </w:tr>
      <w:tr>
        <w:trPr>
          <w:trHeight w:val="20"/>
        </w:trPr>
        <w:tc>
          <w:tcPr>
            <w:tcW w:w="7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231F20"/>
        </w:rPr>
        <w:t>Investment in Debt Securities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We have investments in certain debt securities, which we record at fair value and present as "Available-for-sale securities" in the consolidated balance sheets.</w:t>
      </w:r>
    </w:p>
    <w:p>
      <w:pPr>
        <w:spacing w:after="0" w:line="17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Unrealized gains and temporary losses, net of related taxes, are included in accumulated other comprehensive income (loss) ("AOCI"). Upon realization, those amounts are reclassified from AOCI to earnings. The amortization of premiums and discounts on the investments are included in our results of operations. Realized gains and losses are calculated based on the specific identification method. We classify our investments as current or noncurrent based on the nature of the investments and their availability for use in current operations.</w:t>
      </w:r>
    </w:p>
    <w:p>
      <w:pPr>
        <w:spacing w:after="0" w:line="17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cost basis and fair value of available-for-sale debt securities with unrealized gains and losses included in “Accumulated other comprehensive loss” in the consolidated balance sheets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Available-for-sale securities</w:t>
            </w:r>
          </w:p>
        </w:tc>
        <w:tc>
          <w:tcPr>
            <w:tcW w:w="260" w:type="dxa"/>
            <w:vAlign w:val="bottom"/>
          </w:tcPr>
          <w:p>
            <w:pPr>
              <w:spacing w:after="0"/>
              <w:rPr>
                <w:sz w:val="14"/>
                <w:szCs w:val="14"/>
                <w:color w:val="auto"/>
              </w:rPr>
            </w:pPr>
          </w:p>
        </w:tc>
        <w:tc>
          <w:tcPr>
            <w:tcW w:w="92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Cost</w:t>
            </w:r>
          </w:p>
        </w:tc>
        <w:tc>
          <w:tcPr>
            <w:tcW w:w="22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320" w:type="dxa"/>
            <w:vAlign w:val="bottom"/>
          </w:tcPr>
          <w:p>
            <w:pPr>
              <w:spacing w:after="0"/>
              <w:rPr>
                <w:sz w:val="14"/>
                <w:szCs w:val="14"/>
                <w:color w:val="auto"/>
              </w:rPr>
            </w:pPr>
          </w:p>
        </w:tc>
        <w:tc>
          <w:tcPr>
            <w:tcW w:w="92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ind w:left="140"/>
              <w:spacing w:after="0" w:line="169" w:lineRule="exact"/>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14"/>
                <w:szCs w:val="14"/>
                <w:color w:val="auto"/>
              </w:rPr>
            </w:pPr>
          </w:p>
        </w:tc>
        <w:tc>
          <w:tcPr>
            <w:tcW w:w="1280" w:type="dxa"/>
            <w:vAlign w:val="bottom"/>
          </w:tcPr>
          <w:p>
            <w:pPr>
              <w:jc w:val="center"/>
              <w:ind w:right="1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60" w:type="dxa"/>
            <w:vAlign w:val="bottom"/>
          </w:tcPr>
          <w:p>
            <w:pPr>
              <w:spacing w:after="0"/>
              <w:rPr>
                <w:sz w:val="14"/>
                <w:szCs w:val="14"/>
                <w:color w:val="auto"/>
              </w:rPr>
            </w:pPr>
          </w:p>
        </w:tc>
        <w:tc>
          <w:tcPr>
            <w:tcW w:w="940" w:type="dxa"/>
            <w:vAlign w:val="bottom"/>
          </w:tcPr>
          <w:p>
            <w:pPr>
              <w:jc w:val="right"/>
              <w:ind w:right="350"/>
              <w:spacing w:after="0" w:line="169" w:lineRule="exact"/>
              <w:rPr>
                <w:sz w:val="20"/>
                <w:szCs w:val="20"/>
                <w:color w:val="auto"/>
              </w:rPr>
            </w:pPr>
            <w:r>
              <w:rPr>
                <w:rFonts w:ascii="Times New Roman" w:cs="Times New Roman" w:eastAsia="Times New Roman" w:hAnsi="Times New Roman"/>
                <w:sz w:val="18"/>
                <w:szCs w:val="18"/>
                <w:b w:val="1"/>
                <w:bCs w:val="1"/>
                <w:color w:val="auto"/>
              </w:rPr>
              <w:t>Fair</w:t>
            </w:r>
          </w:p>
        </w:tc>
        <w:tc>
          <w:tcPr>
            <w:tcW w:w="0" w:type="dxa"/>
            <w:vAlign w:val="bottom"/>
          </w:tcPr>
          <w:p>
            <w:pPr>
              <w:spacing w:after="0"/>
              <w:rPr>
                <w:sz w:val="1"/>
                <w:szCs w:val="1"/>
                <w:color w:val="auto"/>
              </w:rPr>
            </w:pPr>
          </w:p>
        </w:tc>
      </w:tr>
      <w:tr>
        <w:trPr>
          <w:trHeight w:val="243"/>
        </w:trPr>
        <w:tc>
          <w:tcPr>
            <w:tcW w:w="32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20" w:type="dxa"/>
            <w:vAlign w:val="bottom"/>
          </w:tcPr>
          <w:p>
            <w:pPr>
              <w:spacing w:after="0"/>
              <w:rPr>
                <w:sz w:val="21"/>
                <w:szCs w:val="21"/>
                <w:color w:val="auto"/>
              </w:rPr>
            </w:pPr>
          </w:p>
        </w:tc>
        <w:tc>
          <w:tcPr>
            <w:tcW w:w="1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Gain, net</w:t>
            </w:r>
          </w:p>
        </w:tc>
        <w:tc>
          <w:tcPr>
            <w:tcW w:w="320" w:type="dxa"/>
            <w:vAlign w:val="bottom"/>
          </w:tcPr>
          <w:p>
            <w:pPr>
              <w:spacing w:after="0"/>
              <w:rPr>
                <w:sz w:val="21"/>
                <w:szCs w:val="21"/>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240" w:type="dxa"/>
            <w:vAlign w:val="bottom"/>
          </w:tcPr>
          <w:p>
            <w:pPr>
              <w:spacing w:after="0"/>
              <w:rPr>
                <w:sz w:val="21"/>
                <w:szCs w:val="21"/>
                <w:color w:val="auto"/>
              </w:rPr>
            </w:pPr>
          </w:p>
        </w:tc>
        <w:tc>
          <w:tcPr>
            <w:tcW w:w="9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Basis</w:t>
            </w:r>
          </w:p>
        </w:tc>
        <w:tc>
          <w:tcPr>
            <w:tcW w:w="280" w:type="dxa"/>
            <w:vAlign w:val="bottom"/>
          </w:tcPr>
          <w:p>
            <w:pPr>
              <w:spacing w:after="0"/>
              <w:rPr>
                <w:sz w:val="21"/>
                <w:szCs w:val="21"/>
                <w:color w:val="auto"/>
              </w:rPr>
            </w:pPr>
          </w:p>
        </w:tc>
        <w:tc>
          <w:tcPr>
            <w:tcW w:w="12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Gain, net</w:t>
            </w:r>
          </w:p>
        </w:tc>
        <w:tc>
          <w:tcPr>
            <w:tcW w:w="260" w:type="dxa"/>
            <w:vAlign w:val="bottom"/>
          </w:tcPr>
          <w:p>
            <w:pPr>
              <w:spacing w:after="0"/>
              <w:rPr>
                <w:sz w:val="21"/>
                <w:szCs w:val="21"/>
                <w:color w:val="auto"/>
              </w:rPr>
            </w:pPr>
          </w:p>
        </w:tc>
        <w:tc>
          <w:tcPr>
            <w:tcW w:w="9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3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Government debt</w:t>
            </w: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treasury bonds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0" w:type="dxa"/>
            <w:vAlign w:val="bottom"/>
          </w:tcPr>
          <w:p>
            <w:pPr>
              <w:spacing w:after="0"/>
              <w:rPr>
                <w:sz w:val="1"/>
                <w:szCs w:val="1"/>
                <w:color w:val="auto"/>
              </w:rPr>
            </w:pPr>
          </w:p>
        </w:tc>
      </w:tr>
      <w:tr>
        <w:trPr>
          <w:trHeight w:val="248"/>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available-for-sale securities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17,398</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There were no available-for-sale debt securities in an unrealized loss position as of June 30, 2024 or December 31, 2023. We may sell certain investments depending on liquidity needs of the business; however, it is not likely that we will be required to sell the investments before recovery of their respective amortized cost basis. In addition, there were no credit losses on these investments as of June 30, 2024.</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cost basis and fair value of available-for-sale debt securities at June 30, 2024, by contractual maturity, are shown below (in thousands). Expected maturities may differ from contractual maturities because borrowers may have the right to prepay and creditors may have the right to call obligations.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June 30, 2024</w:t>
            </w:r>
          </w:p>
        </w:tc>
      </w:tr>
      <w:tr>
        <w:trPr>
          <w:trHeight w:val="223"/>
        </w:trPr>
        <w:tc>
          <w:tcPr>
            <w:tcW w:w="88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r>
      <w:tr>
        <w:trPr>
          <w:trHeight w:val="22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in one year or less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r>
      <w:tr>
        <w:trPr>
          <w:trHeight w:val="23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after one year through five years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 securities - available-for-sale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12,998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 </w:t>
      </w:r>
      <w:r>
        <w:rPr>
          <w:rFonts w:ascii="Times New Roman" w:cs="Times New Roman" w:eastAsia="Times New Roman" w:hAnsi="Times New Roman"/>
          <w:sz w:val="18"/>
          <w:szCs w:val="18"/>
          <w:b w:val="1"/>
          <w:bCs w:val="1"/>
          <w:color w:val="231F20"/>
        </w:rPr>
        <w:t>Subsequent Events</w:t>
      </w:r>
    </w:p>
    <w:p>
      <w:pPr>
        <w:spacing w:after="0" w:line="256"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On August 12, 2024, Bakkt and Opco entered into the ICE Credit Facility, with certain subsidiaries of Bakkt party thereto from time to time, as guarantors, whereby the Lender agreed to provide for a $40.0 million secured revolving line of credit for working capital and general corporate purposes. Any borrowings under the facility made prior to December 31, 2024 require the consent of the Lender in its sole discretion.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 after September 30, 2025, Opco can borrow up to an aggregate principal amount (excluding any capitalized interest) of $40.0 million. As of August 12, 2024, no loans were outstanding under the ICE Credit Facility.</w:t>
      </w:r>
    </w:p>
    <w:p>
      <w:pPr>
        <w:spacing w:after="0" w:line="179"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Loans under the ICE Credit Facility do not amortize and mature on December 31, 2026. Borrowings under the ICE Credit Facility accrue interest at a rate equal to, at Opco’s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Under certain circumstances, a default interest rate will apply on all obligations during the existence of an event of default under the ICE Credit Facility at a per annum rate equal to 2% above the otherwise applicable interest rate.</w:t>
      </w:r>
    </w:p>
    <w:p>
      <w:pPr>
        <w:spacing w:after="0" w:line="1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19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ICE Credit Facility contains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contains various customary events of default that include,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ICE Credit Facility.</w:t>
      </w:r>
    </w:p>
    <w:p>
      <w:pPr>
        <w:spacing w:after="0" w:line="19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The obligations under the ICE Credit Facility are required to be guaranteed by Bakkt and certain material domestic subsidiaries of the Company and secured by substantially all of the personal property of the Company and such subsidiary guarantors.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foregoing description of the ICE Credit Facility and the transactions contemplated thereby is not complete and is subject to, and qualified in its entirety by reference to, the revolving credit agreement governing the ICE Credit Facility, a copy of which is filed as Exhibit 10.2 to this Report, which is incorporated herein by reference.</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Management evaluated subsequent events through the date of issuance of these consolidated financial statements and determined that no other events or transactions, other than those disclosed above, met the definition of a subsequent event for purposes of recognition or disclosure in the accompanying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i w:val="1"/>
          <w:iCs w:val="1"/>
          <w:color w:val="231F20"/>
        </w:rPr>
        <w:t xml:space="preserve">The following discussion and analysis of financial condition and results of operations should be read together with the accompanying consolidated financial statements and related notes thereto included elsewhere in this Quarterly Report on Form 10-Q for the quarter ended </w:t>
      </w:r>
      <w:r>
        <w:rPr>
          <w:rFonts w:ascii="Times New Roman" w:cs="Times New Roman" w:eastAsia="Times New Roman" w:hAnsi="Times New Roman"/>
          <w:sz w:val="18"/>
          <w:szCs w:val="18"/>
          <w:i w:val="1"/>
          <w:iCs w:val="1"/>
          <w:color w:val="000000"/>
        </w:rPr>
        <w:t>June 30, 2024</w:t>
      </w:r>
      <w:r>
        <w:rPr>
          <w:rFonts w:ascii="Times New Roman" w:cs="Times New Roman" w:eastAsia="Times New Roman" w:hAnsi="Times New Roman"/>
          <w:sz w:val="18"/>
          <w:szCs w:val="18"/>
          <w:i w:val="1"/>
          <w:iCs w:val="1"/>
          <w:color w:val="231F20"/>
        </w:rPr>
        <w:t xml:space="preserve"> (this "Report") and in our Annual Report on Form 10-K for the fiscal year ended </w:t>
      </w:r>
      <w:r>
        <w:rPr>
          <w:rFonts w:ascii="Times New Roman" w:cs="Times New Roman" w:eastAsia="Times New Roman" w:hAnsi="Times New Roman"/>
          <w:sz w:val="18"/>
          <w:szCs w:val="18"/>
          <w:i w:val="1"/>
          <w:iCs w:val="1"/>
          <w:color w:val="000000"/>
        </w:rPr>
        <w:t>December 31, 2023</w:t>
      </w:r>
      <w:r>
        <w:rPr>
          <w:rFonts w:ascii="Times New Roman" w:cs="Times New Roman" w:eastAsia="Times New Roman" w:hAnsi="Times New Roman"/>
          <w:sz w:val="18"/>
          <w:szCs w:val="18"/>
          <w:i w:val="1"/>
          <w:iCs w:val="1"/>
          <w:color w:val="231F20"/>
        </w:rPr>
        <w:t xml:space="preserve">, which is incorporated herein by reference. References in this section to “we,” “us,” “our,” “Bakkt” or the “Company” and like terms refer to Bakkt Holdings, Inc. and its subsidiaries for the </w:t>
      </w:r>
      <w:r>
        <w:rPr>
          <w:rFonts w:ascii="Times New Roman" w:cs="Times New Roman" w:eastAsia="Times New Roman" w:hAnsi="Times New Roman"/>
          <w:sz w:val="18"/>
          <w:szCs w:val="18"/>
          <w:i w:val="1"/>
          <w:iCs w:val="1"/>
          <w:color w:val="000000"/>
        </w:rPr>
        <w:t>three and six months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 xml:space="preserve">ending June 30, 2024, </w:t>
      </w:r>
      <w:r>
        <w:rPr>
          <w:rFonts w:ascii="Times New Roman" w:cs="Times New Roman" w:eastAsia="Times New Roman" w:hAnsi="Times New Roman"/>
          <w:sz w:val="18"/>
          <w:szCs w:val="18"/>
          <w:i w:val="1"/>
          <w:iCs w:val="1"/>
          <w:color w:val="231F20"/>
        </w:rPr>
        <w:t>unless the context otherwise requires. Some of the information contained in this discussion and analysis or set forth elsewhere in this</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i w:val="1"/>
          <w:iCs w:val="1"/>
          <w:color w:val="231F20"/>
        </w:rPr>
        <w:t>Report, including information with respect to our plans and strategy for our business, includes forward-looking statements. Such forward-looking statements are based on the beliefs of our management, as well as assumptions made by, and information currently available to, our management. Actual results could differ materially from those contemplated by the forward-looking statements. Factors that could cause or contribute to such differences include, but are not limited to, those factors discussed above in “Cautionary Statement Regarding Forward-Looking Statements” and “Item 1A. Risk Factors.”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0C0C0C"/>
        </w:rPr>
        <w:t>In this section and elsewhere in this Report, we use the following terms, which are defined as follows:</w:t>
      </w:r>
    </w:p>
    <w:p>
      <w:pPr>
        <w:spacing w:after="0" w:line="208" w:lineRule="exact"/>
        <w:rPr>
          <w:sz w:val="20"/>
          <w:szCs w:val="20"/>
          <w:color w:val="auto"/>
        </w:rPr>
      </w:pPr>
    </w:p>
    <w:p>
      <w:pPr>
        <w:jc w:val="both"/>
        <w:ind w:left="660" w:hanging="328"/>
        <w:spacing w:after="0" w:line="29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"Client" </w:t>
      </w:r>
      <w:r>
        <w:rPr>
          <w:rFonts w:ascii="Times New Roman" w:cs="Times New Roman" w:eastAsia="Times New Roman" w:hAnsi="Times New Roman"/>
          <w:sz w:val="18"/>
          <w:szCs w:val="18"/>
          <w:color w:val="auto"/>
        </w:rPr>
        <w:t>means businesses with whom we contract to provide services to customers on our platform, and includes financial institutions, hedge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funds, merchants, retailers, third party partners and other businesses (except in the accompanying </w:t>
      </w:r>
      <w:r>
        <w:rPr>
          <w:rFonts w:ascii="Times New Roman" w:cs="Times New Roman" w:eastAsia="Times New Roman" w:hAnsi="Times New Roman"/>
          <w:sz w:val="18"/>
          <w:szCs w:val="18"/>
          <w:color w:val="231F20"/>
        </w:rPr>
        <w:t>notes to the consolidated financial statements,</w:t>
      </w:r>
    </w:p>
    <w:p>
      <w:pPr>
        <w:spacing w:after="0" w:line="1"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where we refer to revenue earned from customers, instead of clients. The term customers is </w:t>
      </w:r>
      <w:r>
        <w:rPr>
          <w:rFonts w:ascii="Times New Roman" w:cs="Times New Roman" w:eastAsia="Times New Roman" w:hAnsi="Times New Roman"/>
          <w:sz w:val="18"/>
          <w:szCs w:val="18"/>
          <w:color w:val="000000"/>
        </w:rPr>
        <w:t>in accordance with the Financial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Standards Board (“FASB”) Accounting Standards Codification (“ASC”) Topic </w:t>
      </w:r>
      <w:r>
        <w:rPr>
          <w:rFonts w:ascii="Times New Roman" w:cs="Times New Roman" w:eastAsia="Times New Roman" w:hAnsi="Times New Roman"/>
          <w:sz w:val="18"/>
          <w:szCs w:val="18"/>
          <w:color w:val="231F20"/>
        </w:rPr>
        <w:t>606,</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231F20"/>
        </w:rPr>
        <w:t>Revenue from Contracts with Customers</w:t>
      </w:r>
      <w:r>
        <w:rPr>
          <w:rFonts w:ascii="Times New Roman" w:cs="Times New Roman" w:eastAsia="Times New Roman" w:hAnsi="Times New Roman"/>
          <w:sz w:val="18"/>
          <w:szCs w:val="18"/>
          <w:color w:val="231F20"/>
        </w:rPr>
        <w:t>.)</w:t>
      </w:r>
    </w:p>
    <w:p>
      <w:pPr>
        <w:spacing w:after="0" w:line="63" w:lineRule="exact"/>
        <w:rPr>
          <w:rFonts w:ascii="Times New Roman" w:cs="Times New Roman" w:eastAsia="Times New Roman" w:hAnsi="Times New Roman"/>
          <w:sz w:val="18"/>
          <w:szCs w:val="18"/>
          <w:color w:val="auto"/>
        </w:rPr>
      </w:pPr>
    </w:p>
    <w:p>
      <w:pPr>
        <w:jc w:val="both"/>
        <w:ind w:left="660" w:hanging="328"/>
        <w:spacing w:after="0" w:line="307"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"Crypto" or "Crypto asset" </w:t>
      </w:r>
      <w:r>
        <w:rPr>
          <w:rFonts w:ascii="Times New Roman" w:cs="Times New Roman" w:eastAsia="Times New Roman" w:hAnsi="Times New Roman"/>
          <w:sz w:val="18"/>
          <w:szCs w:val="18"/>
          <w:color w:val="auto"/>
        </w:rPr>
        <w:t>means an asset that is built using blockchain technology, including virtual currencies (as used in the State of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York), coins, cryptocurrencies, stablecoins, and other tokens. Our platform enables transactions in certain supported crypto assets. For purposes of this Form 10-Q, we use crypto assets, virtual currency, coins, and tokens interchangeably.</w:t>
      </w:r>
    </w:p>
    <w:p>
      <w:pPr>
        <w:spacing w:after="0" w:line="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"Customer" </w:t>
      </w:r>
      <w:r>
        <w:rPr>
          <w:rFonts w:ascii="Times New Roman" w:cs="Times New Roman" w:eastAsia="Times New Roman" w:hAnsi="Times New Roman"/>
          <w:sz w:val="18"/>
          <w:szCs w:val="18"/>
          <w:color w:val="auto"/>
        </w:rPr>
        <w:t>means an individual user of our platform. Customers include customers of our loyalty clients who use our platform to transact in</w:t>
      </w:r>
    </w:p>
    <w:p>
      <w:pPr>
        <w:spacing w:after="0" w:line="53" w:lineRule="exact"/>
        <w:rPr>
          <w:rFonts w:ascii="Times New Roman" w:cs="Times New Roman" w:eastAsia="Times New Roman" w:hAnsi="Times New Roman"/>
          <w:sz w:val="18"/>
          <w:szCs w:val="18"/>
          <w:color w:val="auto"/>
        </w:rPr>
      </w:pPr>
    </w:p>
    <w:p>
      <w:pPr>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loyalty points, as well as customers of our clients who transact in crypto through, and have accounts on, our platform (except as defined for ASC 606 purposes above).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"Loyalty points" </w:t>
      </w:r>
      <w:r>
        <w:rPr>
          <w:rFonts w:ascii="Times New Roman" w:cs="Times New Roman" w:eastAsia="Times New Roman" w:hAnsi="Times New Roman"/>
          <w:sz w:val="18"/>
          <w:szCs w:val="18"/>
          <w:color w:val="auto"/>
        </w:rPr>
        <w:t>means loyalty and/or reward points that are issued by clients to their customers.</w:t>
      </w:r>
    </w:p>
    <w:p>
      <w:pPr>
        <w:spacing w:after="0" w:line="256"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151515"/>
        </w:rPr>
        <w:t xml:space="preserve">Founded in 2018, Bakkt builds technology that connects the digital economy by offering one ecosystem for crypto and loyalty points. We enable our clients to deliver new opportunities to their customers through </w:t>
      </w:r>
      <w:r>
        <w:rPr>
          <w:rFonts w:ascii="Times New Roman" w:cs="Times New Roman" w:eastAsia="Times New Roman" w:hAnsi="Times New Roman"/>
          <w:sz w:val="18"/>
          <w:szCs w:val="18"/>
          <w:color w:val="0C0C0C"/>
        </w:rPr>
        <w:t>software as a service (“SaaS”)</w:t>
      </w:r>
      <w:r>
        <w:rPr>
          <w:rFonts w:ascii="Times New Roman" w:cs="Times New Roman" w:eastAsia="Times New Roman" w:hAnsi="Times New Roman"/>
          <w:sz w:val="18"/>
          <w:szCs w:val="18"/>
          <w:color w:val="151515"/>
        </w:rPr>
        <w:t xml:space="preserve"> and API solutions that unlock crypto and drive loyalty, powering engagement and performance. The global market for crypto, while nascent, is rapidly evolving and expanding. We believe we are well-positioned to provide innovative, multi-faceted product solutions and grow with this evolving market. Our platform is uniquely positioned to power commerce by enabling consumers, brands, and financial institutions to better manage, transact with and monetize crypto in exciting new ways.</w:t>
      </w:r>
    </w:p>
    <w:p>
      <w:pPr>
        <w:spacing w:after="0" w:line="174"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151515"/>
        </w:rPr>
        <w:t>Our platform is built to operate across various crypto assets and offers clients the flexibility to choose some or all of our capabilities, and the manner in which these capabilities are enabled for consumers, based on their needs and objectives. Some clients may choose to enable our capabilities directly in their experience, while others may want a “ready-to-go” storefront and leverage capabilities such as our web-based technology. Our institutional-grade platform, born out of our former parent company, Intercontinental Exchange, Inc. (“ICE”), supports "know your customer" ("KYC"), anti-money laundering ("AML"), and other anti-fraud measures to combat financial crime</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Revolving Credit Facility</w:t>
      </w:r>
    </w:p>
    <w:p>
      <w:pPr>
        <w:spacing w:after="0" w:line="25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August 12, 2024, Bakkt and Opco executed a revolving credit facility with Intercontinental Exchange Holdings, Inc. (the “Lender”) and certain subsidiaries of Bakkt party thereto from time to time, as guarantors, whereby the Lender agreed to provide for a $40.0 million secured revolving line of credit for working capital and general corporate purposes. The ICE Credit Facility is available in defined commitment amounts at specified dates in the future. Refer to Liquidity and Capital Resources elsewhere in this section of this Report.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68"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On April 29, 2024, following approval by our stockholders and Board of Directors, we effected a reverse stock split (the “Reverse Stock Split”) of our Class A Common Stock, par value $0.0001 per share (“Class A Common Stock”), and Class V Common Stock, par value $0.0001 per share (“Class V Common Stock” and collectively with the Class A Common Stock, the “Common Stock”), at a ratio of 1-for-25 (the “Reverse Stock Split Ratio”), effective as of 12:01 a.m. eastern time on April 29, 2024 (the “Effective Time”). Our Class A Common Stock began trading on a reverse-split adjusted basis on the New York Stock Exchange (the “NYSE”) as of the open of trading on April 29, 2024. After the Effective Time, the Class A Common Stock will continue to be listed on the NYSE under the symbol “BKKT”. As such, the Reverse Stock Split has been retroactively applied to all share and per share information throughout this Quarterly Report on Form 10-Q (unless otherwise noted).</w:t>
      </w:r>
    </w:p>
    <w:p>
      <w:pPr>
        <w:spacing w:after="0" w:line="1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Reverse Stock Split increased the price per share of our Class A Common Stock above the $1.00 per share minimum bid price requirement of Section 802.01C of the NYSE Listed Company Manual (the “Listing Rule”), as discussed below. We, however, cannot assure that the price per share following the Reverse Stock Split will be maintained for any period of time, or that the price will remain above the pre-split trading price or $1.00 per share.</w:t>
      </w:r>
    </w:p>
    <w:p>
      <w:pPr>
        <w:spacing w:after="0" w:line="187"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connection with the Reverse Stock Split, we effected a corresponding and proportional adjustment to our authorized shares of Common Stock, such that the 1,000,000,000 authorized shares of Common Stock, consisting of 750,000,000 shares of Class A Common Stock and 250,000,000 shares of Class V Common Stock were reduced proportionately to 40,000,000 authorized shares of Common Stock, consisting of 30,000,000 shares of Class A Common Stock and 10,000,000 shares of Class V Common Stock. The par value per share of Common Stock, the par value per share of preferred stock and the number of authorized shares of preferred stock did not change.</w:t>
      </w:r>
    </w:p>
    <w:p>
      <w:pPr>
        <w:spacing w:after="0" w:line="177"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We did not issue fractional shares in connection with the Reverse Stock Split. Stockholders who would have otherwise held fractional shares because the number of shares of Class A Common Stock they held before the Reverse Stock Split was not evenly divisible by the Reverse Stock Split Ratio received cash (without interest, and subject to any required tax withholding applicable to a holder) in lieu of such fractional shares. To maintain parity with the Class A Common Stock, holders of paired interests (each of which is a combination of one share of Class V Common Stock and one common unit of Opco and is exchangeable into a share of Class A Common Stock on a one-for-one basis) were also correspondingly adjusted for the Reverse Stock Split and paid out in cash, applying the same per-share price, for any resulting fractional interests. The aggregate cash in respect of fractional interests was not material. Immediately after the Reverse Stock Split, each stockholder’s percentage ownership interest and proportional voting power remained unchanged, except for minor changes that resulted from the treatment of fractional shares.</w:t>
      </w:r>
    </w:p>
    <w:p>
      <w:pPr>
        <w:spacing w:after="0" w:line="179"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All of our outstanding warrants to purchase Class A Common Stock were proportionately adjusted as a result of the Reverse Stock Split in accordance with the terms of the warrants. Proportionate adjustments were also made to our employees and directors' outstanding equity awards, as well as to the number of shares issuable under our 2021 Omnibus Incentive Plan, as amended (the “2021 Omnibus Incentive Plan”).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2024 Concurrent Registered Direct Offerings</w:t>
      </w:r>
    </w:p>
    <w:p>
      <w:pPr>
        <w:spacing w:after="0" w:line="268"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February 29, 2024, we entered into a securities purchase agreement (the “Third-Party Purchase Agreement”) with certain institutional investors (the “Third-Party Purchasers”). The consummation of the transactions contemplated by the Third-Party Purchase Agreement (the “Third-Party Closing”) occurred on March 4, 2024. At the Third-Party Closing, pursuant to the Third-Party Purchase Agreement, we issued and sold to the Third-Party Purchasers an aggregate of 1,396,701 shares of our Class A Common Stock, Class 1 Warrants (“Class 1 Warrants”) to purchase an aggregate of 922,722 shares of Class A Common Stock, Class 2 Warrants (“Class 2 Warrants”) to purchase an aggregate of 922,722 shares of Class A Common Stock and Pre-Funded Warrants (“Pre-Funded Warrants”) to purchase an aggregate of 448,742 shares of Class A Common Stock. As of the date of this report, holders have exercised all of the Pre-Funded Warrants. The offering of such securities was conducted in a registered direct offering (the “Third-Party Offering”). The purchase price of each share of Class A Common Stock and accompanying Class 1 Warrant or Class 2 Warrant (each, a “Warrant”) was $21.675 and the purchase price of each Pre-Funded Warrant and accompanying Warrant was $21.6725.</w:t>
      </w:r>
    </w:p>
    <w:p>
      <w:pPr>
        <w:spacing w:after="0" w:line="18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In the Concurrent Offerings, we entered into ICE Purchase Agreement,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173"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Third-Party Closing (the “Initial ICE Closing”).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89" w:lineRule="exact"/>
        <w:rPr>
          <w:sz w:val="20"/>
          <w:szCs w:val="20"/>
          <w:color w:val="auto"/>
        </w:rPr>
      </w:pPr>
    </w:p>
    <w:p>
      <w:pPr>
        <w:jc w:val="both"/>
        <w:ind w:right="20" w:firstLine="648"/>
        <w:spacing w:after="0" w:line="315"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231F20"/>
        </w:rPr>
        <w:t>Liquidity and Capital Resources</w:t>
      </w:r>
      <w:r>
        <w:rPr>
          <w:rFonts w:ascii="Times New Roman" w:cs="Times New Roman" w:eastAsia="Times New Roman" w:hAnsi="Times New Roman"/>
          <w:sz w:val="18"/>
          <w:szCs w:val="18"/>
          <w:color w:val="231F20"/>
        </w:rPr>
        <w:t>” below for management’s assertions on the impact of the Concurrent Offerings on our going concern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considerations.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Crypto Market Developments</w:t>
      </w:r>
    </w:p>
    <w:p>
      <w:pPr>
        <w:spacing w:after="0" w:line="24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After a year of significant volatility in crypto asset prices, a loss of confidence in many participants in the crypto asset ecosystem, regulatory actions and adverse publicity around specific companies in 2023, the crypto markets in 2024 continue to be impacted by the broader macroeconomic conditions, including the strength of the overall macroeconomic environment, high interest rates, spikes in inflation rates, general market volatility, and geopolitical concerns. We expect the macroeconomic environment and the state of the crypto markets to remain dynamic in the near-term.</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crypto assets and crypto market participants have recently faced increased scrutiny by regulators. For example, in 2023, the SEC brought charges against a number of crypto asset exchanges, including Bittrex, Coinbase, Binance, Kraken, and other crypto asset service providers, identifying a number of crypto assets as securities and alleging violations of, and non-compliance with, U.S. federal securities laws. We continue to monitor regulatory developments in this area and assess our business model and the assets we support in light of such developments.</w:t>
      </w:r>
    </w:p>
    <w:p>
      <w:pPr>
        <w:spacing w:after="0" w:line="19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January 2024, the SEC approved a number of applications for spot-traded bitcoin exchange-traded funds, or ETFs. Since then, the crypto market has seen a significant increase in interest from, and participation by, institutional investors. In May 2024, the SEC approved a number of applications for spot-traded ETH ETFs, furthering the momentum of institutional investor interest. We believe this increase in institutional interest and adoption intersects with our strengths, as we were originally conceived as an institutionally-focused crypto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Apex Crypto Acquisition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On April 1, 2023, we completed the acquisition of 100% of the ownership interests of Apex Crypto LLC (“Apex Crypto”) and subsequently changed the name of the legal entity to Bakkt Crypto Solutions, LLC (“Bakkt Crypto Solutions”). On March 20, 2024, Bakkt Marketplace, LLC ("Bakkt Marketplace") merged with Bakkt Crypto Solutions. The newly merged entity operates under the name Bakkt Crypto Solutions, LLC ("Bakkt Crypto"). We are leveraging Bakkt Crypto’s proprietary trading platform and existing relationships with liquidity providers to provide a wider range of assets and competitive pricing to our customers. Our acquisition of Bakkt Crypto Solutions complements our B2B2C growth strategy by broadening our business partnerships to fintechs and neobanks. Specifically, Bakkt Crypto offers customers the ability to purchase, sell, store and, in approved jurisdictions, deposit and withdraw approved crypto assets, all from within the applications of its clients with whom customers already have a relationship. Using Bakkt Crypto's platform, customers can purchase approved crypto assets, store crypto assets in custodial wallets, liquidate their holdings, and transfer supported crypto assets between a custodial wallet maintained by Bakkt Crypto and external wallets in certain jurisdictions, if enabled by the client.</w:t>
      </w:r>
    </w:p>
    <w:p>
      <w:pPr>
        <w:spacing w:after="0" w:line="19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In addition, Bakkt Crypto is in the process of enhancing capabilities on its trading platform, including support for larger orders and recurring buys, and extending the platform to support institutional execution.</w:t>
      </w:r>
    </w:p>
    <w:p>
      <w:pPr>
        <w:spacing w:after="0" w:line="17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part of our ongoing review of potential services, we continually evaluate how we can most effectively improve our platform and service offerings in a manner that is compliant with applicable governance and regulatory considerations. In such review, we may determine to stop pursuing a potential service offering in light of, among other things, revenue expectations and compliance with applicable laws. For example, following discussion with our clients we have elected to suspend the development of our Bakkt Payouts product indefinitely. Furthermore, we considered developing the capability for registered customers to transfer crypto assets to and from other registered customers within our platform but have indefinitely postponed further development and rollout of such functionality. In addition, we evaluated opportunities to offer staking, as well as opportunities to offer non-fungible tokens, and have postponed further development and rollout for both such functionalities indefinitely.</w:t>
      </w:r>
    </w:p>
    <w:p>
      <w:pPr>
        <w:spacing w:after="0" w:line="19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At the time our acquisition of Bakkt Crypto Solutions closed, Bakkt Crypto Solutions had agreements with more than 30 fintech clients pursuant to which the clients made Bakkt Crypto Solutions’ crypto asset trading service available to their customer base. Our acquisition of Bakkt Crypto Solutions resulted in us obtaining access to such partners. The majority of these fintech clients are also part of Apex Fintech Solutions’ client network.</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 agreements with these fintech clients provide for licensing of their front-end trading platforms by Bakkt Crypto and cooperation between the parties in facilitating consumers’ transactions in crypto assets. The agreements are for a term of either one or two years and can be terminated by either party for breach or in case of a change of control. In most cases, the agreements also contain provisions giving Bakkt Crypto discretion in the choice of crypto assets offered to each client through its platform, and, in some cases, exclusivity covenants pursuant to which clients have agreed not to refer their customers to other crypto asset trading platforms.</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Following the closing of the acquisition of Bakkt Crypto Solutions and in light of recent regulatory developments, we reviewed all crypto assets then available on the Bakkt Crypto Solutions platform and determined it was appropriate to delist certain of such crypto assets. In effecting such delisting decisions, we attempted to mitigate impacts on our business and customers by affording customers a period in which to exit their positions in the impacted crypto assets as part of an orderly wind-down. The delisting process was completed on September 21, 2023 and we recognized transactional revenue associated with delisted crypto assets of approximately $27.6 million on that date</w:t>
      </w:r>
      <w:r>
        <w:rPr>
          <w:rFonts w:ascii="Times New Roman" w:cs="Times New Roman" w:eastAsia="Times New Roman" w:hAnsi="Times New Roman"/>
          <w:sz w:val="18"/>
          <w:szCs w:val="18"/>
          <w:color w:val="231F20"/>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NYSE Listing Notification</w:t>
      </w:r>
    </w:p>
    <w:p>
      <w:pPr>
        <w:spacing w:after="0" w:line="268"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On March 13, 2024, we were notified by NYSE that we were not in compliance with the Listing Rule because the average closing stock price of a share of our Class A Common Stock was less than $1.00 per share over a consecutive 30 trading-day period. Pursuant to the Listing Rule, we have six months following the NYSE notification to regain compliance with the Listing Rule, during which time our Class A Common Stock will continue to be listed on the NYSE.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Under the NYSE’s rules, if a Company determines it will cure its noncompliance with the Listing Rule by taking an action that will require stockholder approval, it must so inform the NYSE, and the noncompliance with the Listing Rule will be deemed cured if the price promptly exceeds $1.00 per share and the price remains above that level for at least the following 30 trading days. On June 3, 2024, we received notice that we had regained compliance with the Listing Rule.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Officer Transition</w:t>
      </w:r>
    </w:p>
    <w:p>
      <w:pPr>
        <w:spacing w:after="0" w:line="268"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On March 18, 2024, Gavin Michael resigned as President, Chief Executive Officer and as a director of the Company, as well as from all positions held with the Company’s subsidiaries, effective March 25, 2024. Mr. Michael has been engaged as an advisor to the Company for a period of one year.</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On March 18, 2024, the Company announced that the Company’s Board of Directors (the “Board”) appointed Andrew Main to serve as the Company’s President and Chief Executive Officer, effective as of March 26, 2024. In connection with his appointment as the Company’s President and Chief Executive Officer, Mr. Main resigned from his position as a member of the Compensation Committee of the Board, effective as of March 26, 2024. Mr. Main will continue to serve as a member of the Board.</w:t>
      </w:r>
    </w:p>
    <w:p>
      <w:pPr>
        <w:spacing w:after="0" w:line="19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On April 29, 2024, Charles Goodroe resigned from his position as Chief Accounting Officer of the Company, effective May 22, 2024. Effective as of Mr. Goodroe’s resignation, Karen Alexander, the Company’s Chief Financial Officer and principal financial officer, assumed the role of the Company’s principal accounting officer.</w:t>
      </w:r>
    </w:p>
    <w:p>
      <w:pPr>
        <w:spacing w:after="0" w:line="169"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On July 8, 2024, the Company appointed Joe Henderson as Vice President, Chief Accounting Officer and principal accounting officer of the Company, effective July 8,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Factors Affecting Our Performance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Growing Our Client Base</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Our ability to increase our revenue stream depends on our ability to grow clients on our platform. We collaborate with leading brands and have built an extensive network across numerous industries including financial institutions, merchants and travel and entertainment. To date, management has been focused on building through clients within a business-to-business-to-consumer (“B2B2C”) model. Our goal is to provide these clients opportunities to leverage our capabilities either through their existing environment or by leveraging our platform. Our acquisition of Bakkt Crypto Solutions complements our B2B2C growth strategy by broadening our business partnerships to fintechs and neo-banks.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Product Expansion and Innovation</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The crypto marketplace is rapidly evolving. We believe our ability to continue innovating our platform will increase the attractiveness of our platform to clients. Our ability to meet the capability demands of our clients will allow us to continue to grow revenue.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Competition</w:t>
      </w:r>
    </w:p>
    <w:p>
      <w:pPr>
        <w:spacing w:after="0" w:line="25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crypto marketplace is highly competitive with numerous participants competing for the same clients. We believe we are well positioned with our ability to provide capabilities around emerging crypto alongside loyalty points on a single, highly secure, institutional-grade technology platform.</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General Economic and Market Conditions</w:t>
      </w:r>
    </w:p>
    <w:p>
      <w:pPr>
        <w:spacing w:after="0" w:line="29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Our performance is impacted by the strength of the overall macroeconomic environment and crypto market conditions, which are beyond our control. Negative market conditions hinder client activity, including extended decision timelines around implementing crypto strategies. See </w:t>
      </w:r>
      <w:r>
        <w:rPr>
          <w:rFonts w:ascii="Times New Roman" w:cs="Times New Roman" w:eastAsia="Times New Roman" w:hAnsi="Times New Roman"/>
          <w:sz w:val="18"/>
          <w:szCs w:val="18"/>
          <w:i w:val="1"/>
          <w:iCs w:val="1"/>
          <w:color w:val="231F20"/>
        </w:rPr>
        <w:t>"Crypto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Market Developments" </w:t>
      </w:r>
      <w:r>
        <w:rPr>
          <w:rFonts w:ascii="Times New Roman" w:cs="Times New Roman" w:eastAsia="Times New Roman" w:hAnsi="Times New Roman"/>
          <w:sz w:val="18"/>
          <w:szCs w:val="18"/>
          <w:color w:val="231F20"/>
        </w:rPr>
        <w:t>above</w:t>
      </w:r>
      <w:r>
        <w:rPr>
          <w:rFonts w:ascii="Times New Roman" w:cs="Times New Roman" w:eastAsia="Times New Roman" w:hAnsi="Times New Roman"/>
          <w:sz w:val="18"/>
          <w:szCs w:val="18"/>
          <w:i w:val="1"/>
          <w:iCs w:val="1"/>
          <w:color w:val="231F20"/>
        </w:rPr>
        <w: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Regulations in U.S. &amp; International Markets</w:t>
      </w:r>
    </w:p>
    <w:p>
      <w:pPr>
        <w:spacing w:after="0" w:line="21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We are subject to many complex, uncertain and overlapping local, state and federal laws, rules, regulations, policies and legal interpretations (collectively, “laws and regulations”) in the markets in which we operate. These laws and regulations govern, among other things, consumer protection, privacy and data protection, labor and employment, anti-money laundering, money transmission, competition, and marketing and communications practices. These laws and regulations will likely have evolving interpretations and applications, particularly as we introduce new products and services and expand into new jurisdictions.</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We are seeking to bring trust and transparency to </w:t>
      </w:r>
      <w:r>
        <w:rPr>
          <w:rFonts w:ascii="Times New Roman" w:cs="Times New Roman" w:eastAsia="Times New Roman" w:hAnsi="Times New Roman"/>
          <w:sz w:val="18"/>
          <w:szCs w:val="18"/>
          <w:color w:val="000000"/>
        </w:rPr>
        <w:t>crypto</w:t>
      </w:r>
      <w:r>
        <w:rPr>
          <w:rFonts w:ascii="Times New Roman" w:cs="Times New Roman" w:eastAsia="Times New Roman" w:hAnsi="Times New Roman"/>
          <w:sz w:val="18"/>
          <w:szCs w:val="18"/>
          <w:color w:val="231F20"/>
        </w:rPr>
        <w:t>. We are and will continue to be subject to laws and regulations relating to the collection, use, retention, security, and transfer of information, including the personally identifiable information of our clients and all of the users in the information chain. We have developed and frequently evaluate and update our compliance models to ensure that we are complying with applicable restrictions.</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We continue to work with regulators to address the emerging global landscape for </w:t>
      </w:r>
      <w:r>
        <w:rPr>
          <w:rFonts w:ascii="Times New Roman" w:cs="Times New Roman" w:eastAsia="Times New Roman" w:hAnsi="Times New Roman"/>
          <w:sz w:val="18"/>
          <w:szCs w:val="18"/>
          <w:color w:val="000000"/>
        </w:rPr>
        <w:t>crypto</w:t>
      </w:r>
      <w:r>
        <w:rPr>
          <w:rFonts w:ascii="Times New Roman" w:cs="Times New Roman" w:eastAsia="Times New Roman" w:hAnsi="Times New Roman"/>
          <w:sz w:val="18"/>
          <w:szCs w:val="18"/>
          <w:color w:val="231F20"/>
        </w:rPr>
        <w:t>. As investment continues, the intersection of technology and finance will require ongoing engagement as new applications emerge. C</w:t>
      </w:r>
      <w:r>
        <w:rPr>
          <w:rFonts w:ascii="Times New Roman" w:cs="Times New Roman" w:eastAsia="Times New Roman" w:hAnsi="Times New Roman"/>
          <w:sz w:val="18"/>
          <w:szCs w:val="18"/>
          <w:color w:val="000000"/>
        </w:rPr>
        <w:t>rypto asset</w:t>
      </w:r>
      <w:r>
        <w:rPr>
          <w:rFonts w:ascii="Times New Roman" w:cs="Times New Roman" w:eastAsia="Times New Roman" w:hAnsi="Times New Roman"/>
          <w:sz w:val="18"/>
          <w:szCs w:val="18"/>
          <w:color w:val="231F20"/>
        </w:rPr>
        <w:t xml:space="preserve"> and distributed ledger technology have significant, positive potential with proper collaboration between industry and regulators.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Safeguarding Obligation Liability and Safeguarding Asset Related to Crypto Held for Other Parties</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As detailed in Note 18 in the unaudited consolidated financial statements included in this Report, upon the adoption of Staff Accounting Bulletin 121 (“SAB 121”), we recorded a safeguarding obligation liability and a corresponding safeguarding asset related to the crypto held for other parties. As of June 30, 2024, the safeguarding obligation liability related to crypto assets held for other parties was approximately $974.5 million. We have taken steps to mitigate the potential risk of loss for the crypto we hold for other parties, including holding insurance coverage specifically for certain crypto incidents and using secure cold storage to store the vast majority of crypto that we hold. SAB 121 also asks us to consider the legal ownership of the crypto held for other parties, including whether the crypto held for other parties would be available to satisfy general creditor claims in the event of our bankruptcy.</w:t>
      </w:r>
    </w:p>
    <w:p>
      <w:pPr>
        <w:spacing w:after="0" w:line="193" w:lineRule="exact"/>
        <w:rPr>
          <w:sz w:val="20"/>
          <w:szCs w:val="20"/>
          <w:color w:val="auto"/>
        </w:rPr>
      </w:pPr>
    </w:p>
    <w:p>
      <w:pPr>
        <w:jc w:val="both"/>
        <w:ind w:firstLine="648"/>
        <w:spacing w:after="0" w:line="292" w:lineRule="auto"/>
        <w:rPr>
          <w:sz w:val="20"/>
          <w:szCs w:val="20"/>
          <w:color w:val="auto"/>
        </w:rPr>
      </w:pPr>
      <w:r>
        <w:rPr>
          <w:rFonts w:ascii="Times New Roman" w:cs="Times New Roman" w:eastAsia="Times New Roman" w:hAnsi="Times New Roman"/>
          <w:sz w:val="18"/>
          <w:szCs w:val="18"/>
          <w:color w:val="auto"/>
        </w:rPr>
        <w:t>The legal rights with respect to crypto held on behalf of third parties by a custodian, such as us, upon the custodian’s bankruptcy have not yet been settled by courts and are highly fact-dependent. However, based on the terms of our terms of service and applicable law, in the event that we were to enter bankruptcy, we believe the crypto that we hold in custody for users of our platform should be respected as users’ property (and should not be available to satisfy the claims of our general creditors). We do not allow users to purchase crypto on margin, and crypto held on our platform does not serve as collateral for margin loans. We hold crypto in custody for users in one or more omnibus crypto wallets. We hold cryptographic key information and maintain internal record keeping for the crypto we hold in custody for users, and we are obligated to secure such assets from loss or theft. Our contractual arrangements state that our customers and clients retain legal ownership of the crypto custodied by us on their behalf; they also benefit from the rewards and bear the risks associated with their ownership, including as a result of any price fluctuations. We have been monitoring and will continue to actively monitor legal and regulatory developments and may consider further steps, as appropriate, to support this contractual position so that in the event of our bankruptcy, the crypto custodied by us should not be deemed to be part of our bankruptcy estate. We do not expect potential future cash flows associated with the crypto safeguarding obligation liability.</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C0C0C"/>
        </w:rPr>
        <w:t>Key Performance Indicators</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0C0C0C"/>
        </w:rPr>
        <w:t>We use four key performance indicators (“KPIs”) that are key to understanding our business performance, as they reflect the different ways we enable clients to engage with our platform.</w:t>
      </w:r>
    </w:p>
    <w:p>
      <w:pPr>
        <w:spacing w:after="0" w:line="172" w:lineRule="exact"/>
        <w:rPr>
          <w:sz w:val="20"/>
          <w:szCs w:val="20"/>
          <w:color w:val="auto"/>
        </w:rPr>
      </w:pPr>
    </w:p>
    <w:p>
      <w:pPr>
        <w:ind w:left="660" w:right="20" w:hanging="328"/>
        <w:spacing w:after="0" w:line="318" w:lineRule="auto"/>
        <w:tabs>
          <w:tab w:leader="none" w:pos="655" w:val="left"/>
        </w:tabs>
        <w:numPr>
          <w:ilvl w:val="0"/>
          <w:numId w:val="19"/>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0C0C0C"/>
        </w:rPr>
        <w:t xml:space="preserve">Crypto-enabled accounts. </w:t>
      </w:r>
      <w:r>
        <w:rPr>
          <w:rFonts w:ascii="Times New Roman" w:cs="Times New Roman" w:eastAsia="Times New Roman" w:hAnsi="Times New Roman"/>
          <w:sz w:val="18"/>
          <w:szCs w:val="18"/>
          <w:color w:val="0C0C0C"/>
        </w:rPr>
        <w:t>We define crypto-enabled accounts as the total crypto accounts open on our platform. There were 6.4 million and 6.2</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 xml:space="preserve">million crypto-enabled accounts </w:t>
      </w:r>
      <w:r>
        <w:rPr>
          <w:rFonts w:ascii="Times New Roman" w:cs="Times New Roman" w:eastAsia="Times New Roman" w:hAnsi="Times New Roman"/>
          <w:sz w:val="18"/>
          <w:szCs w:val="18"/>
          <w:color w:val="000000"/>
        </w:rPr>
        <w:t>as of June 30, 2024 and December 31, 2023, respectively</w:t>
      </w:r>
      <w:r>
        <w:rPr>
          <w:rFonts w:ascii="Times New Roman" w:cs="Times New Roman" w:eastAsia="Times New Roman" w:hAnsi="Times New Roman"/>
          <w:sz w:val="18"/>
          <w:szCs w:val="18"/>
          <w:color w:val="0C0C0C"/>
        </w:rPr>
        <w:t>.</w:t>
      </w:r>
    </w:p>
    <w:p>
      <w:pPr>
        <w:spacing w:after="0" w:line="166" w:lineRule="exact"/>
        <w:rPr>
          <w:rFonts w:ascii="Times New Roman" w:cs="Times New Roman" w:eastAsia="Times New Roman" w:hAnsi="Times New Roman"/>
          <w:sz w:val="18"/>
          <w:szCs w:val="18"/>
          <w:color w:val="0C0C0C"/>
        </w:rPr>
      </w:pPr>
    </w:p>
    <w:p>
      <w:pPr>
        <w:jc w:val="both"/>
        <w:ind w:left="660" w:hanging="328"/>
        <w:spacing w:after="0" w:line="291"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0C0C0C"/>
        </w:rPr>
        <w:t xml:space="preserve">Transacting accounts. </w:t>
      </w:r>
      <w:r>
        <w:rPr>
          <w:rFonts w:ascii="Times New Roman" w:cs="Times New Roman" w:eastAsia="Times New Roman" w:hAnsi="Times New Roman"/>
          <w:sz w:val="18"/>
          <w:szCs w:val="18"/>
          <w:color w:val="0C0C0C"/>
        </w:rPr>
        <w:t>We define transacting accounts as unique accounts that perform transactions on our platform each month. We use</w:t>
      </w:r>
      <w:r>
        <w:rPr>
          <w:rFonts w:ascii="Times New Roman" w:cs="Times New Roman" w:eastAsia="Times New Roman" w:hAnsi="Times New Roman"/>
          <w:sz w:val="18"/>
          <w:szCs w:val="18"/>
          <w:b w:val="1"/>
          <w:bCs w:val="1"/>
          <w:i w:val="1"/>
          <w:iCs w:val="1"/>
          <w:color w:val="0C0C0C"/>
        </w:rPr>
        <w:t xml:space="preserve"> </w:t>
      </w:r>
      <w:r>
        <w:rPr>
          <w:rFonts w:ascii="Times New Roman" w:cs="Times New Roman" w:eastAsia="Times New Roman" w:hAnsi="Times New Roman"/>
          <w:sz w:val="18"/>
          <w:szCs w:val="18"/>
          <w:color w:val="0C0C0C"/>
        </w:rPr>
        <w:t>transacting accounts to reflect how users across our platform use the variety of services we offer, such as buying and selling crypto to facilitate</w:t>
      </w:r>
    </w:p>
    <w:p>
      <w:pPr>
        <w:spacing w:after="0" w:line="1" w:lineRule="exact"/>
        <w:rPr>
          <w:rFonts w:ascii="Times New Roman" w:cs="Times New Roman" w:eastAsia="Times New Roman" w:hAnsi="Times New Roman"/>
          <w:sz w:val="18"/>
          <w:szCs w:val="18"/>
          <w:color w:val="auto"/>
        </w:rPr>
      </w:pPr>
    </w:p>
    <w:p>
      <w:pPr>
        <w:ind w:left="660"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C0C0C"/>
        </w:rPr>
        <w:t xml:space="preserve">everyday purchases, redeeming loyalty points for travel or merchandise, or converting loyalty points to cash or gift cards. There were 0.7 million and 1.5 million unique monthly transacting accounts during the </w:t>
      </w:r>
      <w:r>
        <w:rPr>
          <w:rFonts w:ascii="Times New Roman" w:cs="Times New Roman" w:eastAsia="Times New Roman" w:hAnsi="Times New Roman"/>
          <w:sz w:val="18"/>
          <w:szCs w:val="18"/>
          <w:color w:val="000000"/>
        </w:rPr>
        <w:t>three and six months ending June 30, 2024, respectively</w:t>
      </w:r>
      <w:r>
        <w:rPr>
          <w:rFonts w:ascii="Times New Roman" w:cs="Times New Roman" w:eastAsia="Times New Roman" w:hAnsi="Times New Roman"/>
          <w:sz w:val="18"/>
          <w:szCs w:val="18"/>
          <w:color w:val="0C0C0C"/>
        </w:rPr>
        <w: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307" w:lineRule="auto"/>
        <w:tabs>
          <w:tab w:leader="none" w:pos="655" w:val="left"/>
        </w:tabs>
        <w:numPr>
          <w:ilvl w:val="0"/>
          <w:numId w:val="19"/>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auto"/>
        </w:rPr>
        <w:t xml:space="preserve">Notional traded volume. </w:t>
      </w:r>
      <w:r>
        <w:rPr>
          <w:rFonts w:ascii="Times New Roman" w:cs="Times New Roman" w:eastAsia="Times New Roman" w:hAnsi="Times New Roman"/>
          <w:sz w:val="18"/>
          <w:szCs w:val="18"/>
          <w:color w:val="0C0C0C"/>
        </w:rPr>
        <w:t>We define notional traded volume as the total notional volume of transactions across crypto and loyalty platforms.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0C0C0C"/>
        </w:rPr>
        <w:t xml:space="preserve">figures we use represent gross values recorded as of the order date. Notional traded volumes were $672.3 million and $1,713.0 million during the </w:t>
      </w:r>
      <w:r>
        <w:rPr>
          <w:rFonts w:ascii="Times New Roman" w:cs="Times New Roman" w:eastAsia="Times New Roman" w:hAnsi="Times New Roman"/>
          <w:sz w:val="18"/>
          <w:szCs w:val="18"/>
          <w:color w:val="000000"/>
        </w:rPr>
        <w:t>three and six months ending June 30, 2024, respectively</w:t>
      </w:r>
      <w:r>
        <w:rPr>
          <w:rFonts w:ascii="Times New Roman" w:cs="Times New Roman" w:eastAsia="Times New Roman" w:hAnsi="Times New Roman"/>
          <w:sz w:val="18"/>
          <w:szCs w:val="18"/>
          <w:color w:val="0C0C0C"/>
        </w:rPr>
        <w:t>.</w:t>
      </w:r>
    </w:p>
    <w:p>
      <w:pPr>
        <w:spacing w:after="0" w:line="164" w:lineRule="exact"/>
        <w:rPr>
          <w:rFonts w:ascii="Times New Roman" w:cs="Times New Roman" w:eastAsia="Times New Roman" w:hAnsi="Times New Roman"/>
          <w:sz w:val="18"/>
          <w:szCs w:val="18"/>
          <w:color w:val="0C0C0C"/>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b w:val="1"/>
          <w:bCs w:val="1"/>
          <w:i w:val="1"/>
          <w:iCs w:val="1"/>
          <w:color w:val="auto"/>
        </w:rPr>
        <w:t xml:space="preserve">Assets under custody. </w:t>
      </w:r>
      <w:r>
        <w:rPr>
          <w:rFonts w:ascii="Times New Roman" w:cs="Times New Roman" w:eastAsia="Times New Roman" w:hAnsi="Times New Roman"/>
          <w:sz w:val="18"/>
          <w:szCs w:val="18"/>
          <w:color w:val="0C0C0C"/>
        </w:rPr>
        <w:t>We define assets under custody as the sum of coin quantities held by customers multiplied by the final quote for each coin</w:t>
      </w:r>
    </w:p>
    <w:p>
      <w:pPr>
        <w:spacing w:after="0" w:line="53" w:lineRule="exact"/>
        <w:rPr>
          <w:rFonts w:ascii="Times New Roman" w:cs="Times New Roman" w:eastAsia="Times New Roman" w:hAnsi="Times New Roman"/>
          <w:sz w:val="18"/>
          <w:szCs w:val="18"/>
          <w:color w:val="0C0C0C"/>
        </w:rPr>
      </w:pPr>
    </w:p>
    <w:p>
      <w:pPr>
        <w:ind w:left="660"/>
        <w:spacing w:after="0" w:line="313" w:lineRule="auto"/>
        <w:rPr>
          <w:rFonts w:ascii="Times New Roman" w:cs="Times New Roman" w:eastAsia="Times New Roman" w:hAnsi="Times New Roman"/>
          <w:sz w:val="18"/>
          <w:szCs w:val="18"/>
          <w:color w:val="0C0C0C"/>
        </w:rPr>
      </w:pPr>
      <w:r>
        <w:rPr>
          <w:rFonts w:ascii="Times New Roman" w:cs="Times New Roman" w:eastAsia="Times New Roman" w:hAnsi="Times New Roman"/>
          <w:sz w:val="18"/>
          <w:szCs w:val="18"/>
          <w:color w:val="0C0C0C"/>
        </w:rPr>
        <w:t xml:space="preserve">on the last day of the quarter. Assets under custody were $974.5 million and </w:t>
      </w:r>
      <w:r>
        <w:rPr>
          <w:rFonts w:ascii="Times New Roman" w:cs="Times New Roman" w:eastAsia="Times New Roman" w:hAnsi="Times New Roman"/>
          <w:sz w:val="18"/>
          <w:szCs w:val="18"/>
          <w:color w:val="000000"/>
        </w:rPr>
        <w:t>$701.6 million as of June 30, 2024 and December 31, 2023,</w:t>
      </w:r>
      <w:r>
        <w:rPr>
          <w:rFonts w:ascii="Times New Roman" w:cs="Times New Roman" w:eastAsia="Times New Roman" w:hAnsi="Times New Roman"/>
          <w:sz w:val="18"/>
          <w:szCs w:val="18"/>
          <w:color w:val="0C0C0C"/>
        </w:rPr>
        <w:t xml:space="preserve"> </w:t>
      </w:r>
      <w:r>
        <w:rPr>
          <w:rFonts w:ascii="Times New Roman" w:cs="Times New Roman" w:eastAsia="Times New Roman" w:hAnsi="Times New Roman"/>
          <w:sz w:val="18"/>
          <w:szCs w:val="18"/>
          <w:color w:val="000000"/>
        </w:rPr>
        <w:t>respectively.</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231F20"/>
        </w:rPr>
        <w:t xml:space="preserve">The following table is our consolidated statements of operations </w:t>
      </w:r>
      <w:r>
        <w:rPr>
          <w:rFonts w:ascii="Times New Roman" w:cs="Times New Roman" w:eastAsia="Times New Roman" w:hAnsi="Times New Roman"/>
          <w:sz w:val="18"/>
          <w:szCs w:val="18"/>
          <w:color w:val="000000"/>
        </w:rPr>
        <w:t>for the three and six months ended June 30, 2024 and June 30, 2023, respectively</w:t>
      </w:r>
      <w:r>
        <w:rPr>
          <w:rFonts w:ascii="Times New Roman" w:cs="Times New Roman" w:eastAsia="Times New Roman" w:hAnsi="Times New Roman"/>
          <w:sz w:val="18"/>
          <w:szCs w:val="18"/>
          <w:color w:val="231F20"/>
        </w:rPr>
        <w:t xml:space="preserve">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20" w:type="dxa"/>
            <w:vAlign w:val="bottom"/>
          </w:tcPr>
          <w:p>
            <w:pPr>
              <w:spacing w:after="0"/>
              <w:rPr>
                <w:sz w:val="16"/>
                <w:szCs w:val="16"/>
                <w:color w:val="auto"/>
              </w:rPr>
            </w:pPr>
          </w:p>
        </w:tc>
        <w:tc>
          <w:tcPr>
            <w:tcW w:w="14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214"/>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1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8"/>
                <w:szCs w:val="18"/>
                <w:color w:val="auto"/>
              </w:rPr>
            </w:pP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198"/>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Crypto services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497,141</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335,333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1,338,481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335,776</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Loyalty services, net</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12,757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25,999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25,072</w:t>
            </w:r>
          </w:p>
        </w:tc>
      </w:tr>
      <w:tr>
        <w:trPr>
          <w:trHeight w:val="207"/>
        </w:trPr>
        <w:tc>
          <w:tcPr>
            <w:tcW w:w="48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509,898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347,629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1,364,480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360,848</w:t>
            </w:r>
          </w:p>
        </w:tc>
      </w:tr>
      <w:tr>
        <w:trPr>
          <w:trHeight w:val="219"/>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Crypto costs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491,701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1,323,673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332,173</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Execution, clearing and brokerage fees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2,205</w:t>
            </w: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Compensation and benefits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61,209</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Professional services</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5,242</w:t>
            </w: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Technology and communication</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10,111</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14,275</w:t>
            </w: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Acquisition-related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17,792</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w:t>
            </w: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Related party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2,112</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Restructuring expenses</w:t>
            </w: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w:t>
            </w:r>
          </w:p>
        </w:tc>
      </w:tr>
      <w:tr>
        <w:trPr>
          <w:trHeight w:val="207"/>
        </w:trPr>
        <w:tc>
          <w:tcPr>
            <w:tcW w:w="48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531,915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398,717</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1,418,334</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457,382</w:t>
            </w:r>
          </w:p>
        </w:tc>
      </w:tr>
      <w:tr>
        <w:trPr>
          <w:trHeight w:val="21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(53,854)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(96,534)</w:t>
            </w:r>
          </w:p>
        </w:tc>
      </w:tr>
      <w:tr>
        <w:trPr>
          <w:trHeight w:val="207"/>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2,326</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gain from change in fair value of warrant liability</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w:t>
            </w:r>
          </w:p>
        </w:tc>
      </w:tr>
      <w:tr>
        <w:trPr>
          <w:trHeight w:val="213"/>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(95,196)</w:t>
            </w:r>
          </w:p>
        </w:tc>
      </w:tr>
      <w:tr>
        <w:trPr>
          <w:trHeight w:val="213"/>
        </w:trPr>
        <w:tc>
          <w:tcPr>
            <w:tcW w:w="48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r>
      <w:tr>
        <w:trPr>
          <w:trHeight w:val="212"/>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(95,366)</w:t>
            </w:r>
          </w:p>
        </w:tc>
      </w:tr>
      <w:tr>
        <w:trPr>
          <w:trHeight w:val="213"/>
        </w:trPr>
        <w:tc>
          <w:tcPr>
            <w:tcW w:w="4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loss attributable to noncontrolling interest</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(19,088)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(33,663)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(32,198)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(64,546)</w:t>
            </w:r>
          </w:p>
        </w:tc>
      </w:tr>
      <w:tr>
        <w:trPr>
          <w:trHeight w:val="237"/>
        </w:trPr>
        <w:tc>
          <w:tcPr>
            <w:tcW w:w="4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attributable to Bakkt Holdings, Inc.</w:t>
            </w: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(24,589)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(30,820)</w:t>
            </w: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per share attributable to Class A Common Stockholders.</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48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r>
      <w:tr>
        <w:trPr>
          <w:trHeight w:val="219"/>
        </w:trPr>
        <w:tc>
          <w:tcPr>
            <w:tcW w:w="48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Three Months Ended June 30, 2024 compared to Three Months Ended June 30, 2023</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three months ended June 30, 2024 included the following notable items relative to the three months ended June 30, 2023:</w:t>
      </w:r>
    </w:p>
    <w:p>
      <w:pPr>
        <w:spacing w:after="0" w:line="104"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increased </w:t>
      </w:r>
      <w:r>
        <w:rPr>
          <w:rFonts w:ascii="Times New Roman" w:cs="Times New Roman" w:eastAsia="Times New Roman" w:hAnsi="Times New Roman"/>
          <w:sz w:val="18"/>
          <w:szCs w:val="18"/>
          <w:color w:val="000000"/>
        </w:rPr>
        <w:t>$162.3 million</w:t>
      </w:r>
      <w:r>
        <w:rPr>
          <w:rFonts w:ascii="Times New Roman" w:cs="Times New Roman" w:eastAsia="Times New Roman" w:hAnsi="Times New Roman"/>
          <w:sz w:val="18"/>
          <w:szCs w:val="18"/>
          <w:color w:val="231F20"/>
        </w:rPr>
        <w:t xml:space="preserve"> primarily driven by an increase in crypto trading volume compared to the prior year second quarter; and</w:t>
      </w:r>
    </w:p>
    <w:p>
      <w:pPr>
        <w:spacing w:after="0" w:line="36" w:lineRule="exact"/>
        <w:rPr>
          <w:rFonts w:ascii="Times New Roman" w:cs="Times New Roman" w:eastAsia="Times New Roman" w:hAnsi="Times New Roman"/>
          <w:sz w:val="18"/>
          <w:szCs w:val="18"/>
          <w:color w:val="231F20"/>
        </w:rPr>
      </w:pPr>
    </w:p>
    <w:p>
      <w:pPr>
        <w:ind w:left="660" w:hanging="328"/>
        <w:spacing w:after="0" w:line="3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expenses increased $133.2 million primarily driven by higher crypto trading costs in connection with higher crypto trading volume compared to the prior year second quarter.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270" w:lineRule="exact"/>
        <w:rPr>
          <w:sz w:val="20"/>
          <w:szCs w:val="20"/>
          <w:color w:val="auto"/>
        </w:rPr>
      </w:pPr>
    </w:p>
    <w:p>
      <w:pPr>
        <w:ind w:firstLine="648"/>
        <w:spacing w:after="0" w:line="313" w:lineRule="auto"/>
        <w:rPr>
          <w:sz w:val="20"/>
          <w:szCs w:val="20"/>
          <w:color w:val="auto"/>
        </w:rPr>
      </w:pPr>
      <w:r>
        <w:rPr>
          <w:rFonts w:ascii="Times New Roman" w:cs="Times New Roman" w:eastAsia="Times New Roman" w:hAnsi="Times New Roman"/>
          <w:sz w:val="18"/>
          <w:szCs w:val="18"/>
          <w:color w:val="auto"/>
        </w:rPr>
        <w:t>Revenues consist of crypto and loyalty revenue. We earn revenue when consumers use our services to buy, sell, and store crypto and redeem loyalty points. We generate revenue across our platform in the following key areas:</w:t>
      </w:r>
    </w:p>
    <w:p>
      <w:pPr>
        <w:spacing w:after="0" w:line="68" w:lineRule="exact"/>
        <w:rPr>
          <w:sz w:val="20"/>
          <w:szCs w:val="20"/>
          <w:color w:val="auto"/>
        </w:rPr>
      </w:pPr>
    </w:p>
    <w:p>
      <w:pPr>
        <w:ind w:left="660" w:hanging="328"/>
        <w:spacing w:after="0" w:line="31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and service revenue. We receive a recurring subscription revenue stream from client platform fees as well as service revenue from software development fees and call center support.</w:t>
      </w:r>
    </w:p>
    <w:p>
      <w:pPr>
        <w:spacing w:after="0" w:line="67" w:lineRule="exact"/>
        <w:rPr>
          <w:rFonts w:ascii="Times New Roman" w:cs="Times New Roman" w:eastAsia="Times New Roman" w:hAnsi="Times New Roman"/>
          <w:sz w:val="18"/>
          <w:szCs w:val="18"/>
          <w:color w:val="auto"/>
        </w:rPr>
      </w:pPr>
    </w:p>
    <w:p>
      <w:pPr>
        <w:ind w:left="660" w:hanging="328"/>
        <w:spacing w:after="0" w:line="31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revenue. We generate transaction revenue from crypto buy/sell trades where we earn a spread on both legs of the transaction (reported gross) and through loyalty redemption volumes where we receive a percentage fee based on the volume (reported net of associated costs).</w:t>
      </w:r>
    </w:p>
    <w:p>
      <w:pPr>
        <w:spacing w:after="0" w:line="17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Crypto Services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80" w:type="dxa"/>
            <w:vAlign w:val="bottom"/>
          </w:tcPr>
          <w:p>
            <w:pPr>
              <w:spacing w:after="0"/>
              <w:rPr>
                <w:sz w:val="17"/>
                <w:szCs w:val="17"/>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497,141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335,333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161,808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Crypto services revenue increased by </w:t>
      </w:r>
      <w:r>
        <w:rPr>
          <w:rFonts w:ascii="Times New Roman" w:cs="Times New Roman" w:eastAsia="Times New Roman" w:hAnsi="Times New Roman"/>
          <w:sz w:val="18"/>
          <w:szCs w:val="18"/>
          <w:color w:val="000000"/>
        </w:rPr>
        <w:t>$161.8 million, or 48.3%,</w:t>
      </w:r>
      <w:r>
        <w:rPr>
          <w:rFonts w:ascii="Times New Roman" w:cs="Times New Roman" w:eastAsia="Times New Roman" w:hAnsi="Times New Roman"/>
          <w:sz w:val="18"/>
          <w:szCs w:val="18"/>
          <w:color w:val="231F20"/>
        </w:rPr>
        <w:t xml:space="preserve"> for the three months ended June 30, 2024 compared to the three months ended June 30, 2023. The increase was primarily driven by increased crypto trading volume due to improved market trading volume for crypto as compared to the prior year second quarter.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Loyalty Services Revenue</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32"/>
        </w:trPr>
        <w:tc>
          <w:tcPr>
            <w:tcW w:w="3900" w:type="dxa"/>
            <w:vAlign w:val="bottom"/>
          </w:tcPr>
          <w:p>
            <w:pPr>
              <w:spacing w:after="0"/>
              <w:rPr>
                <w:sz w:val="24"/>
                <w:szCs w:val="24"/>
                <w:color w:val="auto"/>
              </w:rPr>
            </w:pP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41"/>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46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25"/>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services, net</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12,757</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Loyalty services revenue increased by </w:t>
      </w:r>
      <w:r>
        <w:rPr>
          <w:rFonts w:ascii="Times New Roman" w:cs="Times New Roman" w:eastAsia="Times New Roman" w:hAnsi="Times New Roman"/>
          <w:sz w:val="18"/>
          <w:szCs w:val="18"/>
          <w:color w:val="000000"/>
        </w:rPr>
        <w:t>$0.5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3.7%</w:t>
      </w:r>
      <w:r>
        <w:rPr>
          <w:rFonts w:ascii="Times New Roman" w:cs="Times New Roman" w:eastAsia="Times New Roman" w:hAnsi="Times New Roman"/>
          <w:sz w:val="18"/>
          <w:szCs w:val="18"/>
          <w:color w:val="231F20"/>
        </w:rPr>
        <w:t>, for the three months ended June 30, 2024 compared to the three months ended June 30, 2023. The increase was primarily related to a $1.1 million increase in subscription and services revenue, partially offset by a $0.7 million reduction in transaction revenue. Approximately half of the increase in subscription and services revenue was driven by an adjustment to the remaining life of one of our service contracts.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related party expenses, goodwill and intangible assets impairments, impairment of long-lived assets, restructuring charges, and other operating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Crypto Costs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0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costs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491,701</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331,810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159,891</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Crypto costs represent the gross value of crypto sold by our customers on our platform. These costs are measured at the executed price at the time of the trade. Crypto costs increased by $159.9 million, or </w:t>
      </w:r>
      <w:r>
        <w:rPr>
          <w:rFonts w:ascii="Times New Roman" w:cs="Times New Roman" w:eastAsia="Times New Roman" w:hAnsi="Times New Roman"/>
          <w:sz w:val="18"/>
          <w:szCs w:val="18"/>
          <w:color w:val="000000"/>
        </w:rPr>
        <w:t>48.2%,</w:t>
      </w:r>
      <w:r>
        <w:rPr>
          <w:rFonts w:ascii="Times New Roman" w:cs="Times New Roman" w:eastAsia="Times New Roman" w:hAnsi="Times New Roman"/>
          <w:sz w:val="18"/>
          <w:szCs w:val="18"/>
          <w:color w:val="231F20"/>
        </w:rPr>
        <w:t xml:space="preserve"> for the three months ended June 30, 2024 compared to the three months ended June 30, 2023. The increase reflects increased volume driven by improved crypto market trading relative to the prior year second quarter.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Execution, Clearing and Brokerage Fees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Execution, clearing and brokerage fees primarily represent payments to clients in exchange for driving order flow to our platform. Execution, clearing and brokerage fees increased by $1.2 million during the three months ended June 30, 2024. The increase reflects increased crypto transaction volume as described above.</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Compensation and benefits expense include all salaries and benefits, compensation for contract labor, incentive programs for employees, payroll taxes, share-based and unit-based compensation and other employee related costs.</w:t>
      </w:r>
    </w:p>
    <w:p>
      <w:pPr>
        <w:spacing w:after="0" w:line="14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Our headcount decreased year over year as we undertook restructuring actions and right sized our expense base to meet current market demand. We expect to limit future hiring and further optimize our headcount as we complete development projects on our platform. Compensation and benefits expense is a significant component of our operating expenses, and we expect this will continue to be the case. However, we expect that our compensation and benefits expenses will decrease as a percentage of our revenue over time. Compensation and benefits decreased by $4.7 million, or 17.3%, for the three months ended June 30, 2024 compared to the three months ended June 30, 2023. The decrease was primarily due to decreases of $3.3 million in salaries and wages and $1.1 million in non-cash compensation.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Professional services expense includes fees for accounting, legal and regulatory fees. Professional services increased by $0.8 million, or 27.1%, for the three months ended June 30, 2024 compared to the three months ended June 30, 2023. The increase was primarily due to an increase of $0.7 million in audit and tax fees.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Technology and communication costs represent all non-headcount related costs to deliver technological solutions. Such costs principally include amounts paid for software licenses and software-as-a-service arrangements utilized for operating, administrative and information security activities, fees paid for third-party data center hosting arrangements, and fees paid to telecommunications service providers and for telecommunication software platforms necessary for operation of our customer support operations. These costs are driven by client requirements, system capacity, functionality and redundancy requirements.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Technology and communications expense also includes fees paid for access to external market data and associated licensing costs, which may be impacted by growth in electronic contract volume, our capacity requirements, changes in the number of telecommunications hubs, and connections with customers to access our electronic platforms directly. Technology and communications expense decreased by $0.7 million, or 16.9%, for the three months ended June 30, 2024 compared to the three months ended June 30, 2023. The decrease was primarily due to a decrease of $0.9 million in hardware and software license fees, partially offset by an increase of $0.2 million in hosting fees. We expect these costs to decline in the future as we optimize our operational footprint.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Selling, general and administrative expenses include marketing, advertising, business insurance, rent and occupancy, bank service charges, dues and subscriptions, travel and entertainment, rent and occupancy, and other general and administrative costs. Our marketing activities primarily consist of web-based promotional campaigns, promotional activities with clients, conferences and user events, and brand-building activities. Selling, general and administrative expenses do not include any headcount cost, which is reflected in the compensation and benefits financial statement line item. We expect these costs will decrease as a percentage of our revenue in future years as we gain improved operating leverage from our projected revenue growth and exercise prudent expense management.</w:t>
      </w:r>
    </w:p>
    <w:p>
      <w:pPr>
        <w:spacing w:after="0" w:line="191"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Selling, general and administrative costs decreased by $2.1 million, or 27.1%, for the three months ended June 30, 2024 compared to the three months ended June 30, 2023. The decrease was primarily due to decreases of $1.5 million in insurance costs and $0.4 million in occupancy costs.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Acquisition-related Expenses</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(16,961)</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Acquisition-related expenses decreased by $17.0 million for the three months ended June 30, 2024 compared to the three months ended June 30, 2023. Acquisition-related expenses for the three months ended June 30, 2024 primarily consist of changes in the fair value of the contingent consideration associated with the acquisition of Bakkt Crypto, and </w:t>
      </w:r>
      <w:r>
        <w:rPr>
          <w:rFonts w:ascii="Times New Roman" w:cs="Times New Roman" w:eastAsia="Times New Roman" w:hAnsi="Times New Roman"/>
          <w:sz w:val="18"/>
          <w:szCs w:val="18"/>
          <w:color w:val="000000"/>
        </w:rPr>
        <w:t>fees for investment banking advisors, lawyers, accountants, tax advisors and public relations firms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related to the </w:t>
      </w:r>
      <w:r>
        <w:rPr>
          <w:rFonts w:ascii="Times New Roman" w:cs="Times New Roman" w:eastAsia="Times New Roman" w:hAnsi="Times New Roman"/>
          <w:sz w:val="18"/>
          <w:szCs w:val="18"/>
          <w:color w:val="231F20"/>
        </w:rPr>
        <w:t>same acquisition.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8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Depreciation and amortization expense consists of amortization of intangible assets from business acquisitions and internally developed software and depreciation of purchased software and computer and office equipment over their estimated useful lives. Depreciation and amortization decreased by $3.7 million, or 96.9%, for the three months ended June 30, 2024 compared to the three months ended June 30, 2023. The decrease was primarily due to lower net book values of intangible assets after impairments were recognized in 2023.</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Related Party Expenses</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6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Related party expenses consist of fees for transition services agreements. Related party expenses decreased by $1.4 million, or 90.1%, for the three months ended June 30, 2024 compared to the three months ended June 30, 2023. The decrease was due to the termination of the ICE transition services agreement in December 2023.</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Restructuring Expenses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23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Pr>
          <w:p>
            <w:pPr>
              <w:spacing w:after="0"/>
              <w:rPr>
                <w:sz w:val="16"/>
                <w:szCs w:val="16"/>
                <w:color w:val="auto"/>
              </w:rPr>
            </w:pPr>
          </w:p>
        </w:tc>
        <w:tc>
          <w:tcPr>
            <w:tcW w:w="11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6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700" w:type="dxa"/>
            <w:vAlign w:val="bottom"/>
          </w:tcPr>
          <w:p>
            <w:pPr>
              <w:jc w:val="right"/>
              <w:ind w:right="8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jc w:val="right"/>
              <w:ind w:right="87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54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 xml:space="preserve">Restructuring expenses of </w:t>
      </w:r>
      <w:r>
        <w:rPr>
          <w:rFonts w:ascii="Times New Roman" w:cs="Times New Roman" w:eastAsia="Times New Roman" w:hAnsi="Times New Roman"/>
          <w:sz w:val="18"/>
          <w:szCs w:val="18"/>
          <w:color w:val="000000"/>
        </w:rPr>
        <w:t>$0.9 million</w:t>
      </w:r>
      <w:r>
        <w:rPr>
          <w:rFonts w:ascii="Times New Roman" w:cs="Times New Roman" w:eastAsia="Times New Roman" w:hAnsi="Times New Roman"/>
          <w:sz w:val="18"/>
          <w:szCs w:val="18"/>
          <w:color w:val="231F20"/>
        </w:rPr>
        <w:t xml:space="preserve"> during the three months ended June 30, 2024 consist of severance costs related to the May 2, 2024 reduction in force that resulted in the termination of 28 employees.</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(Loss) Gain from Change in Fair Value of Warrant Liability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17"/>
                <w:szCs w:val="17"/>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3960" w:type="dxa"/>
            <w:vAlign w:val="bottom"/>
            <w:tcBorders>
              <w:top w:val="single" w:sz="8" w:color="CCEEFF"/>
            </w:tcBorders>
            <w:shd w:val="clear" w:color="auto" w:fill="CCEEFF"/>
          </w:tcPr>
          <w:p>
            <w:pPr>
              <w:ind w:left="20"/>
              <w:spacing w:after="0" w:line="164" w:lineRule="exact"/>
              <w:rPr>
                <w:sz w:val="20"/>
                <w:szCs w:val="20"/>
                <w:color w:val="auto"/>
              </w:rPr>
            </w:pPr>
            <w:r>
              <w:rPr>
                <w:rFonts w:ascii="Times New Roman" w:cs="Times New Roman" w:eastAsia="Times New Roman" w:hAnsi="Times New Roman"/>
                <w:sz w:val="18"/>
                <w:szCs w:val="18"/>
                <w:color w:val="auto"/>
              </w:rPr>
              <w:t>(Loss) gain from change in fair value of warrant</w:t>
            </w:r>
          </w:p>
        </w:tc>
        <w:tc>
          <w:tcPr>
            <w:tcW w:w="46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7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We recorded a loss of $15.1 million during the three months ended June 30, 2024 for the change in fair value on the revaluation of our warrant liabilities associated with our public warrants and warrants from the Concurrent Offerings. We recorded a gain of $0.4 million during the three months ended June 30, 2023 for the change in fair value on the revaluation of our warrant liability associated with our public warrants. These are non-cash losses and gains and are driven by fluctuations in the market price of our public warrants and valuation of our warrants from the Concurrent Offerings.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Other (Expense) Income, net</w:t>
            </w:r>
          </w:p>
        </w:tc>
        <w:tc>
          <w:tcPr>
            <w:tcW w:w="4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60" w:type="dxa"/>
            <w:vAlign w:val="bottom"/>
            <w:vMerge w:val="continue"/>
          </w:tcPr>
          <w:p>
            <w:pPr>
              <w:spacing w:after="0"/>
              <w:rPr>
                <w:sz w:val="21"/>
                <w:szCs w:val="21"/>
                <w:color w:val="auto"/>
              </w:rPr>
            </w:pPr>
          </w:p>
        </w:tc>
        <w:tc>
          <w:tcPr>
            <w:tcW w:w="460" w:type="dxa"/>
            <w:vAlign w:val="bottom"/>
          </w:tcPr>
          <w:p>
            <w:pPr>
              <w:spacing w:after="0"/>
              <w:rPr>
                <w:sz w:val="21"/>
                <w:szCs w:val="21"/>
                <w:color w:val="auto"/>
              </w:rPr>
            </w:pPr>
          </w:p>
        </w:tc>
        <w:tc>
          <w:tcPr>
            <w:tcW w:w="18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Other income, net primarily consists of non-operating gains and losses. During the three months ended June 30, 2024, we had income of $0.4 million primarily related to foreign currency translation. During the three months ended June 30, 2023, we recognized a loss of $0.3 million primarily related to foreign currency translation.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3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June</w:t>
            </w:r>
          </w:p>
        </w:tc>
        <w:tc>
          <w:tcPr>
            <w:tcW w:w="23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 June</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88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30, 2024</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6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30, 2023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Income tax expense during the three months ended June 30, 2024 primarily consists of current state tax expense related to certain state jurisdictions wherein we are required to file income tax returns. Income tax benefit during the three months ended June 30, 2023 primarily consists of current state tax expense related to certain state jurisdictions wherein we are required to file income tax returns.</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Six Months Ended June 30, 2024 compared to Six Months Ended June 30, 2023</w:t>
      </w:r>
    </w:p>
    <w:p>
      <w:pPr>
        <w:spacing w:after="0" w:line="2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Financial Summary</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The six months ended June 30, 2024 included the following notable items relative to the six months ended June 30, 2023:</w:t>
      </w:r>
    </w:p>
    <w:p>
      <w:pPr>
        <w:spacing w:after="0" w:line="104" w:lineRule="exact"/>
        <w:rPr>
          <w:sz w:val="20"/>
          <w:szCs w:val="20"/>
          <w:color w:val="auto"/>
        </w:rPr>
      </w:pPr>
    </w:p>
    <w:p>
      <w:pPr>
        <w:ind w:left="660" w:right="20" w:hanging="328"/>
        <w:spacing w:after="0" w:line="289" w:lineRule="auto"/>
        <w:tabs>
          <w:tab w:leader="none" w:pos="655" w:val="left"/>
        </w:tabs>
        <w:numPr>
          <w:ilvl w:val="0"/>
          <w:numId w:val="2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Revenue increased </w:t>
      </w:r>
      <w:r>
        <w:rPr>
          <w:rFonts w:ascii="Times New Roman" w:cs="Times New Roman" w:eastAsia="Times New Roman" w:hAnsi="Times New Roman"/>
          <w:sz w:val="18"/>
          <w:szCs w:val="18"/>
          <w:color w:val="000000"/>
        </w:rPr>
        <w:t>$1,003.6 million</w:t>
      </w:r>
      <w:r>
        <w:rPr>
          <w:rFonts w:ascii="Times New Roman" w:cs="Times New Roman" w:eastAsia="Times New Roman" w:hAnsi="Times New Roman"/>
          <w:sz w:val="18"/>
          <w:szCs w:val="18"/>
          <w:color w:val="231F20"/>
        </w:rPr>
        <w:t xml:space="preserve"> primarily driven by a significant increase in crypto trading revenue due to our acquisition of Bakkt Crypto; and</w:t>
      </w:r>
    </w:p>
    <w:p>
      <w:pPr>
        <w:spacing w:after="0" w:line="1" w:lineRule="exact"/>
        <w:rPr>
          <w:rFonts w:ascii="Times New Roman" w:cs="Times New Roman" w:eastAsia="Times New Roman" w:hAnsi="Times New Roman"/>
          <w:sz w:val="18"/>
          <w:szCs w:val="18"/>
          <w:color w:val="231F20"/>
        </w:rPr>
      </w:pPr>
    </w:p>
    <w:p>
      <w:pPr>
        <w:ind w:left="660" w:hanging="328"/>
        <w:spacing w:after="0" w:line="313"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Operating expenses increased $961.0 million primarily driven by increased crypto trading costs in connection with our acquisition of Bakkt Crypto, partially offset by decreases in acquisition costs and compensation and benefits.</w:t>
      </w:r>
    </w:p>
    <w:p>
      <w:pPr>
        <w:spacing w:after="0" w:line="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Crypto Services Revenue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7"/>
                <w:szCs w:val="17"/>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17"/>
                <w:szCs w:val="17"/>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17"/>
                <w:szCs w:val="17"/>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0"/>
                <w:szCs w:val="20"/>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20"/>
                <w:szCs w:val="20"/>
                <w:color w:val="auto"/>
              </w:rPr>
            </w:pPr>
          </w:p>
        </w:tc>
        <w:tc>
          <w:tcPr>
            <w:tcW w:w="116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services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1,338,481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1,002,705</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298.6 %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231F20"/>
        </w:rPr>
        <w:t xml:space="preserve">Crypto services revenue increased by </w:t>
      </w:r>
      <w:r>
        <w:rPr>
          <w:rFonts w:ascii="Times New Roman" w:cs="Times New Roman" w:eastAsia="Times New Roman" w:hAnsi="Times New Roman"/>
          <w:sz w:val="18"/>
          <w:szCs w:val="18"/>
          <w:color w:val="000000"/>
        </w:rPr>
        <w:t>$1,002.7 million, or 298.6%,</w:t>
      </w:r>
      <w:r>
        <w:rPr>
          <w:rFonts w:ascii="Times New Roman" w:cs="Times New Roman" w:eastAsia="Times New Roman" w:hAnsi="Times New Roman"/>
          <w:sz w:val="18"/>
          <w:szCs w:val="18"/>
          <w:color w:val="231F20"/>
        </w:rPr>
        <w:t xml:space="preserve"> for the six months ended June 30, 2024 compared to the six months ended June 30, 2023. The increase was primarily driven by increased crypto trading volume due to our acquisition of Bakkt Crypto Solutions.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Loyalty Services Revenue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 in thousands)</w:t>
            </w:r>
          </w:p>
        </w:tc>
        <w:tc>
          <w:tcPr>
            <w:tcW w:w="300" w:type="dxa"/>
            <w:vAlign w:val="bottom"/>
          </w:tcPr>
          <w:p>
            <w:pPr>
              <w:spacing w:after="0"/>
              <w:rPr>
                <w:sz w:val="16"/>
                <w:szCs w:val="16"/>
                <w:color w:val="auto"/>
              </w:rPr>
            </w:pPr>
          </w:p>
        </w:tc>
        <w:tc>
          <w:tcPr>
            <w:tcW w:w="202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80" w:type="dxa"/>
            <w:vAlign w:val="bottom"/>
          </w:tcPr>
          <w:p>
            <w:pPr>
              <w:spacing w:after="0"/>
              <w:rPr>
                <w:sz w:val="16"/>
                <w:szCs w:val="16"/>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200" w:type="dxa"/>
            <w:vAlign w:val="bottom"/>
          </w:tcPr>
          <w:p>
            <w:pPr>
              <w:spacing w:after="0"/>
              <w:rPr>
                <w:sz w:val="16"/>
                <w:szCs w:val="16"/>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380" w:type="dxa"/>
            <w:vAlign w:val="bottom"/>
            <w:vMerge w:val="restart"/>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14"/>
        </w:trPr>
        <w:tc>
          <w:tcPr>
            <w:tcW w:w="39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02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80" w:type="dxa"/>
            <w:vAlign w:val="bottom"/>
          </w:tcPr>
          <w:p>
            <w:pPr>
              <w:spacing w:after="0"/>
              <w:rPr>
                <w:sz w:val="18"/>
                <w:szCs w:val="18"/>
                <w:color w:val="auto"/>
              </w:rPr>
            </w:pPr>
          </w:p>
        </w:tc>
        <w:tc>
          <w:tcPr>
            <w:tcW w:w="2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2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Loyalty services, net</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Loyalty services revenue increased by </w:t>
      </w:r>
      <w:r>
        <w:rPr>
          <w:rFonts w:ascii="Times New Roman" w:cs="Times New Roman" w:eastAsia="Times New Roman" w:hAnsi="Times New Roman"/>
          <w:sz w:val="18"/>
          <w:szCs w:val="18"/>
          <w:color w:val="000000"/>
        </w:rPr>
        <w:t>$0.9 million</w:t>
      </w:r>
      <w:r>
        <w:rPr>
          <w:rFonts w:ascii="Times New Roman" w:cs="Times New Roman" w:eastAsia="Times New Roman" w:hAnsi="Times New Roman"/>
          <w:sz w:val="18"/>
          <w:szCs w:val="18"/>
          <w:color w:val="231F20"/>
        </w:rPr>
        <w:t xml:space="preserve">, or </w:t>
      </w:r>
      <w:r>
        <w:rPr>
          <w:rFonts w:ascii="Times New Roman" w:cs="Times New Roman" w:eastAsia="Times New Roman" w:hAnsi="Times New Roman"/>
          <w:sz w:val="18"/>
          <w:szCs w:val="18"/>
          <w:color w:val="000000"/>
        </w:rPr>
        <w:t>3.7%</w:t>
      </w:r>
      <w:r>
        <w:rPr>
          <w:rFonts w:ascii="Times New Roman" w:cs="Times New Roman" w:eastAsia="Times New Roman" w:hAnsi="Times New Roman"/>
          <w:sz w:val="18"/>
          <w:szCs w:val="18"/>
          <w:color w:val="231F20"/>
        </w:rPr>
        <w:t>, for the six months ended June 30, 2024 compared to the six months ended June 30, 2023. The increase was driven by a $2.2 million increase in subscription and services revenue, partially offset by decline in transaction volume. Approximately half of the increase in subscription and services revenue was driven by an adjustment to the remaining life of one of our service contracts.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Operating Expenses</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Operating expenses consist of crypto costs, execution, clearing and brokerage fees, compensation and benefits, professional services, technology and communication expenses, selling, general and administrative expenses, acquisition-related expenses, depreciation and amortization, goodwill and intangible assets impairments, related party expenses, restructuring expenses, and other operating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Crypto Costs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Crypto costs</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1,323,673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991,500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298.5 %</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Crypto costs increased by $991.5 million, or </w:t>
      </w:r>
      <w:r>
        <w:rPr>
          <w:rFonts w:ascii="Times New Roman" w:cs="Times New Roman" w:eastAsia="Times New Roman" w:hAnsi="Times New Roman"/>
          <w:sz w:val="18"/>
          <w:szCs w:val="18"/>
          <w:color w:val="000000"/>
        </w:rPr>
        <w:t>298.5%,</w:t>
      </w:r>
      <w:r>
        <w:rPr>
          <w:rFonts w:ascii="Times New Roman" w:cs="Times New Roman" w:eastAsia="Times New Roman" w:hAnsi="Times New Roman"/>
          <w:sz w:val="18"/>
          <w:szCs w:val="18"/>
          <w:color w:val="231F20"/>
        </w:rPr>
        <w:t xml:space="preserve"> for the six months ended June 30, 2024 compared to the six months ended June 30,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The increase reflects increased volume driven by our acquisition of Bakkt Crypto.</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Execution, Clearing and Brokerage Fees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60" w:type="dxa"/>
            <w:vAlign w:val="bottom"/>
          </w:tcPr>
          <w:p>
            <w:pPr>
              <w:spacing w:after="0"/>
              <w:rPr>
                <w:sz w:val="21"/>
                <w:szCs w:val="21"/>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Execution, clearing and brokerage fees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 xml:space="preserve">Execution, clearing and brokerage fees increased $6.8 million, or </w:t>
      </w:r>
      <w:r>
        <w:rPr>
          <w:rFonts w:ascii="Times New Roman" w:cs="Times New Roman" w:eastAsia="Times New Roman" w:hAnsi="Times New Roman"/>
          <w:sz w:val="18"/>
          <w:szCs w:val="18"/>
          <w:color w:val="000000"/>
        </w:rPr>
        <w:t>309.2%,</w:t>
      </w:r>
      <w:r>
        <w:rPr>
          <w:rFonts w:ascii="Times New Roman" w:cs="Times New Roman" w:eastAsia="Times New Roman" w:hAnsi="Times New Roman"/>
          <w:sz w:val="18"/>
          <w:szCs w:val="18"/>
          <w:color w:val="231F20"/>
        </w:rPr>
        <w:t xml:space="preserve"> during the six months ended June 30, 2024. The increase reflects increased volume driven by our acquisition of Bakkt Crypto.</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Compensation and Benefits</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Compensation and benefits decreased by $14.3 million, or 23.4%, for the six months ended June 30, 2024 compared to the six months ended June 30, 2023. The decrease was primarily due to decreases of $5.6 million in salaries and wages, $5.5 million in non-cash compensation and incentive bonuses, and $2.2 million in contract labor.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Professional Services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60" w:type="dxa"/>
            <w:vAlign w:val="bottom"/>
          </w:tcPr>
          <w:p>
            <w:pPr>
              <w:spacing w:after="0"/>
              <w:rPr>
                <w:sz w:val="21"/>
                <w:szCs w:val="21"/>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Professional services increased by $2.0 million, or 38.8%, for the six months ended June 30, 2024 compared to the six months ended June 30, 2023. The increase was primarily due to increases of $1.6 million in audit and tax fees and $0.4 million in legal fees.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Technology and Communication</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Communication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Technology and communications expense decreased by $0.7 million, or 6.8%, for the six months ended June 30, 2024 compared to the six months ended June 30, 2023. The decrease was primarily due to a decrease of $0.8 million in hardware and software license fees, partially offset by an increase of $0.1 million in telecommunications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Selling, General and Administrative</w:t>
            </w: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4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0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40" w:type="dxa"/>
            <w:vAlign w:val="bottom"/>
          </w:tcPr>
          <w:p>
            <w:pPr>
              <w:spacing w:after="0"/>
              <w:rPr>
                <w:sz w:val="21"/>
                <w:szCs w:val="21"/>
                <w:color w:val="auto"/>
              </w:rPr>
            </w:pPr>
          </w:p>
        </w:tc>
        <w:tc>
          <w:tcPr>
            <w:tcW w:w="2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14,275</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Selling, general and administrative costs decreased by $0.9 million, or 6.6%, for the six months ended June 30, 2024 compared to the six months ended June 30, 2023. The decrease was primarily due to a $1.8 million reduction of insurance expenses, partially offset by increases of $0.7 million in marketing and promotion costs and $0.2 million in non-recurring deal costs.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Acquisition-related Expenses</w:t>
            </w:r>
          </w:p>
        </w:tc>
        <w:tc>
          <w:tcPr>
            <w:tcW w:w="1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90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80" w:type="dxa"/>
            <w:vAlign w:val="bottom"/>
            <w:vMerge w:val="continue"/>
          </w:tcPr>
          <w:p>
            <w:pPr>
              <w:spacing w:after="0"/>
              <w:rPr>
                <w:sz w:val="21"/>
                <w:szCs w:val="21"/>
                <w:color w:val="auto"/>
              </w:rPr>
            </w:pPr>
          </w:p>
        </w:tc>
        <w:tc>
          <w:tcPr>
            <w:tcW w:w="19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1900" w:type="dxa"/>
            <w:vAlign w:val="bottom"/>
            <w:tcBorders>
              <w:top w:val="single" w:sz="8" w:color="auto"/>
            </w:tcBorders>
            <w:shd w:val="clear" w:color="auto" w:fill="CCEEFF"/>
          </w:tcPr>
          <w:p>
            <w:pPr>
              <w:jc w:val="right"/>
              <w:ind w:right="171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(17,726)</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 xml:space="preserve">Acquisition-related expenses decreased by $17.7 million for the six months ended June 30, 2024 compared to the six months ended June 30, 2023. Acquisition-related expenses for the six months ended June 30, 2024 primarily consist of changes in the fair value of the contingent consideration associated with the acquisition of Bakkt Crypto and </w:t>
      </w:r>
      <w:r>
        <w:rPr>
          <w:rFonts w:ascii="Times New Roman" w:cs="Times New Roman" w:eastAsia="Times New Roman" w:hAnsi="Times New Roman"/>
          <w:sz w:val="18"/>
          <w:szCs w:val="18"/>
          <w:color w:val="000000"/>
        </w:rPr>
        <w:t>fees for investment banking advisors, lawyers, accountants, tax advisors and public relations firms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related to the </w:t>
      </w:r>
      <w:r>
        <w:rPr>
          <w:rFonts w:ascii="Times New Roman" w:cs="Times New Roman" w:eastAsia="Times New Roman" w:hAnsi="Times New Roman"/>
          <w:sz w:val="18"/>
          <w:szCs w:val="18"/>
          <w:color w:val="231F20"/>
        </w:rPr>
        <w:t>acquisitions of Bakkt Crypto and Bakkt Brokerage.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8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Depreciation and Amortization</w:t>
            </w:r>
          </w:p>
        </w:tc>
        <w:tc>
          <w:tcPr>
            <w:tcW w:w="2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Depreciation and amortization decreased by $6.7 million, or 97.5%, for the six months ended June 30, 2024 compared to the six months ended June 30, 2023. The decrease was primarily due to lower net book values of intangible assets after impairments were recorded in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Related Party Expenses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4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8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40" w:type="dxa"/>
            <w:vAlign w:val="bottom"/>
          </w:tcPr>
          <w:p>
            <w:pPr>
              <w:spacing w:after="0"/>
              <w:rPr>
                <w:sz w:val="21"/>
                <w:szCs w:val="21"/>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Related party expenses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231F20"/>
        </w:rPr>
        <w:t>Related party expenses decreased by $1.8 million, or 85.8%, for the six months ended June 30, 2024 compared to the six months ended June 30, 2023. The decrease was due to the expiration of the ICE transition services agreement in December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Restructuring Expenses</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4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4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231F20"/>
        </w:rPr>
        <w:t xml:space="preserve">Restructuring expenses of </w:t>
      </w:r>
      <w:r>
        <w:rPr>
          <w:rFonts w:ascii="Times New Roman" w:cs="Times New Roman" w:eastAsia="Times New Roman" w:hAnsi="Times New Roman"/>
          <w:sz w:val="18"/>
          <w:szCs w:val="18"/>
          <w:color w:val="000000"/>
        </w:rPr>
        <w:t>$7.1 million</w:t>
      </w:r>
      <w:r>
        <w:rPr>
          <w:rFonts w:ascii="Times New Roman" w:cs="Times New Roman" w:eastAsia="Times New Roman" w:hAnsi="Times New Roman"/>
          <w:sz w:val="18"/>
          <w:szCs w:val="18"/>
          <w:color w:val="231F20"/>
        </w:rPr>
        <w:t xml:space="preserve"> during the six months ended June 30, 2024 consist of $4.9 million of accelerated vesting of non-cash compensation related to the termination of a former executive and certain employees and $2.2 million of severance costs.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Loss from Change in Fair Value of Warrant Liability</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18"/>
                <w:szCs w:val="18"/>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18"/>
                <w:szCs w:val="18"/>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18"/>
                <w:szCs w:val="18"/>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change in fair value of warrant liability</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We recorded a loss of $6.1 million during the six months ended June 30, 2024 for the change in fair value on the revaluation of our warrant liabilities associated with our public warrants and warrants from the Concurrent Offerings. We recorded a loss of </w:t>
      </w:r>
      <w:r>
        <w:rPr>
          <w:rFonts w:ascii="Times New Roman" w:cs="Times New Roman" w:eastAsia="Times New Roman" w:hAnsi="Times New Roman"/>
          <w:sz w:val="18"/>
          <w:szCs w:val="18"/>
          <w:color w:val="000000"/>
        </w:rPr>
        <w:t>$0.6 million</w:t>
      </w:r>
      <w:r>
        <w:rPr>
          <w:rFonts w:ascii="Times New Roman" w:cs="Times New Roman" w:eastAsia="Times New Roman" w:hAnsi="Times New Roman"/>
          <w:sz w:val="18"/>
          <w:szCs w:val="18"/>
          <w:color w:val="231F20"/>
        </w:rPr>
        <w:t xml:space="preserve"> during the six months ended June 30, 2023 for the change in fair value on the revaluation of</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329" w:lineRule="auto"/>
        <w:rPr>
          <w:sz w:val="20"/>
          <w:szCs w:val="20"/>
          <w:color w:val="auto"/>
        </w:rPr>
      </w:pPr>
      <w:r>
        <w:rPr>
          <w:rFonts w:ascii="Times New Roman" w:cs="Times New Roman" w:eastAsia="Times New Roman" w:hAnsi="Times New Roman"/>
          <w:sz w:val="18"/>
          <w:szCs w:val="18"/>
          <w:color w:val="231F20"/>
        </w:rPr>
        <w:t>our warrant liability associated with our public warrants. These are non-cash losses and gains and are driven by fluctuations in the market price of our public warrants and valuation of our warrants from the Concurrent Offerings.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Other Income, net</w:t>
            </w:r>
          </w:p>
        </w:tc>
        <w:tc>
          <w:tcPr>
            <w:tcW w:w="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24"/>
                <w:szCs w:val="24"/>
                <w:color w:val="auto"/>
              </w:rPr>
            </w:pPr>
          </w:p>
        </w:tc>
        <w:tc>
          <w:tcPr>
            <w:tcW w:w="20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2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9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2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60" w:type="dxa"/>
            <w:vAlign w:val="bottom"/>
          </w:tcPr>
          <w:p>
            <w:pPr>
              <w:spacing w:after="0"/>
              <w:rPr>
                <w:sz w:val="21"/>
                <w:szCs w:val="21"/>
                <w:color w:val="auto"/>
              </w:rPr>
            </w:pPr>
          </w:p>
        </w:tc>
        <w:tc>
          <w:tcPr>
            <w:tcW w:w="2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c>
          <w:tcPr>
            <w:tcW w:w="180" w:type="dxa"/>
            <w:vAlign w:val="bottom"/>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w w:val="99"/>
              </w:rPr>
              <w:t>n/m</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Other income, net primarily consists of non-operating gains and losses. During the six months ended June 30, 2024, we recognized income of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million </w:t>
      </w:r>
      <w:r>
        <w:rPr>
          <w:rFonts w:ascii="Times New Roman" w:cs="Times New Roman" w:eastAsia="Times New Roman" w:hAnsi="Times New Roman"/>
          <w:sz w:val="18"/>
          <w:szCs w:val="18"/>
          <w:color w:val="231F20"/>
        </w:rPr>
        <w:t>primarily related to foreign currency translation. During the six months ended June 30, 2023, we recognized a loss of $0.3 million primarily related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to foreign currency translation.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231F20"/>
              </w:rPr>
              <w:t>Income Tax Expense</w:t>
            </w: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60" w:type="dxa"/>
            <w:vAlign w:val="bottom"/>
          </w:tcPr>
          <w:p>
            <w:pPr>
              <w:spacing w:after="0"/>
              <w:rPr>
                <w:sz w:val="24"/>
                <w:szCs w:val="24"/>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80" w:type="dxa"/>
            <w:vAlign w:val="bottom"/>
          </w:tcPr>
          <w:p>
            <w:pPr>
              <w:spacing w:after="0"/>
              <w:rPr>
                <w:sz w:val="24"/>
                <w:szCs w:val="24"/>
                <w:color w:val="auto"/>
              </w:rPr>
            </w:pPr>
          </w:p>
        </w:tc>
        <w:tc>
          <w:tcPr>
            <w:tcW w:w="1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38"/>
        </w:trPr>
        <w:tc>
          <w:tcPr>
            <w:tcW w:w="39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260" w:type="dxa"/>
            <w:vAlign w:val="bottom"/>
          </w:tcPr>
          <w:p>
            <w:pPr>
              <w:spacing w:after="0"/>
              <w:rPr>
                <w:sz w:val="20"/>
                <w:szCs w:val="20"/>
                <w:color w:val="auto"/>
              </w:rPr>
            </w:pPr>
          </w:p>
        </w:tc>
        <w:tc>
          <w:tcPr>
            <w:tcW w:w="20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8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13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35.3 %</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Income tax expense during the six months ended June 30, 2024 primarily consists of current state tax expense related to certain state jurisdictions wherein we are required to file income tax returns. Income tax benefit during the six months ended June 30, 2023 primarily consists of current state tax expense related to certain state jurisdictions wherein we are required to file income tax returns.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As of June 30, 2024, we had $47.5 million and $34.0 million of cash and cash equivalents and restricted cash, respectively. Additionally, as of June 30, 2024, we had $13.2 million of available-for-sale debt securities that mature over the next one to four months. Cash and cash equivalents consist of cash deposits at banks and money market funds. Restricted cash is held to satisfy certain minimum capital requirements pursuant to regulatory requirements, or as collateral for insurance contracts and our purchasing card facility. Restricted cash decreased by $10.0 million in the second quarter of 2024 due to the reduction of insurance collateral requirements following the NYDFS approval of the merger of Bakkt Crypto Solutions and Bakkt Marketplace in March 2024.</w:t>
      </w:r>
    </w:p>
    <w:p>
      <w:pPr>
        <w:spacing w:after="0" w:line="178"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 xml:space="preserve">As discussed above, we consummated the Concurrent Offerings in March and April 2024. As of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we have raised net proceeds from the Concurrent Offerings of approximately $46.5 million, after deducting the placement agent’s fees and offering expenses payable by us.</w:t>
      </w:r>
    </w:p>
    <w:p>
      <w:pPr>
        <w:spacing w:after="0" w:line="14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On August 12, 2024, Bakkt and Opco executed the ICE Credit Facility, with certain subsidiaries of Bakkt to be party thereto from time to time, as guarantors, whereby the Lender agreed to provide for a $40.0 million secured revolving line of credit for working capital and general corporate purposes. Any borrowings under the facility made prior to December 31, 2024 require the consent of the Lender.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 after September 30, 2025, Opco can borrow up to an aggregate principal amount (excluding any capitalized interest) of $40.0 million. As of August 12, 2024, no loans were outstanding under the facility.</w:t>
      </w:r>
    </w:p>
    <w:p>
      <w:pPr>
        <w:spacing w:after="0" w:line="192"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Loans under the ICE Credit Facility do not amortize and mature on December 31, 2026. Borrowings under the ICE Credit Facility incur an interest rate equal to, at Opco’s election, either SOFR for a term of one, three or six months plus 12%, or the prime rate plus 11%. Interest is payable quarterly in arrears with respect to borrowings bearing interest at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w:t>
      </w:r>
    </w:p>
    <w:p>
      <w:pPr>
        <w:spacing w:after="0" w:line="173"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17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intend to use our unrestricted cash, inclusive of the net proceeds from the Concurrent Offerings, and proceeds from maturity of available-for-sale debt securities primarily to fund our day-to-day operations, including, but not limited to funding our regulatory capital requirements, compensating balance arrangements and other similar commitments, each of which is subject to change, and as available (i) activate new crypto clients, (ii) maintain our product development efforts, and (iii) optimize our technology infrastructure and operational support. We continue to evaluate our headcount and expense base. We completed a reduction in force on May 2, 2024, and may take further action to right-size headcount and expenses in 2024. Excluding the cash purchase price to acquire Bakkt Crypto Solutions in 2023, we expect our operating cash usage in 2024 (exclusive of potential acquisitions or other strategic initiatives) to decline from 2023 levels driven by the combined impact of increased revenue and expense reductions related to the completion of large-dollar investments in 2023 and benefits from restructuring actions. In addition, we may in the future enter into arrangem</w:t>
      </w:r>
      <w:r>
        <w:rPr>
          <w:rFonts w:ascii="Times New Roman" w:cs="Times New Roman" w:eastAsia="Times New Roman" w:hAnsi="Times New Roman"/>
          <w:sz w:val="18"/>
          <w:szCs w:val="18"/>
          <w:color w:val="231F20"/>
        </w:rPr>
        <w:t>ents to acquire or invest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complementary businesses, services, technologies or intellectual property rights. However, we have no agreements or commitments with respect to any such acquisitions or investments at this time. Our expected uses of available funds are based on our present plans, objectives and business condition. Based on fully implemented operating budgets and forecasts, which exclude forecasts for new products or markets, our cash and proceeds from the maturity of available for sale debt securities, along with the ICE Credit Facility, as of the date of the filing of this Report are estimated to fund our operations for at least 12 months.</w:t>
      </w:r>
    </w:p>
    <w:p>
      <w:pPr>
        <w:spacing w:after="0" w:line="18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Our future cash requirements will depend on many factors, including our revenue growth rate, the timing and extent of overhead, sales and marketing expenditures to support projected growth, and our ability to limit our software development investments to features and functionality with a clear line of sight to revenue generation. We made substantial investments in our platforms in 2023, which we expect will enable us to simplify our organization and focus on the core capabilities that are critical to our strategy.</w:t>
      </w:r>
    </w:p>
    <w:p>
      <w:pPr>
        <w:spacing w:after="0" w:line="173"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Our losses and projected cash needs, combined with our liquidity level, initially raised substantial doubt about our ability to continue as a going concern in the third quarter of 2023, which we alleviated through management plans which emphasized reducing headcount and other cost cutting measures. In connection with the filing of subsequent amendments thereto, we disclosed that without additional equity financing we could not conclude that we could maintain our operations for a period of at least 12 months from the dates of such amendment filings. We subsequently closed on the Concurrent Offerings that, when considered with management’s other plans, resulted in management concluding that, notwithstanding the initial doubt that was raised, management’s plans were expected to alleviate substantial doubt. As of the date of this filing, management believes the expected impact on our liquidity and cash flows resulting from the operational initiatives outlined above are probable of occurring, if not already completed as discussed above, and along with the amounts available for borrowing under the ICE Credit Facility are sufficient to enable us to meet our obligations for at least 12 months from the date the consolidated financial statements in this Report are issued. However, there are certain risks associated with this determination. Please see “</w:t>
      </w:r>
      <w:r>
        <w:rPr>
          <w:rFonts w:ascii="Times New Roman" w:cs="Times New Roman" w:eastAsia="Times New Roman" w:hAnsi="Times New Roman"/>
          <w:sz w:val="18"/>
          <w:szCs w:val="18"/>
          <w:i w:val="1"/>
          <w:iCs w:val="1"/>
          <w:color w:val="auto"/>
        </w:rPr>
        <w:t>Risk Factors - Risks Related to Our Business, Finance and Operations—We might not be able to continue as a going concern</w:t>
      </w:r>
      <w:r>
        <w:rPr>
          <w:rFonts w:ascii="Times New Roman" w:cs="Times New Roman" w:eastAsia="Times New Roman" w:hAnsi="Times New Roman"/>
          <w:sz w:val="18"/>
          <w:szCs w:val="18"/>
          <w:color w:val="auto"/>
        </w:rPr>
        <w:t>.” in our Annual Report on Form 10-K filed with the SEC on March 25, 2024 (our "Form 10-K") for more information.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tcPr>
          <w:p>
            <w:pPr>
              <w:ind w:left="660"/>
              <w:spacing w:after="0"/>
              <w:rPr>
                <w:sz w:val="20"/>
                <w:szCs w:val="20"/>
                <w:color w:val="auto"/>
              </w:rPr>
            </w:pPr>
            <w:r>
              <w:rPr>
                <w:rFonts w:ascii="Times New Roman" w:cs="Times New Roman" w:eastAsia="Times New Roman" w:hAnsi="Times New Roman"/>
                <w:sz w:val="18"/>
                <w:szCs w:val="18"/>
                <w:color w:val="231F20"/>
              </w:rPr>
              <w:t>The following table summarizes our cash flows for the periods presented (</w:t>
            </w:r>
            <w:r>
              <w:rPr>
                <w:rFonts w:ascii="Times New Roman" w:cs="Times New Roman" w:eastAsia="Times New Roman" w:hAnsi="Times New Roman"/>
                <w:sz w:val="18"/>
                <w:szCs w:val="18"/>
                <w:color w:val="000000"/>
              </w:rPr>
              <w:t>in thousands)</w:t>
            </w:r>
            <w:r>
              <w:rPr>
                <w:rFonts w:ascii="Times New Roman" w:cs="Times New Roman" w:eastAsia="Times New Roman" w:hAnsi="Times New Roman"/>
                <w:sz w:val="18"/>
                <w:szCs w:val="18"/>
                <w:color w:val="231F20"/>
              </w:rPr>
              <w:t>:</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446"/>
        </w:trPr>
        <w:tc>
          <w:tcPr>
            <w:tcW w:w="7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24"/>
                <w:szCs w:val="24"/>
                <w:color w:val="auto"/>
              </w:rPr>
            </w:pPr>
          </w:p>
        </w:tc>
        <w:tc>
          <w:tcPr>
            <w:tcW w:w="15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41"/>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5"/>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(78,486)</w:t>
            </w:r>
          </w:p>
        </w:tc>
      </w:tr>
      <w:tr>
        <w:trPr>
          <w:trHeight w:val="229"/>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75,116</w:t>
            </w:r>
          </w:p>
        </w:tc>
      </w:tr>
      <w:tr>
        <w:trPr>
          <w:trHeight w:val="23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Operating Activities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Since our inception, we have yet to achieve positive cash flow from operations. Our primary uses of cash include compensation and benefits for headcount-related expenses, investment in software and product development of our technology platforms, and associated non-headcount technology and communication cost to develop, operate and support our customer-facing technology platforms.</w:t>
      </w:r>
    </w:p>
    <w:p>
      <w:pPr>
        <w:spacing w:after="0" w:line="16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 xml:space="preserve">Net cash flows used in operating activities of $27.5 million for the six months ended June 30, 2024 was primarily related to our net loss of $56.8 million, offset by net cash inflows resulting from changes in our operating assets and liabilities of $11.3 million and non-cash charges of $17.9 million. Net cash inflows from changes in our operating assets and liabilities for the six months ended June 30, 2024 resulted primarily from a </w:t>
      </w:r>
      <w:r>
        <w:rPr>
          <w:rFonts w:ascii="Times New Roman" w:cs="Times New Roman" w:eastAsia="Times New Roman" w:hAnsi="Times New Roman"/>
          <w:sz w:val="18"/>
          <w:szCs w:val="18"/>
          <w:color w:val="000000"/>
        </w:rPr>
        <w:t>$20.4 million</w:t>
      </w:r>
      <w:r>
        <w:rPr>
          <w:rFonts w:ascii="Times New Roman" w:cs="Times New Roman" w:eastAsia="Times New Roman" w:hAnsi="Times New Roman"/>
          <w:sz w:val="18"/>
          <w:szCs w:val="18"/>
          <w:color w:val="231F20"/>
        </w:rPr>
        <w:t xml:space="preserve"> increase in customer funds and a decrease in prepaid insurance of $7.1 million, partially offset by a decrease of accounts payable and accrued liabilities of $16.1 million. The non-cash charges primarily consisted of share-based compensation of $10.4 million, loss from change in fair value of warrant liability of </w:t>
      </w:r>
      <w:r>
        <w:rPr>
          <w:rFonts w:ascii="Times New Roman" w:cs="Times New Roman" w:eastAsia="Times New Roman" w:hAnsi="Times New Roman"/>
          <w:sz w:val="18"/>
          <w:szCs w:val="18"/>
          <w:color w:val="000000"/>
        </w:rPr>
        <w:t>$6.1</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million</w:t>
      </w:r>
      <w:r>
        <w:rPr>
          <w:rFonts w:ascii="Times New Roman" w:cs="Times New Roman" w:eastAsia="Times New Roman" w:hAnsi="Times New Roman"/>
          <w:sz w:val="18"/>
          <w:szCs w:val="18"/>
          <w:color w:val="231F20"/>
        </w:rPr>
        <w:t>, and non-cash lease expense of</w:t>
      </w:r>
      <w:r>
        <w:rPr>
          <w:rFonts w:ascii="Times New Roman" w:cs="Times New Roman" w:eastAsia="Times New Roman" w:hAnsi="Times New Roman"/>
          <w:sz w:val="18"/>
          <w:szCs w:val="18"/>
          <w:color w:val="000000"/>
        </w:rPr>
        <w:t xml:space="preserve"> $1.0 million</w:t>
      </w:r>
      <w:r>
        <w:rPr>
          <w:rFonts w:ascii="Times New Roman" w:cs="Times New Roman" w:eastAsia="Times New Roman" w:hAnsi="Times New Roman"/>
          <w:sz w:val="18"/>
          <w:szCs w:val="18"/>
          <w:color w:val="231F20"/>
        </w:rPr>
        <w:t>.</w:t>
      </w:r>
    </w:p>
    <w:p>
      <w:pPr>
        <w:spacing w:after="0" w:line="191"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Net cash flows used in operating activities of $78.5 million for the six months ended June 30, 2023 was primarily related to our net loss of $95.4 million and net cash outflows resulting from changes in our operating assets and liabilities of $4.5 million, offset by non-cash charges of $21.4 million. Net cash outflows from changes in our operating assets and liabilities for the six months ended June 30, 2023 resulted primarily from a $11.1 million decrease of accounts payable and accrued liabilities, which was partially offset by a decrease in prepaid insurance of $6.9 million. The non-cash charges primarily consisted of share-based compensation of $11.3 million and depreciation and amortization of $6.9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Investing Activities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Net cash flows provided by investing activities of $2.0 million for the six months ended June 30, 2024 consisted of the receipt of $22.2 million of proceeds from the sale of available-for-sale securities, partially offset by the purchase of $18.0 million of available-for-sale debt securities and $2.2 million of capitalized costs of internally developed software for our technology platforms.</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231F20"/>
        </w:rPr>
        <w:t>Net cash flows provided by investing activities of $75.1 million for the six months ended June 30, 2023 consisted of the receipt of $153.2 million of proceeds from the sale of available-for-sale securities, partially offset by the purchase of $27.0 million of available-for-sale debt securities, $6.0 million of capitalized costs of internally developed software for our technology platforms, $44.4 million net cash used to acquire Bakkt Crypto and $0.6 million cash used to acquire Bakkt Brokerage.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Financing Activities</w:t>
      </w:r>
    </w:p>
    <w:p>
      <w:pPr>
        <w:spacing w:after="0" w:line="27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 xml:space="preserve">Net cash flows provided by financing activities of </w:t>
      </w:r>
      <w:r>
        <w:rPr>
          <w:rFonts w:ascii="Times New Roman" w:cs="Times New Roman" w:eastAsia="Times New Roman" w:hAnsi="Times New Roman"/>
          <w:sz w:val="18"/>
          <w:szCs w:val="18"/>
          <w:color w:val="000000"/>
        </w:rPr>
        <w:t>$44.2 million</w:t>
      </w:r>
      <w:r>
        <w:rPr>
          <w:rFonts w:ascii="Times New Roman" w:cs="Times New Roman" w:eastAsia="Times New Roman" w:hAnsi="Times New Roman"/>
          <w:sz w:val="18"/>
          <w:szCs w:val="18"/>
          <w:color w:val="231F20"/>
        </w:rPr>
        <w:t xml:space="preserve"> during the six months ended June 30, 2024 primarily consisted of </w:t>
      </w:r>
      <w:r>
        <w:rPr>
          <w:rFonts w:ascii="Times New Roman" w:cs="Times New Roman" w:eastAsia="Times New Roman" w:hAnsi="Times New Roman"/>
          <w:sz w:val="18"/>
          <w:szCs w:val="18"/>
          <w:color w:val="000000"/>
        </w:rPr>
        <w:t>$46.5 million</w:t>
      </w:r>
      <w:r>
        <w:rPr>
          <w:rFonts w:ascii="Times New Roman" w:cs="Times New Roman" w:eastAsia="Times New Roman" w:hAnsi="Times New Roman"/>
          <w:sz w:val="18"/>
          <w:szCs w:val="18"/>
          <w:color w:val="231F20"/>
        </w:rPr>
        <w:t xml:space="preserve"> in proceeds from our Concurrent Offerings, partially offset by the repurchase and retirement of </w:t>
      </w:r>
      <w:r>
        <w:rPr>
          <w:rFonts w:ascii="Times New Roman" w:cs="Times New Roman" w:eastAsia="Times New Roman" w:hAnsi="Times New Roman"/>
          <w:sz w:val="18"/>
          <w:szCs w:val="18"/>
          <w:color w:val="000000"/>
        </w:rPr>
        <w:t>$2.3 million of Class A Common Stock</w:t>
      </w:r>
      <w:r>
        <w:rPr>
          <w:rFonts w:ascii="Times New Roman" w:cs="Times New Roman" w:eastAsia="Times New Roman" w:hAnsi="Times New Roman"/>
          <w:sz w:val="18"/>
          <w:szCs w:val="18"/>
          <w:color w:val="231F20"/>
        </w:rPr>
        <w:t xml:space="preserve"> that was withheld from vested equity grants.</w:t>
      </w:r>
    </w:p>
    <w:p>
      <w:pPr>
        <w:spacing w:after="0" w:line="18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Net cash flows used in financing activities of $2.5 million during the six months ended June 30, 2023 resulted from the repurchase and retirement of Class A Common Stock that was withheld from vested equity grants.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Tax Receivable Agreement</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Concurrently with the completion of the VIH Business Combination, we entered into a Tax Receivable Agreement ("TRA") with certain Opco Equity Holders. Pursuant to the TRA, among other things, holders of Opco Common Units may, subject to certain conditions, from and after April 16, 2022, exchange such Opco Common Units (along with a corresponding number of shares of our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Internal Revenue Code for each taxable year in which an exchange of Opco Common Units for Class A Common Stock (or cash) occurs.</w:t>
      </w:r>
    </w:p>
    <w:p>
      <w:pPr>
        <w:spacing w:after="0" w:line="193"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169"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The TRA provides for the payment by us to exchanging holders of Opco Common Units of 85% of certain net income tax benefits, if any, that we realize (or in certain cases is deemed to realize) as a result of these increases in tax basis related to entering into the TRA, including tax benefits attributable to payments under the TRA. This payment obligation is an obligation of the Company and not of Opco. For purposes of the TRA, the cash tax savings in income tax will be computed by comparing our actual income tax liability (calculated with certain assumptions) to the amount of such taxes that we would have been required to pay had there been no increase to the tax basis of the assets of Opco as a result of Opco having an election in effect under Section 754 of the Code for each taxable year in which an exchange of Opco Common Units for Class A Common Stock occurs and had we not entered into the TRA. Such change will be calculated under the TRA without regard to any transfers of Opco Common Units or distributions with respect to such Opco Common Units before the exchange under the Exchange Agreement to which Section 743(b) or 734(b) of the Code applies. As of June 30, 2024, 1,043,210 Opco Common Units were exchanged for Class A Common Stock. Based on our history of taxable losses, we have concluded that it is not probable to expect cash tax payments in the foreseeable future and as such, no value has been recorded under the TRA.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Contractual Obligations and Commitments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 xml:space="preserve">The following is a summary of our significant contractual obligations and commitments as of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31F20"/>
        </w:rPr>
        <w:t xml:space="preserve">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9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r>
      <w:tr>
        <w:trPr>
          <w:trHeight w:val="277"/>
        </w:trPr>
        <w:tc>
          <w:tcPr>
            <w:tcW w:w="35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Less than 1 year</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16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More than 5 years</w:t>
            </w:r>
          </w:p>
        </w:tc>
        <w:tc>
          <w:tcPr>
            <w:tcW w:w="3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50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Purchase obligations</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r>
      <w:tr>
        <w:trPr>
          <w:trHeight w:val="230"/>
        </w:trPr>
        <w:tc>
          <w:tcPr>
            <w:tcW w:w="35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Future minimum operating lease payments</w:t>
            </w:r>
            <w:r>
              <w:rPr>
                <w:rFonts w:ascii="Times New Roman" w:cs="Times New Roman" w:eastAsia="Times New Roman" w:hAnsi="Times New Roman"/>
                <w:sz w:val="23"/>
                <w:szCs w:val="23"/>
                <w:color w:val="auto"/>
                <w:vertAlign w:val="superscript"/>
              </w:rPr>
              <w:t>(2)</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5,055</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8,771</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6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8,748</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30,230</w:t>
            </w:r>
          </w:p>
        </w:tc>
      </w:tr>
      <w:tr>
        <w:trPr>
          <w:trHeight w:val="223"/>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11,155</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w:t>
            </w:r>
          </w:p>
        </w:tc>
        <w:tc>
          <w:tcPr>
            <w:tcW w:w="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8,748</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46,830</w:t>
            </w:r>
          </w:p>
        </w:tc>
      </w:tr>
    </w:tbl>
    <w:p>
      <w:pPr>
        <w:spacing w:after="0" w:line="292" w:lineRule="exact"/>
        <w:rPr>
          <w:sz w:val="20"/>
          <w:szCs w:val="20"/>
          <w:color w:val="auto"/>
        </w:rPr>
      </w:pPr>
    </w:p>
    <w:p>
      <w:pPr>
        <w:ind w:left="340" w:right="580" w:hanging="332"/>
        <w:spacing w:after="0" w:line="254" w:lineRule="auto"/>
        <w:tabs>
          <w:tab w:leader="none" w:pos="32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Represents minimum commitment payments under a four-year cloud computing arrangement and a separate five-year marketing partnership. In December 2023, we agreed to amend the cloud computing arrangement and extended the payment period for an additional year.</w:t>
      </w: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rental payments under operating leases with remaining non-cancellable terms in excess of one year.</w:t>
      </w:r>
    </w:p>
    <w:p>
      <w:pPr>
        <w:spacing w:after="0" w:line="26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On April 7, 2022, we entered into a corporate card services agreement with Bank of America to provide a purchasing card facility that we utilize for redemption purchases made from vendors as part of our loyalty redemption platform. Total borrowing capacity under the facility is $35.0 million and there is no defined maturity date. Expenditures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made using the purchasing card facility are payable at least bi-monthly, are not subject to formula-based restrictions and do not bear interest if amounts outstanding are paid when due and in full. The purchasing card facility requires us to maintain a concentration account with the lender subject to a minimum liquidity maintenance requirement of $7.0 million along with the accounts receivable of our subsidiary, within the loyalty business. Bakkt Holdings, Inc. serves as the guarantor on behalf of our subsidiary under the commercial purchasing card facility. We began using the purchasing card facility in August 2022.</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March 2024, Bank of America required us to pledge as collateral the amounts which were previously required to be maintained in the concentration account. In April 2024, Bank of America reduced our credit line associated with the purchasing card facility from $35.0 million to $20.0 million.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Non-GAAP Financial Measures</w:t>
      </w:r>
    </w:p>
    <w:p>
      <w:pPr>
        <w:spacing w:after="0" w:line="270"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231F20"/>
        </w:rPr>
        <w:t>We use non-GAAP financial measures to assist in comparing our performance on a consistent basis for purposes of business decision-making by removing the impact of certain items that management believes do not directly reflect our core operations. We believe that presenting non-GAAP financial measures is useful to investors because it (a) provides investors with meaningful supplemental information regarding financial performance by excluding certain items that we believe do not directly reflect our core operations, (b) permits investors to view performance using the same tools that we use to budget, forecast, make operating and strategic decisions, and evaluate historical performance, and (c) otherwise provides supplemental information that may be useful to investors in evaluating our results.</w:t>
      </w:r>
    </w:p>
    <w:p>
      <w:pPr>
        <w:spacing w:after="0" w:line="19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We believe that the presentation of the following non-GAAP financial measures, when considered together with the corresponding GAAP financial measures and the reconciliations to those measures provided herein, provides investors with an additional understanding of the factors and trends affecting our business that could not be obtained absent these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Adjusted EBITDA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231F20"/>
        </w:rPr>
        <w:t>We present Adjusted EBITDA as a non-GAAP financial measure.</w:t>
      </w:r>
    </w:p>
    <w:p>
      <w:pPr>
        <w:spacing w:after="0" w:line="26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231F20"/>
        </w:rPr>
        <w:t>We believe that Adjusted EBITDA provides relevant and useful information, which is used by management in assessing the performance of our business. Adjusted EBITDA is defined as earnings before interest, income taxes, depreciation, amortization, acquisition-related expenses, share-based and unit-based compensation expense, goodwill and intangible assets impairments, restructuring charges, changes in the fair value of our warrant liability and certain other non-cash and/or non-recurring items that do not contribute directly to our evaluation of operating results and are not components of our core business operations. Adjusted EBITDA provides management with an understanding of earnings before the impact of investing and financing transactions and income taxes, and the effects of aforementioned items that do not reflect the ordinary earnings of our operations. This measure may be useful to an investor in evaluating our performance. Adjusted EBITDA is not a measure of our financial performance under GAAP and should not be considered as an alternative to net income (loss) or other performance measures derived in accordance with GAAP. Our definition of Adjusted EBITDA may not be comparable to similarly titled measures used by other companies.</w:t>
      </w:r>
    </w:p>
    <w:p>
      <w:pPr>
        <w:spacing w:after="0" w:line="18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Non-GAAP financial measures like Adjusted EBITDA have limitations, should be considered as supplemental in nature and are not meant as a substitute for the related financial information prepared in accordance with GAAP. The non-GAAP financial measures should be considered alongside other financial performance measures, including net loss and our other financial results presented in accordance with GAAP.</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firstLine="648"/>
        <w:spacing w:after="0" w:line="329" w:lineRule="auto"/>
        <w:rPr>
          <w:sz w:val="20"/>
          <w:szCs w:val="20"/>
          <w:color w:val="auto"/>
        </w:rPr>
      </w:pPr>
      <w:r>
        <w:rPr>
          <w:rFonts w:ascii="Times New Roman" w:cs="Times New Roman" w:eastAsia="Times New Roman" w:hAnsi="Times New Roman"/>
          <w:sz w:val="18"/>
          <w:szCs w:val="18"/>
          <w:color w:val="231F20"/>
        </w:rPr>
        <w:t>The following table presents a reconciliation of net loss, the most directly comparable GAAP operating performance measure, to our Adjusted EBITDA for each of the periods indicated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17"/>
                <w:szCs w:val="17"/>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20" w:type="dxa"/>
            <w:vAlign w:val="bottom"/>
          </w:tcPr>
          <w:p>
            <w:pPr>
              <w:spacing w:after="0"/>
              <w:rPr>
                <w:sz w:val="17"/>
                <w:szCs w:val="17"/>
                <w:color w:val="auto"/>
              </w:rPr>
            </w:pPr>
          </w:p>
        </w:tc>
        <w:tc>
          <w:tcPr>
            <w:tcW w:w="15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1"/>
        </w:trPr>
        <w:tc>
          <w:tcPr>
            <w:tcW w:w="4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20" w:type="dxa"/>
            <w:vAlign w:val="bottom"/>
          </w:tcPr>
          <w:p>
            <w:pPr>
              <w:spacing w:after="0"/>
              <w:rPr>
                <w:sz w:val="20"/>
                <w:szCs w:val="20"/>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20" w:type="dxa"/>
            <w:vAlign w:val="bottom"/>
          </w:tcPr>
          <w:p>
            <w:pPr>
              <w:spacing w:after="0"/>
              <w:rPr>
                <w:sz w:val="20"/>
                <w:szCs w:val="20"/>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120" w:type="dxa"/>
            <w:vAlign w:val="bottom"/>
          </w:tcPr>
          <w:p>
            <w:pPr>
              <w:spacing w:after="0"/>
              <w:rPr>
                <w:sz w:val="20"/>
                <w:szCs w:val="20"/>
                <w:color w:val="auto"/>
              </w:rPr>
            </w:pPr>
          </w:p>
        </w:tc>
        <w:tc>
          <w:tcPr>
            <w:tcW w:w="15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June 30, 2023</w:t>
            </w:r>
          </w:p>
        </w:tc>
      </w:tr>
      <w:tr>
        <w:trPr>
          <w:trHeight w:val="225"/>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(95,366)</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 net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(2,326)</w:t>
            </w:r>
          </w:p>
        </w:tc>
      </w:tr>
      <w:tr>
        <w:trPr>
          <w:trHeight w:val="230"/>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(90,638)</w:t>
            </w:r>
          </w:p>
        </w:tc>
      </w:tr>
      <w:tr>
        <w:trPr>
          <w:trHeight w:val="230"/>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17,792</w:t>
            </w:r>
          </w:p>
        </w:tc>
      </w:tr>
      <w:tr>
        <w:trPr>
          <w:trHeight w:val="22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and unit-based compensation expense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12,273</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from change in fair value of warrant liability</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Shelf registration expenses</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29"/>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Transition services expense</w:t>
            </w: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r>
      <w:tr>
        <w:trPr>
          <w:trHeight w:val="248"/>
        </w:trPr>
        <w:tc>
          <w:tcPr>
            <w:tcW w:w="4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loss</w:t>
            </w: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(53,347)</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Adjusted EBITDA loss for the three months ended June 30, 2024 decreased by $6.6 million or 26.9% as compared to the three months ended June 30, 2023. The decreased loss was primarily due to the contribution of increased revenues, a $2.7 million decrease in compensation and benefits expense and a $2.1 million decrease in selling, general and administrative expenses.</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231F20"/>
        </w:rPr>
        <w:t>Adjusted EBITDA loss for the six months ended June 30, 2024 decreased by $19.2 million or 35.9% as compared to the six months ended June 30, 2023. The decreased loss was primarily due to the contribution of increased revenues and a $12.4 million decrease in compensation and benefits expense.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Our consolidated financial statements are prepared in accordance with GAAP, which requires us to make estimates and apply judgments that affect the reported amounts. In our notes to the unaudited consolidated financial statements, we describe the significant accounting policies used in preparing the consolidated financial statements. Our management has discussed the development, selection, and disclosure of our critical accounting policies and estimates with the Audit Committee of our Board of Directors. For further information about our critical accounting policies and estimates, refer to “</w:t>
      </w:r>
      <w:r>
        <w:rPr>
          <w:rFonts w:ascii="Times New Roman" w:cs="Times New Roman" w:eastAsia="Times New Roman" w:hAnsi="Times New Roman"/>
          <w:sz w:val="18"/>
          <w:szCs w:val="18"/>
          <w:i w:val="1"/>
          <w:iCs w:val="1"/>
          <w:color w:val="231F20"/>
        </w:rPr>
        <w:t>Item 7.</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Management’s Discussion and Analysis of Financial Condition and Results of Operations</w:t>
      </w:r>
      <w:r>
        <w:rPr>
          <w:rFonts w:ascii="Times New Roman" w:cs="Times New Roman" w:eastAsia="Times New Roman" w:hAnsi="Times New Roman"/>
          <w:sz w:val="18"/>
          <w:szCs w:val="18"/>
          <w:color w:val="231F20"/>
        </w:rPr>
        <w:t>” in our Form 10-K. There have been no material changes to our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critical accounting policies and estimates since our Form 10-K.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Use of Estimates</w:t>
      </w:r>
    </w:p>
    <w:p>
      <w:pPr>
        <w:spacing w:after="0" w:line="25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 xml:space="preserve">The preparation of consolidated financial statements in conformity with U.S. GAAP requires management to make estimates and assumptions that affect the amounts reported in our consolidated financial statements and accompanying notes. We base our estimates and assumptions on various judgments that we believe to be reasonable under the circumstances. </w:t>
      </w:r>
      <w:r>
        <w:rPr>
          <w:rFonts w:ascii="Times New Roman" w:cs="Times New Roman" w:eastAsia="Times New Roman" w:hAnsi="Times New Roman"/>
          <w:sz w:val="18"/>
          <w:szCs w:val="18"/>
          <w:color w:val="231F20"/>
        </w:rPr>
        <w:t>The significant estimates and assumptions that affect the financial statements may include, but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are not limited to, going concern, those that are related to income tax valuation allowances, useful lives of intangible assets and property, equipment and software, fair value of financial assets and liabilities, determining provision for credit losses, valuation of acquired tangible and intangible assets, the impairment of intangible assets and goodwill, and fair market value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231F20"/>
        </w:rPr>
        <w:t>of Bakkt common units, incentive units and participation units. Actual results and outcomes may differ from management's estimates and assumptions and such differences may be material to our consolidated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and Adopted Accounting Pronouncements</w:t>
      </w:r>
    </w:p>
    <w:p>
      <w:pPr>
        <w:spacing w:after="0" w:line="270"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231F20"/>
        </w:rPr>
        <w:t xml:space="preserve">Recently issued and adopted accounting pronouncements are described in Note 2 in the unaudited consolidated financial statements </w:t>
      </w:r>
      <w:r>
        <w:rPr>
          <w:rFonts w:ascii="Times New Roman" w:cs="Times New Roman" w:eastAsia="Times New Roman" w:hAnsi="Times New Roman"/>
          <w:sz w:val="18"/>
          <w:szCs w:val="18"/>
          <w:color w:val="000000"/>
        </w:rPr>
        <w:t>included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this Report</w:t>
      </w:r>
      <w:r>
        <w:rPr>
          <w:rFonts w:ascii="Times New Roman" w:cs="Times New Roman" w:eastAsia="Times New Roman" w:hAnsi="Times New Roman"/>
          <w:sz w:val="18"/>
          <w:szCs w:val="18"/>
          <w:color w:val="231F20"/>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5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 13a-15(e) and 15d-15(e) under the Exchange Act) as of the end of the period covered by this Report. Our disclosure controls and procedures are designed to provide reasonable assurance that the information required to be disclosed by us in reports that we file under the Exchange Act is accumulated and communicated to management, including our Chief Executive Officer (principal executive officer) and Chief Financial Officer (principal financial officer), as appropriate, to allow timely decisions regarding required disclosure and is recorded, processed, summarized, and reported within the time periods specified in the rules and forms of the SEC. Based on the evaluation of our disclosure controls and procedures, our Chief Executive Officer and Chief Financial Officer have concluded that as of June 30, 2024, our disclosure controls and procedures were not effective because of the previously identified material weakness in our internal control over financial reporting described further below.</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Previously Reported Material Weakness</w:t>
      </w:r>
    </w:p>
    <w:p>
      <w:pPr>
        <w:spacing w:after="0" w:line="25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 xml:space="preserve">As previously disclosed in Part I, Item 4, "Controls and Procedures" of our </w:t>
      </w:r>
      <w:r>
        <w:rPr>
          <w:rFonts w:ascii="Times New Roman" w:cs="Times New Roman" w:eastAsia="Times New Roman" w:hAnsi="Times New Roman"/>
          <w:sz w:val="18"/>
          <w:szCs w:val="18"/>
          <w:color w:val="231F20"/>
        </w:rPr>
        <w:t>Quarterly Report on Form 10-Q for the quarter ended</w:t>
      </w:r>
      <w:r>
        <w:rPr>
          <w:rFonts w:ascii="Times New Roman" w:cs="Times New Roman" w:eastAsia="Times New Roman" w:hAnsi="Times New Roman"/>
          <w:sz w:val="18"/>
          <w:szCs w:val="18"/>
          <w:color w:val="auto"/>
        </w:rPr>
        <w:t xml:space="preserve"> March 31,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w:t>
      </w:r>
    </w:p>
    <w:p>
      <w:pPr>
        <w:spacing w:after="0" w:line="18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Notwithstanding such material weakness, our management believes that our financial statements included in this Report present fairly, in all material respects, our financial position, results of operations and cash flows for the periods presented in accordance with U.S. GAAP.</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Status of Material Weakness</w:t>
      </w:r>
    </w:p>
    <w:p>
      <w:pPr>
        <w:spacing w:after="0" w:line="229"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We are continuing to design and implement measures to remediate this material weakness and improve our overall internal control environment. As of the date of this filing, we have designed and implemented enhanced management review procedures to validate the compliance of third-party valuation specialist's assumptions with U.S. GAAP and to evaluate the appropriateness of significant unobservable inputs used to measure fair value. Additionally, we have expanded and enhanced existing documentation to demonstrate the level of precision and procedures performed in our review of work prepared by a third-party valuation specialist.</w:t>
      </w:r>
    </w:p>
    <w:p>
      <w:pPr>
        <w:spacing w:after="0" w:line="191"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These actions are subject to an ongoing management review and the oversight of our Board of Directors and its Audit and Risk Committee. The material weakness cannot be considered remediated until the applicable remedial controls operate for a sufficient period of time and our management has concluded, through testing, that these controls are operating</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59" w:name="page60"/>
    <w:bookmarkEnd w:id="59"/>
    <w:p>
      <w:pPr>
        <w:jc w:val="both"/>
        <w:spacing w:after="0" w:line="329" w:lineRule="auto"/>
        <w:rPr>
          <w:sz w:val="20"/>
          <w:szCs w:val="20"/>
          <w:color w:val="auto"/>
        </w:rPr>
      </w:pPr>
      <w:r>
        <w:rPr>
          <w:rFonts w:ascii="Times New Roman" w:cs="Times New Roman" w:eastAsia="Times New Roman" w:hAnsi="Times New Roman"/>
          <w:sz w:val="18"/>
          <w:szCs w:val="18"/>
          <w:color w:val="auto"/>
        </w:rPr>
        <w:t>effectively. We will continue to monitor the design and effectiveness of these and other processes, procedures and controls and implement any additional measures our management deems appropriate.</w:t>
      </w:r>
    </w:p>
    <w:p>
      <w:pPr>
        <w:spacing w:after="0" w:line="14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our management recognizes that a system of controls, no matter how well designed and operated, can provide only reasonable, not absolute, assurance of achieving the desired control objectives. Because of the inherent limitations in all control systems, no evaluation of controls can provide absolute assurance that all control issues have been detected. The design of any control system is based in part on certain assumptions about the likelihood of future events, and there can be no assurance that any design will succeed in achieving its stated goals under all potential future conditions.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 xml:space="preserve">Except as described above, there were no changes to our internal control over financial reporting (as defined in Rule 13a-15(f) and Rule 15d-15(f) under the Exchange Act) during the quarter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xml:space="preserve"> that have materially affected, or are reasonably likely to materially affect, our internal control over financial reporting.</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70" w:lineRule="exact"/>
        <w:rPr>
          <w:sz w:val="20"/>
          <w:szCs w:val="20"/>
          <w:color w:val="auto"/>
        </w:rPr>
      </w:pPr>
    </w:p>
    <w:p>
      <w:pPr>
        <w:jc w:val="both"/>
        <w:ind w:right="20" w:firstLine="648"/>
        <w:spacing w:after="0" w:line="305" w:lineRule="auto"/>
        <w:rPr>
          <w:sz w:val="20"/>
          <w:szCs w:val="20"/>
          <w:color w:val="auto"/>
        </w:rPr>
      </w:pPr>
      <w:r>
        <w:rPr>
          <w:rFonts w:ascii="Times New Roman" w:cs="Times New Roman" w:eastAsia="Times New Roman" w:hAnsi="Times New Roman"/>
          <w:sz w:val="18"/>
          <w:szCs w:val="18"/>
          <w:color w:val="auto"/>
        </w:rPr>
        <w:t>From time to time we are subject to legal proceedings and claims arising in the ordinary course of business. Based on our current knowledge, we believe that the amount or range of reasonably possible losses will not, either individually or in the aggregate, have a material adverse effect on our business, results of operations, or financial condition.</w:t>
      </w:r>
    </w:p>
    <w:p>
      <w:pPr>
        <w:spacing w:after="0" w:line="169" w:lineRule="exact"/>
        <w:rPr>
          <w:sz w:val="20"/>
          <w:szCs w:val="20"/>
          <w:color w:val="auto"/>
        </w:rPr>
      </w:pPr>
    </w:p>
    <w:p>
      <w:pPr>
        <w:jc w:val="both"/>
        <w:ind w:firstLine="648"/>
        <w:spacing w:after="0" w:line="301" w:lineRule="auto"/>
        <w:rPr>
          <w:sz w:val="20"/>
          <w:szCs w:val="20"/>
          <w:color w:val="auto"/>
        </w:rPr>
      </w:pPr>
      <w:r>
        <w:rPr>
          <w:rFonts w:ascii="Times New Roman" w:cs="Times New Roman" w:eastAsia="Times New Roman" w:hAnsi="Times New Roman"/>
          <w:sz w:val="18"/>
          <w:szCs w:val="18"/>
          <w:color w:val="auto"/>
        </w:rPr>
        <w:t>Prior to its acquisition by the Company, Bakkt Crypto received requests from the SEC for documents and information about certain aspects of its business, including the operation of its trading platform, processes for listing assets, the classification of certain listed assets, and relationships with customers and service providers, among other topics. The SEC has since made a number of follow-up requests for additional documents and information, and we have continued to respond to those requests on a timely basis. Based on the ongoing nature of this matter, the outcome remains uncertain and we cannot estimate the potential impact, if any, on our business or financial statements at this time.</w:t>
      </w:r>
    </w:p>
    <w:p>
      <w:pPr>
        <w:spacing w:after="0" w:line="174"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results of any litigation cannot be predicted with certainty, and an unfavorable resolution in any legal proceedings could materially affect our future business, results of operations, or financial condition. Regardless of the outcome, litigation can have an adverse impact on us because of defense and settlement costs, diversion of management resources, and other factors. For additional information regarding our ongoing legal proceedings, refer to Note 14 in our unaudited consolidated financial statements included in this Report.</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addition to the information set forth in this Report, you should carefully consider the risk factors and other cautionary statements described under the heading “</w:t>
      </w:r>
      <w:r>
        <w:rPr>
          <w:rFonts w:ascii="Times New Roman" w:cs="Times New Roman" w:eastAsia="Times New Roman" w:hAnsi="Times New Roman"/>
          <w:sz w:val="18"/>
          <w:szCs w:val="18"/>
          <w:i w:val="1"/>
          <w:iCs w:val="1"/>
          <w:color w:val="auto"/>
        </w:rPr>
        <w:t>Item 1A. Risk Factors</w:t>
      </w:r>
      <w:r>
        <w:rPr>
          <w:rFonts w:ascii="Times New Roman" w:cs="Times New Roman" w:eastAsia="Times New Roman" w:hAnsi="Times New Roman"/>
          <w:sz w:val="18"/>
          <w:szCs w:val="18"/>
          <w:color w:val="auto"/>
        </w:rPr>
        <w:t>” included in our Form 10-K, which could materially affect our businesses, financial condition, or future results. Additional risks and uncertainties not currently known to us or that we currently deem to be immaterial also may materially adversely affect our business, financial condition, or future results. There have been no material changes in our risk factors from those described in our Form 10-K, other than as set forth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not be able to continue as a going concern.</w:t>
      </w:r>
    </w:p>
    <w:p>
      <w:pPr>
        <w:spacing w:after="0" w:line="243"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 xml:space="preserve">We intend to use our unrestricted cash, proceeds from maturity of available-for-sale debt securities and the ICE Credit Facility primarily to fund our day-to-day operations, including, but not limited to funding our regulatory capital requirements, compensating balance arrangements and other similar commitments, each of which is subject to change, and as available, to (i) activate new crypto clients, (ii) launch new crypto products in the institutional space and maintain our product development efforts, and (iii) optimize our technology infrastructure and operational support. Substantial doubt was initially raised about our ability to continue as a going concern in connection with the filing of our Quarterly Report on Form 10-Q for the quarterly period ending September 30, 2023. In connection with the filing of subsequent amendments thereto, we disclosed that, without additional equity financing, we could not conclude that we could maintain our operations for a period of at least 12 months from the dates of such filings. We subsequently closed on equity offerings and, most recently, the ICE Credit Facility (see Note 20,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xml:space="preserve"> in the accompanying notes to the consolidated financial statements included in Part I, Item 1 of this Report for additional information) that, when considered with management’s other plans, resulted in management concluding that the Company has sufficient capital to continue as a going concern for at least 12 months from the date of this Report. However, that determination may change in the future. If we cannot continue as a viable entity, our stockholders will likely lose most or all of their investment in us.</w:t>
      </w:r>
    </w:p>
    <w:p>
      <w:pPr>
        <w:spacing w:after="0" w:line="194"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We have experienced and may continue to experience impacts to our business as a result of our partners and customers concern regarding our ability to continue as a going concern. For example, (i) one of our partners closed out of all customer positions, (ii) we have received inquiries from partners and prospective partners about our financial position,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1" w:name="page62"/>
    <w:bookmarkEnd w:id="61"/>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our surety bond providers have requested additional collateral, (iv) we were required to pledge as collateral the amounts that were previously</w:t>
      </w:r>
    </w:p>
    <w:p>
      <w:pPr>
        <w:spacing w:after="0" w:line="49" w:lineRule="exact"/>
        <w:rPr>
          <w:rFonts w:ascii="Times New Roman" w:cs="Times New Roman" w:eastAsia="Times New Roman" w:hAnsi="Times New Roman"/>
          <w:sz w:val="18"/>
          <w:szCs w:val="18"/>
          <w:color w:val="auto"/>
        </w:rPr>
      </w:pPr>
    </w:p>
    <w:p>
      <w:pPr>
        <w:jc w:val="both"/>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to be maintained in a concentration account for our purchasing card facility, and (v) certain of our liquidity providers have requested updated payment arrangements. There can be no assurance that we will not experience additional adverse impacts to our business, including additional or</w:t>
      </w:r>
    </w:p>
    <w:p>
      <w:pPr>
        <w:spacing w:after="0" w:line="1" w:lineRule="exact"/>
        <w:rPr>
          <w:rFonts w:ascii="Times New Roman" w:cs="Times New Roman" w:eastAsia="Times New Roman" w:hAnsi="Times New Roman"/>
          <w:sz w:val="18"/>
          <w:szCs w:val="18"/>
          <w:color w:val="auto"/>
        </w:rPr>
      </w:pPr>
    </w:p>
    <w:p>
      <w:pPr>
        <w:ind w:right="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account closures, loss of future potential business, and additional demands for cash or collateral, which, individually or in the aggregate may further impair our business and exacerbate the risks related to our ability to continue as a going concern.</w:t>
      </w:r>
    </w:p>
    <w:p>
      <w:pPr>
        <w:spacing w:after="0" w:line="176"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There is significant uncertainty associated with our expansion to new markets, our launch of new products, and the growth of our revenue base given the rapidly evolving environment associated with crypto assets. Accordingly, we cannot conclude it is probable we will be able to increase revenues substantially beyond levels that we have attained in the past in order to generate sustainable operating profit and sufficient cash flows to continue doing business without raising additional capital in the near future.</w:t>
      </w:r>
    </w:p>
    <w:p>
      <w:pPr>
        <w:spacing w:after="0" w:line="190"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If we are required to raise additional funding in the future to maintain our operations or we are unable to access any or all of the amounts available under the ICE Credit Facility, we cannot be certain that additional capital, whether through selling additional equity or debt securities or obtaining additional lines of credit or other loans, will be available to us or, if available, will be on terms acceptable to us. If we issue additional securities to raise funds, these securities may have rights, preferences, or privileges senior to those of our common stock, and our current stockholders may experience dilution. If we are unable to obtain funds when needed or on acceptable terms, we may be required to curtail our current platform expansion programs, cut operating costs, forego future development and other opportunities or even terminate our operations. In addition, even though as of the filing of this Report we determined that the Company has sufficient capital to continue as a going concern for at least 12 months, we may be unable to recover with investors, partners and customers due to the adverse reputational effects we experienced previously or may experience in the future.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such capital might not be available on acceptable terms, if at all.</w:t>
      </w:r>
    </w:p>
    <w:p>
      <w:pPr>
        <w:spacing w:after="0" w:line="270"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financings and payments received from our platform.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 For example, in Concurrent Offerings we issued and sold an aggregate of 1,858,062 shares of our Class A Common Stock, warrants to purchase an aggregate of 2,306,804 shares of Class A Common Stock at an exercise price of $21.6725 per share, and pre-funded warrants to purchase an aggregate of 448,742 shares of Class A Common Stock at an exercise price of $0.0001 per share for aggregate net proceeds of $46.5 million. Furthermore, while the ICE Credit Facility allows us to borrow up to $40,000,000, there are certain limitations on such borrowings, including a prohibition on incurring any borrowings prior to December 31, 2024 and graduated availability thereafter through September 29, 2025.</w:t>
      </w:r>
    </w:p>
    <w:p>
      <w:pPr>
        <w:spacing w:after="0" w:line="192"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Additional financing may not be available on terms favorable to us, if at all. For example, we may be required to seek the approval of ICE under the ICE Credit Facility in order to incur other indebtedness. If adequate funds are not available on acceptable terms, we may be unable to invest in future growth opportunities, which could harm our business, financial condition, or results of operations. If we incur debt, including under the ICE Credit Facility, the debt holders would have rights senior to holders of existing securities to make claims on our assets, and the terms of any debt could restrict our operations, including our ability to pay dividends on our Class A Common Stock. Furthermore, if we issue additional equity securities, stockholders will experience dilution, and the new equity securities could have rights senior to those of our existing securities. Our decision to issue securities in the future will depend on numerous considerations, including factors beyond our control, thus we cannot predict or estimate the amount, timing, or nature of any future issuances of debt or equity securities. As a result, our stockholders bear the risk of future issuances of debt or equity securities reducing the value of our securities and diluting their interests.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The ICE Credit Facility restricts our current and future operations, particularly our ability to respond to changes or to take certain actions.</w:t>
      </w:r>
    </w:p>
    <w:p>
      <w:pPr>
        <w:spacing w:after="0" w:line="270"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auto"/>
        </w:rPr>
        <w:t>In August 2024, we entered into the ICE Credit Facility pursuant to which we obtained and secured a revolving loan of up to $40,000,000 that will mature on December 31, 2026. Under the ICE Credit Facility, we are subject to certain fees, conditions, security arrangements and covenants, including negative covenants that restrict our ability to engage in certain transactions, which may limit our ability to respond to changes in business and economic conditions. Such negative covenants include, among other things, limitations on our ability and the ability of our subsidiaries to incur debt or liens, make investments (including acquisitions), sell assets and pay dividends on our capital stock.</w:t>
      </w:r>
    </w:p>
    <w:p>
      <w:pPr>
        <w:spacing w:after="0" w:line="17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If we are not able to maintain compliance with the covenants under the ICE Credit Facility or are unsuccessful in obtaining waivers or amendments for any covenant defaults in the future, in addition to other actions ICE may require, the amounts outstanding under the ICE Credit Facility may become immediately due and payable.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9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and comply with financial covenants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or any other non-financial or restrictive covenant, would create a default under our ICE Credit Facility. Our cash flow and existing capital resources may be insufficient to repay our debt at maturity, in which such case prior thereto we would have to extend such maturity date, or otherwise repay, refinance and or restructure the obligations under the ICE Credit Facility, including with proceeds from the sale of assets, and additional equity or debt capital. If we are unsuccessful in obtaining such extension, or entering into such repayment, refinance or restructure prior to maturity, or any other default existed under the ICE Credit Facility, ICE could accelerate the indebtedness under the ICE Credit Facility, or seek other remedies, which would jeopardize our ability to continue our current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ICE may exert significant influence over us and its interests may conflict with yours or those of other stockholders in the future.</w:t>
      </w:r>
    </w:p>
    <w:p>
      <w:pPr>
        <w:spacing w:after="0" w:line="256" w:lineRule="exact"/>
        <w:rPr>
          <w:sz w:val="20"/>
          <w:szCs w:val="20"/>
          <w:color w:val="auto"/>
        </w:rPr>
      </w:pPr>
    </w:p>
    <w:p>
      <w:pPr>
        <w:jc w:val="both"/>
        <w:ind w:firstLine="648"/>
        <w:spacing w:after="0" w:line="293" w:lineRule="auto"/>
        <w:rPr>
          <w:sz w:val="20"/>
          <w:szCs w:val="20"/>
          <w:color w:val="auto"/>
        </w:rPr>
      </w:pPr>
      <w:r>
        <w:rPr>
          <w:rFonts w:ascii="Times New Roman" w:cs="Times New Roman" w:eastAsia="Times New Roman" w:hAnsi="Times New Roman"/>
          <w:sz w:val="18"/>
          <w:szCs w:val="18"/>
          <w:color w:val="auto"/>
        </w:rPr>
        <w:t>Each share of Class A Common Stock and Class V Common Stock entitles its holder to one vote on all matters presented to stockholders generally. Accordingly, ICE is able to exert significant influence over the election and removal of our directors and thereby significantly influence corporate and management policies, including potential mergers or acquisitions, payment of dividends, asset sales, amendment of our Certificate of Incorporation and By-Laws and other significant corporate transactions for so long as it retains significant ownership. This concentration of ownership may delay or deter possible changes in control, which may reduce the value of an investment in our securities. So long as ICE continues to own a significant amount of the combined voting power, even if such amount is less than 50%, ICE will continue to be able to strongly influence our decisions. While the Voting Agreement (as defined below) limits ICE to vote only an aggregate of 30% of its voting power, such amount may result in substantial influence in voting matters. The Voting Agreement provides that this limitation on ICE’s voting power will terminate at such time as its ownership is less than a majority of the outstanding voting power, at which time ICE will be entitled to vote all of its voting shares, which may result in an increase in its potential influence.</w:t>
      </w:r>
    </w:p>
    <w:p>
      <w:pPr>
        <w:spacing w:after="0" w:line="200"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Additionally, the ICE Credit Facility contains certain conditions and covenants, including negative covenants that restrict our ability to engage in certain transactions, which may limit our ability to respond to changes in business and economic conditions. Such negative covenants include, among other things, limitations on our ability and the ability of our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63" w:name="page64"/>
    <w:bookmarkEnd w:id="63"/>
    <w:p>
      <w:pPr>
        <w:jc w:val="both"/>
        <w:ind w:right="20"/>
        <w:spacing w:after="0" w:line="329" w:lineRule="auto"/>
        <w:rPr>
          <w:sz w:val="20"/>
          <w:szCs w:val="20"/>
          <w:color w:val="auto"/>
        </w:rPr>
      </w:pPr>
      <w:r>
        <w:rPr>
          <w:rFonts w:ascii="Times New Roman" w:cs="Times New Roman" w:eastAsia="Times New Roman" w:hAnsi="Times New Roman"/>
          <w:sz w:val="18"/>
          <w:szCs w:val="18"/>
          <w:color w:val="auto"/>
        </w:rPr>
        <w:t>subsidiaries to incur debt or liens, make investments (including acquisitions), sell assets and pay dividends on our capital stock. For additional detail, see Note 20 in the unaudited consolidated financial statements included in this Report.</w:t>
      </w:r>
    </w:p>
    <w:p>
      <w:pPr>
        <w:spacing w:after="0" w:line="1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This material weakness, or other material weaknesses not yet identified, could continue to adversely our ability to report our results of operations or produce timely and accurate financial statements, which could have a material adverse effect on our business.</w:t>
      </w:r>
    </w:p>
    <w:p>
      <w:pPr>
        <w:spacing w:after="0" w:line="203"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In connection with the preparation our financial statements for the period ended March 31, 2024, we identified a material weakness in our internal control over financial reporting relating to the review of the work performed by a third-party valuation specialist. The specialist was used in the valuation of our Class 1 Warrants and Class 2 Warrants issued in connection with the Concurrent Offerings.</w:t>
      </w:r>
    </w:p>
    <w:p>
      <w:pPr>
        <w:spacing w:after="0" w:line="16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The material weakness described above or any newly identified material weakness could limit our ability to prevent or detect a misstatement of our accounts or disclosures that could result in a material misstatement of our annual or interim financial statements. We cannot assure you that the measures we have taken to date, or any measures we may take in the future, will be sufficient to remediate the control deficiency that led to the material weakness in our internal control over financial reporting described above or to avoid potential future material weaknesses.</w:t>
      </w:r>
    </w:p>
    <w:p>
      <w:pPr>
        <w:spacing w:after="0" w:line="187"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While we have taken steps to remediate the material weakness discussed above, and plan to take additional steps to further improve our overall internal control environment there is no assurance that we will remediate such material weakness or not identify other control deficiencies or material weaknesses in the future.</w:t>
      </w:r>
    </w:p>
    <w:p>
      <w:pPr>
        <w:spacing w:after="0" w:line="16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Pursuant to the Sarbanes-Oxley Act we are required to make a formal assessment of the effectiveness of our internal control over financial reporting.</w:t>
      </w:r>
    </w:p>
    <w:p>
      <w:pPr>
        <w:spacing w:after="0" w:line="183"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Any failure to maintain effective disclosure controls and procedures or internal control over financial reporting could have an adverse effect on our business and operating results, and cause a decline in the price of our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48" w:lineRule="exact"/>
        <w:rPr>
          <w:sz w:val="20"/>
          <w:szCs w:val="20"/>
          <w:color w:val="auto"/>
        </w:rPr>
      </w:pPr>
    </w:p>
    <w:p>
      <w:pPr>
        <w:jc w:val="center"/>
        <w:ind w:right="88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Trading Plans of Directors and Executive Officers</w:t>
      </w:r>
    </w:p>
    <w:p>
      <w:pPr>
        <w:spacing w:after="0" w:line="254"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ICE Credit Facility</w:t>
      </w:r>
    </w:p>
    <w:p>
      <w:pPr>
        <w:spacing w:after="0" w:line="268"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On August 12, 2024, Bakkt and Opco executed the ICE Credit Facility, with certain subsidiaries of Bakkt party thereto from time to time, as guarantors, whereby the Lender agreed to provide for a $40.0 million secured revolving line</w:t>
      </w:r>
    </w:p>
    <w:p>
      <w:pPr>
        <w:sectPr>
          <w:pgSz w:w="11900" w:h="16838" w:orient="portrait"/>
          <w:cols w:equalWidth="0" w:num="1">
            <w:col w:w="11240"/>
          </w:cols>
          <w:pgMar w:left="320" w:top="116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type w:val="continuous"/>
        </w:sectPr>
      </w:pPr>
    </w:p>
    <w:bookmarkStart w:id="64" w:name="page65"/>
    <w:bookmarkEnd w:id="64"/>
    <w:p>
      <w:pPr>
        <w:jc w:val="both"/>
        <w:spacing w:after="0" w:line="297" w:lineRule="auto"/>
        <w:rPr>
          <w:sz w:val="20"/>
          <w:szCs w:val="20"/>
          <w:color w:val="auto"/>
        </w:rPr>
      </w:pPr>
      <w:r>
        <w:rPr>
          <w:rFonts w:ascii="Times New Roman" w:cs="Times New Roman" w:eastAsia="Times New Roman" w:hAnsi="Times New Roman"/>
          <w:sz w:val="18"/>
          <w:szCs w:val="18"/>
          <w:color w:val="auto"/>
        </w:rPr>
        <w:t>of credit for working capital and general corporate purposes. Any borrowings under the facility made prior to December 31, 2024 require the consent of the Lender in its sole discretion. For the period beginning December 31, 2024 through March 30, 2025, Opco can borrow up to an aggregate principal amount (excluding any capitalized interest) of $10.0 million. For the period beginning March 31 through June 29, 2025, Opco can borrow up to an aggregate principal amount (excluding any capitalized interest) of $20.0 million. From the period beginning June 30 through September 29, 2025, Opco can borrow up to an aggregate principal amount (excluding any capitalized interest) of $30.0 million. On or after September 30, 2025, Opco can borrow up to an aggregate principal amount (excluding any capitalized interest) of $40.0 million. As of August 12, 2024, no loans were outstanding under the facility.</w:t>
      </w:r>
    </w:p>
    <w:p>
      <w:pPr>
        <w:spacing w:after="0" w:line="178" w:lineRule="exact"/>
        <w:rPr>
          <w:sz w:val="20"/>
          <w:szCs w:val="20"/>
          <w:color w:val="auto"/>
        </w:rPr>
      </w:pPr>
    </w:p>
    <w:p>
      <w:pPr>
        <w:jc w:val="both"/>
        <w:ind w:firstLine="648"/>
        <w:spacing w:after="0" w:line="295" w:lineRule="auto"/>
        <w:rPr>
          <w:sz w:val="20"/>
          <w:szCs w:val="20"/>
          <w:color w:val="auto"/>
        </w:rPr>
      </w:pPr>
      <w:r>
        <w:rPr>
          <w:rFonts w:ascii="Times New Roman" w:cs="Times New Roman" w:eastAsia="Times New Roman" w:hAnsi="Times New Roman"/>
          <w:sz w:val="18"/>
          <w:szCs w:val="18"/>
          <w:color w:val="auto"/>
        </w:rPr>
        <w:t>Loans under the ICE Credit Facility do not amortize and mature at the earlier of December 31, 2026, and change of control of the Company. Borrowings under the ICE Credit Facility incur an interest rate equal to, at Opco’s election, either the secured overnight financing rate (“SOFR”) for a term of one, three or six months plus 12%, or the prime rate plus 11%. Interest is payable quarterly in arrears with respect to borrowings bearing interest at the prime rate or on the last day of an interest period, but at least every three months, with respect to borrowings bearing interest at the term SOFR rate; provided that Opco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 Under certain circumstances, a default interest rate will apply on all obligations during the existence of an event of default under the ICE Credit Facility at a per annum rate equal to 2% above the otherwise applicable interest rate.</w:t>
      </w:r>
    </w:p>
    <w:p>
      <w:pPr>
        <w:spacing w:after="0" w:line="179" w:lineRule="exact"/>
        <w:rPr>
          <w:sz w:val="20"/>
          <w:szCs w:val="20"/>
          <w:color w:val="auto"/>
        </w:rPr>
      </w:pPr>
    </w:p>
    <w:p>
      <w:pPr>
        <w:jc w:val="both"/>
        <w:ind w:firstLine="648"/>
        <w:spacing w:after="0" w:line="302" w:lineRule="auto"/>
        <w:rPr>
          <w:sz w:val="20"/>
          <w:szCs w:val="20"/>
          <w:color w:val="auto"/>
        </w:rPr>
      </w:pPr>
      <w:r>
        <w:rPr>
          <w:rFonts w:ascii="Times New Roman" w:cs="Times New Roman" w:eastAsia="Times New Roman" w:hAnsi="Times New Roman"/>
          <w:sz w:val="18"/>
          <w:szCs w:val="18"/>
          <w:color w:val="auto"/>
        </w:rPr>
        <w:t>Opco will pay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187"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ICE Credit Facility contains customary affirmative and negative covenants, including negative covenants limiting the ability of the Company and its subsidiaries to, among other things, incur debt, grant liens, undergo certain fundamental changes, dispose of assets, make certain restricted payments and prepayments, enter into restrictive agreements, enter into transactions with affiliates, make investments, and amend certain agreements relating to debt, in each case, subject to limitations and exceptions set forth in the ICE Credit Facility. The ICE Credit Facility also contains various customary events of default that include, among others, payment defaults, breach of covenants, inaccuracy of representations and warranties, cross defaults to certain other indebtedness, bankruptcy and insolvency events, judgment defaults, and events constituting a change of control, subject to thresholds and cure periods as set forth in the Credit Agreement.</w:t>
      </w:r>
    </w:p>
    <w:p>
      <w:pPr>
        <w:spacing w:after="0" w:line="183" w:lineRule="exact"/>
        <w:rPr>
          <w:sz w:val="20"/>
          <w:szCs w:val="20"/>
          <w:color w:val="auto"/>
        </w:rPr>
      </w:pPr>
    </w:p>
    <w:p>
      <w:pPr>
        <w:jc w:val="both"/>
        <w:ind w:firstLine="648"/>
        <w:spacing w:after="0" w:line="329" w:lineRule="auto"/>
        <w:rPr>
          <w:sz w:val="20"/>
          <w:szCs w:val="20"/>
          <w:color w:val="auto"/>
        </w:rPr>
      </w:pPr>
      <w:r>
        <w:rPr>
          <w:rFonts w:ascii="Times New Roman" w:cs="Times New Roman" w:eastAsia="Times New Roman" w:hAnsi="Times New Roman"/>
          <w:sz w:val="18"/>
          <w:szCs w:val="18"/>
          <w:color w:val="auto"/>
        </w:rPr>
        <w:t>The obligations under the ICE Credit Facility are required to be guaranteed by certain material domestic subsidiaries of the Company and secured by substantially all of the personal property of the Company and such subsidiary guarantors.</w:t>
      </w:r>
    </w:p>
    <w:p>
      <w:pPr>
        <w:spacing w:after="0" w:line="148" w:lineRule="exact"/>
        <w:rPr>
          <w:sz w:val="20"/>
          <w:szCs w:val="20"/>
          <w:color w:val="auto"/>
        </w:rPr>
      </w:pPr>
    </w:p>
    <w:p>
      <w:pPr>
        <w:jc w:val="both"/>
        <w:ind w:firstLine="648"/>
        <w:spacing w:after="0" w:line="297" w:lineRule="auto"/>
        <w:rPr>
          <w:sz w:val="20"/>
          <w:szCs w:val="20"/>
          <w:color w:val="auto"/>
        </w:rPr>
      </w:pPr>
      <w:r>
        <w:rPr>
          <w:rFonts w:ascii="Times New Roman" w:cs="Times New Roman" w:eastAsia="Times New Roman" w:hAnsi="Times New Roman"/>
          <w:sz w:val="18"/>
          <w:szCs w:val="18"/>
          <w:color w:val="231F20"/>
        </w:rPr>
        <w:t>ICE is an existing stockholder of Bakkt and holds greater than ten percent (10%) of Bakkt’s capital stock. In addition, an affiliate of ICE employs David Clifton, who is currently serving on the Company’s board of directors. Bakkt also has certain commercial agreements with certain affiliates of ICE. See “Opco Related Transactions” of Bakkt’s most recent proxy statement on Schedule 14A, filed with the Securities and Exchange Commission on April 19, 2024, which such section is incorporated by reference, for more information. The foregoing description of the ICE Credit Facility does not purport to be complete and is qualified in its entirety by reference to the full text of the ICE Credit Facility, which is filed as Exhibit 10.2 to this Quarterly Report on Form 10-Q.</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1"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22"/>
          <w:szCs w:val="22"/>
          <w:color w:val="auto"/>
        </w:rPr>
        <w:t>Incorporated by Reference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Exhibit</w:t>
            </w:r>
          </w:p>
        </w:tc>
        <w:tc>
          <w:tcPr>
            <w:tcW w:w="5640" w:type="dxa"/>
            <w:vAlign w:val="bottom"/>
            <w:gridSpan w:val="4"/>
            <w:vMerge w:val="restart"/>
          </w:tcPr>
          <w:p>
            <w:pPr>
              <w:ind w:left="23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1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File No.</w:t>
            </w: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0" w:type="dxa"/>
            <w:vAlign w:val="bottom"/>
          </w:tcPr>
          <w:p>
            <w:pPr>
              <w:spacing w:after="0"/>
              <w:rPr>
                <w:sz w:val="1"/>
                <w:szCs w:val="1"/>
                <w:color w:val="auto"/>
              </w:rPr>
            </w:pPr>
          </w:p>
        </w:tc>
      </w:tr>
      <w:tr>
        <w:trPr>
          <w:trHeight w:val="238"/>
        </w:trPr>
        <w:tc>
          <w:tcPr>
            <w:tcW w:w="1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5640" w:type="dxa"/>
            <w:vAlign w:val="bottom"/>
            <w:tcBorders>
              <w:bottom w:val="single" w:sz="8" w:color="auto"/>
            </w:tcBorders>
            <w:gridSpan w:val="4"/>
            <w:vMerge w:val="continue"/>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1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5640" w:type="dxa"/>
            <w:vAlign w:val="bottom"/>
            <w:gridSpan w:val="4"/>
          </w:tcPr>
          <w:p>
            <w:pPr>
              <w:spacing w:after="0"/>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Amendment No. 1 To Membership Interest Purchase Agreement, dated as of</w:t>
              </w:r>
            </w:hyperlink>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001-39544</w:t>
            </w:r>
          </w:p>
        </w:tc>
        <w:tc>
          <w:tcPr>
            <w:tcW w:w="9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2.2</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3, 2023</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5500" w:type="dxa"/>
            <w:vAlign w:val="bottom"/>
            <w:tcBorders>
              <w:top w:val="single" w:sz="8" w:color="0000FF"/>
            </w:tcBorders>
            <w:gridSpan w:val="3"/>
          </w:tcPr>
          <w:p>
            <w:pPr>
              <w:spacing w:after="0" w:line="196" w:lineRule="exact"/>
              <w:rPr>
                <w:rFonts w:ascii="Times New Roman" w:cs="Times New Roman" w:eastAsia="Times New Roman" w:hAnsi="Times New Roman"/>
                <w:sz w:val="18"/>
                <w:szCs w:val="18"/>
                <w:color w:val="0000FF"/>
              </w:rPr>
            </w:pPr>
            <w:hyperlink r:id="rId87">
              <w:r>
                <w:rPr>
                  <w:rFonts w:ascii="Times New Roman" w:cs="Times New Roman" w:eastAsia="Times New Roman" w:hAnsi="Times New Roman"/>
                  <w:sz w:val="18"/>
                  <w:szCs w:val="18"/>
                  <w:color w:val="0000FF"/>
                </w:rPr>
                <w:t>March 30, 2023, by and among the Company, Bakkt Marketplace, Apex</w:t>
              </w:r>
            </w:hyperlink>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334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Fintech Solutions Inc. and Apex Crypto, LLC.</w:t>
              </w:r>
            </w:hyperlink>
          </w:p>
        </w:tc>
        <w:tc>
          <w:tcPr>
            <w:tcW w:w="1840" w:type="dxa"/>
            <w:vAlign w:val="bottom"/>
            <w:tcBorders>
              <w:top w:val="single" w:sz="8" w:color="0000FF"/>
            </w:tcBorders>
          </w:tcPr>
          <w:p>
            <w:pPr>
              <w:spacing w:after="0"/>
              <w:rPr>
                <w:sz w:val="17"/>
                <w:szCs w:val="17"/>
                <w:color w:val="auto"/>
              </w:rPr>
            </w:pPr>
          </w:p>
        </w:tc>
        <w:tc>
          <w:tcPr>
            <w:tcW w:w="46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022"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31.1*</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32.1†</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20" w:lineRule="exact"/>
        <w:rPr>
          <w:sz w:val="20"/>
          <w:szCs w:val="20"/>
          <w:color w:val="auto"/>
        </w:rPr>
      </w:pPr>
      <w:r>
        <w:rPr>
          <w:sz w:val="20"/>
          <w:szCs w:val="20"/>
          <w:color w:val="auto"/>
        </w:rPr>
        <w:br w:type="column"/>
      </w:r>
    </w:p>
    <w:p>
      <w:pPr>
        <w:spacing w:after="0"/>
        <w:rPr>
          <w:rFonts w:ascii="Times New Roman" w:cs="Times New Roman" w:eastAsia="Times New Roman" w:hAnsi="Times New Roman"/>
          <w:sz w:val="18"/>
          <w:szCs w:val="18"/>
          <w:u w:val="single" w:color="auto"/>
          <w:color w:val="0000FF"/>
        </w:rPr>
      </w:pPr>
      <w:hyperlink r:id="rId88">
        <w:r>
          <w:rPr>
            <w:rFonts w:ascii="Times New Roman" w:cs="Times New Roman" w:eastAsia="Times New Roman" w:hAnsi="Times New Roman"/>
            <w:sz w:val="18"/>
            <w:szCs w:val="18"/>
            <w:u w:val="single" w:color="auto"/>
            <w:color w:val="0000FF"/>
          </w:rPr>
          <w:t>Certificate of Incorporation of the Company, as currently in effect</w:t>
        </w:r>
      </w:hyperlink>
    </w:p>
    <w:p>
      <w:pPr>
        <w:spacing w:after="0" w:line="21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89">
        <w:r>
          <w:rPr>
            <w:rFonts w:ascii="Times New Roman" w:cs="Times New Roman" w:eastAsia="Times New Roman" w:hAnsi="Times New Roman"/>
            <w:sz w:val="18"/>
            <w:szCs w:val="18"/>
            <w:u w:val="single" w:color="auto"/>
            <w:color w:val="0000FF"/>
          </w:rPr>
          <w:t>By-laws of the Company, as currently in effect</w:t>
        </w:r>
      </w:hyperlink>
    </w:p>
    <w:p>
      <w:pPr>
        <w:spacing w:after="0" w:line="212" w:lineRule="exact"/>
        <w:rPr>
          <w:sz w:val="20"/>
          <w:szCs w:val="20"/>
          <w:color w:val="auto"/>
        </w:rPr>
      </w:pPr>
    </w:p>
    <w:p>
      <w:pPr>
        <w:ind w:right="260"/>
        <w:spacing w:after="0" w:line="266" w:lineRule="auto"/>
        <w:rPr>
          <w:rFonts w:ascii="Times New Roman" w:cs="Times New Roman" w:eastAsia="Times New Roman" w:hAnsi="Times New Roman"/>
          <w:sz w:val="18"/>
          <w:szCs w:val="18"/>
          <w:u w:val="single" w:color="auto"/>
          <w:color w:val="0000FF"/>
        </w:rPr>
      </w:pPr>
      <w:hyperlink r:id="rId90">
        <w:r>
          <w:rPr>
            <w:rFonts w:ascii="Times New Roman" w:cs="Times New Roman" w:eastAsia="Times New Roman" w:hAnsi="Times New Roman"/>
            <w:sz w:val="18"/>
            <w:szCs w:val="18"/>
            <w:u w:val="single" w:color="auto"/>
            <w:color w:val="0000FF"/>
          </w:rPr>
          <w:t>First Amendment to Third Amended and Restated Limited Liability</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Company Agreement, dated April 29, 2024, by and between the Company</w:t>
        </w:r>
      </w:hyperlink>
      <w:r>
        <w:rPr>
          <w:rFonts w:ascii="Times New Roman" w:cs="Times New Roman" w:eastAsia="Times New Roman" w:hAnsi="Times New Roman"/>
          <w:sz w:val="18"/>
          <w:szCs w:val="18"/>
          <w:u w:val="single" w:color="auto"/>
          <w:color w:val="0000FF"/>
        </w:rPr>
        <w:t xml:space="preserve"> </w:t>
      </w:r>
      <w:hyperlink r:id="rId90">
        <w:r>
          <w:rPr>
            <w:rFonts w:ascii="Times New Roman" w:cs="Times New Roman" w:eastAsia="Times New Roman" w:hAnsi="Times New Roman"/>
            <w:sz w:val="18"/>
            <w:szCs w:val="18"/>
            <w:u w:val="single" w:color="auto"/>
            <w:color w:val="0000FF"/>
          </w:rPr>
          <w:t>and Intercontinental Exchange Holdings, Inc.</w:t>
        </w:r>
      </w:hyperlink>
    </w:p>
    <w:p>
      <w:pPr>
        <w:spacing w:after="0" w:line="162" w:lineRule="exact"/>
        <w:rPr>
          <w:rFonts w:ascii="Times New Roman" w:cs="Times New Roman" w:eastAsia="Times New Roman" w:hAnsi="Times New Roman"/>
          <w:sz w:val="18"/>
          <w:szCs w:val="18"/>
          <w:u w:val="single" w:color="auto"/>
          <w:color w:val="0000FF"/>
        </w:rPr>
      </w:pPr>
    </w:p>
    <w:p>
      <w:pPr>
        <w:spacing w:after="0"/>
        <w:rPr>
          <w:rFonts w:ascii="Times New Roman" w:cs="Times New Roman" w:eastAsia="Times New Roman" w:hAnsi="Times New Roman"/>
          <w:sz w:val="18"/>
          <w:szCs w:val="18"/>
          <w:u w:val="single" w:color="auto"/>
          <w:color w:val="0000FF"/>
        </w:rPr>
      </w:pPr>
      <w:hyperlink r:id="rId91">
        <w:r>
          <w:rPr>
            <w:rFonts w:ascii="Times New Roman" w:cs="Times New Roman" w:eastAsia="Times New Roman" w:hAnsi="Times New Roman"/>
            <w:sz w:val="18"/>
            <w:szCs w:val="18"/>
            <w:u w:val="single" w:color="auto"/>
            <w:color w:val="0000FF"/>
          </w:rPr>
          <w:t>Amendment No. 2 to Bakkt Holdings, Inc. 2021 Omnibus Incentive Plan</w:t>
        </w:r>
      </w:hyperlink>
    </w:p>
    <w:p>
      <w:pPr>
        <w:spacing w:after="0" w:line="212" w:lineRule="exact"/>
        <w:rPr>
          <w:rFonts w:ascii="Times New Roman" w:cs="Times New Roman" w:eastAsia="Times New Roman" w:hAnsi="Times New Roman"/>
          <w:sz w:val="18"/>
          <w:szCs w:val="18"/>
          <w:u w:val="single" w:color="auto"/>
          <w:color w:val="0000FF"/>
        </w:rPr>
      </w:pPr>
    </w:p>
    <w:p>
      <w:pPr>
        <w:jc w:val="both"/>
        <w:spacing w:after="0" w:line="266" w:lineRule="auto"/>
        <w:rPr>
          <w:sz w:val="20"/>
          <w:szCs w:val="20"/>
          <w:color w:val="auto"/>
        </w:rPr>
      </w:pPr>
      <w:r>
        <w:rPr>
          <w:rFonts w:ascii="Times New Roman" w:cs="Times New Roman" w:eastAsia="Times New Roman" w:hAnsi="Times New Roman"/>
          <w:sz w:val="18"/>
          <w:szCs w:val="18"/>
          <w:u w:val="single" w:color="auto"/>
          <w:color w:val="0000FF"/>
        </w:rPr>
        <w:t>Revolving Credit Agreement, dated as of August 12, 2024, by and among the Company, Bakkt Opco Holdings LLC, as borrower, certain subsidiaries of the Company and Intercontinental Exchange Holdings, Inc., as lender.</w:t>
      </w:r>
    </w:p>
    <w:p>
      <w:pPr>
        <w:spacing w:after="0" w:line="162" w:lineRule="exact"/>
        <w:rPr>
          <w:rFonts w:ascii="Times New Roman" w:cs="Times New Roman" w:eastAsia="Times New Roman" w:hAnsi="Times New Roman"/>
          <w:sz w:val="18"/>
          <w:szCs w:val="18"/>
          <w:u w:val="single" w:color="auto"/>
          <w:color w:val="0000FF"/>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Rules 13a-14(a) and 15d-14(a) under the Securities Exchange Act of 1934, as Adopted Pursuant to Section 302 of the Sarbanes-Oxley Act of 2002.</w:t>
      </w:r>
    </w:p>
    <w:p>
      <w:pPr>
        <w:spacing w:after="0" w:line="162" w:lineRule="exact"/>
        <w:rPr>
          <w:rFonts w:ascii="Times New Roman" w:cs="Times New Roman" w:eastAsia="Times New Roman" w:hAnsi="Times New Roman"/>
          <w:sz w:val="18"/>
          <w:szCs w:val="18"/>
          <w:u w:val="single" w:color="auto"/>
          <w:color w:val="0000FF"/>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Rules 13a-14(a) and 15d-14(a) under the Securities Exchange Act of 1934, as Adopted Pursuant to Section 302 of the Sarbanes-Oxley Act of 2002.</w:t>
      </w:r>
    </w:p>
    <w:p>
      <w:pPr>
        <w:spacing w:after="0" w:line="135" w:lineRule="exact"/>
        <w:rPr>
          <w:rFonts w:ascii="Times New Roman" w:cs="Times New Roman" w:eastAsia="Times New Roman" w:hAnsi="Times New Roman"/>
          <w:sz w:val="18"/>
          <w:szCs w:val="18"/>
          <w:u w:val="single" w:color="auto"/>
          <w:color w:val="0000FF"/>
        </w:rPr>
      </w:pPr>
    </w:p>
    <w:p>
      <w:pPr>
        <w:ind w:right="28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Executive Officer Pursuant to 18 U.S.C. Section 1350, as Adopted Pursuant to Section 906 of the Sarbanes-Oxley Act of 2002.</w:t>
      </w:r>
    </w:p>
    <w:p>
      <w:pPr>
        <w:spacing w:after="0" w:line="135" w:lineRule="exact"/>
        <w:rPr>
          <w:rFonts w:ascii="Times New Roman" w:cs="Times New Roman" w:eastAsia="Times New Roman" w:hAnsi="Times New Roman"/>
          <w:sz w:val="18"/>
          <w:szCs w:val="18"/>
          <w:u w:val="single" w:color="auto"/>
          <w:color w:val="0000FF"/>
        </w:rPr>
      </w:pPr>
    </w:p>
    <w:p>
      <w:pPr>
        <w:ind w:right="340"/>
        <w:spacing w:after="0" w:line="266" w:lineRule="auto"/>
        <w:rPr>
          <w:sz w:val="20"/>
          <w:szCs w:val="20"/>
          <w:color w:val="auto"/>
        </w:rPr>
      </w:pPr>
      <w:r>
        <w:rPr>
          <w:rFonts w:ascii="Times New Roman" w:cs="Times New Roman" w:eastAsia="Times New Roman" w:hAnsi="Times New Roman"/>
          <w:sz w:val="18"/>
          <w:szCs w:val="18"/>
          <w:u w:val="single" w:color="auto"/>
          <w:color w:val="0000FF"/>
        </w:rPr>
        <w:t>Certification of Principal Financial Officer Pursuant to 18 U.S.C. Section 1350, as Adopted Pursuant to Section 906 of the Sarbanes-Oxley Act of 2002.</w:t>
      </w:r>
    </w:p>
    <w:p>
      <w:pPr>
        <w:spacing w:after="0" w:line="135" w:lineRule="exact"/>
        <w:rPr>
          <w:rFonts w:ascii="Times New Roman" w:cs="Times New Roman" w:eastAsia="Times New Roman" w:hAnsi="Times New Roman"/>
          <w:sz w:val="18"/>
          <w:szCs w:val="18"/>
          <w:u w:val="single" w:color="auto"/>
          <w:color w:val="0000FF"/>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 within the Inline XBRL document.</w:t>
      </w:r>
    </w:p>
    <w:p>
      <w:pPr>
        <w:spacing w:after="0" w:line="13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p>
      <w:pPr>
        <w:spacing w:after="0" w:line="18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p>
      <w:pPr>
        <w:spacing w:after="0" w:line="18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p>
      <w:pPr>
        <w:spacing w:after="0" w:line="185" w:lineRule="exact"/>
        <w:rPr>
          <w:rFonts w:ascii="Times New Roman" w:cs="Times New Roman" w:eastAsia="Times New Roman" w:hAnsi="Times New Roman"/>
          <w:sz w:val="18"/>
          <w:szCs w:val="18"/>
          <w:u w:val="single" w:color="auto"/>
          <w:color w:val="0000FF"/>
        </w:rPr>
      </w:pPr>
    </w:p>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br w:type="column"/>
      </w:r>
    </w:p>
    <w:p>
      <w:pPr>
        <w:spacing w:after="0" w:line="1" w:lineRule="exact"/>
        <w:rPr>
          <w:rFonts w:ascii="Times New Roman" w:cs="Times New Roman" w:eastAsia="Times New Roman" w:hAnsi="Times New Roman"/>
          <w:sz w:val="1"/>
          <w:szCs w:val="1"/>
          <w:u w:val="single" w:color="auto"/>
          <w:color w:val="0000FF"/>
        </w:rPr>
      </w:pPr>
    </w:p>
    <w:tbl>
      <w:tblPr>
        <w:tblLayout w:type="fixed"/>
        <w:tblInd w:w="0" w:type="dxa"/>
        <w:tblCellMar>
          <w:top w:w="0" w:type="dxa"/>
          <w:left w:w="0" w:type="dxa"/>
          <w:bottom w:w="0" w:type="dxa"/>
          <w:right w:w="0" w:type="dxa"/>
        </w:tblCellMar>
      </w:tblPr>
      <w:tr>
        <w:trPr>
          <w:trHeight w:val="234"/>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333-280724</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July 29, 2024</w:t>
            </w:r>
          </w:p>
        </w:tc>
      </w:tr>
      <w:tr>
        <w:trPr>
          <w:trHeight w:val="41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October 21, 2021</w:t>
            </w:r>
          </w:p>
        </w:tc>
      </w:tr>
      <w:tr>
        <w:trPr>
          <w:trHeight w:val="41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001-39544</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w:t>
            </w:r>
          </w:p>
        </w:tc>
        <w:tc>
          <w:tcPr>
            <w:tcW w:w="14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rPr>
              <w:t>April 29, 2024</w:t>
            </w:r>
          </w:p>
        </w:tc>
      </w:tr>
      <w:tr>
        <w:trPr>
          <w:trHeight w:val="851"/>
        </w:trPr>
        <w:tc>
          <w:tcPr>
            <w:tcW w:w="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S-8</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333-280724</w:t>
            </w:r>
          </w:p>
        </w:tc>
        <w:tc>
          <w:tcPr>
            <w:tcW w:w="7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14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July 9, 2024</w:t>
            </w:r>
          </w:p>
        </w:tc>
      </w:tr>
    </w:tbl>
    <w:p>
      <w:pPr>
        <w:spacing w:after="0" w:line="6774" w:lineRule="exact"/>
        <w:rPr>
          <w:rFonts w:ascii="Times New Roman" w:cs="Times New Roman" w:eastAsia="Times New Roman" w:hAnsi="Times New Roman"/>
          <w:sz w:val="18"/>
          <w:szCs w:val="18"/>
          <w:u w:val="single" w:color="auto"/>
          <w:color w:val="0000FF"/>
        </w:rPr>
      </w:pPr>
    </w:p>
    <w:p>
      <w:pPr>
        <w:sectPr>
          <w:pgSz w:w="11900" w:h="16838" w:orient="portrait"/>
          <w:cols w:equalWidth="0" w:num="3">
            <w:col w:w="800" w:space="460"/>
            <w:col w:w="5600" w:space="280"/>
            <w:col w:w="4100"/>
          </w:cols>
          <w:pgMar w:left="320" w:top="1022" w:right="339" w:bottom="1440" w:gutter="0" w:footer="0" w:header="0"/>
          <w:type w:val="continuous"/>
        </w:sectPr>
      </w:pPr>
    </w:p>
    <w:p>
      <w:pPr>
        <w:spacing w:after="0" w:line="200" w:lineRule="exact"/>
        <w:rPr>
          <w:rFonts w:ascii="Times New Roman" w:cs="Times New Roman" w:eastAsia="Times New Roman" w:hAnsi="Times New Roman"/>
          <w:sz w:val="18"/>
          <w:szCs w:val="18"/>
          <w:u w:val="single" w:color="auto"/>
          <w:color w:val="0000FF"/>
        </w:rPr>
      </w:pPr>
    </w:p>
    <w:p>
      <w:pPr>
        <w:spacing w:after="0" w:line="352" w:lineRule="exact"/>
        <w:rPr>
          <w:rFonts w:ascii="Times New Roman" w:cs="Times New Roman" w:eastAsia="Times New Roman" w:hAnsi="Times New Roman"/>
          <w:sz w:val="18"/>
          <w:szCs w:val="18"/>
          <w:u w:val="single" w:color="auto"/>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type w:val="continuous"/>
        </w:sectPr>
      </w:pPr>
    </w:p>
    <w:bookmarkStart w:id="66" w:name="page67"/>
    <w:bookmarkEnd w:id="66"/>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p>
      <w:pPr>
        <w:spacing w:after="0" w:line="183" w:lineRule="exact"/>
        <w:rPr>
          <w:sz w:val="20"/>
          <w:szCs w:val="20"/>
          <w:color w:val="auto"/>
        </w:rPr>
      </w:pPr>
    </w:p>
    <w:p>
      <w:pPr>
        <w:sectPr>
          <w:pgSz w:w="11900" w:h="16838" w:orient="portrait"/>
          <w:cols w:equalWidth="0" w:num="2">
            <w:col w:w="760" w:space="500"/>
            <w:col w:w="9980"/>
          </w:cols>
          <w:pgMar w:left="320" w:top="1201"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br w:type="column"/>
      </w:r>
    </w:p>
    <w:p>
      <w:pPr>
        <w:ind w:right="4400"/>
        <w:spacing w:after="0" w:line="282" w:lineRule="auto"/>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ectPr>
          <w:pgSz w:w="11900" w:h="16838" w:orient="portrait"/>
          <w:cols w:equalWidth="0" w:num="2">
            <w:col w:w="540" w:space="720"/>
            <w:col w:w="9980"/>
          </w:cols>
          <w:pgMar w:left="320" w:top="1201" w:right="339" w:bottom="1440" w:gutter="0" w:footer="0" w:header="0"/>
          <w:type w:val="continuous"/>
        </w:sectPr>
      </w:pPr>
    </w:p>
    <w:p>
      <w:pPr>
        <w:spacing w:after="0" w:line="15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90" w:lineRule="exact"/>
        <w:rPr>
          <w:sz w:val="20"/>
          <w:szCs w:val="20"/>
          <w:color w:val="auto"/>
        </w:rPr>
      </w:pPr>
    </w:p>
    <w:p>
      <w:pPr>
        <w:ind w:left="440" w:hanging="432"/>
        <w:spacing w:after="0" w:line="305" w:lineRule="auto"/>
        <w:tabs>
          <w:tab w:leader="none" w:pos="28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exhibits are furnished with this Quarterly Report on Form 10-Q and are not deemed filed with the Securities and Exchange Commission and are not incorporated by reference in any filing of Bakkt Holdings, Inc. under the Securities Act of 1933, as amended, or the Securities Exchange Act of 1934, as amended, whether made before or after the date hereof and irrespective of any general incorporation language contained in such filings.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thereunto duly authorized.</w:t>
            </w: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513"/>
        </w:trPr>
        <w:tc>
          <w:tcPr>
            <w:tcW w:w="3520" w:type="dxa"/>
            <w:vAlign w:val="bottom"/>
          </w:tcPr>
          <w:p>
            <w:pPr>
              <w:spacing w:after="0"/>
              <w:rPr>
                <w:sz w:val="24"/>
                <w:szCs w:val="24"/>
                <w:color w:val="auto"/>
              </w:rPr>
            </w:pPr>
          </w:p>
        </w:tc>
        <w:tc>
          <w:tcPr>
            <w:tcW w:w="31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w w:val="99"/>
              </w:rPr>
              <w:t>Bakkt Holdings, Inc.</w:t>
            </w:r>
          </w:p>
        </w:tc>
        <w:tc>
          <w:tcPr>
            <w:tcW w:w="4560" w:type="dxa"/>
            <w:vAlign w:val="bottom"/>
          </w:tcPr>
          <w:p>
            <w:pPr>
              <w:spacing w:after="0"/>
              <w:rPr>
                <w:sz w:val="24"/>
                <w:szCs w:val="24"/>
                <w:color w:val="auto"/>
              </w:rPr>
            </w:pPr>
          </w:p>
        </w:tc>
      </w:tr>
      <w:tr>
        <w:trPr>
          <w:trHeight w:val="44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14, 2024</w:t>
            </w:r>
          </w:p>
        </w:tc>
        <w:tc>
          <w:tcPr>
            <w:tcW w:w="31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w w:val="99"/>
              </w:rPr>
              <w:t>/s/ Andrew Main</w:t>
            </w:r>
          </w:p>
        </w:tc>
      </w:tr>
      <w:tr>
        <w:trPr>
          <w:trHeight w:val="218"/>
        </w:trPr>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w w:val="99"/>
              </w:rPr>
              <w:t>Andrew Main</w:t>
            </w:r>
          </w:p>
        </w:tc>
      </w:tr>
      <w:tr>
        <w:trPr>
          <w:trHeight w:val="189"/>
        </w:trPr>
        <w:tc>
          <w:tcPr>
            <w:tcW w:w="3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560" w:type="dxa"/>
            <w:vAlign w:val="bottom"/>
          </w:tcPr>
          <w:p>
            <w:pPr>
              <w:jc w:val="center"/>
              <w:ind w:right="1010"/>
              <w:spacing w:after="0" w:line="189" w:lineRule="exact"/>
              <w:rPr>
                <w:sz w:val="20"/>
                <w:szCs w:val="20"/>
                <w:color w:val="auto"/>
              </w:rPr>
            </w:pPr>
            <w:r>
              <w:rPr>
                <w:rFonts w:ascii="Times New Roman" w:cs="Times New Roman" w:eastAsia="Times New Roman" w:hAnsi="Times New Roman"/>
                <w:sz w:val="18"/>
                <w:szCs w:val="18"/>
                <w:color w:val="auto"/>
                <w:w w:val="99"/>
              </w:rPr>
              <w:t>Chief Executive Officer, President and Director</w:t>
            </w:r>
          </w:p>
        </w:tc>
      </w:tr>
      <w:tr>
        <w:trPr>
          <w:trHeight w:val="234"/>
        </w:trPr>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45"/>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14, 2024</w:t>
            </w:r>
          </w:p>
        </w:tc>
        <w:tc>
          <w:tcPr>
            <w:tcW w:w="3140" w:type="dxa"/>
            <w:vAlign w:val="bottom"/>
            <w:gridSpan w:val="2"/>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jc w:val="center"/>
              <w:ind w:right="1010"/>
              <w:spacing w:after="0"/>
              <w:rPr>
                <w:sz w:val="20"/>
                <w:szCs w:val="20"/>
                <w:color w:val="auto"/>
              </w:rPr>
            </w:pPr>
            <w:r>
              <w:rPr>
                <w:rFonts w:ascii="Times New Roman" w:cs="Times New Roman" w:eastAsia="Times New Roman" w:hAnsi="Times New Roman"/>
                <w:sz w:val="18"/>
                <w:szCs w:val="18"/>
                <w:color w:val="auto"/>
              </w:rPr>
              <w:t>/s/ Karen Alexander</w:t>
            </w:r>
          </w:p>
        </w:tc>
      </w:tr>
      <w:tr>
        <w:trPr>
          <w:trHeight w:val="218"/>
        </w:trPr>
        <w:tc>
          <w:tcPr>
            <w:tcW w:w="35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4560" w:type="dxa"/>
            <w:vAlign w:val="bottom"/>
            <w:tcBorders>
              <w:top w:val="single" w:sz="8" w:color="auto"/>
            </w:tcBorders>
          </w:tcPr>
          <w:p>
            <w:pPr>
              <w:jc w:val="center"/>
              <w:ind w:right="1030"/>
              <w:spacing w:after="0"/>
              <w:rPr>
                <w:sz w:val="20"/>
                <w:szCs w:val="20"/>
                <w:color w:val="auto"/>
              </w:rPr>
            </w:pPr>
            <w:r>
              <w:rPr>
                <w:rFonts w:ascii="Times New Roman" w:cs="Times New Roman" w:eastAsia="Times New Roman" w:hAnsi="Times New Roman"/>
                <w:sz w:val="18"/>
                <w:szCs w:val="18"/>
                <w:color w:val="auto"/>
              </w:rPr>
              <w:t>Karen Alexander</w:t>
            </w:r>
          </w:p>
        </w:tc>
      </w:tr>
      <w:tr>
        <w:trPr>
          <w:trHeight w:val="189"/>
        </w:trPr>
        <w:tc>
          <w:tcPr>
            <w:tcW w:w="35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560" w:type="dxa"/>
            <w:vAlign w:val="bottom"/>
          </w:tcPr>
          <w:p>
            <w:pPr>
              <w:jc w:val="center"/>
              <w:ind w:right="1030"/>
              <w:spacing w:after="0" w:line="189" w:lineRule="exact"/>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5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56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932"/>
        </w:trPr>
        <w:tc>
          <w:tcPr>
            <w:tcW w:w="3520" w:type="dxa"/>
            <w:vAlign w:val="bottom"/>
          </w:tcPr>
          <w:p>
            <w:pPr>
              <w:spacing w:after="0"/>
              <w:rPr>
                <w:sz w:val="24"/>
                <w:szCs w:val="24"/>
                <w:color w:val="auto"/>
              </w:rPr>
            </w:pPr>
          </w:p>
        </w:tc>
        <w:tc>
          <w:tcPr>
            <w:tcW w:w="314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67</w:t>
            </w:r>
          </w:p>
        </w:tc>
        <w:tc>
          <w:tcPr>
            <w:tcW w:w="4560" w:type="dxa"/>
            <w:vAlign w:val="bottom"/>
          </w:tcPr>
          <w:p>
            <w:pPr>
              <w:spacing w:after="0"/>
              <w:rPr>
                <w:sz w:val="24"/>
                <w:szCs w:val="24"/>
                <w:color w:val="auto"/>
              </w:rPr>
            </w:pPr>
          </w:p>
        </w:tc>
      </w:tr>
    </w:tbl>
    <w:p>
      <w:pPr>
        <w:sectPr>
          <w:pgSz w:w="11900" w:h="16838" w:orient="portrait"/>
          <w:cols w:equalWidth="0" w:num="1">
            <w:col w:w="11240"/>
          </w:cols>
          <w:pgMar w:left="320" w:top="1201" w:right="339" w:bottom="144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EXUCUTION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2356485</wp:posOffset>
            </wp:positionV>
            <wp:extent cx="31095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REVOLVING CREDIT AGREEMENT</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dated as of August 12, 2024,</w:t>
      </w:r>
    </w:p>
    <w:p>
      <w:pPr>
        <w:spacing w:after="0" w:line="24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among</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BAKKT HOLDINGS, INC.,</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Holdings,</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BAKKT OPCO HOLDINGS, LLC,</w:t>
      </w:r>
    </w:p>
    <w:p>
      <w:pPr>
        <w:spacing w:after="0" w:line="2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the Borrower,</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THE SUBSIDIARIES OF HOLDINGS</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FROM TIME TO TIME PARTY HERETO,</w:t>
      </w:r>
    </w:p>
    <w:p>
      <w:pPr>
        <w:spacing w:after="0" w:line="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Guarantors</w:t>
      </w:r>
    </w:p>
    <w:p>
      <w:pPr>
        <w:spacing w:after="0" w:line="21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and</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color w:val="auto"/>
        </w:rPr>
        <w:t>INTERCONTINENTAL EXCHANGE HOLDINGS, INC.,</w:t>
      </w:r>
    </w:p>
    <w:p>
      <w:pPr>
        <w:spacing w:after="0" w:line="4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as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1304925</wp:posOffset>
            </wp:positionH>
            <wp:positionV relativeFrom="paragraph">
              <wp:posOffset>261620</wp:posOffset>
            </wp:positionV>
            <wp:extent cx="31095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3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1.01. Defined Terms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40" w:type="dxa"/>
            <w:vAlign w:val="bottom"/>
          </w:tcPr>
          <w:p>
            <w:pPr>
              <w:spacing w:after="0"/>
              <w:rPr>
                <w:sz w:val="22"/>
                <w:szCs w:val="22"/>
                <w:color w:val="auto"/>
              </w:rPr>
            </w:pPr>
          </w:p>
        </w:tc>
      </w:tr>
      <w:tr>
        <w:trPr>
          <w:trHeight w:val="338"/>
        </w:trPr>
        <w:tc>
          <w:tcPr>
            <w:tcW w:w="476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SECTION 1.02. Terms Generally; Reclassification</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23</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352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1.03. Accounting Terms</w:t>
            </w:r>
          </w:p>
        </w:tc>
        <w:tc>
          <w:tcPr>
            <w:tcW w:w="12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24</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604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w w:val="99"/>
              </w:rPr>
              <w:t>SECTION 1.04. Timing of Payment of Performance; Times of Day</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338"/>
        </w:trPr>
        <w:tc>
          <w:tcPr>
            <w:tcW w:w="524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1.05. Division of Limited Liability Company</w:t>
            </w:r>
          </w:p>
        </w:tc>
        <w:tc>
          <w:tcPr>
            <w:tcW w:w="800" w:type="dxa"/>
            <w:vAlign w:val="bottom"/>
          </w:tcPr>
          <w:p>
            <w:pPr>
              <w:jc w:val="right"/>
              <w:ind w:right="441"/>
              <w:spacing w:after="0"/>
              <w:rPr>
                <w:sz w:val="20"/>
                <w:szCs w:val="20"/>
                <w:color w:val="auto"/>
              </w:rPr>
            </w:pPr>
            <w:r>
              <w:rPr>
                <w:rFonts w:ascii="Times New Roman" w:cs="Times New Roman" w:eastAsia="Times New Roman" w:hAnsi="Times New Roman"/>
                <w:sz w:val="20"/>
                <w:szCs w:val="20"/>
                <w:color w:val="auto"/>
              </w:rPr>
              <w:t>24</w:t>
            </w:r>
          </w:p>
        </w:tc>
        <w:tc>
          <w:tcPr>
            <w:tcW w:w="340" w:type="dxa"/>
            <w:vAlign w:val="bottom"/>
          </w:tcPr>
          <w:p>
            <w:pPr>
              <w:spacing w:after="0"/>
              <w:rPr>
                <w:sz w:val="24"/>
                <w:szCs w:val="24"/>
                <w:color w:val="auto"/>
              </w:rPr>
            </w:pPr>
          </w:p>
        </w:tc>
      </w:tr>
      <w:tr>
        <w:trPr>
          <w:trHeight w:val="351"/>
        </w:trPr>
        <w:tc>
          <w:tcPr>
            <w:tcW w:w="476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SECTION 1.06. Benchmark Replacement Setting</w:t>
            </w:r>
          </w:p>
        </w:tc>
        <w:tc>
          <w:tcPr>
            <w:tcW w:w="48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w w:val="99"/>
              </w:rPr>
              <w:t>24</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26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1.07. Rates</w:t>
            </w:r>
          </w:p>
        </w:tc>
        <w:tc>
          <w:tcPr>
            <w:tcW w:w="70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w w:val="99"/>
              </w:rPr>
              <w:t>25</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2600" w:type="dxa"/>
            <w:vAlign w:val="bottom"/>
          </w:tcPr>
          <w:p>
            <w:pPr>
              <w:spacing w:after="0"/>
              <w:rPr>
                <w:sz w:val="20"/>
                <w:szCs w:val="20"/>
                <w:color w:val="auto"/>
              </w:rPr>
            </w:pPr>
            <w:r>
              <w:rPr>
                <w:rFonts w:ascii="Times New Roman" w:cs="Times New Roman" w:eastAsia="Times New Roman" w:hAnsi="Times New Roman"/>
                <w:sz w:val="20"/>
                <w:szCs w:val="20"/>
                <w:color w:val="auto"/>
              </w:rPr>
              <w:t>ARTICLE 2  THE LOAN  26</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65"/>
        </w:trPr>
        <w:tc>
          <w:tcPr>
            <w:tcW w:w="476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SECTION 2.01. Commitment to Lend  26</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7"/>
        </w:trPr>
        <w:tc>
          <w:tcPr>
            <w:tcW w:w="476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SECTION 2.02. Requests for Borrowings  26</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524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2.03. Notice to Lender; Funding of Loans  27</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352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2.04. Evidence of Debt</w:t>
            </w:r>
          </w:p>
        </w:tc>
        <w:tc>
          <w:tcPr>
            <w:tcW w:w="1240" w:type="dxa"/>
            <w:vAlign w:val="bottom"/>
          </w:tcPr>
          <w:p>
            <w:pPr>
              <w:jc w:val="right"/>
              <w:ind w:right="901"/>
              <w:spacing w:after="0"/>
              <w:rPr>
                <w:sz w:val="20"/>
                <w:szCs w:val="20"/>
                <w:color w:val="auto"/>
              </w:rPr>
            </w:pPr>
            <w:r>
              <w:rPr>
                <w:rFonts w:ascii="Times New Roman" w:cs="Times New Roman" w:eastAsia="Times New Roman" w:hAnsi="Times New Roman"/>
                <w:sz w:val="20"/>
                <w:szCs w:val="20"/>
                <w:color w:val="auto"/>
              </w:rPr>
              <w:t>27</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352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2.05. Maturity of Loans</w:t>
            </w:r>
          </w:p>
        </w:tc>
        <w:tc>
          <w:tcPr>
            <w:tcW w:w="1240" w:type="dxa"/>
            <w:vAlign w:val="bottom"/>
          </w:tcPr>
          <w:p>
            <w:pPr>
              <w:jc w:val="right"/>
              <w:ind w:right="841"/>
              <w:spacing w:after="0"/>
              <w:rPr>
                <w:sz w:val="20"/>
                <w:szCs w:val="20"/>
                <w:color w:val="auto"/>
              </w:rPr>
            </w:pPr>
            <w:r>
              <w:rPr>
                <w:rFonts w:ascii="Times New Roman" w:cs="Times New Roman" w:eastAsia="Times New Roman" w:hAnsi="Times New Roman"/>
                <w:sz w:val="20"/>
                <w:szCs w:val="20"/>
                <w:color w:val="auto"/>
              </w:rPr>
              <w:t>28</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260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8"/>
              </w:rPr>
              <w:t>SECTION 2.06. Interest</w:t>
            </w:r>
          </w:p>
        </w:tc>
        <w:tc>
          <w:tcPr>
            <w:tcW w:w="70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28</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352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2.07. Commitment Fees</w:t>
            </w:r>
          </w:p>
        </w:tc>
        <w:tc>
          <w:tcPr>
            <w:tcW w:w="124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29</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604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rPr>
              <w:t>SECTION 2.08. Optional Termination, Reduction of Commitment</w:t>
            </w:r>
          </w:p>
        </w:tc>
        <w:tc>
          <w:tcPr>
            <w:tcW w:w="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w:t>
            </w:r>
          </w:p>
        </w:tc>
      </w:tr>
      <w:tr>
        <w:trPr>
          <w:trHeight w:val="338"/>
        </w:trPr>
        <w:tc>
          <w:tcPr>
            <w:tcW w:w="524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2.09. Scheduled Termination of Commitment</w:t>
            </w:r>
          </w:p>
        </w:tc>
        <w:tc>
          <w:tcPr>
            <w:tcW w:w="80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29</w:t>
            </w:r>
          </w:p>
        </w:tc>
        <w:tc>
          <w:tcPr>
            <w:tcW w:w="340" w:type="dxa"/>
            <w:vAlign w:val="bottom"/>
          </w:tcPr>
          <w:p>
            <w:pPr>
              <w:spacing w:after="0"/>
              <w:rPr>
                <w:sz w:val="24"/>
                <w:szCs w:val="24"/>
                <w:color w:val="auto"/>
              </w:rPr>
            </w:pPr>
          </w:p>
        </w:tc>
      </w:tr>
      <w:tr>
        <w:trPr>
          <w:trHeight w:val="351"/>
        </w:trPr>
        <w:tc>
          <w:tcPr>
            <w:tcW w:w="352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2.10. Prepayments  29</w:t>
            </w: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476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w w:val="98"/>
              </w:rPr>
              <w:t>SECTION 2.11. General Provisions as to Payments</w:t>
            </w:r>
          </w:p>
        </w:tc>
        <w:tc>
          <w:tcPr>
            <w:tcW w:w="4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30</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330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2.12. Funding Losses</w:t>
            </w:r>
          </w:p>
        </w:tc>
        <w:tc>
          <w:tcPr>
            <w:tcW w:w="1460" w:type="dxa"/>
            <w:vAlign w:val="bottom"/>
            <w:gridSpan w:val="2"/>
          </w:tcPr>
          <w:p>
            <w:pPr>
              <w:jc w:val="right"/>
              <w:ind w:right="1041"/>
              <w:spacing w:after="0"/>
              <w:rPr>
                <w:sz w:val="20"/>
                <w:szCs w:val="20"/>
                <w:color w:val="auto"/>
              </w:rPr>
            </w:pPr>
            <w:r>
              <w:rPr>
                <w:rFonts w:ascii="Times New Roman" w:cs="Times New Roman" w:eastAsia="Times New Roman" w:hAnsi="Times New Roman"/>
                <w:sz w:val="20"/>
                <w:szCs w:val="20"/>
                <w:color w:val="auto"/>
              </w:rPr>
              <w:t>30</w:t>
            </w: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476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SECTION 2.13. Computation of Interest and Fees</w:t>
            </w:r>
          </w:p>
        </w:tc>
        <w:tc>
          <w:tcPr>
            <w:tcW w:w="48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rPr>
              <w:t>30</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38"/>
        </w:trPr>
        <w:tc>
          <w:tcPr>
            <w:tcW w:w="26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2.14. Taxes</w:t>
            </w:r>
          </w:p>
        </w:tc>
        <w:tc>
          <w:tcPr>
            <w:tcW w:w="70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30</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351"/>
        </w:trPr>
        <w:tc>
          <w:tcPr>
            <w:tcW w:w="524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2.15. Conversion and Continuation of Loans</w:t>
            </w:r>
          </w:p>
        </w:tc>
        <w:tc>
          <w:tcPr>
            <w:tcW w:w="800" w:type="dxa"/>
            <w:vAlign w:val="bottom"/>
          </w:tcPr>
          <w:p>
            <w:pPr>
              <w:jc w:val="right"/>
              <w:ind w:right="481"/>
              <w:spacing w:after="0"/>
              <w:rPr>
                <w:sz w:val="20"/>
                <w:szCs w:val="20"/>
                <w:color w:val="auto"/>
              </w:rPr>
            </w:pPr>
            <w:r>
              <w:rPr>
                <w:rFonts w:ascii="Times New Roman" w:cs="Times New Roman" w:eastAsia="Times New Roman" w:hAnsi="Times New Roman"/>
                <w:sz w:val="20"/>
                <w:szCs w:val="20"/>
                <w:color w:val="auto"/>
                <w:w w:val="99"/>
              </w:rPr>
              <w:t>31</w:t>
            </w:r>
          </w:p>
        </w:tc>
        <w:tc>
          <w:tcPr>
            <w:tcW w:w="340" w:type="dxa"/>
            <w:vAlign w:val="bottom"/>
          </w:tcPr>
          <w:p>
            <w:pPr>
              <w:spacing w:after="0"/>
              <w:rPr>
                <w:sz w:val="24"/>
                <w:szCs w:val="24"/>
                <w:color w:val="auto"/>
              </w:rPr>
            </w:pPr>
          </w:p>
        </w:tc>
      </w:tr>
      <w:tr>
        <w:trPr>
          <w:trHeight w:val="338"/>
        </w:trPr>
        <w:tc>
          <w:tcPr>
            <w:tcW w:w="476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w w:val="99"/>
              </w:rPr>
              <w:t>SECTION 2.16. Term SOFR Conforming Changes</w:t>
            </w:r>
          </w:p>
        </w:tc>
        <w:tc>
          <w:tcPr>
            <w:tcW w:w="4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32</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pacing w:after="0" w:line="93" w:lineRule="exact"/>
        <w:rPr>
          <w:sz w:val="20"/>
          <w:szCs w:val="20"/>
          <w:color w:val="auto"/>
        </w:rPr>
      </w:pPr>
    </w:p>
    <w:p>
      <w:pPr>
        <w:ind w:left="660"/>
        <w:spacing w:after="0"/>
        <w:tabs>
          <w:tab w:leader="none" w:pos="6680" w:val="left"/>
        </w:tabs>
        <w:rPr>
          <w:sz w:val="20"/>
          <w:szCs w:val="20"/>
          <w:color w:val="auto"/>
        </w:rPr>
      </w:pPr>
      <w:r>
        <w:rPr>
          <w:rFonts w:ascii="Times New Roman" w:cs="Times New Roman" w:eastAsia="Times New Roman" w:hAnsi="Times New Roman"/>
          <w:sz w:val="20"/>
          <w:szCs w:val="20"/>
          <w:color w:val="auto"/>
        </w:rPr>
        <w:t>SECTION 2.17. Basis for Determining Interest Rate Inadequate or Unfair</w:t>
        <w:tab/>
        <w:t>32</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86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SECTION 2.18. Illegality</w:t>
            </w:r>
          </w:p>
        </w:tc>
        <w:tc>
          <w:tcPr>
            <w:tcW w:w="1500" w:type="dxa"/>
            <w:vAlign w:val="bottom"/>
          </w:tcPr>
          <w:p>
            <w:pPr>
              <w:jc w:val="right"/>
              <w:ind w:right="1161"/>
              <w:spacing w:after="0"/>
              <w:rPr>
                <w:sz w:val="20"/>
                <w:szCs w:val="20"/>
                <w:color w:val="auto"/>
              </w:rPr>
            </w:pPr>
            <w:r>
              <w:rPr>
                <w:rFonts w:ascii="Times New Roman" w:cs="Times New Roman" w:eastAsia="Times New Roman" w:hAnsi="Times New Roman"/>
                <w:sz w:val="20"/>
                <w:szCs w:val="20"/>
                <w:color w:val="auto"/>
              </w:rPr>
              <w:t>33</w:t>
            </w:r>
          </w:p>
        </w:tc>
        <w:tc>
          <w:tcPr>
            <w:tcW w:w="84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338"/>
        </w:trPr>
        <w:tc>
          <w:tcPr>
            <w:tcW w:w="722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w w:val="99"/>
              </w:rPr>
              <w:t>SECTION 2.19. Base Rate Loans Substituted for Affected Term SOFR Loans  33</w:t>
            </w:r>
          </w:p>
        </w:tc>
      </w:tr>
      <w:tr>
        <w:trPr>
          <w:trHeight w:val="351"/>
        </w:trPr>
        <w:tc>
          <w:tcPr>
            <w:tcW w:w="52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ARTICLE 3  REPRESENTATIONS AND WARRANTIES  33</w:t>
            </w:r>
          </w:p>
        </w:tc>
        <w:tc>
          <w:tcPr>
            <w:tcW w:w="2020" w:type="dxa"/>
            <w:vAlign w:val="bottom"/>
          </w:tcPr>
          <w:p>
            <w:pPr>
              <w:spacing w:after="0"/>
              <w:rPr>
                <w:sz w:val="24"/>
                <w:szCs w:val="24"/>
                <w:color w:val="auto"/>
              </w:rPr>
            </w:pPr>
          </w:p>
        </w:tc>
      </w:tr>
      <w:tr>
        <w:trPr>
          <w:trHeight w:val="351"/>
        </w:trPr>
        <w:tc>
          <w:tcPr>
            <w:tcW w:w="43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3.01. Organization; Powers  33</w:t>
            </w:r>
          </w:p>
        </w:tc>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51"/>
        </w:trPr>
        <w:tc>
          <w:tcPr>
            <w:tcW w:w="43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9"/>
              </w:rPr>
              <w:t>SECTION 3.02. Authorization; Enforceability</w:t>
            </w:r>
          </w:p>
        </w:tc>
        <w:tc>
          <w:tcPr>
            <w:tcW w:w="840" w:type="dxa"/>
            <w:vAlign w:val="bottom"/>
          </w:tcPr>
          <w:p>
            <w:pPr>
              <w:jc w:val="right"/>
              <w:ind w:right="381"/>
              <w:spacing w:after="0"/>
              <w:rPr>
                <w:sz w:val="20"/>
                <w:szCs w:val="20"/>
                <w:color w:val="auto"/>
              </w:rPr>
            </w:pPr>
            <w:r>
              <w:rPr>
                <w:rFonts w:ascii="Times New Roman" w:cs="Times New Roman" w:eastAsia="Times New Roman" w:hAnsi="Times New Roman"/>
                <w:sz w:val="20"/>
                <w:szCs w:val="20"/>
                <w:color w:val="auto"/>
              </w:rPr>
              <w:t>34</w:t>
            </w:r>
          </w:p>
        </w:tc>
        <w:tc>
          <w:tcPr>
            <w:tcW w:w="2020" w:type="dxa"/>
            <w:vAlign w:val="bottom"/>
          </w:tcPr>
          <w:p>
            <w:pPr>
              <w:spacing w:after="0"/>
              <w:rPr>
                <w:sz w:val="24"/>
                <w:szCs w:val="24"/>
                <w:color w:val="auto"/>
              </w:rPr>
            </w:pPr>
          </w:p>
        </w:tc>
      </w:tr>
      <w:tr>
        <w:trPr>
          <w:trHeight w:val="351"/>
        </w:trPr>
        <w:tc>
          <w:tcPr>
            <w:tcW w:w="52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3.03. Governmental Approvals; No Conflicts</w:t>
            </w:r>
          </w:p>
        </w:tc>
        <w:tc>
          <w:tcPr>
            <w:tcW w:w="2020" w:type="dxa"/>
            <w:vAlign w:val="bottom"/>
          </w:tcPr>
          <w:p>
            <w:pPr>
              <w:jc w:val="right"/>
              <w:ind w:right="1621"/>
              <w:spacing w:after="0"/>
              <w:rPr>
                <w:sz w:val="20"/>
                <w:szCs w:val="20"/>
                <w:color w:val="auto"/>
              </w:rPr>
            </w:pPr>
            <w:r>
              <w:rPr>
                <w:rFonts w:ascii="Times New Roman" w:cs="Times New Roman" w:eastAsia="Times New Roman" w:hAnsi="Times New Roman"/>
                <w:sz w:val="20"/>
                <w:szCs w:val="20"/>
                <w:color w:val="auto"/>
              </w:rPr>
              <w:t>34</w:t>
            </w:r>
          </w:p>
        </w:tc>
      </w:tr>
      <w:tr>
        <w:trPr>
          <w:trHeight w:val="338"/>
        </w:trPr>
        <w:tc>
          <w:tcPr>
            <w:tcW w:w="43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3.04. No Material Adverse Effect</w:t>
            </w:r>
          </w:p>
        </w:tc>
        <w:tc>
          <w:tcPr>
            <w:tcW w:w="840" w:type="dxa"/>
            <w:vAlign w:val="bottom"/>
          </w:tcPr>
          <w:p>
            <w:pPr>
              <w:jc w:val="right"/>
              <w:ind w:right="521"/>
              <w:spacing w:after="0"/>
              <w:rPr>
                <w:sz w:val="20"/>
                <w:szCs w:val="20"/>
                <w:color w:val="auto"/>
              </w:rPr>
            </w:pPr>
            <w:r>
              <w:rPr>
                <w:rFonts w:ascii="Times New Roman" w:cs="Times New Roman" w:eastAsia="Times New Roman" w:hAnsi="Times New Roman"/>
                <w:sz w:val="20"/>
                <w:szCs w:val="20"/>
                <w:color w:val="auto"/>
                <w:w w:val="99"/>
              </w:rPr>
              <w:t>34</w:t>
            </w:r>
          </w:p>
        </w:tc>
        <w:tc>
          <w:tcPr>
            <w:tcW w:w="2020" w:type="dxa"/>
            <w:vAlign w:val="bottom"/>
          </w:tcPr>
          <w:p>
            <w:pPr>
              <w:spacing w:after="0"/>
              <w:rPr>
                <w:sz w:val="24"/>
                <w:szCs w:val="24"/>
                <w:color w:val="auto"/>
              </w:rPr>
            </w:pPr>
          </w:p>
        </w:tc>
      </w:tr>
      <w:tr>
        <w:trPr>
          <w:trHeight w:val="351"/>
        </w:trPr>
        <w:tc>
          <w:tcPr>
            <w:tcW w:w="286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8"/>
              </w:rPr>
              <w:t>SECTION 3.05. Properties.</w:t>
            </w:r>
          </w:p>
        </w:tc>
        <w:tc>
          <w:tcPr>
            <w:tcW w:w="150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34</w:t>
            </w:r>
          </w:p>
        </w:tc>
        <w:tc>
          <w:tcPr>
            <w:tcW w:w="8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8"/>
        </w:trPr>
        <w:tc>
          <w:tcPr>
            <w:tcW w:w="52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3.06. Litigation and Environmental Matters.</w:t>
            </w:r>
          </w:p>
        </w:tc>
        <w:tc>
          <w:tcPr>
            <w:tcW w:w="2020" w:type="dxa"/>
            <w:vAlign w:val="bottom"/>
          </w:tcPr>
          <w:p>
            <w:pPr>
              <w:jc w:val="right"/>
              <w:ind w:right="1701"/>
              <w:spacing w:after="0"/>
              <w:rPr>
                <w:sz w:val="20"/>
                <w:szCs w:val="20"/>
                <w:color w:val="auto"/>
              </w:rPr>
            </w:pPr>
            <w:r>
              <w:rPr>
                <w:rFonts w:ascii="Times New Roman" w:cs="Times New Roman" w:eastAsia="Times New Roman" w:hAnsi="Times New Roman"/>
                <w:sz w:val="20"/>
                <w:szCs w:val="20"/>
                <w:color w:val="auto"/>
                <w:w w:val="99"/>
              </w:rPr>
              <w:t>34</w:t>
            </w: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w:t>
      </w:r>
    </w:p>
    <w:p>
      <w:pPr>
        <w:sectPr>
          <w:pgSz w:w="11900" w:h="16838" w:orient="portrait"/>
          <w:cols w:equalWidth="0" w:num="1">
            <w:col w:w="11240"/>
          </w:cols>
          <w:pgMar w:left="320" w:top="114" w:right="339" w:bottom="1440" w:gutter="0" w:footer="0" w:header="0"/>
          <w:type w:val="continuous"/>
        </w:sectPr>
      </w:pPr>
    </w:p>
    <w:bookmarkStart w:id="69" w:name="page70"/>
    <w:bookmarkEnd w:id="69"/>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86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w w:val="99"/>
              </w:rPr>
              <w:t>SECTION 3.07. Compliance with Laws</w:t>
            </w: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35</w:t>
            </w:r>
          </w:p>
        </w:tc>
        <w:tc>
          <w:tcPr>
            <w:tcW w:w="9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338"/>
        </w:trPr>
        <w:tc>
          <w:tcPr>
            <w:tcW w:w="436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rPr>
              <w:t>SECTION 3.08. Investment Company Status</w:t>
            </w:r>
          </w:p>
        </w:tc>
        <w:tc>
          <w:tcPr>
            <w:tcW w:w="96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35</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25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3.09. Taxes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374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rPr>
              <w:t>SECTION 3.10. ERISA; Plan Assets</w:t>
            </w:r>
          </w:p>
        </w:tc>
        <w:tc>
          <w:tcPr>
            <w:tcW w:w="620" w:type="dxa"/>
            <w:vAlign w:val="bottom"/>
            <w:gridSpan w:val="2"/>
          </w:tcPr>
          <w:p>
            <w:pPr>
              <w:jc w:val="right"/>
              <w:ind w:right="281"/>
              <w:spacing w:after="0"/>
              <w:rPr>
                <w:sz w:val="20"/>
                <w:szCs w:val="20"/>
                <w:color w:val="auto"/>
              </w:rPr>
            </w:pPr>
            <w:r>
              <w:rPr>
                <w:rFonts w:ascii="Times New Roman" w:cs="Times New Roman" w:eastAsia="Times New Roman" w:hAnsi="Times New Roman"/>
                <w:sz w:val="20"/>
                <w:szCs w:val="20"/>
                <w:color w:val="auto"/>
              </w:rPr>
              <w:t>35</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29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3.11. Disclosure</w:t>
            </w:r>
          </w:p>
        </w:tc>
        <w:tc>
          <w:tcPr>
            <w:tcW w:w="120" w:type="dxa"/>
            <w:vAlign w:val="bottom"/>
          </w:tcPr>
          <w:p>
            <w:pPr>
              <w:spacing w:after="0"/>
              <w:rPr>
                <w:sz w:val="24"/>
                <w:szCs w:val="24"/>
                <w:color w:val="auto"/>
              </w:rPr>
            </w:pPr>
          </w:p>
        </w:tc>
        <w:tc>
          <w:tcPr>
            <w:tcW w:w="420" w:type="dxa"/>
            <w:vAlign w:val="bottom"/>
          </w:tcPr>
          <w:p>
            <w:pPr>
              <w:jc w:val="right"/>
              <w:ind w:right="121"/>
              <w:spacing w:after="0"/>
              <w:rPr>
                <w:sz w:val="20"/>
                <w:szCs w:val="20"/>
                <w:color w:val="auto"/>
              </w:rPr>
            </w:pPr>
            <w:r>
              <w:rPr>
                <w:rFonts w:ascii="Times New Roman" w:cs="Times New Roman" w:eastAsia="Times New Roman" w:hAnsi="Times New Roman"/>
                <w:sz w:val="20"/>
                <w:szCs w:val="20"/>
                <w:color w:val="auto"/>
                <w:w w:val="89"/>
              </w:rPr>
              <w:t>35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29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3.12. Solvency</w:t>
            </w:r>
          </w:p>
        </w:tc>
        <w:tc>
          <w:tcPr>
            <w:tcW w:w="54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w w:val="99"/>
              </w:rPr>
              <w:t>35</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532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3.13. Capitalization and Subsidiaries  36</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436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w w:val="99"/>
              </w:rPr>
              <w:t>SECTION 3.14. Security Interest in Collateral</w:t>
            </w:r>
          </w:p>
        </w:tc>
        <w:tc>
          <w:tcPr>
            <w:tcW w:w="960" w:type="dxa"/>
            <w:vAlign w:val="bottom"/>
          </w:tcPr>
          <w:p>
            <w:pPr>
              <w:jc w:val="right"/>
              <w:ind w:right="501"/>
              <w:spacing w:after="0"/>
              <w:rPr>
                <w:sz w:val="20"/>
                <w:szCs w:val="20"/>
                <w:color w:val="auto"/>
              </w:rPr>
            </w:pPr>
            <w:r>
              <w:rPr>
                <w:rFonts w:ascii="Times New Roman" w:cs="Times New Roman" w:eastAsia="Times New Roman" w:hAnsi="Times New Roman"/>
                <w:sz w:val="20"/>
                <w:szCs w:val="20"/>
                <w:color w:val="auto"/>
              </w:rPr>
              <w:t>36</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436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rPr>
              <w:t>SECTION 3.15. Federal Reserve Regulations</w:t>
            </w:r>
          </w:p>
        </w:tc>
        <w:tc>
          <w:tcPr>
            <w:tcW w:w="960" w:type="dxa"/>
            <w:vAlign w:val="bottom"/>
          </w:tcPr>
          <w:p>
            <w:pPr>
              <w:jc w:val="right"/>
              <w:ind w:right="561"/>
              <w:spacing w:after="0"/>
              <w:rPr>
                <w:sz w:val="20"/>
                <w:szCs w:val="20"/>
                <w:color w:val="auto"/>
              </w:rPr>
            </w:pPr>
            <w:r>
              <w:rPr>
                <w:rFonts w:ascii="Times New Roman" w:cs="Times New Roman" w:eastAsia="Times New Roman" w:hAnsi="Times New Roman"/>
                <w:sz w:val="20"/>
                <w:szCs w:val="20"/>
                <w:color w:val="auto"/>
              </w:rPr>
              <w:t>36</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6500" w:type="dxa"/>
            <w:vAlign w:val="bottom"/>
            <w:gridSpan w:val="10"/>
          </w:tcPr>
          <w:p>
            <w:pPr>
              <w:ind w:left="660"/>
              <w:spacing w:after="0"/>
              <w:rPr>
                <w:sz w:val="20"/>
                <w:szCs w:val="20"/>
                <w:color w:val="auto"/>
              </w:rPr>
            </w:pPr>
            <w:r>
              <w:rPr>
                <w:rFonts w:ascii="Times New Roman" w:cs="Times New Roman" w:eastAsia="Times New Roman" w:hAnsi="Times New Roman"/>
                <w:sz w:val="20"/>
                <w:szCs w:val="20"/>
                <w:color w:val="auto"/>
                <w:w w:val="99"/>
              </w:rPr>
              <w:t>SECTION 3.16. Sanctions; Anti-Terrorism Laws; Anti-Corruption Laws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r>
      <w:tr>
        <w:trPr>
          <w:trHeight w:val="351"/>
        </w:trPr>
        <w:tc>
          <w:tcPr>
            <w:tcW w:w="344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3.17. 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37</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ARTICLE 4</w:t>
            </w: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rPr>
              <w:t>CONDITIONS PRECEDENT</w:t>
            </w:r>
          </w:p>
        </w:tc>
        <w:tc>
          <w:tcPr>
            <w:tcW w:w="620" w:type="dxa"/>
            <w:vAlign w:val="bottom"/>
            <w:gridSpan w:val="2"/>
          </w:tcPr>
          <w:p>
            <w:pPr>
              <w:jc w:val="right"/>
              <w:ind w:right="301"/>
              <w:spacing w:after="0"/>
              <w:rPr>
                <w:sz w:val="20"/>
                <w:szCs w:val="20"/>
                <w:color w:val="auto"/>
              </w:rPr>
            </w:pPr>
            <w:r>
              <w:rPr>
                <w:rFonts w:ascii="Times New Roman" w:cs="Times New Roman" w:eastAsia="Times New Roman" w:hAnsi="Times New Roman"/>
                <w:sz w:val="20"/>
                <w:szCs w:val="20"/>
                <w:color w:val="auto"/>
                <w:w w:val="99"/>
              </w:rPr>
              <w:t>37</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5"/>
        </w:trPr>
        <w:tc>
          <w:tcPr>
            <w:tcW w:w="302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w w:val="97"/>
              </w:rPr>
              <w:t>SECTION 4.01. Closing Date</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386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rPr>
              <w:t>SECTION 4.02. Each Credit Extension</w:t>
            </w:r>
          </w:p>
        </w:tc>
        <w:tc>
          <w:tcPr>
            <w:tcW w:w="50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38</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ARTICLE 5</w:t>
            </w: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20"/>
                <w:szCs w:val="20"/>
                <w:color w:val="auto"/>
                <w:w w:val="98"/>
              </w:rPr>
              <w:t>AFFIRMATIVE COVENANTS</w:t>
            </w:r>
          </w:p>
        </w:tc>
        <w:tc>
          <w:tcPr>
            <w:tcW w:w="120" w:type="dxa"/>
            <w:vAlign w:val="bottom"/>
          </w:tcPr>
          <w:p>
            <w:pPr>
              <w:spacing w:after="0"/>
              <w:rPr>
                <w:sz w:val="24"/>
                <w:szCs w:val="24"/>
                <w:color w:val="auto"/>
              </w:rPr>
            </w:pPr>
          </w:p>
        </w:tc>
        <w:tc>
          <w:tcPr>
            <w:tcW w:w="500" w:type="dxa"/>
            <w:vAlign w:val="bottom"/>
          </w:tcPr>
          <w:p>
            <w:pPr>
              <w:jc w:val="right"/>
              <w:ind w:right="141"/>
              <w:spacing w:after="0"/>
              <w:rPr>
                <w:sz w:val="20"/>
                <w:szCs w:val="20"/>
                <w:color w:val="auto"/>
              </w:rPr>
            </w:pPr>
            <w:r>
              <w:rPr>
                <w:rFonts w:ascii="Times New Roman" w:cs="Times New Roman" w:eastAsia="Times New Roman" w:hAnsi="Times New Roman"/>
                <w:sz w:val="20"/>
                <w:szCs w:val="20"/>
                <w:color w:val="auto"/>
              </w:rPr>
              <w:t>38</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5"/>
        </w:trPr>
        <w:tc>
          <w:tcPr>
            <w:tcW w:w="532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5.01. Financial Statements and Other Reports</w:t>
            </w:r>
          </w:p>
        </w:tc>
        <w:tc>
          <w:tcPr>
            <w:tcW w:w="118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w w:val="99"/>
              </w:rPr>
              <w:t>39</w:t>
            </w:r>
          </w:p>
        </w:tc>
        <w:tc>
          <w:tcPr>
            <w:tcW w:w="300" w:type="dxa"/>
            <w:vAlign w:val="bottom"/>
          </w:tcPr>
          <w:p>
            <w:pPr>
              <w:spacing w:after="0"/>
              <w:rPr>
                <w:sz w:val="24"/>
                <w:szCs w:val="24"/>
                <w:color w:val="auto"/>
              </w:rPr>
            </w:pPr>
          </w:p>
        </w:tc>
      </w:tr>
      <w:tr>
        <w:trPr>
          <w:trHeight w:val="338"/>
        </w:trPr>
        <w:tc>
          <w:tcPr>
            <w:tcW w:w="29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5.02. Existence</w:t>
            </w:r>
          </w:p>
        </w:tc>
        <w:tc>
          <w:tcPr>
            <w:tcW w:w="54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40</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344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w w:val="98"/>
              </w:rPr>
              <w:t>SECTION 5.03. Payment of Taxes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532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5.04. Maintenance of Properties  40</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29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5.05. Insurance</w:t>
            </w:r>
          </w:p>
        </w:tc>
        <w:tc>
          <w:tcPr>
            <w:tcW w:w="540" w:type="dxa"/>
            <w:vAlign w:val="bottom"/>
            <w:gridSpan w:val="2"/>
          </w:tcPr>
          <w:p>
            <w:pPr>
              <w:jc w:val="right"/>
              <w:ind w:right="181"/>
              <w:spacing w:after="0"/>
              <w:rPr>
                <w:sz w:val="20"/>
                <w:szCs w:val="20"/>
                <w:color w:val="auto"/>
              </w:rPr>
            </w:pPr>
            <w:r>
              <w:rPr>
                <w:rFonts w:ascii="Times New Roman" w:cs="Times New Roman" w:eastAsia="Times New Roman" w:hAnsi="Times New Roman"/>
                <w:sz w:val="20"/>
                <w:szCs w:val="20"/>
                <w:color w:val="auto"/>
              </w:rPr>
              <w:t>41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29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w w:val="98"/>
              </w:rPr>
              <w:t>SECTION 5.06. Inspections</w:t>
            </w:r>
          </w:p>
        </w:tc>
        <w:tc>
          <w:tcPr>
            <w:tcW w:w="120" w:type="dxa"/>
            <w:vAlign w:val="bottom"/>
          </w:tcPr>
          <w:p>
            <w:pPr>
              <w:spacing w:after="0"/>
              <w:rPr>
                <w:sz w:val="24"/>
                <w:szCs w:val="24"/>
                <w:color w:val="auto"/>
              </w:rPr>
            </w:pPr>
          </w:p>
        </w:tc>
        <w:tc>
          <w:tcPr>
            <w:tcW w:w="42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rPr>
              <w:t>41</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7"/>
        </w:trPr>
        <w:tc>
          <w:tcPr>
            <w:tcW w:w="532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5.07. Maintenance of Book and Records  41</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386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w w:val="99"/>
              </w:rPr>
              <w:t>SECTION 5.08. Compliance with Laws</w:t>
            </w:r>
          </w:p>
        </w:tc>
        <w:tc>
          <w:tcPr>
            <w:tcW w:w="500" w:type="dxa"/>
            <w:vAlign w:val="bottom"/>
          </w:tcPr>
          <w:p>
            <w:pPr>
              <w:jc w:val="right"/>
              <w:ind w:right="41"/>
              <w:spacing w:after="0"/>
              <w:rPr>
                <w:sz w:val="20"/>
                <w:szCs w:val="20"/>
                <w:color w:val="auto"/>
              </w:rPr>
            </w:pPr>
            <w:r>
              <w:rPr>
                <w:rFonts w:ascii="Times New Roman" w:cs="Times New Roman" w:eastAsia="Times New Roman" w:hAnsi="Times New Roman"/>
                <w:sz w:val="20"/>
                <w:szCs w:val="20"/>
                <w:color w:val="auto"/>
              </w:rPr>
              <w:t>41</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344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5.09. 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42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532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w w:val="98"/>
              </w:rPr>
              <w:t>SECTION 5.10. Additional Collateral; Further Assurances</w:t>
            </w:r>
          </w:p>
        </w:tc>
        <w:tc>
          <w:tcPr>
            <w:tcW w:w="1180" w:type="dxa"/>
            <w:vAlign w:val="bottom"/>
          </w:tcPr>
          <w:p>
            <w:pPr>
              <w:jc w:val="right"/>
              <w:ind w:right="701"/>
              <w:spacing w:after="0"/>
              <w:rPr>
                <w:sz w:val="20"/>
                <w:szCs w:val="20"/>
                <w:color w:val="auto"/>
              </w:rPr>
            </w:pPr>
            <w:r>
              <w:rPr>
                <w:rFonts w:ascii="Times New Roman" w:cs="Times New Roman" w:eastAsia="Times New Roman" w:hAnsi="Times New Roman"/>
                <w:sz w:val="20"/>
                <w:szCs w:val="20"/>
                <w:color w:val="auto"/>
              </w:rPr>
              <w:t>42</w:t>
            </w:r>
          </w:p>
        </w:tc>
        <w:tc>
          <w:tcPr>
            <w:tcW w:w="300" w:type="dxa"/>
            <w:vAlign w:val="bottom"/>
          </w:tcPr>
          <w:p>
            <w:pPr>
              <w:spacing w:after="0"/>
              <w:rPr>
                <w:sz w:val="24"/>
                <w:szCs w:val="24"/>
                <w:color w:val="auto"/>
              </w:rPr>
            </w:pPr>
          </w:p>
        </w:tc>
      </w:tr>
      <w:tr>
        <w:trPr>
          <w:trHeight w:val="351"/>
        </w:trPr>
        <w:tc>
          <w:tcPr>
            <w:tcW w:w="374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rPr>
              <w:t>SECTION 5.11. Conduct of Business</w:t>
            </w:r>
          </w:p>
        </w:tc>
        <w:tc>
          <w:tcPr>
            <w:tcW w:w="620" w:type="dxa"/>
            <w:vAlign w:val="bottom"/>
            <w:gridSpan w:val="2"/>
          </w:tcPr>
          <w:p>
            <w:pPr>
              <w:jc w:val="right"/>
              <w:ind w:right="241"/>
              <w:spacing w:after="0"/>
              <w:rPr>
                <w:sz w:val="20"/>
                <w:szCs w:val="20"/>
                <w:color w:val="auto"/>
              </w:rPr>
            </w:pPr>
            <w:r>
              <w:rPr>
                <w:rFonts w:ascii="Times New Roman" w:cs="Times New Roman" w:eastAsia="Times New Roman" w:hAnsi="Times New Roman"/>
                <w:sz w:val="20"/>
                <w:szCs w:val="20"/>
                <w:color w:val="auto"/>
              </w:rPr>
              <w:t>43</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29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w w:val="99"/>
              </w:rPr>
              <w:t>SECTION 5.12. [Reserved]</w:t>
            </w:r>
          </w:p>
        </w:tc>
        <w:tc>
          <w:tcPr>
            <w:tcW w:w="120" w:type="dxa"/>
            <w:vAlign w:val="bottom"/>
          </w:tcPr>
          <w:p>
            <w:pPr>
              <w:spacing w:after="0"/>
              <w:rPr>
                <w:sz w:val="24"/>
                <w:szCs w:val="24"/>
                <w:color w:val="auto"/>
              </w:rPr>
            </w:pPr>
          </w:p>
        </w:tc>
        <w:tc>
          <w:tcPr>
            <w:tcW w:w="4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w w:val="99"/>
              </w:rPr>
              <w:t>43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374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rPr>
              <w:t>SECTION 5.13. Post-Closing Matters</w:t>
            </w:r>
          </w:p>
        </w:tc>
        <w:tc>
          <w:tcPr>
            <w:tcW w:w="120" w:type="dxa"/>
            <w:vAlign w:val="bottom"/>
          </w:tcPr>
          <w:p>
            <w:pPr>
              <w:spacing w:after="0"/>
              <w:rPr>
                <w:sz w:val="24"/>
                <w:szCs w:val="24"/>
                <w:color w:val="auto"/>
              </w:rPr>
            </w:pPr>
          </w:p>
        </w:tc>
        <w:tc>
          <w:tcPr>
            <w:tcW w:w="50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w w:val="89"/>
              </w:rPr>
              <w:t>43</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ARTICLE 6</w:t>
            </w:r>
          </w:p>
        </w:tc>
        <w:tc>
          <w:tcPr>
            <w:tcW w:w="2360" w:type="dxa"/>
            <w:vAlign w:val="bottom"/>
            <w:gridSpan w:val="4"/>
          </w:tcPr>
          <w:p>
            <w:pPr>
              <w:ind w:left="80"/>
              <w:spacing w:after="0"/>
              <w:rPr>
                <w:sz w:val="20"/>
                <w:szCs w:val="20"/>
                <w:color w:val="auto"/>
              </w:rPr>
            </w:pPr>
            <w:r>
              <w:rPr>
                <w:rFonts w:ascii="Times New Roman" w:cs="Times New Roman" w:eastAsia="Times New Roman" w:hAnsi="Times New Roman"/>
                <w:sz w:val="20"/>
                <w:szCs w:val="20"/>
                <w:color w:val="auto"/>
                <w:w w:val="99"/>
              </w:rPr>
              <w:t>NEGATIVE COVENANTS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64"/>
        </w:trPr>
        <w:tc>
          <w:tcPr>
            <w:tcW w:w="302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w w:val="97"/>
              </w:rPr>
              <w:t>SECTION 6.01. Indebtedness</w:t>
            </w:r>
          </w:p>
        </w:tc>
        <w:tc>
          <w:tcPr>
            <w:tcW w:w="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254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6.02. Liens</w:t>
            </w:r>
          </w:p>
        </w:tc>
        <w:tc>
          <w:tcPr>
            <w:tcW w:w="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38"/>
        </w:trPr>
        <w:tc>
          <w:tcPr>
            <w:tcW w:w="386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w w:val="98"/>
              </w:rPr>
              <w:t>SECTION 6.03. Restrictive Agreements</w:t>
            </w:r>
          </w:p>
        </w:tc>
        <w:tc>
          <w:tcPr>
            <w:tcW w:w="50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46</w:t>
            </w: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51"/>
        </w:trPr>
        <w:tc>
          <w:tcPr>
            <w:tcW w:w="6500" w:type="dxa"/>
            <w:vAlign w:val="bottom"/>
            <w:gridSpan w:val="10"/>
          </w:tcPr>
          <w:p>
            <w:pPr>
              <w:ind w:left="660"/>
              <w:spacing w:after="0"/>
              <w:rPr>
                <w:sz w:val="20"/>
                <w:szCs w:val="20"/>
                <w:color w:val="auto"/>
              </w:rPr>
            </w:pPr>
            <w:r>
              <w:rPr>
                <w:rFonts w:ascii="Times New Roman" w:cs="Times New Roman" w:eastAsia="Times New Roman" w:hAnsi="Times New Roman"/>
                <w:sz w:val="20"/>
                <w:szCs w:val="20"/>
                <w:color w:val="auto"/>
              </w:rPr>
              <w:t>SECTION 6.04. Restricted Payments; Certain Payments of Indebtedness</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w:t>
            </w:r>
          </w:p>
        </w:tc>
      </w:tr>
      <w:tr>
        <w:trPr>
          <w:trHeight w:val="338"/>
        </w:trPr>
        <w:tc>
          <w:tcPr>
            <w:tcW w:w="302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SECTION 6.05. Investments</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rPr>
              <w:t>49</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ii</w:t>
      </w:r>
    </w:p>
    <w:p>
      <w:pPr>
        <w:sectPr>
          <w:pgSz w:w="11900" w:h="16838" w:orient="portrait"/>
          <w:cols w:equalWidth="0" w:num="1">
            <w:col w:w="11240"/>
          </w:cols>
          <w:pgMar w:left="320" w:top="114" w:right="339" w:bottom="1440" w:gutter="0" w:footer="0" w:header="0"/>
          <w:type w:val="continuous"/>
        </w:sectPr>
      </w:pPr>
    </w:p>
    <w:bookmarkStart w:id="70" w:name="page71"/>
    <w:bookmarkEnd w:id="70"/>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648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6.06. Fundamental Changes; Disposition of Assets  51</w:t>
            </w:r>
          </w:p>
        </w:tc>
        <w:tc>
          <w:tcPr>
            <w:tcW w:w="640" w:type="dxa"/>
            <w:vAlign w:val="bottom"/>
          </w:tcPr>
          <w:p>
            <w:pPr>
              <w:spacing w:after="0"/>
              <w:rPr>
                <w:sz w:val="22"/>
                <w:szCs w:val="22"/>
                <w:color w:val="auto"/>
              </w:rPr>
            </w:pPr>
          </w:p>
        </w:tc>
      </w:tr>
      <w:tr>
        <w:trPr>
          <w:trHeight w:val="338"/>
        </w:trPr>
        <w:tc>
          <w:tcPr>
            <w:tcW w:w="388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rPr>
              <w:t>SECTION 6.07. Sales and Lease-Backs</w:t>
            </w:r>
          </w:p>
        </w:tc>
        <w:tc>
          <w:tcPr>
            <w:tcW w:w="116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52</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504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rPr>
              <w:t>SECTION 6.08. Transactions with Affiliates  52</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648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6.09. Amendments or Waivers of Organizational Documents</w:t>
            </w:r>
          </w:p>
        </w:tc>
        <w:tc>
          <w:tcPr>
            <w:tcW w:w="640" w:type="dxa"/>
            <w:vAlign w:val="bottom"/>
          </w:tcPr>
          <w:p>
            <w:pPr>
              <w:jc w:val="right"/>
              <w:ind w:right="281"/>
              <w:spacing w:after="0"/>
              <w:rPr>
                <w:sz w:val="20"/>
                <w:szCs w:val="20"/>
                <w:color w:val="auto"/>
              </w:rPr>
            </w:pPr>
            <w:r>
              <w:rPr>
                <w:rFonts w:ascii="Times New Roman" w:cs="Times New Roman" w:eastAsia="Times New Roman" w:hAnsi="Times New Roman"/>
                <w:sz w:val="20"/>
                <w:szCs w:val="20"/>
                <w:color w:val="auto"/>
              </w:rPr>
              <w:t>53</w:t>
            </w:r>
          </w:p>
        </w:tc>
      </w:tr>
      <w:tr>
        <w:trPr>
          <w:trHeight w:val="338"/>
        </w:trPr>
        <w:tc>
          <w:tcPr>
            <w:tcW w:w="648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w w:val="99"/>
              </w:rPr>
              <w:t>SECTION 6.10. Amendments of or Waivers with Respect to Junior Debt</w:t>
            </w: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53</w:t>
            </w:r>
          </w:p>
        </w:tc>
      </w:tr>
      <w:tr>
        <w:trPr>
          <w:trHeight w:val="351"/>
        </w:trPr>
        <w:tc>
          <w:tcPr>
            <w:tcW w:w="32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ARTICLE 7  EVENTS OF DEFAULT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338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w w:val="97"/>
              </w:rPr>
              <w:t>SECTION 7.01. Events of Default</w:t>
            </w:r>
          </w:p>
        </w:tc>
        <w:tc>
          <w:tcPr>
            <w:tcW w:w="200" w:type="dxa"/>
            <w:vAlign w:val="bottom"/>
          </w:tcPr>
          <w:p>
            <w:pPr>
              <w:spacing w:after="0"/>
              <w:rPr>
                <w:sz w:val="24"/>
                <w:szCs w:val="24"/>
                <w:color w:val="auto"/>
              </w:rPr>
            </w:pPr>
          </w:p>
        </w:tc>
        <w:tc>
          <w:tcPr>
            <w:tcW w:w="300" w:type="dxa"/>
            <w:vAlign w:val="bottom"/>
          </w:tcPr>
          <w:p>
            <w:pPr>
              <w:jc w:val="right"/>
              <w:ind w:right="1"/>
              <w:spacing w:after="0"/>
              <w:rPr>
                <w:sz w:val="20"/>
                <w:szCs w:val="20"/>
                <w:color w:val="auto"/>
              </w:rPr>
            </w:pPr>
            <w:r>
              <w:rPr>
                <w:rFonts w:ascii="Times New Roman" w:cs="Times New Roman" w:eastAsia="Times New Roman" w:hAnsi="Times New Roman"/>
                <w:sz w:val="20"/>
                <w:szCs w:val="20"/>
                <w:color w:val="auto"/>
                <w:w w:val="89"/>
              </w:rPr>
              <w:t>53</w:t>
            </w: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ARTICLE 8</w:t>
            </w: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MISCELLANEOUS</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55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2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8.01. Notices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55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388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rPr>
              <w:t>SECTION 8.02. Waivers; Amendments</w:t>
            </w:r>
          </w:p>
        </w:tc>
        <w:tc>
          <w:tcPr>
            <w:tcW w:w="1160" w:type="dxa"/>
            <w:vAlign w:val="bottom"/>
          </w:tcPr>
          <w:p>
            <w:pPr>
              <w:jc w:val="right"/>
              <w:ind w:right="761"/>
              <w:spacing w:after="0"/>
              <w:rPr>
                <w:sz w:val="20"/>
                <w:szCs w:val="20"/>
                <w:color w:val="auto"/>
              </w:rPr>
            </w:pPr>
            <w:r>
              <w:rPr>
                <w:rFonts w:ascii="Times New Roman" w:cs="Times New Roman" w:eastAsia="Times New Roman" w:hAnsi="Times New Roman"/>
                <w:sz w:val="20"/>
                <w:szCs w:val="20"/>
                <w:color w:val="auto"/>
              </w:rPr>
              <w:t>57</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504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w w:val="98"/>
              </w:rPr>
              <w:t>SECTION 8.03. Expenses; Indemnity; Damage Waiver</w:t>
            </w:r>
          </w:p>
        </w:tc>
        <w:tc>
          <w:tcPr>
            <w:tcW w:w="1440" w:type="dxa"/>
            <w:vAlign w:val="bottom"/>
          </w:tcPr>
          <w:p>
            <w:pPr>
              <w:jc w:val="right"/>
              <w:ind w:right="961"/>
              <w:spacing w:after="0"/>
              <w:rPr>
                <w:sz w:val="20"/>
                <w:szCs w:val="20"/>
                <w:color w:val="auto"/>
              </w:rPr>
            </w:pPr>
            <w:r>
              <w:rPr>
                <w:rFonts w:ascii="Times New Roman" w:cs="Times New Roman" w:eastAsia="Times New Roman" w:hAnsi="Times New Roman"/>
                <w:sz w:val="20"/>
                <w:szCs w:val="20"/>
                <w:color w:val="auto"/>
              </w:rPr>
              <w:t>57</w:t>
            </w:r>
          </w:p>
        </w:tc>
        <w:tc>
          <w:tcPr>
            <w:tcW w:w="640" w:type="dxa"/>
            <w:vAlign w:val="bottom"/>
          </w:tcPr>
          <w:p>
            <w:pPr>
              <w:spacing w:after="0"/>
              <w:rPr>
                <w:sz w:val="24"/>
                <w:szCs w:val="24"/>
                <w:color w:val="auto"/>
              </w:rPr>
            </w:pPr>
          </w:p>
        </w:tc>
      </w:tr>
      <w:tr>
        <w:trPr>
          <w:trHeight w:val="338"/>
        </w:trPr>
        <w:tc>
          <w:tcPr>
            <w:tcW w:w="338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rPr>
              <w:t>SECTION 8.04. Waiver of Claim</w:t>
            </w:r>
          </w:p>
        </w:tc>
        <w:tc>
          <w:tcPr>
            <w:tcW w:w="50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59</w:t>
            </w: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388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w w:val="98"/>
              </w:rPr>
              <w:t>SECTION 8.05. Successors and Assigns</w:t>
            </w:r>
          </w:p>
        </w:tc>
        <w:tc>
          <w:tcPr>
            <w:tcW w:w="1160" w:type="dxa"/>
            <w:vAlign w:val="bottom"/>
          </w:tcPr>
          <w:p>
            <w:pPr>
              <w:jc w:val="right"/>
              <w:ind w:right="681"/>
              <w:spacing w:after="0"/>
              <w:rPr>
                <w:sz w:val="20"/>
                <w:szCs w:val="20"/>
                <w:color w:val="auto"/>
              </w:rPr>
            </w:pPr>
            <w:r>
              <w:rPr>
                <w:rFonts w:ascii="Times New Roman" w:cs="Times New Roman" w:eastAsia="Times New Roman" w:hAnsi="Times New Roman"/>
                <w:sz w:val="20"/>
                <w:szCs w:val="20"/>
                <w:color w:val="auto"/>
              </w:rPr>
              <w:t>59</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2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8.06. Survival</w:t>
            </w:r>
          </w:p>
        </w:tc>
        <w:tc>
          <w:tcPr>
            <w:tcW w:w="520" w:type="dxa"/>
            <w:vAlign w:val="bottom"/>
            <w:gridSpan w:val="2"/>
          </w:tcPr>
          <w:p>
            <w:pPr>
              <w:jc w:val="right"/>
              <w:ind w:right="121"/>
              <w:spacing w:after="0"/>
              <w:rPr>
                <w:sz w:val="20"/>
                <w:szCs w:val="20"/>
                <w:color w:val="auto"/>
              </w:rPr>
            </w:pPr>
            <w:r>
              <w:rPr>
                <w:rFonts w:ascii="Times New Roman" w:cs="Times New Roman" w:eastAsia="Times New Roman" w:hAnsi="Times New Roman"/>
                <w:sz w:val="20"/>
                <w:szCs w:val="20"/>
                <w:color w:val="auto"/>
              </w:rPr>
              <w:t>59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648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8.07. Counterparts; Integration; Effectiveness  60</w:t>
            </w:r>
          </w:p>
        </w:tc>
        <w:tc>
          <w:tcPr>
            <w:tcW w:w="640" w:type="dxa"/>
            <w:vAlign w:val="bottom"/>
          </w:tcPr>
          <w:p>
            <w:pPr>
              <w:spacing w:after="0"/>
              <w:rPr>
                <w:sz w:val="24"/>
                <w:szCs w:val="24"/>
                <w:color w:val="auto"/>
              </w:rPr>
            </w:pPr>
          </w:p>
        </w:tc>
      </w:tr>
      <w:tr>
        <w:trPr>
          <w:trHeight w:val="351"/>
        </w:trPr>
        <w:tc>
          <w:tcPr>
            <w:tcW w:w="30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8.08. Severability</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60</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504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rPr>
              <w:t>SECTION 8.09. Right of Setoff; Obligations Absolute</w:t>
            </w:r>
          </w:p>
        </w:tc>
        <w:tc>
          <w:tcPr>
            <w:tcW w:w="1440" w:type="dxa"/>
            <w:vAlign w:val="bottom"/>
          </w:tcPr>
          <w:p>
            <w:pPr>
              <w:jc w:val="right"/>
              <w:ind w:right="1021"/>
              <w:spacing w:after="0"/>
              <w:rPr>
                <w:sz w:val="20"/>
                <w:szCs w:val="20"/>
                <w:color w:val="auto"/>
              </w:rPr>
            </w:pPr>
            <w:r>
              <w:rPr>
                <w:rFonts w:ascii="Times New Roman" w:cs="Times New Roman" w:eastAsia="Times New Roman" w:hAnsi="Times New Roman"/>
                <w:sz w:val="20"/>
                <w:szCs w:val="20"/>
                <w:color w:val="auto"/>
              </w:rPr>
              <w:t>60</w:t>
            </w:r>
          </w:p>
        </w:tc>
        <w:tc>
          <w:tcPr>
            <w:tcW w:w="640" w:type="dxa"/>
            <w:vAlign w:val="bottom"/>
          </w:tcPr>
          <w:p>
            <w:pPr>
              <w:spacing w:after="0"/>
              <w:rPr>
                <w:sz w:val="24"/>
                <w:szCs w:val="24"/>
                <w:color w:val="auto"/>
              </w:rPr>
            </w:pPr>
          </w:p>
        </w:tc>
      </w:tr>
      <w:tr>
        <w:trPr>
          <w:trHeight w:val="351"/>
        </w:trPr>
        <w:tc>
          <w:tcPr>
            <w:tcW w:w="7120" w:type="dxa"/>
            <w:vAlign w:val="bottom"/>
            <w:gridSpan w:val="10"/>
          </w:tcPr>
          <w:p>
            <w:pPr>
              <w:ind w:left="660"/>
              <w:spacing w:after="0"/>
              <w:rPr>
                <w:sz w:val="20"/>
                <w:szCs w:val="20"/>
                <w:color w:val="auto"/>
              </w:rPr>
            </w:pPr>
            <w:r>
              <w:rPr>
                <w:rFonts w:ascii="Times New Roman" w:cs="Times New Roman" w:eastAsia="Times New Roman" w:hAnsi="Times New Roman"/>
                <w:sz w:val="20"/>
                <w:szCs w:val="20"/>
                <w:color w:val="auto"/>
              </w:rPr>
              <w:t>SECTION 8.10. Governing Law; Jurisdiction; Consent to Service of Process  61</w:t>
            </w:r>
          </w:p>
        </w:tc>
      </w:tr>
      <w:tr>
        <w:trPr>
          <w:trHeight w:val="351"/>
        </w:trPr>
        <w:tc>
          <w:tcPr>
            <w:tcW w:w="358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w w:val="97"/>
              </w:rPr>
              <w:t>SECTION 8.11. Waiver of Jury Trial</w:t>
            </w:r>
          </w:p>
        </w:tc>
        <w:tc>
          <w:tcPr>
            <w:tcW w:w="1460" w:type="dxa"/>
            <w:vAlign w:val="bottom"/>
            <w:gridSpan w:val="2"/>
          </w:tcPr>
          <w:p>
            <w:pPr>
              <w:jc w:val="right"/>
              <w:ind w:right="961"/>
              <w:spacing w:after="0"/>
              <w:rPr>
                <w:sz w:val="20"/>
                <w:szCs w:val="20"/>
                <w:color w:val="auto"/>
              </w:rPr>
            </w:pPr>
            <w:r>
              <w:rPr>
                <w:rFonts w:ascii="Times New Roman" w:cs="Times New Roman" w:eastAsia="Times New Roman" w:hAnsi="Times New Roman"/>
                <w:sz w:val="20"/>
                <w:szCs w:val="20"/>
                <w:color w:val="auto"/>
              </w:rPr>
              <w:t>62</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2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9"/>
              </w:rPr>
              <w:t>SECTION 8.12. Headings</w:t>
            </w: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62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32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SECTION 8.13. Confidentiality</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62</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358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rPr>
              <w:t>SECTION 8.14. No Fiduciary Duty</w:t>
            </w:r>
          </w:p>
        </w:tc>
        <w:tc>
          <w:tcPr>
            <w:tcW w:w="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358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w w:val="97"/>
              </w:rPr>
              <w:t>SECTION 8.15. USA PATRIOT Act</w:t>
            </w:r>
          </w:p>
        </w:tc>
        <w:tc>
          <w:tcPr>
            <w:tcW w:w="1460" w:type="dxa"/>
            <w:vAlign w:val="bottom"/>
            <w:gridSpan w:val="2"/>
          </w:tcPr>
          <w:p>
            <w:pPr>
              <w:jc w:val="right"/>
              <w:ind w:right="981"/>
              <w:spacing w:after="0"/>
              <w:rPr>
                <w:sz w:val="20"/>
                <w:szCs w:val="20"/>
                <w:color w:val="auto"/>
              </w:rPr>
            </w:pPr>
            <w:r>
              <w:rPr>
                <w:rFonts w:ascii="Times New Roman" w:cs="Times New Roman" w:eastAsia="Times New Roman" w:hAnsi="Times New Roman"/>
                <w:sz w:val="20"/>
                <w:szCs w:val="20"/>
                <w:color w:val="auto"/>
              </w:rPr>
              <w:t>63</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2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rPr>
              <w:t>SECTION 8.16. Conflicts</w:t>
            </w:r>
          </w:p>
        </w:tc>
        <w:tc>
          <w:tcPr>
            <w:tcW w:w="520" w:type="dxa"/>
            <w:vAlign w:val="bottom"/>
            <w:gridSpan w:val="2"/>
          </w:tcPr>
          <w:p>
            <w:pPr>
              <w:jc w:val="right"/>
              <w:ind w:right="81"/>
              <w:spacing w:after="0"/>
              <w:rPr>
                <w:sz w:val="20"/>
                <w:szCs w:val="20"/>
                <w:color w:val="auto"/>
              </w:rPr>
            </w:pPr>
            <w:r>
              <w:rPr>
                <w:rFonts w:ascii="Times New Roman" w:cs="Times New Roman" w:eastAsia="Times New Roman" w:hAnsi="Times New Roman"/>
                <w:sz w:val="20"/>
                <w:szCs w:val="20"/>
                <w:color w:val="auto"/>
              </w:rPr>
              <w:t>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1080" w:type="dxa"/>
            <w:vAlign w:val="bottom"/>
          </w:tcPr>
          <w:p>
            <w:pPr>
              <w:spacing w:after="0"/>
              <w:rPr>
                <w:sz w:val="20"/>
                <w:szCs w:val="20"/>
                <w:color w:val="auto"/>
              </w:rPr>
            </w:pPr>
            <w:r>
              <w:rPr>
                <w:rFonts w:ascii="Times New Roman" w:cs="Times New Roman" w:eastAsia="Times New Roman" w:hAnsi="Times New Roman"/>
                <w:sz w:val="20"/>
                <w:szCs w:val="20"/>
                <w:color w:val="auto"/>
              </w:rPr>
              <w:t>ARTICLE 9</w:t>
            </w:r>
          </w:p>
        </w:tc>
        <w:tc>
          <w:tcPr>
            <w:tcW w:w="192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rPr>
              <w:t>LOAN GUARANTY</w:t>
            </w:r>
          </w:p>
        </w:tc>
        <w:tc>
          <w:tcPr>
            <w:tcW w:w="2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65"/>
        </w:trPr>
        <w:tc>
          <w:tcPr>
            <w:tcW w:w="2760" w:type="dxa"/>
            <w:vAlign w:val="bottom"/>
            <w:gridSpan w:val="2"/>
          </w:tcPr>
          <w:p>
            <w:pPr>
              <w:ind w:left="660"/>
              <w:spacing w:after="0"/>
              <w:rPr>
                <w:sz w:val="20"/>
                <w:szCs w:val="20"/>
                <w:color w:val="auto"/>
              </w:rPr>
            </w:pPr>
            <w:r>
              <w:rPr>
                <w:rFonts w:ascii="Times New Roman" w:cs="Times New Roman" w:eastAsia="Times New Roman" w:hAnsi="Times New Roman"/>
                <w:sz w:val="20"/>
                <w:szCs w:val="20"/>
                <w:color w:val="auto"/>
                <w:w w:val="99"/>
              </w:rPr>
              <w:t>SECTION 9.01. Guaranty</w:t>
            </w:r>
          </w:p>
        </w:tc>
        <w:tc>
          <w:tcPr>
            <w:tcW w:w="520" w:type="dxa"/>
            <w:vAlign w:val="bottom"/>
            <w:gridSpan w:val="2"/>
          </w:tcPr>
          <w:p>
            <w:pPr>
              <w:jc w:val="right"/>
              <w:ind w:right="61"/>
              <w:spacing w:after="0"/>
              <w:rPr>
                <w:sz w:val="20"/>
                <w:szCs w:val="20"/>
                <w:color w:val="auto"/>
              </w:rPr>
            </w:pPr>
            <w:r>
              <w:rPr>
                <w:rFonts w:ascii="Times New Roman" w:cs="Times New Roman" w:eastAsia="Times New Roman" w:hAnsi="Times New Roman"/>
                <w:sz w:val="20"/>
                <w:szCs w:val="20"/>
                <w:color w:val="auto"/>
              </w:rPr>
              <w:t>64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388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rPr>
              <w:t>SECTION 9.02. Guaranty of Payment</w:t>
            </w:r>
          </w:p>
        </w:tc>
        <w:tc>
          <w:tcPr>
            <w:tcW w:w="1160" w:type="dxa"/>
            <w:vAlign w:val="bottom"/>
          </w:tcPr>
          <w:p>
            <w:pPr>
              <w:jc w:val="right"/>
              <w:ind w:right="861"/>
              <w:spacing w:after="0"/>
              <w:rPr>
                <w:sz w:val="20"/>
                <w:szCs w:val="20"/>
                <w:color w:val="auto"/>
              </w:rPr>
            </w:pPr>
            <w:r>
              <w:rPr>
                <w:rFonts w:ascii="Times New Roman" w:cs="Times New Roman" w:eastAsia="Times New Roman" w:hAnsi="Times New Roman"/>
                <w:sz w:val="20"/>
                <w:szCs w:val="20"/>
                <w:color w:val="auto"/>
                <w:w w:val="89"/>
              </w:rPr>
              <w:t>64</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6480" w:type="dxa"/>
            <w:vAlign w:val="bottom"/>
            <w:gridSpan w:val="9"/>
          </w:tcPr>
          <w:p>
            <w:pPr>
              <w:ind w:left="660"/>
              <w:spacing w:after="0"/>
              <w:rPr>
                <w:sz w:val="20"/>
                <w:szCs w:val="20"/>
                <w:color w:val="auto"/>
              </w:rPr>
            </w:pPr>
            <w:r>
              <w:rPr>
                <w:rFonts w:ascii="Times New Roman" w:cs="Times New Roman" w:eastAsia="Times New Roman" w:hAnsi="Times New Roman"/>
                <w:sz w:val="20"/>
                <w:szCs w:val="20"/>
                <w:color w:val="auto"/>
              </w:rPr>
              <w:t>SECTION 9.03. No Discharge or Diminishment of Loan Guaranty  64</w:t>
            </w:r>
          </w:p>
        </w:tc>
        <w:tc>
          <w:tcPr>
            <w:tcW w:w="640" w:type="dxa"/>
            <w:vAlign w:val="bottom"/>
          </w:tcPr>
          <w:p>
            <w:pPr>
              <w:spacing w:after="0"/>
              <w:rPr>
                <w:sz w:val="24"/>
                <w:szCs w:val="24"/>
                <w:color w:val="auto"/>
              </w:rPr>
            </w:pPr>
          </w:p>
        </w:tc>
      </w:tr>
      <w:tr>
        <w:trPr>
          <w:trHeight w:val="338"/>
        </w:trPr>
        <w:tc>
          <w:tcPr>
            <w:tcW w:w="3380" w:type="dxa"/>
            <w:vAlign w:val="bottom"/>
            <w:gridSpan w:val="5"/>
          </w:tcPr>
          <w:p>
            <w:pPr>
              <w:ind w:left="660"/>
              <w:spacing w:after="0"/>
              <w:rPr>
                <w:sz w:val="20"/>
                <w:szCs w:val="20"/>
                <w:color w:val="auto"/>
              </w:rPr>
            </w:pPr>
            <w:r>
              <w:rPr>
                <w:rFonts w:ascii="Times New Roman" w:cs="Times New Roman" w:eastAsia="Times New Roman" w:hAnsi="Times New Roman"/>
                <w:sz w:val="20"/>
                <w:szCs w:val="20"/>
                <w:color w:val="auto"/>
                <w:w w:val="98"/>
              </w:rPr>
              <w:t>SECTION 9.04. Defenses Waived</w:t>
            </w:r>
          </w:p>
        </w:tc>
        <w:tc>
          <w:tcPr>
            <w:tcW w:w="500" w:type="dxa"/>
            <w:vAlign w:val="bottom"/>
            <w:gridSpan w:val="2"/>
          </w:tcPr>
          <w:p>
            <w:pPr>
              <w:jc w:val="right"/>
              <w:ind w:right="21"/>
              <w:spacing w:after="0"/>
              <w:rPr>
                <w:sz w:val="20"/>
                <w:szCs w:val="20"/>
                <w:color w:val="auto"/>
              </w:rPr>
            </w:pPr>
            <w:r>
              <w:rPr>
                <w:rFonts w:ascii="Times New Roman" w:cs="Times New Roman" w:eastAsia="Times New Roman" w:hAnsi="Times New Roman"/>
                <w:sz w:val="20"/>
                <w:szCs w:val="20"/>
                <w:color w:val="auto"/>
              </w:rPr>
              <w:t>65</w:t>
            </w: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3280" w:type="dxa"/>
            <w:vAlign w:val="bottom"/>
            <w:gridSpan w:val="4"/>
          </w:tcPr>
          <w:p>
            <w:pPr>
              <w:ind w:left="660"/>
              <w:spacing w:after="0"/>
              <w:rPr>
                <w:sz w:val="20"/>
                <w:szCs w:val="20"/>
                <w:color w:val="auto"/>
              </w:rPr>
            </w:pPr>
            <w:r>
              <w:rPr>
                <w:rFonts w:ascii="Times New Roman" w:cs="Times New Roman" w:eastAsia="Times New Roman" w:hAnsi="Times New Roman"/>
                <w:sz w:val="20"/>
                <w:szCs w:val="20"/>
                <w:color w:val="auto"/>
              </w:rPr>
              <w:t>SECTION 9.05. Authorization</w:t>
            </w:r>
          </w:p>
        </w:tc>
        <w:tc>
          <w:tcPr>
            <w:tcW w:w="300" w:type="dxa"/>
            <w:vAlign w:val="bottom"/>
            <w:gridSpan w:val="2"/>
          </w:tcPr>
          <w:p>
            <w:pPr>
              <w:jc w:val="right"/>
              <w:ind w:right="1"/>
              <w:spacing w:after="0"/>
              <w:rPr>
                <w:sz w:val="20"/>
                <w:szCs w:val="20"/>
                <w:color w:val="auto"/>
              </w:rPr>
            </w:pPr>
            <w:r>
              <w:rPr>
                <w:rFonts w:ascii="Times New Roman" w:cs="Times New Roman" w:eastAsia="Times New Roman" w:hAnsi="Times New Roman"/>
                <w:sz w:val="20"/>
                <w:szCs w:val="20"/>
                <w:color w:val="auto"/>
                <w:w w:val="89"/>
              </w:rPr>
              <w:t>66</w:t>
            </w: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51"/>
        </w:trPr>
        <w:tc>
          <w:tcPr>
            <w:tcW w:w="3880" w:type="dxa"/>
            <w:vAlign w:val="bottom"/>
            <w:gridSpan w:val="7"/>
          </w:tcPr>
          <w:p>
            <w:pPr>
              <w:ind w:left="660"/>
              <w:spacing w:after="0"/>
              <w:rPr>
                <w:sz w:val="20"/>
                <w:szCs w:val="20"/>
                <w:color w:val="auto"/>
              </w:rPr>
            </w:pPr>
            <w:r>
              <w:rPr>
                <w:rFonts w:ascii="Times New Roman" w:cs="Times New Roman" w:eastAsia="Times New Roman" w:hAnsi="Times New Roman"/>
                <w:sz w:val="20"/>
                <w:szCs w:val="20"/>
                <w:color w:val="auto"/>
              </w:rPr>
              <w:t>SECTION 9.06. Rights of Subrogation</w:t>
            </w:r>
          </w:p>
        </w:tc>
        <w:tc>
          <w:tcPr>
            <w:tcW w:w="1160" w:type="dxa"/>
            <w:vAlign w:val="bottom"/>
          </w:tcPr>
          <w:p>
            <w:pPr>
              <w:jc w:val="right"/>
              <w:ind w:right="821"/>
              <w:spacing w:after="0"/>
              <w:rPr>
                <w:sz w:val="20"/>
                <w:szCs w:val="20"/>
                <w:color w:val="auto"/>
              </w:rPr>
            </w:pPr>
            <w:r>
              <w:rPr>
                <w:rFonts w:ascii="Times New Roman" w:cs="Times New Roman" w:eastAsia="Times New Roman" w:hAnsi="Times New Roman"/>
                <w:sz w:val="20"/>
                <w:szCs w:val="20"/>
                <w:color w:val="auto"/>
              </w:rPr>
              <w:t>66</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7"/>
        </w:trPr>
        <w:tc>
          <w:tcPr>
            <w:tcW w:w="5040" w:type="dxa"/>
            <w:vAlign w:val="bottom"/>
            <w:gridSpan w:val="8"/>
          </w:tcPr>
          <w:p>
            <w:pPr>
              <w:ind w:left="660"/>
              <w:spacing w:after="0"/>
              <w:rPr>
                <w:sz w:val="20"/>
                <w:szCs w:val="20"/>
                <w:color w:val="auto"/>
              </w:rPr>
            </w:pPr>
            <w:r>
              <w:rPr>
                <w:rFonts w:ascii="Times New Roman" w:cs="Times New Roman" w:eastAsia="Times New Roman" w:hAnsi="Times New Roman"/>
                <w:sz w:val="20"/>
                <w:szCs w:val="20"/>
                <w:color w:val="auto"/>
              </w:rPr>
              <w:t>SECTION 9.07. Reinstatement; Stay of Acceleration</w:t>
            </w:r>
          </w:p>
        </w:tc>
        <w:tc>
          <w:tcPr>
            <w:tcW w:w="1440" w:type="dxa"/>
            <w:vAlign w:val="bottom"/>
          </w:tcPr>
          <w:p>
            <w:pPr>
              <w:jc w:val="right"/>
              <w:ind w:right="1141"/>
              <w:spacing w:after="0"/>
              <w:rPr>
                <w:sz w:val="20"/>
                <w:szCs w:val="20"/>
                <w:color w:val="auto"/>
              </w:rPr>
            </w:pPr>
            <w:r>
              <w:rPr>
                <w:rFonts w:ascii="Times New Roman" w:cs="Times New Roman" w:eastAsia="Times New Roman" w:hAnsi="Times New Roman"/>
                <w:sz w:val="20"/>
                <w:szCs w:val="20"/>
                <w:color w:val="auto"/>
                <w:w w:val="89"/>
              </w:rPr>
              <w:t>66</w:t>
            </w:r>
          </w:p>
        </w:tc>
        <w:tc>
          <w:tcPr>
            <w:tcW w:w="640" w:type="dxa"/>
            <w:vAlign w:val="bottom"/>
          </w:tcPr>
          <w:p>
            <w:pPr>
              <w:spacing w:after="0"/>
              <w:rPr>
                <w:sz w:val="24"/>
                <w:szCs w:val="24"/>
                <w:color w:val="auto"/>
              </w:rPr>
            </w:pPr>
          </w:p>
        </w:tc>
      </w:tr>
      <w:tr>
        <w:trPr>
          <w:trHeight w:val="351"/>
        </w:trPr>
        <w:tc>
          <w:tcPr>
            <w:tcW w:w="3000" w:type="dxa"/>
            <w:vAlign w:val="bottom"/>
            <w:gridSpan w:val="3"/>
          </w:tcPr>
          <w:p>
            <w:pPr>
              <w:ind w:left="660"/>
              <w:spacing w:after="0"/>
              <w:rPr>
                <w:sz w:val="20"/>
                <w:szCs w:val="20"/>
                <w:color w:val="auto"/>
              </w:rPr>
            </w:pPr>
            <w:r>
              <w:rPr>
                <w:rFonts w:ascii="Times New Roman" w:cs="Times New Roman" w:eastAsia="Times New Roman" w:hAnsi="Times New Roman"/>
                <w:sz w:val="20"/>
                <w:szCs w:val="20"/>
                <w:color w:val="auto"/>
              </w:rPr>
              <w:t>SECTION 9.08. Information</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8"/>
        </w:trPr>
        <w:tc>
          <w:tcPr>
            <w:tcW w:w="3580" w:type="dxa"/>
            <w:vAlign w:val="bottom"/>
            <w:gridSpan w:val="6"/>
          </w:tcPr>
          <w:p>
            <w:pPr>
              <w:ind w:left="660"/>
              <w:spacing w:after="0"/>
              <w:rPr>
                <w:sz w:val="20"/>
                <w:szCs w:val="20"/>
                <w:color w:val="auto"/>
              </w:rPr>
            </w:pPr>
            <w:r>
              <w:rPr>
                <w:rFonts w:ascii="Times New Roman" w:cs="Times New Roman" w:eastAsia="Times New Roman" w:hAnsi="Times New Roman"/>
                <w:sz w:val="20"/>
                <w:szCs w:val="20"/>
                <w:color w:val="auto"/>
                <w:w w:val="99"/>
              </w:rPr>
              <w:t>SECTION 9.09. Maximum Liability</w:t>
            </w:r>
          </w:p>
        </w:tc>
        <w:tc>
          <w:tcPr>
            <w:tcW w:w="1460" w:type="dxa"/>
            <w:vAlign w:val="bottom"/>
            <w:gridSpan w:val="2"/>
          </w:tcPr>
          <w:p>
            <w:pPr>
              <w:jc w:val="right"/>
              <w:ind w:right="1001"/>
              <w:spacing w:after="0"/>
              <w:rPr>
                <w:sz w:val="20"/>
                <w:szCs w:val="20"/>
                <w:color w:val="auto"/>
              </w:rPr>
            </w:pPr>
            <w:r>
              <w:rPr>
                <w:rFonts w:ascii="Times New Roman" w:cs="Times New Roman" w:eastAsia="Times New Roman" w:hAnsi="Times New Roman"/>
                <w:sz w:val="20"/>
                <w:szCs w:val="20"/>
                <w:color w:val="auto"/>
              </w:rPr>
              <w:t>67</w:t>
            </w:r>
          </w:p>
        </w:tc>
        <w:tc>
          <w:tcPr>
            <w:tcW w:w="1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iii</w:t>
      </w:r>
    </w:p>
    <w:p>
      <w:pPr>
        <w:sectPr>
          <w:pgSz w:w="11900" w:h="16838" w:orient="portrait"/>
          <w:cols w:equalWidth="0" w:num="1">
            <w:col w:w="11240"/>
          </w:cols>
          <w:pgMar w:left="320" w:top="114" w:right="339" w:bottom="1440" w:gutter="0" w:footer="0" w:header="0"/>
          <w:type w:val="continuous"/>
        </w:sectPr>
      </w:pPr>
    </w:p>
    <w:bookmarkStart w:id="71" w:name="page72"/>
    <w:bookmarkEnd w:id="71"/>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480"/>
        <w:spacing w:after="0"/>
        <w:tabs>
          <w:tab w:leader="none" w:pos="3000" w:val="left"/>
        </w:tabs>
        <w:rPr>
          <w:sz w:val="20"/>
          <w:szCs w:val="20"/>
          <w:color w:val="auto"/>
        </w:rPr>
      </w:pPr>
      <w:r>
        <w:rPr>
          <w:rFonts w:ascii="Times New Roman" w:cs="Times New Roman" w:eastAsia="Times New Roman" w:hAnsi="Times New Roman"/>
          <w:sz w:val="20"/>
          <w:szCs w:val="20"/>
          <w:color w:val="auto"/>
        </w:rPr>
        <w:t>SECTION 9.10. Contribution</w:t>
        <w:tab/>
        <w:t>67</w:t>
      </w:r>
    </w:p>
    <w:p>
      <w:pPr>
        <w:spacing w:after="0" w:line="108" w:lineRule="exact"/>
        <w:rPr>
          <w:sz w:val="20"/>
          <w:szCs w:val="20"/>
          <w:color w:val="auto"/>
        </w:rPr>
      </w:pPr>
    </w:p>
    <w:p>
      <w:pPr>
        <w:ind w:left="480"/>
        <w:spacing w:after="0"/>
        <w:tabs>
          <w:tab w:leader="none" w:pos="3640" w:val="left"/>
        </w:tabs>
        <w:rPr>
          <w:sz w:val="20"/>
          <w:szCs w:val="20"/>
          <w:color w:val="auto"/>
        </w:rPr>
      </w:pPr>
      <w:r>
        <w:rPr>
          <w:rFonts w:ascii="Times New Roman" w:cs="Times New Roman" w:eastAsia="Times New Roman" w:hAnsi="Times New Roman"/>
          <w:sz w:val="20"/>
          <w:szCs w:val="20"/>
          <w:color w:val="auto"/>
        </w:rPr>
        <w:t>SECTION 9.11. Liability Cumulative</w:t>
      </w:r>
      <w:r>
        <w:rPr>
          <w:sz w:val="20"/>
          <w:szCs w:val="20"/>
          <w:color w:val="auto"/>
        </w:rPr>
        <w:tab/>
      </w:r>
      <w:r>
        <w:rPr>
          <w:rFonts w:ascii="Times New Roman" w:cs="Times New Roman" w:eastAsia="Times New Roman" w:hAnsi="Times New Roman"/>
          <w:sz w:val="18"/>
          <w:szCs w:val="18"/>
          <w:color w:val="auto"/>
        </w:rPr>
        <w:t>68</w:t>
      </w:r>
    </w:p>
    <w:p>
      <w:pPr>
        <w:spacing w:after="0" w:line="121" w:lineRule="exact"/>
        <w:rPr>
          <w:sz w:val="20"/>
          <w:szCs w:val="20"/>
          <w:color w:val="auto"/>
        </w:rPr>
      </w:pPr>
    </w:p>
    <w:p>
      <w:pPr>
        <w:ind w:left="480"/>
        <w:spacing w:after="0"/>
        <w:tabs>
          <w:tab w:leader="none" w:pos="4200" w:val="left"/>
        </w:tabs>
        <w:rPr>
          <w:sz w:val="20"/>
          <w:szCs w:val="20"/>
          <w:color w:val="auto"/>
        </w:rPr>
      </w:pPr>
      <w:r>
        <w:rPr>
          <w:rFonts w:ascii="Times New Roman" w:cs="Times New Roman" w:eastAsia="Times New Roman" w:hAnsi="Times New Roman"/>
          <w:sz w:val="20"/>
          <w:szCs w:val="20"/>
          <w:color w:val="auto"/>
        </w:rPr>
        <w:t>SECTION 9.12. Release of Loan Guarantors</w:t>
        <w:tab/>
        <w:t>68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iv</w:t>
      </w:r>
    </w:p>
    <w:p>
      <w:pPr>
        <w:sectPr>
          <w:pgSz w:w="11900" w:h="16838" w:orient="portrait"/>
          <w:cols w:equalWidth="0" w:num="1">
            <w:col w:w="11060"/>
          </w:cols>
          <w:pgMar w:left="500" w:top="11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20"/>
          <w:szCs w:val="20"/>
          <w:color w:val="auto"/>
        </w:rPr>
        <w:t>SCHEDULES: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2.01 – Commitment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Schedule 5.13 – Post-Closing Items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 Form of Borrowing Request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Exhibit B – Form of Notice of Interest Rate Election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C – Form of PIK Election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D – Form of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0"/>
          <w:szCs w:val="20"/>
          <w:color w:val="auto"/>
        </w:rPr>
        <w:t>v</w:t>
      </w:r>
    </w:p>
    <w:p>
      <w:pPr>
        <w:sectPr>
          <w:pgSz w:w="11900" w:h="16838" w:orient="portrait"/>
          <w:cols w:equalWidth="0" w:num="1">
            <w:col w:w="10139"/>
          </w:cols>
          <w:pgMar w:left="320" w:top="1413" w:right="1440" w:bottom="1440" w:gutter="0" w:footer="0" w:header="0"/>
        </w:sectPr>
      </w:pPr>
    </w:p>
    <w:bookmarkStart w:id="73" w:name="page74"/>
    <w:bookmarkEnd w:id="73"/>
    <w:p>
      <w:pPr>
        <w:jc w:val="both"/>
        <w:ind w:firstLine="648"/>
        <w:spacing w:after="0" w:line="278" w:lineRule="auto"/>
        <w:rPr>
          <w:sz w:val="20"/>
          <w:szCs w:val="20"/>
          <w:color w:val="auto"/>
        </w:rPr>
      </w:pPr>
      <w:r>
        <w:rPr>
          <w:rFonts w:ascii="Times New Roman" w:cs="Times New Roman" w:eastAsia="Times New Roman" w:hAnsi="Times New Roman"/>
          <w:sz w:val="19"/>
          <w:szCs w:val="19"/>
          <w:color w:val="auto"/>
        </w:rPr>
        <w:t>REVOLVING CREDIT AGREEMENT, dated as of August 12, 2024 (this “</w:t>
      </w:r>
      <w:r>
        <w:rPr>
          <w:rFonts w:ascii="Times New Roman" w:cs="Times New Roman" w:eastAsia="Times New Roman" w:hAnsi="Times New Roman"/>
          <w:sz w:val="19"/>
          <w:szCs w:val="19"/>
          <w:b w:val="1"/>
          <w:bCs w:val="1"/>
          <w:color w:val="auto"/>
        </w:rPr>
        <w:t>Agreement</w:t>
      </w:r>
      <w:r>
        <w:rPr>
          <w:rFonts w:ascii="Times New Roman" w:cs="Times New Roman" w:eastAsia="Times New Roman" w:hAnsi="Times New Roman"/>
          <w:sz w:val="19"/>
          <w:szCs w:val="19"/>
          <w:color w:val="auto"/>
        </w:rPr>
        <w:t>”), by and among Bakkt Holdings, Inc., a corporation organized under the laws of the State of Delaware (“</w:t>
      </w:r>
      <w:r>
        <w:rPr>
          <w:rFonts w:ascii="Times New Roman" w:cs="Times New Roman" w:eastAsia="Times New Roman" w:hAnsi="Times New Roman"/>
          <w:sz w:val="19"/>
          <w:szCs w:val="19"/>
          <w:b w:val="1"/>
          <w:bCs w:val="1"/>
          <w:color w:val="auto"/>
        </w:rPr>
        <w:t>Holdings</w:t>
      </w:r>
      <w:r>
        <w:rPr>
          <w:rFonts w:ascii="Times New Roman" w:cs="Times New Roman" w:eastAsia="Times New Roman" w:hAnsi="Times New Roman"/>
          <w:sz w:val="19"/>
          <w:szCs w:val="19"/>
          <w:color w:val="auto"/>
        </w:rPr>
        <w:t>”), Bakkt Opco Holdings, LLC, a limited liability company organized under the laws of the State of Delaware (the “</w:t>
      </w:r>
      <w:r>
        <w:rPr>
          <w:rFonts w:ascii="Times New Roman" w:cs="Times New Roman" w:eastAsia="Times New Roman" w:hAnsi="Times New Roman"/>
          <w:sz w:val="19"/>
          <w:szCs w:val="19"/>
          <w:b w:val="1"/>
          <w:bCs w:val="1"/>
          <w:color w:val="auto"/>
        </w:rPr>
        <w:t>Borrower</w:t>
      </w:r>
      <w:r>
        <w:rPr>
          <w:rFonts w:ascii="Times New Roman" w:cs="Times New Roman" w:eastAsia="Times New Roman" w:hAnsi="Times New Roman"/>
          <w:sz w:val="19"/>
          <w:szCs w:val="19"/>
          <w:color w:val="auto"/>
        </w:rPr>
        <w:t>”), the SUBSIDIARIES of Holdings from time to time party hereto as guarantors, and Intercontinental Exchange Holdings, Inc., a corporation organized under the laws of Delaware (the “</w:t>
      </w:r>
      <w:r>
        <w:rPr>
          <w:rFonts w:ascii="Times New Roman" w:cs="Times New Roman" w:eastAsia="Times New Roman" w:hAnsi="Times New Roman"/>
          <w:sz w:val="19"/>
          <w:szCs w:val="19"/>
          <w:b w:val="1"/>
          <w:bCs w:val="1"/>
          <w:color w:val="auto"/>
        </w:rPr>
        <w:t>Lender</w:t>
      </w:r>
      <w:r>
        <w:rPr>
          <w:rFonts w:ascii="Times New Roman" w:cs="Times New Roman" w:eastAsia="Times New Roman" w:hAnsi="Times New Roman"/>
          <w:sz w:val="19"/>
          <w:szCs w:val="19"/>
          <w:color w:val="auto"/>
        </w:rPr>
        <w:t>”), as the lender.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RECITALS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WHEREAS, the Borrower has requested that the Lender agree to make available to the Borrower a Commitment to make revolving credit loans from time to time up to an aggregate principal amount at any one time outstanding of $40,000,000 (exclusive of any PIK Interest Amounts added to the principal balance of the Loans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and</w:t>
      </w:r>
    </w:p>
    <w:p>
      <w:pPr>
        <w:spacing w:after="0" w:line="181"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WHEREAS, the Lender is willing to make such Commitment available to the Borrower on the terms and subject to the conditions hereinafter set forth;</w:t>
      </w:r>
    </w:p>
    <w:p>
      <w:pPr>
        <w:spacing w:after="0" w:line="17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NOW, THEREFORE, in consideration of the foregoing premises and the covenants and agreements set forth herein, the receipt and sufficiency of which are hereby acknowledged, the parties hereto hereby agree as follows: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Accordingly, the parties hereto agree as follows:</w:t>
      </w:r>
    </w:p>
    <w:p>
      <w:pPr>
        <w:spacing w:after="0" w:line="229" w:lineRule="exact"/>
        <w:rPr>
          <w:sz w:val="20"/>
          <w:szCs w:val="20"/>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20"/>
          <w:szCs w:val="20"/>
          <w:color w:val="auto"/>
        </w:rPr>
        <w:t>ARTICLE 1</w:t>
      </w:r>
      <w:r>
        <w:rPr>
          <w:sz w:val="20"/>
          <w:szCs w:val="20"/>
          <w:color w:val="auto"/>
        </w:rPr>
        <w:tab/>
      </w:r>
      <w:r>
        <w:rPr>
          <w:rFonts w:ascii="Times New Roman" w:cs="Times New Roman" w:eastAsia="Times New Roman" w:hAnsi="Times New Roman"/>
          <w:sz w:val="19"/>
          <w:szCs w:val="19"/>
          <w:color w:val="auto"/>
        </w:rPr>
        <w:t>DEFINITIONS</w:t>
      </w:r>
    </w:p>
    <w:p>
      <w:pPr>
        <w:spacing w:after="0" w:line="216" w:lineRule="exact"/>
        <w:rPr>
          <w:sz w:val="20"/>
          <w:szCs w:val="20"/>
          <w:color w:val="auto"/>
        </w:rPr>
      </w:pPr>
    </w:p>
    <w:p>
      <w:pPr>
        <w:ind w:left="98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1.1.</w:t>
      </w:r>
      <w:r>
        <w:rPr>
          <w:sz w:val="20"/>
          <w:szCs w:val="20"/>
          <w:color w:val="auto"/>
        </w:rPr>
        <w:tab/>
      </w:r>
      <w:r>
        <w:rPr>
          <w:rFonts w:ascii="Times New Roman" w:cs="Times New Roman" w:eastAsia="Times New Roman" w:hAnsi="Times New Roman"/>
          <w:sz w:val="19"/>
          <w:szCs w:val="19"/>
          <w:u w:val="single" w:color="auto"/>
          <w:color w:val="auto"/>
        </w:rPr>
        <w:t>Defined Terms</w:t>
      </w:r>
      <w:r>
        <w:rPr>
          <w:rFonts w:ascii="Times New Roman" w:cs="Times New Roman" w:eastAsia="Times New Roman" w:hAnsi="Times New Roman"/>
          <w:sz w:val="19"/>
          <w:szCs w:val="19"/>
          <w:color w:val="auto"/>
        </w:rPr>
        <w:t>. As used in this Agreement, the following terms have the meanings specified below:</w:t>
      </w:r>
    </w:p>
    <w:p>
      <w:pPr>
        <w:spacing w:after="0" w:line="225" w:lineRule="exact"/>
        <w:rPr>
          <w:sz w:val="20"/>
          <w:szCs w:val="20"/>
          <w:color w:val="auto"/>
        </w:rPr>
      </w:pPr>
    </w:p>
    <w:p>
      <w:pPr>
        <w:jc w:val="both"/>
        <w:ind w:firstLine="648"/>
        <w:spacing w:after="0" w:line="27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Adverse Proceeding</w:t>
      </w:r>
      <w:r>
        <w:rPr>
          <w:rFonts w:ascii="Times New Roman" w:cs="Times New Roman" w:eastAsia="Times New Roman" w:hAnsi="Times New Roman"/>
          <w:sz w:val="19"/>
          <w:szCs w:val="19"/>
          <w:color w:val="auto"/>
        </w:rPr>
        <w:t>” means any action, suit, proceeding (whether administrative, judicial or otherwise), governmental investigation or arbitration (whether or not purportedly on behalf of Holdings or any of its Subsidiaries) at law or in equity, or before or by any Governmental Authority, domestic or foreign (including any Environmental Claims), whether pending or, to the knowledge of Holdings, threatened in writing against or affecting Holdings or any of its Subsidiaries or any property of Holdings or any of its Subsidiaries.</w:t>
      </w:r>
    </w:p>
    <w:p>
      <w:pPr>
        <w:spacing w:after="0" w:line="14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means, as applied to any Person, any other Person directly or indirectly Controlling, Controlled by, or under common Control with, that Person and shall include any Person that directly or indirectly owns 10% or more of any class of Capital Stock of the Person specified. None of the Lender or any of its Affiliates shall be considered an Affiliate of Holdings or any subsidiary thereof for purposes of this Agreement and the other Loan Documents.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Anti-Corruption Laws</w:t>
      </w:r>
      <w:r>
        <w:rPr>
          <w:rFonts w:ascii="Times New Roman" w:cs="Times New Roman" w:eastAsia="Times New Roman" w:hAnsi="Times New Roman"/>
          <w:sz w:val="20"/>
          <w:szCs w:val="20"/>
          <w:color w:val="auto"/>
        </w:rPr>
        <w:t>” means Requirements of Law relating to antibribery or anti-corruption (governmental or commercial), including, without limitation, laws that prohibit the corrupt payment, offer, promise, or authorization of the payment or transfer of anything of value (including gifts or entertainment), directly or indirectly, to any foreign government official, foreign government employee, person or commercial entity to obtain a business advantage, or the offer, promise, or gift of, or the request for, agreement to receive or receipt of a financial or other advantage to induce or reward the improper proper performance of a relevant function or activity; such as, without limitation, the U.S. Foreign</w:t>
      </w:r>
    </w:p>
    <w:p>
      <w:pPr>
        <w:sectPr>
          <w:pgSz w:w="11900" w:h="16838" w:orient="portrait"/>
          <w:cols w:equalWidth="0" w:num="1">
            <w:col w:w="11240"/>
          </w:cols>
          <w:pgMar w:left="320" w:top="1409" w:right="339" w:bottom="1440" w:gutter="0" w:footer="0" w:header="0"/>
        </w:sectPr>
      </w:pPr>
    </w:p>
    <w:bookmarkStart w:id="74" w:name="page75"/>
    <w:bookmarkEnd w:id="74"/>
    <w:p>
      <w:pPr>
        <w:jc w:val="both"/>
        <w:spacing w:after="0" w:line="261" w:lineRule="auto"/>
        <w:rPr>
          <w:sz w:val="20"/>
          <w:szCs w:val="20"/>
          <w:color w:val="auto"/>
        </w:rPr>
      </w:pPr>
      <w:r>
        <w:rPr>
          <w:rFonts w:ascii="Times New Roman" w:cs="Times New Roman" w:eastAsia="Times New Roman" w:hAnsi="Times New Roman"/>
          <w:sz w:val="20"/>
          <w:szCs w:val="20"/>
          <w:color w:val="auto"/>
        </w:rPr>
        <w:t>Corrupt Practices Act of 1977, as amended from time to time, and all laws enacted to implement the Organisation for Economic Co-operation and Development Convention on Combating Bribery of Foreign Public Officials in International Business Transactions applicable in the United States.</w:t>
      </w:r>
    </w:p>
    <w:p>
      <w:pPr>
        <w:spacing w:after="0" w:line="17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Anti-Terrorism Laws</w:t>
      </w:r>
      <w:r>
        <w:rPr>
          <w:rFonts w:ascii="Times New Roman" w:cs="Times New Roman" w:eastAsia="Times New Roman" w:hAnsi="Times New Roman"/>
          <w:sz w:val="20"/>
          <w:szCs w:val="20"/>
          <w:color w:val="auto"/>
        </w:rPr>
        <w:t>” means Requirements of Law relating to terrorism or money laundering in the United States, including the Executive Order, the USA PATRIOT Act, together with all rules, regulations and interpretations thereunder or related thereto.</w:t>
      </w:r>
    </w:p>
    <w:p>
      <w:pPr>
        <w:spacing w:after="0" w:line="16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Applicable Margin</w:t>
      </w:r>
      <w:r>
        <w:rPr>
          <w:rFonts w:ascii="Times New Roman" w:cs="Times New Roman" w:eastAsia="Times New Roman" w:hAnsi="Times New Roman"/>
          <w:sz w:val="20"/>
          <w:szCs w:val="20"/>
          <w:color w:val="auto"/>
        </w:rPr>
        <w:t>” means, at any time, the rate per annum equal to (a) in the case of Term SOFR Loans, 12.0% and (b) in the case of Base Rate Loans, 11.0%.</w:t>
      </w:r>
    </w:p>
    <w:p>
      <w:pPr>
        <w:spacing w:after="0" w:line="13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Available Tenor</w:t>
      </w:r>
      <w:r>
        <w:rPr>
          <w:rFonts w:ascii="Times New Roman" w:cs="Times New Roman" w:eastAsia="Times New Roman" w:hAnsi="Times New Roman"/>
          <w:sz w:val="19"/>
          <w:szCs w:val="19"/>
          <w:color w:val="auto"/>
        </w:rPr>
        <w:t>” means, as of any date of determination and with respect to the then-current Benchmark, (x) if such Benchmark is a term rate, any tenor for such Benchmark (or component thereof) that is or may be used for determining the length of an Interest Period or</w:t>
      </w:r>
    </w:p>
    <w:p>
      <w:pPr>
        <w:spacing w:after="0" w:line="1" w:lineRule="exact"/>
        <w:rPr>
          <w:sz w:val="20"/>
          <w:szCs w:val="20"/>
          <w:color w:val="auto"/>
        </w:rPr>
      </w:pPr>
    </w:p>
    <w:p>
      <w:pPr>
        <w:jc w:val="both"/>
        <w:ind w:firstLine="8"/>
        <w:spacing w:after="0" w:line="251" w:lineRule="auto"/>
        <w:tabs>
          <w:tab w:leader="none" w:pos="28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Bankruptcy Code</w:t>
      </w:r>
      <w:r>
        <w:rPr>
          <w:rFonts w:ascii="Times New Roman" w:cs="Times New Roman" w:eastAsia="Times New Roman" w:hAnsi="Times New Roman"/>
          <w:sz w:val="20"/>
          <w:szCs w:val="20"/>
          <w:color w:val="auto"/>
        </w:rPr>
        <w:t>” means Title 11 of the U.S. Code (11 U.S.C. § 101 et seq.).</w:t>
      </w:r>
    </w:p>
    <w:p>
      <w:pPr>
        <w:spacing w:after="0" w:line="21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w:t>
      </w:r>
      <w:r>
        <w:rPr>
          <w:rFonts w:ascii="Times New Roman" w:cs="Times New Roman" w:eastAsia="Times New Roman" w:hAnsi="Times New Roman"/>
          <w:sz w:val="20"/>
          <w:szCs w:val="20"/>
          <w:color w:val="auto"/>
        </w:rPr>
        <w:t>” means, for any day, a rate per annum equal to the highest of (a) the rate last quoted by The Wall Street Journal as the “Prime Rate” in the United States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Lender) or any similar release by the Federal Reserve Board (as determined by the Lender) (the “</w:t>
      </w:r>
      <w:r>
        <w:rPr>
          <w:rFonts w:ascii="Times New Roman" w:cs="Times New Roman" w:eastAsia="Times New Roman" w:hAnsi="Times New Roman"/>
          <w:sz w:val="20"/>
          <w:szCs w:val="20"/>
          <w:b w:val="1"/>
          <w:bCs w:val="1"/>
          <w:color w:val="auto"/>
        </w:rPr>
        <w:t>Prime Rate</w:t>
      </w:r>
      <w:r>
        <w:rPr>
          <w:rFonts w:ascii="Times New Roman" w:cs="Times New Roman" w:eastAsia="Times New Roman" w:hAnsi="Times New Roman"/>
          <w:sz w:val="20"/>
          <w:szCs w:val="20"/>
          <w:color w:val="auto"/>
        </w:rPr>
        <w:t xml:space="preserve">”) for such day, (b) the sum of 0.50% plus the Federal Funds Rate for such day and (c) Term SOFR, as determined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the definition thereof, with an Interest Period of one month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1.00%. Any change in the Base Rate due to a change in the Prime Rate, the Federal Funds Rate or Term SOFR shall be effective as of the opening of business on the day of such change in the Prime Rate, the Federal Funds Rate or Term SOFR, respectively;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Base Rate shall be less than zero, such rate shall be deemed to be zero for the purposes of this Agreement.</w:t>
      </w:r>
    </w:p>
    <w:p>
      <w:pPr>
        <w:spacing w:after="0" w:line="18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Loan</w:t>
      </w:r>
      <w:r>
        <w:rPr>
          <w:rFonts w:ascii="Times New Roman" w:cs="Times New Roman" w:eastAsia="Times New Roman" w:hAnsi="Times New Roman"/>
          <w:sz w:val="20"/>
          <w:szCs w:val="20"/>
          <w:color w:val="auto"/>
        </w:rPr>
        <w:t xml:space="preserve">” means a Loan to be made by the Lender as a Loan accruing interest by reference to the Base Rate in accordance with the applicable Borrowing Request or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Base Rate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w:t>
      </w:r>
      <w:r>
        <w:rPr>
          <w:rFonts w:ascii="Times New Roman" w:cs="Times New Roman" w:eastAsia="Times New Roman" w:hAnsi="Times New Roman"/>
          <w:sz w:val="20"/>
          <w:szCs w:val="20"/>
          <w:color w:val="auto"/>
        </w:rPr>
        <w:t xml:space="preserve">” means, the Term SOFR Reference Rate; provided that if a Benchmark Transition Event has occurred with respect to the Term SOFR Reference Rate,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w:t>
      </w:r>
      <w:r>
        <w:rPr>
          <w:rFonts w:ascii="Times New Roman" w:cs="Times New Roman" w:eastAsia="Times New Roman" w:hAnsi="Times New Roman"/>
          <w:sz w:val="20"/>
          <w:szCs w:val="20"/>
          <w:color w:val="auto"/>
        </w:rPr>
        <w:t>” means, with respect to any Benchmark Transition Event for the then-current Benchmark, the sum of: (i) the alternate benchmark rate that has been selected by the Lender and the Borrower as the replacement for such Benchmark giving due consideration to (A) any selection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13" w:right="339" w:bottom="1440" w:gutter="0" w:footer="0" w:header="0"/>
        </w:sectPr>
      </w:pPr>
    </w:p>
    <w:bookmarkStart w:id="75" w:name="page76"/>
    <w:bookmarkEnd w:id="75"/>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recommendation of a replacement benchmark rate or the mechanism for determining such a rate by the Relevant Governmental Body or (B) any evolving or then-prevailing market convention for determining a benchmark rate as a replacement for such Benchmark for syndicated credit facilities denominated in the applicable currency at such time and (ii) the related Benchmark Replacement Adjustment;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Benchmark Replacement as so determined would be less than zero, such Benchmark Replacement will be deemed to be zero percent for the purposes of this Agreement.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Adjustment</w:t>
      </w:r>
      <w:r>
        <w:rPr>
          <w:rFonts w:ascii="Times New Roman" w:cs="Times New Roman" w:eastAsia="Times New Roman" w:hAnsi="Times New Roman"/>
          <w:sz w:val="20"/>
          <w:szCs w:val="20"/>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Lender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Conforming Changes</w:t>
      </w:r>
      <w:r>
        <w:rPr>
          <w:rFonts w:ascii="Times New Roman" w:cs="Times New Roman" w:eastAsia="Times New Roman" w:hAnsi="Times New Roman"/>
          <w:sz w:val="20"/>
          <w:szCs w:val="20"/>
          <w:color w:val="auto"/>
        </w:rPr>
        <w:t>” means, with respect to the use, administration, adoption or implementation of any Benchmark Replacement, any technical, administrative or operational changes (including changes to the definition of “Base Rate” (if applicable), the definition of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and other technical, administrative or operational matters) that the Lender decides may be appropriate to reflect the adoption and implementation of such Benchmark Replacement and to permit the administration thereof by the Lender in a manner substantially consistent with market practice (or, if the Lender decides that adoption of any portion of such market practice is not administratively feasible or if the Lender determines that no market practice for the administration of such Benchmark Replacement exists, in such other manner of administration as the Lender decides is reasonably necessary in connection with the administration of this Agreement and the other Loan Documents).</w:t>
      </w:r>
    </w:p>
    <w:p>
      <w:pPr>
        <w:spacing w:after="0" w:line="187"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Replacement Date</w:t>
      </w:r>
      <w:r>
        <w:rPr>
          <w:rFonts w:ascii="Times New Roman" w:cs="Times New Roman" w:eastAsia="Times New Roman" w:hAnsi="Times New Roman"/>
          <w:sz w:val="20"/>
          <w:szCs w:val="20"/>
          <w:color w:val="auto"/>
        </w:rPr>
        <w:t>” means the earliest to occur of the following events with respect to the then-current Benchmark for any currency:</w:t>
      </w:r>
    </w:p>
    <w:p>
      <w:pPr>
        <w:spacing w:after="0" w:line="169" w:lineRule="exact"/>
        <w:rPr>
          <w:sz w:val="20"/>
          <w:szCs w:val="20"/>
          <w:color w:val="auto"/>
        </w:rPr>
      </w:pPr>
    </w:p>
    <w:p>
      <w:pPr>
        <w:jc w:val="both"/>
        <w:ind w:left="660" w:firstLine="644"/>
        <w:spacing w:after="0" w:line="258" w:lineRule="auto"/>
        <w:tabs>
          <w:tab w:leader="none" w:pos="194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2" w:lineRule="exact"/>
        <w:rPr>
          <w:rFonts w:ascii="Times New Roman" w:cs="Times New Roman" w:eastAsia="Times New Roman" w:hAnsi="Times New Roman"/>
          <w:sz w:val="20"/>
          <w:szCs w:val="20"/>
          <w:color w:val="auto"/>
        </w:rPr>
      </w:pPr>
    </w:p>
    <w:p>
      <w:pPr>
        <w:jc w:val="both"/>
        <w:ind w:left="660" w:firstLine="644"/>
        <w:spacing w:after="0" w:line="253" w:lineRule="auto"/>
        <w:tabs>
          <w:tab w:leader="none" w:pos="1944"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case of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or in compliance with or aligned with the International Organization of Securities Commissions (IOSCO) Principles for Financial Benchmarks;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non-representativeness or non-compliance will be determined by reference to the most recent statement or publication referenced in such </w:t>
      </w:r>
      <w:r>
        <w:rPr>
          <w:rFonts w:ascii="Times New Roman" w:cs="Times New Roman" w:eastAsia="Times New Roman" w:hAnsi="Times New Roman"/>
          <w:sz w:val="20"/>
          <w:szCs w:val="20"/>
          <w:u w:val="single" w:color="auto"/>
          <w:color w:val="auto"/>
        </w:rPr>
        <w:t>clause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13"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20"/>
          <w:szCs w:val="20"/>
          <w:color w:val="auto"/>
        </w:rPr>
        <w:t>and even if any Available Tenor of such Benchmark (or such component thereof) continues to be provided on such date.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For the avoidance of doubt, the “Benchmark Replacement Date” will be deemed to have occurred in the case of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with respect to any Benchmark upon the occurrence of the applicable event or events set forth therein with respect to all then-current Available Tenors of such Benchmark (or the published component used in the calculation thereof).</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Event</w:t>
      </w:r>
      <w:r>
        <w:rPr>
          <w:rFonts w:ascii="Times New Roman" w:cs="Times New Roman" w:eastAsia="Times New Roman" w:hAnsi="Times New Roman"/>
          <w:sz w:val="20"/>
          <w:szCs w:val="20"/>
          <w:color w:val="auto"/>
        </w:rPr>
        <w:t>” means, with respect to the then-current Benchmark, the occurrence of one or more of the following events with respect to such Benchmark:</w:t>
      </w:r>
    </w:p>
    <w:p>
      <w:pPr>
        <w:spacing w:after="0" w:line="156" w:lineRule="exact"/>
        <w:rPr>
          <w:sz w:val="20"/>
          <w:szCs w:val="20"/>
          <w:color w:val="auto"/>
        </w:rPr>
      </w:pPr>
    </w:p>
    <w:p>
      <w:pPr>
        <w:jc w:val="both"/>
        <w:ind w:left="660" w:firstLine="644"/>
        <w:spacing w:after="0" w:line="253" w:lineRule="auto"/>
        <w:tabs>
          <w:tab w:leader="none" w:pos="194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191" w:lineRule="exact"/>
        <w:rPr>
          <w:rFonts w:ascii="Times New Roman" w:cs="Times New Roman" w:eastAsia="Times New Roman" w:hAnsi="Times New Roman"/>
          <w:sz w:val="20"/>
          <w:szCs w:val="20"/>
          <w:color w:val="auto"/>
        </w:rPr>
      </w:pPr>
    </w:p>
    <w:p>
      <w:pPr>
        <w:jc w:val="both"/>
        <w:ind w:left="660" w:firstLine="644"/>
        <w:spacing w:after="0" w:line="250" w:lineRule="auto"/>
        <w:tabs>
          <w:tab w:leader="none" w:pos="1944"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the Federal Reserve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92" w:lineRule="exact"/>
        <w:rPr>
          <w:rFonts w:ascii="Times New Roman" w:cs="Times New Roman" w:eastAsia="Times New Roman" w:hAnsi="Times New Roman"/>
          <w:sz w:val="20"/>
          <w:szCs w:val="20"/>
          <w:color w:val="auto"/>
        </w:rPr>
      </w:pPr>
    </w:p>
    <w:p>
      <w:pPr>
        <w:jc w:val="both"/>
        <w:ind w:left="660" w:firstLine="644"/>
        <w:spacing w:after="0" w:line="258" w:lineRule="auto"/>
        <w:tabs>
          <w:tab w:leader="none" w:pos="1946"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 or in compliance with or aligned with the International Organization of Securities Commissions (IOSCO) Principles for Financial Benchmarks.</w:t>
      </w:r>
    </w:p>
    <w:p>
      <w:pPr>
        <w:spacing w:after="0" w:line="17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Transition Start Date</w:t>
      </w:r>
      <w:r>
        <w:rPr>
          <w:rFonts w:ascii="Times New Roman" w:cs="Times New Roman" w:eastAsia="Times New Roman" w:hAnsi="Times New Roman"/>
          <w:sz w:val="20"/>
          <w:szCs w:val="20"/>
          <w:color w:val="auto"/>
        </w:rPr>
        <w:t>” means, with respect to any Benchmark, in the case of a Benchmark Transition Event, the earlier of (a) the applicable Benchmark Replacement Date and (b) if such Benchmark Transition Event is a public statement or publication of information of a prospective event,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13" w:right="339" w:bottom="1440" w:gutter="0" w:footer="0" w:header="0"/>
        </w:sectPr>
      </w:pPr>
    </w:p>
    <w:bookmarkStart w:id="77" w:name="page78"/>
    <w:bookmarkEnd w:id="77"/>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Benchmark Unavailability Period</w:t>
      </w:r>
      <w:r>
        <w:rPr>
          <w:rFonts w:ascii="Times New Roman" w:cs="Times New Roman" w:eastAsia="Times New Roman" w:hAnsi="Times New Roman"/>
          <w:sz w:val="20"/>
          <w:szCs w:val="20"/>
          <w:color w:val="auto"/>
        </w:rPr>
        <w:t xml:space="preserve">” means, with respect to any then-current Benchmark, the period (if any) (a) beginning at the time that a Benchmark Replacement Date with respect to such Benchmark pursuant to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that definition has occurred if, at such time, no Benchmark Replacement has replaced such Benchmark for all purposes hereunder and under any Loan Document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(ii) ending at the time that a Benchmark Replacement has replaced such Benchmark for all purposes hereunder and under any Loan Document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w:t>
      </w:r>
      <w:r>
        <w:rPr>
          <w:rFonts w:ascii="Times New Roman" w:cs="Times New Roman" w:eastAsia="Times New Roman" w:hAnsi="Times New Roman"/>
          <w:sz w:val="20"/>
          <w:szCs w:val="20"/>
          <w:color w:val="auto"/>
        </w:rPr>
        <w:t>” means the Board of Governors of the Federal Reserve System of the U.S.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with respect to any Person, (a) in the case of any corporation, the board of directors of such Person or any committee thereof duly authorized to act on behalf of such board, (b) in the case of any limited liability company, the board of managers, board of directors, manager or managing member of such Person or the functional equivalent of the foregoing, (c) in the case of any partnership, the board of directors, board of managers, manager or managing member of a general partner of such Person or the functional equivalent of the foregoing and (d) in any other case, the functional equivalent of the foregoing.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Borrower</w:t>
      </w:r>
      <w:r>
        <w:rPr>
          <w:rFonts w:ascii="Times New Roman" w:cs="Times New Roman" w:eastAsia="Times New Roman" w:hAnsi="Times New Roman"/>
          <w:sz w:val="20"/>
          <w:szCs w:val="20"/>
          <w:color w:val="auto"/>
        </w:rPr>
        <w:t>” shall have the meaning given to such term in the preamble hereto.</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Borrowing</w:t>
      </w:r>
      <w:r>
        <w:rPr>
          <w:rFonts w:ascii="Times New Roman" w:cs="Times New Roman" w:eastAsia="Times New Roman" w:hAnsi="Times New Roman"/>
          <w:sz w:val="19"/>
          <w:szCs w:val="19"/>
          <w:color w:val="auto"/>
        </w:rPr>
        <w:t xml:space="preserve">” means a borrowing of a Loan (which may be a Term SOFR Borrowing or a Base Rate Borrowing) pursuant to </w:t>
      </w:r>
      <w:r>
        <w:rPr>
          <w:rFonts w:ascii="Times New Roman" w:cs="Times New Roman" w:eastAsia="Times New Roman" w:hAnsi="Times New Roman"/>
          <w:sz w:val="19"/>
          <w:szCs w:val="19"/>
          <w:u w:val="single" w:color="auto"/>
          <w:color w:val="auto"/>
        </w:rPr>
        <w:t>Section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2.01</w:t>
      </w:r>
      <w:r>
        <w:rPr>
          <w:rFonts w:ascii="Times New Roman" w:cs="Times New Roman" w:eastAsia="Times New Roman" w:hAnsi="Times New Roman"/>
          <w:sz w:val="20"/>
          <w:szCs w:val="20"/>
          <w:color w:val="auto"/>
        </w:rPr>
        <w:t>.</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Borrowing Request</w:t>
      </w:r>
      <w:r>
        <w:rPr>
          <w:rFonts w:ascii="Times New Roman" w:cs="Times New Roman" w:eastAsia="Times New Roman" w:hAnsi="Times New Roman"/>
          <w:sz w:val="20"/>
          <w:szCs w:val="20"/>
          <w:color w:val="auto"/>
        </w:rPr>
        <w:t xml:space="preserve">” shall have the meaning given to such term in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any day that is not a Saturday, Sunday or other day on which commercial banks in New York City are authorized or required by law to remain closed.</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Capital Stock</w:t>
      </w:r>
      <w:r>
        <w:rPr>
          <w:rFonts w:ascii="Times New Roman" w:cs="Times New Roman" w:eastAsia="Times New Roman" w:hAnsi="Times New Roman"/>
          <w:sz w:val="20"/>
          <w:szCs w:val="20"/>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w:t>
      </w:r>
    </w:p>
    <w:p>
      <w:pPr>
        <w:spacing w:after="0" w:line="164"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means money, currency or a credit balance in any demand account or deposit account. For the avoidance of doubt, and in respect of any financial covenant or ratio, the amount of Cash at any time shall be determined in accordance with GAAP.</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Cash Equivalents</w:t>
      </w:r>
      <w:r>
        <w:rPr>
          <w:rFonts w:ascii="Times New Roman" w:cs="Times New Roman" w:eastAsia="Times New Roman" w:hAnsi="Times New Roman"/>
          <w:sz w:val="20"/>
          <w:szCs w:val="20"/>
          <w:color w:val="auto"/>
        </w:rPr>
        <w:t>” means, as at any date of determination:</w:t>
      </w:r>
    </w:p>
    <w:p>
      <w:pPr>
        <w:spacing w:after="0" w:line="220" w:lineRule="exact"/>
        <w:rPr>
          <w:sz w:val="20"/>
          <w:szCs w:val="20"/>
          <w:color w:val="auto"/>
        </w:rPr>
      </w:pPr>
    </w:p>
    <w:p>
      <w:pPr>
        <w:jc w:val="both"/>
        <w:ind w:left="660" w:firstLine="644"/>
        <w:spacing w:after="0" w:line="253" w:lineRule="auto"/>
        <w:tabs>
          <w:tab w:leader="none" w:pos="194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securities (i) issued or directly and unconditionally guaranteed or insured as to interest and principal by the government of the U.S., Canada, the United Kingdom or any member nation of the European Union rated at least A-2 from S&amp;P or at least P-2 from Moody’s (or, if at any time either S&amp;P or Moody’s is not rating such obligations, an equivalent rating from another nationally recognized statistical rating agency) or (ii) issued by any agency or instrumentality of any of the foregoing, the obligations of which are backed by the full faith and credit of the U.S., Canada, the United Kingdom or any such member nation of the European Union, as applicable, in each case having average maturities of not more than 24 months from the date of acquisition thereof and, in each case, repurchase agreements and reverse repurchase agreements relating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09" w:right="339" w:bottom="1440" w:gutter="0" w:footer="0" w:header="0"/>
        </w:sectPr>
      </w:pPr>
    </w:p>
    <w:bookmarkStart w:id="78" w:name="page79"/>
    <w:bookmarkEnd w:id="78"/>
    <w:p>
      <w:pPr>
        <w:jc w:val="both"/>
        <w:ind w:left="460" w:firstLine="644"/>
        <w:spacing w:after="0" w:line="253" w:lineRule="auto"/>
        <w:tabs>
          <w:tab w:leader="none" w:pos="17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readily marketable direct obligations issued by any state, commonwealth or territory of the U.S. or any political subdivision, taxing authority or any public instrumentality thereof or by any foreign government, in each case having average maturities of not more than 24 months from the acquisition thereof and having, at the time of the acquisition thereof, a rating of at least A-2 from S&amp;P or at least P-2 from Moody’s (or, if at any time either S&amp;P or Moody’s is not rating such obligations, an equivalent rating from another nationally recognized statistical rating agency) or otherwise having an investment grade rating from S&amp;P or Moody’s and, in each case, repurchase agreements and reverse repurchase agreements relating thereto;</w:t>
      </w:r>
    </w:p>
    <w:p>
      <w:pPr>
        <w:spacing w:after="0" w:line="192" w:lineRule="exact"/>
        <w:rPr>
          <w:rFonts w:ascii="Times New Roman" w:cs="Times New Roman" w:eastAsia="Times New Roman" w:hAnsi="Times New Roman"/>
          <w:sz w:val="20"/>
          <w:szCs w:val="20"/>
          <w:color w:val="auto"/>
        </w:rPr>
      </w:pPr>
    </w:p>
    <w:p>
      <w:pPr>
        <w:jc w:val="both"/>
        <w:ind w:left="460" w:firstLine="644"/>
        <w:spacing w:after="0" w:line="254" w:lineRule="auto"/>
        <w:tabs>
          <w:tab w:leader="none" w:pos="174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commercial paper and variable fixed rate notes having average maturities of not more than 24 months from the date of creation thereof and having, at the time of the acquisition thereof, a rating of at least A-2 from S&amp;P or at least P-2 from Moody’s (or, if at any time either S&amp;P or Moody’s is not rating such obligations, an equivalent rating from another nationally recognized statistical rating agency);</w:t>
      </w:r>
    </w:p>
    <w:p>
      <w:pPr>
        <w:spacing w:after="0" w:line="187"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17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deposits, money market deposits, time deposit accounts, certificates of deposit or bankers’ acceptances (or similar instruments) maturing within one year after such date and issued or accepted by the Lender or by any bank organized under, or authorized to operate as a bank under, the laws of the U.S., any state thereof or the District of Columbia or any political subdivision thereof and that has capital and surplus of not less than $100,000,000 and, in each case, repurchase agreements and reverse repurchase agreements relating thereto;</w:t>
      </w:r>
    </w:p>
    <w:p>
      <w:pPr>
        <w:spacing w:after="0" w:line="191" w:lineRule="exact"/>
        <w:rPr>
          <w:rFonts w:ascii="Times New Roman" w:cs="Times New Roman" w:eastAsia="Times New Roman" w:hAnsi="Times New Roman"/>
          <w:sz w:val="20"/>
          <w:szCs w:val="20"/>
          <w:color w:val="auto"/>
        </w:rPr>
      </w:pPr>
    </w:p>
    <w:p>
      <w:pPr>
        <w:ind w:left="460" w:firstLine="644"/>
        <w:spacing w:after="0" w:line="283" w:lineRule="auto"/>
        <w:tabs>
          <w:tab w:leader="none" w:pos="1746"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securities with maturities of six months or less from the date of acquisition backed by standby letters of credit issued by any commercial bank having capital and surplus of not less than $500,000,000;</w:t>
      </w:r>
    </w:p>
    <w:p>
      <w:pPr>
        <w:spacing w:after="0" w:line="146" w:lineRule="exact"/>
        <w:rPr>
          <w:rFonts w:ascii="Times New Roman" w:cs="Times New Roman" w:eastAsia="Times New Roman" w:hAnsi="Times New Roman"/>
          <w:sz w:val="20"/>
          <w:szCs w:val="20"/>
          <w:color w:val="auto"/>
        </w:rPr>
      </w:pPr>
    </w:p>
    <w:p>
      <w:pPr>
        <w:jc w:val="both"/>
        <w:ind w:left="460" w:firstLine="644"/>
        <w:spacing w:after="0" w:line="253" w:lineRule="auto"/>
        <w:tabs>
          <w:tab w:leader="none" w:pos="181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marketable short-term money market and similar highly liquid funds (i) having a rating of at least P-2 or A-2 from either Moody’s or S&amp;P, respectively (or, if at any time either S&amp;P or Moody’s is not rating such obligations, an equivalent rating from another nationally recognized statistical rating agency) or (ii) having assets in excess of (x) $500,000,000 in the case of U.S. banks or other U.S. financial institutions and (y) $250,000,000 (or the dollar equivalent as of the date of determination) in the case of non-U.S. banks or other non-U.S. financial institutions; and</w:t>
      </w:r>
    </w:p>
    <w:p>
      <w:pPr>
        <w:spacing w:after="0" w:line="191" w:lineRule="exact"/>
        <w:rPr>
          <w:rFonts w:ascii="Times New Roman" w:cs="Times New Roman" w:eastAsia="Times New Roman" w:hAnsi="Times New Roman"/>
          <w:sz w:val="20"/>
          <w:szCs w:val="20"/>
          <w:color w:val="auto"/>
        </w:rPr>
      </w:pPr>
    </w:p>
    <w:p>
      <w:pPr>
        <w:ind w:left="460" w:firstLine="644"/>
        <w:spacing w:after="0" w:line="283" w:lineRule="auto"/>
        <w:tabs>
          <w:tab w:leader="none" w:pos="1744"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Investments made in accordance with Holding’s investment policy, as approved by Holdings’ board of directors and as in effect on the Closing Date and as amended from time to time with the prior written consent of the Lender.</w:t>
      </w:r>
    </w:p>
    <w:p>
      <w:pPr>
        <w:spacing w:after="0" w:line="14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CFC</w:t>
      </w:r>
      <w:r>
        <w:rPr>
          <w:rFonts w:ascii="Times New Roman" w:cs="Times New Roman" w:eastAsia="Times New Roman" w:hAnsi="Times New Roman"/>
          <w:sz w:val="20"/>
          <w:szCs w:val="20"/>
          <w:color w:val="auto"/>
        </w:rPr>
        <w:t>” means a “controlled foreign corporation” within the meaning of Section 957 of the Code.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Change of Control</w:t>
      </w:r>
      <w:r>
        <w:rPr>
          <w:rFonts w:ascii="Times New Roman" w:cs="Times New Roman" w:eastAsia="Times New Roman" w:hAnsi="Times New Roman"/>
          <w:sz w:val="20"/>
          <w:szCs w:val="20"/>
          <w:color w:val="auto"/>
        </w:rPr>
        <w:t>” means the earliest to occur of:</w:t>
      </w:r>
    </w:p>
    <w:p>
      <w:pPr>
        <w:spacing w:after="0" w:line="220" w:lineRule="exact"/>
        <w:rPr>
          <w:sz w:val="20"/>
          <w:szCs w:val="20"/>
          <w:color w:val="auto"/>
        </w:rPr>
      </w:pPr>
    </w:p>
    <w:p>
      <w:pPr>
        <w:jc w:val="both"/>
        <w:ind w:left="460" w:firstLine="644"/>
        <w:spacing w:after="0" w:line="268" w:lineRule="auto"/>
        <w:tabs>
          <w:tab w:leader="none" w:pos="1746"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acquisition by any Person or group, including any group acting for the purpose of acquiring, holding or disposing of Securities, other than the Lender or an Affiliate of the Lender, of the direct or indirect beneficial ownership of Capital Stock representing more than 30% of the total voting power of all of the outstanding Voting Stock of Holdings or the Borrower;</w:t>
      </w:r>
    </w:p>
    <w:p>
      <w:pPr>
        <w:spacing w:after="0" w:line="161" w:lineRule="exact"/>
        <w:rPr>
          <w:rFonts w:ascii="Times New Roman" w:cs="Times New Roman" w:eastAsia="Times New Roman" w:hAnsi="Times New Roman"/>
          <w:sz w:val="20"/>
          <w:szCs w:val="20"/>
          <w:color w:val="auto"/>
        </w:rPr>
      </w:pPr>
    </w:p>
    <w:p>
      <w:pPr>
        <w:ind w:left="460" w:firstLine="644"/>
        <w:spacing w:after="0" w:line="283" w:lineRule="auto"/>
        <w:tabs>
          <w:tab w:leader="none" w:pos="1744"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a series of related transactions occurs that results in the holders of the total voting power of all of the outstanding Voting Stock of Holdings existing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040"/>
          </w:cols>
          <w:pgMar w:left="520" w:top="1413" w:right="339" w:bottom="1440" w:gutter="0" w:footer="0" w:header="0"/>
        </w:sectPr>
      </w:pPr>
    </w:p>
    <w:bookmarkStart w:id="79" w:name="page80"/>
    <w:bookmarkEnd w:id="79"/>
    <w:p>
      <w:pPr>
        <w:ind w:left="660"/>
        <w:spacing w:after="0" w:line="283" w:lineRule="auto"/>
        <w:rPr>
          <w:sz w:val="20"/>
          <w:szCs w:val="20"/>
          <w:color w:val="auto"/>
        </w:rPr>
      </w:pPr>
      <w:r>
        <w:rPr>
          <w:rFonts w:ascii="Times New Roman" w:cs="Times New Roman" w:eastAsia="Times New Roman" w:hAnsi="Times New Roman"/>
          <w:sz w:val="20"/>
          <w:szCs w:val="20"/>
          <w:color w:val="auto"/>
        </w:rPr>
        <w:t>prior to the commencement of such transaction(s), together, ceasing to beneficially own at least 60% of the total voting power of all of the outstanding Voting Stock of Holdings;</w:t>
      </w:r>
    </w:p>
    <w:p>
      <w:pPr>
        <w:spacing w:after="0" w:line="146" w:lineRule="exact"/>
        <w:rPr>
          <w:sz w:val="20"/>
          <w:szCs w:val="20"/>
          <w:color w:val="auto"/>
        </w:rPr>
      </w:pPr>
    </w:p>
    <w:p>
      <w:pPr>
        <w:jc w:val="both"/>
        <w:ind w:left="660" w:firstLine="644"/>
        <w:spacing w:after="0" w:line="253" w:lineRule="auto"/>
        <w:tabs>
          <w:tab w:leader="none" w:pos="1946"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any period of 12 consecutive months, a majority of the members of the Board of Directors of Holdings cease to be composed of individuals (i) who were members of such Board of Directors on the first day of such period, (ii) whose election or nomination to such Board of Directors was approved by individuals referred to in the preceding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constituting at the time of such election or nomination at least a majority of such Board of Directors or (iii) whose election or nomination to such Board of Directors was approved by individuals referred to in the preceding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xml:space="preserve"> constituting at the time of such election or nomination at least a majority of such Board of Directors; or</w:t>
      </w:r>
    </w:p>
    <w:p>
      <w:pPr>
        <w:spacing w:after="0" w:line="19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ceases to be the managing member of the Borrower.</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For purposes of this definition including other defined terms used herein in connection with this definition (i) “beneficial ownership” shall be as defined in Rules 13(d)-3 and 13(d)-5 under the Exchange Act as in effect on the date hereof and (ii) the words “Person” and “group” shall be within the meaning of Section 13(d) or 14(d) of the Exchange Act as in effect on the date hereof.</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4.01</w:t>
      </w:r>
      <w:r>
        <w:rPr>
          <w:rFonts w:ascii="Times New Roman" w:cs="Times New Roman" w:eastAsia="Times New Roman" w:hAnsi="Times New Roman"/>
          <w:sz w:val="20"/>
          <w:szCs w:val="20"/>
          <w:color w:val="auto"/>
        </w:rPr>
        <w:t xml:space="preserve"> (it being understood and agreed that such date occurred on August 12,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w:t>
      </w:r>
      <w:r>
        <w:rPr>
          <w:rFonts w:ascii="Times New Roman" w:cs="Times New Roman" w:eastAsia="Times New Roman" w:hAnsi="Times New Roman"/>
          <w:sz w:val="20"/>
          <w:szCs w:val="20"/>
          <w:color w:val="auto"/>
        </w:rPr>
        <w:t>” means any and all property of a Loan Party subject to a Lien under the Collateral Documents and any and all other property of any Loan Party, now existing or hereafter acquired, that is or becomes subject to a Lien pursuant to the Collateral Documents to secure the Obligations.</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Collateral Documents</w:t>
      </w:r>
      <w:r>
        <w:rPr>
          <w:rFonts w:ascii="Times New Roman" w:cs="Times New Roman" w:eastAsia="Times New Roman" w:hAnsi="Times New Roman"/>
          <w:sz w:val="20"/>
          <w:szCs w:val="20"/>
          <w:color w:val="auto"/>
        </w:rPr>
        <w:t>” means, collectively, the Pledge and Security Agreement and any other documents granting a Lien upon the Collateral as security for payment of the Obligations pursuant to the terms hereof or any other Loan Document.</w:t>
      </w:r>
    </w:p>
    <w:p>
      <w:pPr>
        <w:spacing w:after="0" w:line="16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Commitment</w:t>
      </w:r>
      <w:r>
        <w:rPr>
          <w:rFonts w:ascii="Times New Roman" w:cs="Times New Roman" w:eastAsia="Times New Roman" w:hAnsi="Times New Roman"/>
          <w:sz w:val="20"/>
          <w:szCs w:val="20"/>
          <w:color w:val="auto"/>
        </w:rPr>
        <w:t xml:space="preserve">” means the amount set forth opposite the name of the Lender on </w:t>
      </w:r>
      <w:r>
        <w:rPr>
          <w:rFonts w:ascii="Times New Roman" w:cs="Times New Roman" w:eastAsia="Times New Roman" w:hAnsi="Times New Roman"/>
          <w:sz w:val="20"/>
          <w:szCs w:val="20"/>
          <w:u w:val="single" w:color="auto"/>
          <w:color w:val="auto"/>
        </w:rPr>
        <w:t>Schedule 2.01</w:t>
      </w:r>
      <w:r>
        <w:rPr>
          <w:rFonts w:ascii="Times New Roman" w:cs="Times New Roman" w:eastAsia="Times New Roman" w:hAnsi="Times New Roman"/>
          <w:sz w:val="20"/>
          <w:szCs w:val="20"/>
          <w:color w:val="auto"/>
        </w:rPr>
        <w:t xml:space="preserve">, as such amount may be reduced from time to time pursuant to </w:t>
      </w:r>
      <w:r>
        <w:rPr>
          <w:rFonts w:ascii="Times New Roman" w:cs="Times New Roman" w:eastAsia="Times New Roman" w:hAnsi="Times New Roman"/>
          <w:sz w:val="20"/>
          <w:szCs w:val="20"/>
          <w:u w:val="single" w:color="auto"/>
          <w:color w:val="auto"/>
        </w:rPr>
        <w:t>Section 2.08</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Contractual Obligation</w:t>
      </w:r>
      <w:r>
        <w:rPr>
          <w:rFonts w:ascii="Times New Roman" w:cs="Times New Roman" w:eastAsia="Times New Roman" w:hAnsi="Times New Roman"/>
          <w:sz w:val="20"/>
          <w:szCs w:val="20"/>
          <w:color w:val="auto"/>
        </w:rPr>
        <w:t>” means, as applied to any Person, any provision of any Security issued by that Person or of any material indenture, mortgage, deed of trust, contract, undertaking, agreement or other instrument to which that Person is a party or by which it or any of its properties is bound or to which it or any of its properties is subject.</w:t>
      </w:r>
    </w:p>
    <w:p>
      <w:pPr>
        <w:spacing w:after="0" w:line="162"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Control</w:t>
      </w:r>
      <w:r>
        <w:rPr>
          <w:rFonts w:ascii="Times New Roman" w:cs="Times New Roman" w:eastAsia="Times New Roman" w:hAnsi="Times New Roman"/>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color w:val="auto"/>
        </w:rPr>
        <w:t>Controlled</w:t>
      </w:r>
      <w:r>
        <w:rPr>
          <w:rFonts w:ascii="Times New Roman" w:cs="Times New Roman" w:eastAsia="Times New Roman" w:hAnsi="Times New Roman"/>
          <w:sz w:val="20"/>
          <w:szCs w:val="20"/>
          <w:color w:val="auto"/>
        </w:rPr>
        <w:t>” have meanings correlative thereto.</w:t>
      </w:r>
    </w:p>
    <w:p>
      <w:pPr>
        <w:spacing w:after="0" w:line="15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means any event or condition which upon notice, lapse of time or both would (unless cured or waived) become an Event of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11240"/>
          </w:cols>
          <w:pgMar w:left="320" w:top="1413" w:right="339" w:bottom="1440" w:gutter="0" w:footer="0" w:header="0"/>
        </w:sectPr>
      </w:pPr>
    </w:p>
    <w:bookmarkStart w:id="80" w:name="page81"/>
    <w:bookmarkEnd w:id="80"/>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Derivative Transaction</w:t>
      </w:r>
      <w:r>
        <w:rPr>
          <w:rFonts w:ascii="Times New Roman" w:cs="Times New Roman" w:eastAsia="Times New Roman" w:hAnsi="Times New Roman"/>
          <w:sz w:val="20"/>
          <w:szCs w:val="20"/>
          <w:color w:val="auto"/>
        </w:rPr>
        <w:t>”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w:t>
      </w:r>
    </w:p>
    <w:p>
      <w:pPr>
        <w:spacing w:after="0" w:line="188" w:lineRule="exact"/>
        <w:rPr>
          <w:sz w:val="20"/>
          <w:szCs w:val="20"/>
          <w:color w:val="auto"/>
        </w:rPr>
      </w:pPr>
    </w:p>
    <w:p>
      <w:pPr>
        <w:jc w:val="both"/>
        <w:ind w:firstLine="648"/>
        <w:spacing w:after="0" w:line="300"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Disclosure Letter</w:t>
      </w:r>
      <w:r>
        <w:rPr>
          <w:rFonts w:ascii="Times New Roman" w:cs="Times New Roman" w:eastAsia="Times New Roman" w:hAnsi="Times New Roman"/>
          <w:sz w:val="19"/>
          <w:szCs w:val="19"/>
          <w:color w:val="auto"/>
        </w:rPr>
        <w:t>” means the disclosure letter to this Agreement, dated as of the Closing Date, executed and delivered by Holdings and Borrower to Lender in connection with this Agreement, as may be updated from time to time in accordance with the Loan Documents.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Disposition</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Dispose</w:t>
      </w:r>
      <w:r>
        <w:rPr>
          <w:rFonts w:ascii="Times New Roman" w:cs="Times New Roman" w:eastAsia="Times New Roman" w:hAnsi="Times New Roman"/>
          <w:sz w:val="20"/>
          <w:szCs w:val="20"/>
          <w:color w:val="auto"/>
        </w:rPr>
        <w:t>” means the sale, lease, sublease, or other disposition of any property of any Person.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Disqualified Capital Stock</w:t>
      </w:r>
      <w:r>
        <w:rPr>
          <w:rFonts w:ascii="Times New Roman" w:cs="Times New Roman" w:eastAsia="Times New Roman" w:hAnsi="Times New Roman"/>
          <w:sz w:val="20"/>
          <w:szCs w:val="20"/>
          <w:color w:val="auto"/>
        </w:rPr>
        <w:t xml:space="preserve">”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and Cash in lieu of fractional shares), pursuant to a sinking fund obligation or otherwise, or is redeemable at the option of the holder thereof (other than for Qualified Capital Stock and Cash in lieu of fractional shares), in whole or in part, on or prior to 91 days following the Termination Date at the time such Capital Stock is issued, (b) is or becomes convertible into or exchangeable (unless at the sole option of the issuer thereof) for (i) debt securities or loans or (ii) any Capital Stock that would constitute Disqualified Capital Stock, in each case at any time on or prior to 91 days following the Termination Date at the time such Capital Stock is issued, (c) contains any mandatory repurchase obligation which may come into effect prior to the Termination Date (or the date that is 91 days following the Termination Date at the time such Capital Stock is issued) or (d) provides for the scheduled payments of dividends in Cash on or prior to 91 days following the Termination Date at the time such Capital Stock is issued;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only the portion of Capital Stock that so matures or is mandatorily redeemable, is so convertible or exchangeable or is so redeemable at the option of the holder thereof prior to such date shall be deemed to be Disqualified Capital Stock.</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Dollars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refers to lawful money of the United States.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Domestic Subsidiary</w:t>
      </w:r>
      <w:r>
        <w:rPr>
          <w:rFonts w:ascii="Times New Roman" w:cs="Times New Roman" w:eastAsia="Times New Roman" w:hAnsi="Times New Roman"/>
          <w:sz w:val="20"/>
          <w:szCs w:val="20"/>
          <w:color w:val="auto"/>
        </w:rPr>
        <w:t>” means any Subsidiary incorporated or organized under the laws of United States or any state thereof.</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w:t>
      </w:r>
      <w:r>
        <w:rPr>
          <w:rFonts w:ascii="Times New Roman" w:cs="Times New Roman" w:eastAsia="Times New Roman" w:hAnsi="Times New Roman"/>
          <w:sz w:val="20"/>
          <w:szCs w:val="20"/>
          <w:color w:val="auto"/>
        </w:rPr>
        <w:t>” shall mean ambient air, indoor air, surface water, groundwater, drinking water, land surface, sediments, and subsurface strata &amp; natural resources such as wetlands, flora and fauna.</w:t>
      </w:r>
    </w:p>
    <w:p>
      <w:pPr>
        <w:spacing w:after="0" w:line="15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Claim</w:t>
      </w:r>
      <w:r>
        <w:rPr>
          <w:rFonts w:ascii="Times New Roman" w:cs="Times New Roman" w:eastAsia="Times New Roman" w:hAnsi="Times New Roman"/>
          <w:sz w:val="20"/>
          <w:szCs w:val="20"/>
          <w:color w:val="auto"/>
        </w:rPr>
        <w:t>” means any notice, notice of violation, claim, action, suit, proceeding, demand, abatement order or other order or directive (conditional or otherwise), by any Governmental Authority or any other Person, arising out of any Environmental Law, including (a) pursuant to or in connection with any actual or alleged violation of any Environmental Law; (b) in connection with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11240"/>
          </w:cols>
          <w:pgMar w:left="320" w:top="1409" w:right="339" w:bottom="1440" w:gutter="0" w:footer="0" w:header="0"/>
        </w:sectPr>
      </w:pPr>
    </w:p>
    <w:bookmarkStart w:id="81" w:name="page82"/>
    <w:bookmarkEnd w:id="81"/>
    <w:p>
      <w:pPr>
        <w:jc w:val="both"/>
        <w:spacing w:after="0" w:line="283" w:lineRule="auto"/>
        <w:rPr>
          <w:sz w:val="20"/>
          <w:szCs w:val="20"/>
          <w:color w:val="auto"/>
        </w:rPr>
      </w:pPr>
      <w:r>
        <w:rPr>
          <w:rFonts w:ascii="Times New Roman" w:cs="Times New Roman" w:eastAsia="Times New Roman" w:hAnsi="Times New Roman"/>
          <w:sz w:val="20"/>
          <w:szCs w:val="20"/>
          <w:color w:val="auto"/>
        </w:rPr>
        <w:t>Release or threatened Release of Hazardous Material or any actual or alleged Hazardous Materials Activity; or (c) in connection with any actual or alleged damage, injury, threat or harm to natural resources or the environment.</w:t>
      </w:r>
    </w:p>
    <w:p>
      <w:pPr>
        <w:spacing w:after="0" w:line="14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Environmental Laws</w:t>
      </w:r>
      <w:r>
        <w:rPr>
          <w:rFonts w:ascii="Times New Roman" w:cs="Times New Roman" w:eastAsia="Times New Roman" w:hAnsi="Times New Roman"/>
          <w:sz w:val="20"/>
          <w:szCs w:val="20"/>
          <w:color w:val="auto"/>
        </w:rPr>
        <w:t>” means any and all applicable foreign or domestic, federal, provincial, territorial or state (or any subdivision of either of them), statutes, ordinances, orders, rules, regulations, judgments, Governmental Authorizations, or any other applicable requirements of Governmental Authorities and the common law relating to the protection of the environment, including those relating to any Hazardous Materials Activity, or the generation, use, storage, transportation or disposal of or exposure to Hazardous Materials, in any manner applicable to Holdings or any of its Subsidiaries or any Facility.</w:t>
      </w:r>
    </w:p>
    <w:p>
      <w:pPr>
        <w:spacing w:after="0" w:line="168"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Environmental Liability</w:t>
      </w:r>
      <w:r>
        <w:rPr>
          <w:rFonts w:ascii="Times New Roman" w:cs="Times New Roman" w:eastAsia="Times New Roman" w:hAnsi="Times New Roman"/>
          <w:sz w:val="19"/>
          <w:szCs w:val="19"/>
          <w:color w:val="auto"/>
        </w:rPr>
        <w:t>” means any liability, contingent or otherwise (including any liability for damages, costs of environmental remediation, fines, penalties or indemnities), of Holdings or any Subsidiary directly or indirectly resulting from or based upon (a) violation of any Environmental Law, (b) the generation, use, handling, transportation, storage or treatment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w:t>
      </w:r>
      <w:r>
        <w:rPr>
          <w:rFonts w:ascii="Times New Roman" w:cs="Times New Roman" w:eastAsia="Times New Roman" w:hAnsi="Times New Roman"/>
          <w:sz w:val="20"/>
          <w:szCs w:val="20"/>
          <w:color w:val="auto"/>
        </w:rPr>
        <w:t>” means the Employee Retirement Income Security Act of 1974.</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Affiliate</w:t>
      </w:r>
      <w:r>
        <w:rPr>
          <w:rFonts w:ascii="Times New Roman" w:cs="Times New Roman" w:eastAsia="Times New Roman" w:hAnsi="Times New Roman"/>
          <w:sz w:val="20"/>
          <w:szCs w:val="20"/>
          <w:color w:val="auto"/>
        </w:rPr>
        <w:t>” means, as applied to any Person, (a) any corporation which is a member of a controlled group of corporations within the meaning of Section 414(b) of the Code of which that Person is a member, (b) any trade or business (whether or not incorporated) which is a member of a group of trades or businesses under common control within the meaning of Section 414(c) of the Code of which that Person is a member and (c) for purposes of Section 302 of ERISA and Section 412 of the Code, any organization which is a member of an affiliated service group within the meaning of Section 414(m) of the Code of which that Person is a member or any other Person which is treated as a single employer with such Person under Section 414(o) of the Code.</w:t>
      </w:r>
    </w:p>
    <w:p>
      <w:pPr>
        <w:spacing w:after="0" w:line="17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ERISA Event</w:t>
      </w:r>
      <w:r>
        <w:rPr>
          <w:rFonts w:ascii="Times New Roman" w:cs="Times New Roman" w:eastAsia="Times New Roman" w:hAnsi="Times New Roman"/>
          <w:sz w:val="20"/>
          <w:szCs w:val="20"/>
          <w:color w:val="auto"/>
        </w:rPr>
        <w:t>” means (a) a “reportable event” within the meaning of Section 4043 of ERISA and the regulations issued thereunder with respect to any Pension Plan (excluding those for which the 30-day notice period has been waived); (b) the failure to meet the minimum funding standard of Section 412 of the Code or Section 302 of ERISA with respect to any Pension Plan; (c) the provision by the administrator of any Pension Plan pursuant to Section 4041(a)(2) of ERISA of a notice of intent to terminate such plan in a distress termination described in Section 4041(c) of ERISA; (d) the withdrawal by Holdings, any of its Subsidiaries or any of their respective ERISA Affiliates from any Pension Plan with two or more contributing sponsors or the termination of any such Pension Plan resulting in liability to Holdings, any of its Subsidiaries or any of their respective ERISA Affiliates pursuant to Section 4063 or 4064 of ERISA; (e) the institution by the PBGC of proceedings to terminate any Pension Plan, or the appointment of a trustee to administer any Pension Plan; (f) the imposition of liability on Holdings, any of its Subsidiaries or any of their respective ERISA Affiliates pursuant to Section 4062(e) or 4069 of ERISA or by reason of the application of Section 4212(c) of ERISA; (g) a complete or partial withdrawal (within the meaning of Sections 4203 and 4205 of ERISA) of Holdings, any of its Subsidiaries or any of their respective ERISA Affiliates from any Multiemployer Plan if there is any liability therefor under Title IV of ERISA, or the receipt by Holdings, any of its Subsidiaries or any of their respective ERISA Affiliates of notice from any Multiemployer Plan that it is in insolvency pursuant to Section 4245 of ERISA, or that it intends to terminate or has terminated under Section 4041A or 4042 of ERISA; (h) the occurrence of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11240"/>
          </w:cols>
          <w:pgMar w:left="320" w:top="1413" w:right="33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20"/>
          <w:szCs w:val="20"/>
          <w:color w:val="auto"/>
        </w:rPr>
        <w:t>act or omission which could reasonably be expected to give rise to the imposition on Holdings, any of its Subsidiaries or any of their respective ERISA Affiliates of fines, penalties, excise taxes or related charges under Chapter 43 of the Code or under Section 409, Section 502(c), (i) or (l), or Section 4071 of ERISA in respect of any Pension Plan; or (i) the incurrence of liability or the imposition of a Lien pursuant to Section 436 or 430(k) of the Code or pursuant to ERISA with respect to any Pension Plan, other than for PBGC premiums due but not delinquent.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Event of Default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and the rules and regulations of the SEC promulgated thereunder.</w:t>
      </w:r>
    </w:p>
    <w:p>
      <w:pPr>
        <w:spacing w:after="0" w:line="21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Assets</w:t>
      </w:r>
      <w:r>
        <w:rPr>
          <w:rFonts w:ascii="Times New Roman" w:cs="Times New Roman" w:eastAsia="Times New Roman" w:hAnsi="Times New Roman"/>
          <w:sz w:val="20"/>
          <w:szCs w:val="20"/>
          <w:color w:val="auto"/>
        </w:rPr>
        <w:t>” means (i) any fee-owned or leased real property, (ii) any property, to the extent a security interest in any such property would be prohibited or restricted by any contract, license, franchise, charter, authorization, agreement, instrument or other document binding upon Holdings or any Subsidiary of Holdings (including any legally effective prohibition or restriction) or would give rise to a right of termination in favor of any counterparty to such contract, license, franchise, charter, authorization, agreement, instrument or other document after giving effect to the applicable anti-assignment clauses of the Uniform Commercial Code and other applicable laws, other than the proceeds and receivables thereof the assignment of which is expressly deemed effective under the Uniform Commercial Code and other applicable laws notwithstanding such prohibition (unless such consent, approval, license or authorization has been received and, in any event, only for so long as such restriction exists), (iii) motor vehicles and other assets and personal property subject to certificates of title to the extent a Lien thereon cannot be perfected by the filing of a UCC financing statement or equivalent under applicable law, (iv) assets and personal property for which a pledge thereof or a security interest therein is prohibited by applicable laws (including any legally effective requirement to obtain the consent of any Governmental Authority) after giving effect to the applicable anti-assignment clauses of the Uniform Commercial Code and other applicable laws, other than the proceeds and receivables thereof the assignment of which is expressly deemed effective under the Uniform Commercial Code and other applicable laws notwithstanding such prohibition, (v) Excluded Capital Stock, (vi) assets and personal property to the extent a security interest in such assets would result in material adverse tax consequences as reasonably determined by the Borrower in good faith and consented to by the Lender, (vii) any intent-to-use trademark application prior to the filing of a “Statement of Use” or “Amendment to Allege Use” with respect thereto and (viii) any lease, license, contract, instrument or other agreements or any property (including personal property) subject to a purchase money security interest, Financing Lease Obligation or similar arrangements, in each case to the extent permitted under the Loan Documents, to the extent that a pledge thereof or a security interest therein would violate or invalidate such lease, license, contract, instrument or agreement, purchase money, Financing Lease Obligation or similar arrangement, or create a right of termination in favor of any other party thereto (other than the Borrower or a Guarantor) after giving effect to the applicable anti-assignment clauses of the Uniform Commercial Code and other applicable laws, other than the proceeds and receivables thereof the assignment of which is expressly deemed effective under the Uniform Commercial Code and other applicable laws notwithstanding such prohibition.</w:t>
      </w:r>
    </w:p>
    <w:p>
      <w:pPr>
        <w:spacing w:after="0" w:line="19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Capital Stock</w:t>
      </w:r>
      <w:r>
        <w:rPr>
          <w:rFonts w:ascii="Times New Roman" w:cs="Times New Roman" w:eastAsia="Times New Roman" w:hAnsi="Times New Roman"/>
          <w:sz w:val="20"/>
          <w:szCs w:val="20"/>
          <w:color w:val="auto"/>
        </w:rPr>
        <w:t>” means (i) any Capital Stock with respect to which, in the reasonable judgment of the Lender and the Borrower, the cost of pledging such Capital Stock shall be excessive in view of the benefits to be obtained by the Lender therefrom, (ii) solely in the case of any pledge of Capital Stock of any Subsidiary that is a CFC or FSHCO to secure the Obligations, any Capital Stock that are Voting Stock of such Subsidiary that is a CFC or FSHCO in excess of 65% of the outstanding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11240"/>
          </w:cols>
          <w:pgMar w:left="320" w:top="1413" w:right="339" w:bottom="1440" w:gutter="0" w:footer="0" w:header="0"/>
        </w:sectPr>
      </w:pPr>
    </w:p>
    <w:bookmarkStart w:id="83" w:name="page84"/>
    <w:bookmarkEnd w:id="83"/>
    <w:p>
      <w:pPr>
        <w:jc w:val="both"/>
        <w:spacing w:after="0" w:line="250" w:lineRule="auto"/>
        <w:rPr>
          <w:sz w:val="20"/>
          <w:szCs w:val="20"/>
          <w:color w:val="auto"/>
        </w:rPr>
      </w:pPr>
      <w:r>
        <w:rPr>
          <w:rFonts w:ascii="Times New Roman" w:cs="Times New Roman" w:eastAsia="Times New Roman" w:hAnsi="Times New Roman"/>
          <w:sz w:val="20"/>
          <w:szCs w:val="20"/>
          <w:color w:val="auto"/>
        </w:rPr>
        <w:t>Stock that are Voting Stock of such Subsidiary that is a CFC or FSHCO, (iii) any Capital Stock to the extent, and for so long as, the pledge thereof would be prohibited by any applicable law (including any legally effective requirement to obtain the consent of any Governmental Authority unless such consent has been obtained), (iv) Capital Stock of any Person (other than any Wholly-Owned Subsidiary) acquired after the Closing Date to the extent, and for so long as, the pledge of such Capital Stock would be prohibited by, or would create an enforceable right of termination in favor of any other party thereto (other than Holdings, the Borrower or any Wholly-Owned Subsidiary) under, the terms of any Contractual Obligation, Organizational Document, joint venture agreement or shareholders’ agreement applicable to such Person (but only to the extent any of the foregoing is not rendered ineffective by, or is otherwise unenforceable under, the UCC or any other applicable law) (and so long as such Contractual Obligation or other relevant restriction was not incurred in contemplation of such acquisition), (v) the Capital Stock of any Subsidiary of a CFC or FSHCO and (vi) any Capital Stock of any Subsidiary to the extent that the pledge of such Capital Stock would result in material adverse tax consequences to Holdings, the Borrower or any Subsidiary of the Borrower as reasonably determined by the Borrower in good faith and as consented to by the Lender.</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Subsidiary</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1304"/>
        <w:spacing w:after="0" w:line="258" w:lineRule="auto"/>
        <w:tabs>
          <w:tab w:leader="none" w:pos="173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Subsidiary that is prohibited by (x) applicable law or (y) Contractual Obligation from guaranteeing the Obligations (and for so long as such restriction is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w:t>
      </w:r>
      <w:r>
        <w:rPr>
          <w:rFonts w:ascii="Times New Roman" w:cs="Times New Roman" w:eastAsia="Times New Roman" w:hAnsi="Times New Roman"/>
          <w:sz w:val="20"/>
          <w:szCs w:val="20"/>
          <w:u w:val="single" w:color="auto"/>
          <w:color w:val="auto"/>
        </w:rPr>
        <w:t>clause (y)</w:t>
      </w:r>
      <w:r>
        <w:rPr>
          <w:rFonts w:ascii="Times New Roman" w:cs="Times New Roman" w:eastAsia="Times New Roman" w:hAnsi="Times New Roman"/>
          <w:sz w:val="20"/>
          <w:szCs w:val="20"/>
          <w:color w:val="auto"/>
        </w:rPr>
        <w:t>, such Contractual Obligation existed on the Closing Date or, with respect to any Subsidiary acquired by Holdings or a Subsidiary after the Closing Date (and so long as such Contractual Obligation was not incurred in contemplation of such acquisition), on the date such Subsidiary is so acquired;</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5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direct or indirect Foreign Subsidiary, (ii) any Subsidiary that is a FSHCO, (iii) any direct or indirect Subsidiary of a CFC or FSHCO, or (iv) any other Subsidiary for which the provision of a Guarantee would result in a material adverse tax consequence to Holdings, the Borrower or any Subsidiary (as reasonably determined by the Borrower in good faith and as agreed to by the Lender);</w:t>
      </w:r>
    </w:p>
    <w:p>
      <w:pPr>
        <w:spacing w:after="0" w:line="167" w:lineRule="exact"/>
        <w:rPr>
          <w:rFonts w:ascii="Times New Roman" w:cs="Times New Roman" w:eastAsia="Times New Roman" w:hAnsi="Times New Roman"/>
          <w:sz w:val="20"/>
          <w:szCs w:val="20"/>
          <w:color w:val="auto"/>
        </w:rPr>
      </w:pPr>
    </w:p>
    <w:p>
      <w:pPr>
        <w:ind w:left="1840" w:hanging="536"/>
        <w:spacing w:after="0"/>
        <w:tabs>
          <w:tab w:leader="none" w:pos="18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Immaterial Subsidiary (including, as of the Closing Date: Bakkt Trade, LLC; Bakkt Clearing, LLC; and B2S</w:t>
      </w:r>
    </w:p>
    <w:p>
      <w:pPr>
        <w:spacing w:after="0" w:line="28"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Canada, LLC);</w:t>
      </w:r>
    </w:p>
    <w:p>
      <w:pPr>
        <w:spacing w:after="0" w:line="200"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Bakkt Crypto Solutions, LLC; Bakkt Trust Company LLC; and Bakkt Brokerage, LLC; and</w:t>
      </w:r>
    </w:p>
    <w:p>
      <w:pPr>
        <w:spacing w:after="0" w:line="22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723"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Subsidiary with respect to which, in the reasonable judgment of the Lender in consultation with the Borrower (confirmed in writing by notice to the Borrower), the cost of providing a Guarantee shall be excessive in view of the benefits to be obtained by the Lender therefrom.</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Notwithstanding anything to the contrary in the foregoing, (x) no Subsidiary organized under the laws of the United States shall be considered an Excluded Subsidiary on the basis that the provision of a Loan Guaranty by such Subsidiary would result in material adverse tax consequences as a result of the operation of Section 956 of the Code or otherwise (other than to the extent such Subsidiary would otherwise be an Excluded Subsidiary pursuant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(c)</w:t>
      </w:r>
      <w:r>
        <w:rPr>
          <w:rFonts w:ascii="Times New Roman" w:cs="Times New Roman" w:eastAsia="Times New Roman" w:hAnsi="Times New Roman"/>
          <w:sz w:val="20"/>
          <w:szCs w:val="20"/>
          <w:color w:val="auto"/>
        </w:rPr>
        <w:t xml:space="preserve"> of this definition), (y) the Borrower shall not be an Excluded Subsidiary and (z) no Subsidiary that owns Capital Stock of the Borrower shall be an Excluded Subsidiary.</w:t>
      </w:r>
    </w:p>
    <w:p>
      <w:pPr>
        <w:spacing w:after="0" w:line="188"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Excluded Taxes</w:t>
      </w:r>
      <w:r>
        <w:rPr>
          <w:rFonts w:ascii="Times New Roman" w:cs="Times New Roman" w:eastAsia="Times New Roman" w:hAnsi="Times New Roman"/>
          <w:sz w:val="20"/>
          <w:szCs w:val="20"/>
          <w:color w:val="auto"/>
        </w:rPr>
        <w:t>” means, with respect to a Recipient, (a) Taxes imposed on (or measured by) its income (however denominated), franchise Taxes, and branch profits Taxes, in each case, (i) imposed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11240"/>
          </w:cols>
          <w:pgMar w:left="320" w:top="1413" w:right="339" w:bottom="1440" w:gutter="0" w:footer="0" w:header="0"/>
        </w:sectPr>
      </w:pPr>
    </w:p>
    <w:bookmarkStart w:id="84" w:name="page85"/>
    <w:bookmarkEnd w:id="84"/>
    <w:p>
      <w:pPr>
        <w:jc w:val="both"/>
        <w:spacing w:after="0" w:line="251" w:lineRule="auto"/>
        <w:rPr>
          <w:sz w:val="20"/>
          <w:szCs w:val="20"/>
          <w:color w:val="auto"/>
        </w:rPr>
      </w:pPr>
      <w:r>
        <w:rPr>
          <w:rFonts w:ascii="Times New Roman" w:cs="Times New Roman" w:eastAsia="Times New Roman" w:hAnsi="Times New Roman"/>
          <w:sz w:val="20"/>
          <w:szCs w:val="20"/>
          <w:color w:val="auto"/>
        </w:rPr>
        <w:t xml:space="preserve">result of such Recipient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such Recipient with respect to an applicable interest in the Loan pursuant to a law in effect on the date on which (i) such Recipient acquires such interest in the Loan or (ii) such Recipient changes its lending office, except in each case to the extent that, pursuant to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amounts with respect to such Taxes were payable either to such Recipient’s assignor immediately before such recipient became a party hereto or to such Recipient immediately before it changed its lending office, (c) any Tax under FATCA, (d) Taxes attributable to such Recipient’s failure to comply with </w:t>
      </w:r>
      <w:r>
        <w:rPr>
          <w:rFonts w:ascii="Times New Roman" w:cs="Times New Roman" w:eastAsia="Times New Roman" w:hAnsi="Times New Roman"/>
          <w:sz w:val="20"/>
          <w:szCs w:val="20"/>
          <w:u w:val="single" w:color="auto"/>
          <w:color w:val="auto"/>
        </w:rPr>
        <w:t>Section 2.14(f),</w:t>
      </w:r>
      <w:r>
        <w:rPr>
          <w:rFonts w:ascii="Times New Roman" w:cs="Times New Roman" w:eastAsia="Times New Roman" w:hAnsi="Times New Roman"/>
          <w:sz w:val="20"/>
          <w:szCs w:val="20"/>
          <w:color w:val="auto"/>
        </w:rPr>
        <w:t xml:space="preserve"> and (d) U.S. federal backup withholding Taxes pursuant to Section 3406 of the Code (or any successor provision).</w:t>
      </w:r>
    </w:p>
    <w:p>
      <w:pPr>
        <w:spacing w:after="0" w:line="191"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Facility</w:t>
      </w:r>
      <w:r>
        <w:rPr>
          <w:rFonts w:ascii="Times New Roman" w:cs="Times New Roman" w:eastAsia="Times New Roman" w:hAnsi="Times New Roman"/>
          <w:sz w:val="20"/>
          <w:szCs w:val="20"/>
          <w:color w:val="auto"/>
        </w:rPr>
        <w:t>” means any real property (including all buildings, fixtures or other improvements located thereon) now, hereafter or heretofore owned, leased, operated or used by Holdings or any of its Subsidiaries.</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FATCA</w:t>
      </w:r>
      <w:r>
        <w:rPr>
          <w:rFonts w:ascii="Times New Roman" w:cs="Times New Roman" w:eastAsia="Times New Roman" w:hAnsi="Times New Roman"/>
          <w:sz w:val="20"/>
          <w:szCs w:val="20"/>
          <w:color w:val="auto"/>
        </w:rPr>
        <w:t>” means Sections 1471 through 1474 of the Code, as of the Closing Date (or any amended or successor version that is substantively comparable and not materially more onerous to comply with) and any current or future regulations promulgated thereunder or official interpretations thereof and any agreements entered into pursuant to Section 1471(b)(1) of the Code, and any fiscal or regulatory legislation, rules or practices adopted pursuant to any intergovernmental agreement, treaty or convention entered into in connection with the implementation of such Sections of the Code.</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Federal Funds Rate</w:t>
      </w:r>
      <w:r>
        <w:rPr>
          <w:rFonts w:ascii="Times New Roman" w:cs="Times New Roman" w:eastAsia="Times New Roman" w:hAnsi="Times New Roman"/>
          <w:sz w:val="20"/>
          <w:szCs w:val="20"/>
          <w:color w:val="auto"/>
        </w:rPr>
        <w:t xml:space="preserve">” means, for any day, the rate per annum (rounded upwards, if necessary, to the nearest 1/100th of 1%) equal to the weighted average of the rates on overnight Federal funds transactions with members of the Federal Reserve System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quoted to the Lender, on such day on such transactions as determined by the Lender;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if the Federal Funds Rate shall be less than zero, such rate shall be deemed to be zero for the purposes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w:t>
      </w:r>
    </w:p>
    <w:p>
      <w:pPr>
        <w:spacing w:after="0" w:line="18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Officer</w:t>
      </w:r>
      <w:r>
        <w:rPr>
          <w:rFonts w:ascii="Times New Roman" w:cs="Times New Roman" w:eastAsia="Times New Roman" w:hAnsi="Times New Roman"/>
          <w:sz w:val="20"/>
          <w:szCs w:val="20"/>
          <w:color w:val="auto"/>
        </w:rPr>
        <w:t>” of any Person means (i) the chief financial officer, the treasurer, any assistant treasurer, any vice president of finance or the controller of such Person or any officer with substantially equivalent responsibilities of any of the foregoing or (ii) the chief executive officer or president of such Person.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Financial Officer Certification</w:t>
      </w:r>
      <w:r>
        <w:rPr>
          <w:rFonts w:ascii="Times New Roman" w:cs="Times New Roman" w:eastAsia="Times New Roman" w:hAnsi="Times New Roman"/>
          <w:sz w:val="20"/>
          <w:szCs w:val="20"/>
          <w:color w:val="auto"/>
        </w:rPr>
        <w:t>” means, with respect to the financial statements for which such certification is required, the certification of a Financial Officer of Holdings or the Borrower that such financial statements fairly present, in all material respects, in accordance with GAAP, the consolidated financial condition of Holdings as at the dates indicated and the results of its consolidated operations and cash flows for the periods indicated, subject to, in the case of quarterly financial statements, the absence of footnotes and changes resulting from audit and normal year-end audit adjustments.</w:t>
      </w:r>
    </w:p>
    <w:p>
      <w:pPr>
        <w:spacing w:after="0" w:line="168"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b w:val="1"/>
          <w:bCs w:val="1"/>
          <w:color w:val="auto"/>
        </w:rPr>
        <w:t>“Financing Lease Obligation</w:t>
      </w:r>
      <w:r>
        <w:rPr>
          <w:rFonts w:ascii="Times New Roman" w:cs="Times New Roman" w:eastAsia="Times New Roman" w:hAnsi="Times New Roman"/>
          <w:sz w:val="20"/>
          <w:szCs w:val="20"/>
          <w:color w:val="auto"/>
        </w:rPr>
        <w:t>” means, as applied to any Person, an obligation that is required to be accounted for as a financing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 lease (and, for the avoidance of doubt, not as an operating lease) for financial reporting purposes in accordance with GAAP. At the time any determination thereof is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12</w:t>
      </w:r>
    </w:p>
    <w:p>
      <w:pPr>
        <w:sectPr>
          <w:pgSz w:w="11900" w:h="16838" w:orient="portrait"/>
          <w:cols w:equalWidth="0" w:num="1">
            <w:col w:w="11240"/>
          </w:cols>
          <w:pgMar w:left="320" w:top="1413"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20"/>
          <w:szCs w:val="20"/>
          <w:color w:val="auto"/>
        </w:rPr>
        <w:t>made, the amount of the liability in respect of a financing or capital lease would be the amount required to be reflected on the applicable financial statements of such Person as a liability in accordance with GAAP; provided,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(other than for purposes of the delivery of financial statements prepared in accordance with GAAP), without giving effect to Accounting Standards Codification 842 requiring operating leases to be recharacterized or treated as capital or finance leases.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Fiscal Quarter</w:t>
      </w:r>
      <w:r>
        <w:rPr>
          <w:rFonts w:ascii="Times New Roman" w:cs="Times New Roman" w:eastAsia="Times New Roman" w:hAnsi="Times New Roman"/>
          <w:sz w:val="20"/>
          <w:szCs w:val="20"/>
          <w:color w:val="auto"/>
        </w:rPr>
        <w:t>” means a fiscal quarter of any Fiscal Year.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Fiscal Year</w:t>
      </w:r>
      <w:r>
        <w:rPr>
          <w:rFonts w:ascii="Times New Roman" w:cs="Times New Roman" w:eastAsia="Times New Roman" w:hAnsi="Times New Roman"/>
          <w:sz w:val="20"/>
          <w:szCs w:val="20"/>
          <w:color w:val="auto"/>
        </w:rPr>
        <w:t>” means the fiscal year of Holdings, ending on December 31 of each year.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Foreign Subsidiary</w:t>
      </w:r>
      <w:r>
        <w:rPr>
          <w:rFonts w:ascii="Times New Roman" w:cs="Times New Roman" w:eastAsia="Times New Roman" w:hAnsi="Times New Roman"/>
          <w:sz w:val="20"/>
          <w:szCs w:val="20"/>
          <w:color w:val="auto"/>
        </w:rPr>
        <w:t>” means any Subsidiary that is not a Domestic Subsidiary.</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FSHCO</w:t>
      </w:r>
      <w:r>
        <w:rPr>
          <w:rFonts w:ascii="Times New Roman" w:cs="Times New Roman" w:eastAsia="Times New Roman" w:hAnsi="Times New Roman"/>
          <w:sz w:val="20"/>
          <w:szCs w:val="20"/>
          <w:color w:val="auto"/>
        </w:rPr>
        <w:t>” means any direct or indirect Subsidiary of the Borrower that has no material assets other than equity and/or indebtedness of one or more Foreign Subsidiaries of the Borrower that are CFCs.</w:t>
      </w:r>
    </w:p>
    <w:p>
      <w:pPr>
        <w:spacing w:after="0" w:line="152"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GAAP</w:t>
      </w:r>
      <w:r>
        <w:rPr>
          <w:rFonts w:ascii="Times New Roman" w:cs="Times New Roman" w:eastAsia="Times New Roman" w:hAnsi="Times New Roman"/>
          <w:sz w:val="20"/>
          <w:szCs w:val="20"/>
          <w:color w:val="auto"/>
        </w:rPr>
        <w:t xml:space="preserve">” means generally accepted accounting principles in the U.S. in effect and applicable to the accounting period in respect of which reference to GAAP is being made, subject to the provisions of </w:t>
      </w:r>
      <w:r>
        <w:rPr>
          <w:rFonts w:ascii="Times New Roman" w:cs="Times New Roman" w:eastAsia="Times New Roman" w:hAnsi="Times New Roman"/>
          <w:sz w:val="20"/>
          <w:szCs w:val="20"/>
          <w:u w:val="single" w:color="auto"/>
          <w:color w:val="auto"/>
        </w:rPr>
        <w:t>Section 1.03</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jc w:val="both"/>
        <w:ind w:right="20"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Global Intercompany Note</w:t>
      </w:r>
      <w:r>
        <w:rPr>
          <w:rFonts w:ascii="Times New Roman" w:cs="Times New Roman" w:eastAsia="Times New Roman" w:hAnsi="Times New Roman"/>
          <w:sz w:val="20"/>
          <w:szCs w:val="20"/>
          <w:color w:val="auto"/>
        </w:rPr>
        <w:t>” means an intercompany promissory note in a form reasonably acceptable to the Lender and the Borrower.</w:t>
      </w:r>
    </w:p>
    <w:p>
      <w:pPr>
        <w:spacing w:after="0" w:line="16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Authority</w:t>
      </w:r>
      <w:r>
        <w:rPr>
          <w:rFonts w:ascii="Times New Roman" w:cs="Times New Roman" w:eastAsia="Times New Roman" w:hAnsi="Times New Roman"/>
          <w:sz w:val="20"/>
          <w:szCs w:val="20"/>
          <w:color w:val="auto"/>
        </w:rPr>
        <w:t>” means any federal, state, provincial, territorial,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supra-national body exercising such powers or functions, such as the European Union or the European Central Bank), in each case, whether associated with a state or locality of the U.S., the U.S., or a foreign government.</w:t>
      </w:r>
    </w:p>
    <w:p>
      <w:pPr>
        <w:spacing w:after="0" w:line="187"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Governmental Authorization</w:t>
      </w:r>
      <w:r>
        <w:rPr>
          <w:rFonts w:ascii="Times New Roman" w:cs="Times New Roman" w:eastAsia="Times New Roman" w:hAnsi="Times New Roman"/>
          <w:sz w:val="20"/>
          <w:szCs w:val="20"/>
          <w:color w:val="auto"/>
        </w:rPr>
        <w:t>” means any permit, license, authorization, plan, directive, consent order or consent decree of or from any Governmental Authority.</w:t>
      </w:r>
    </w:p>
    <w:p>
      <w:pPr>
        <w:spacing w:after="0" w:line="165"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Guarantee</w:t>
      </w:r>
      <w:r>
        <w:rPr>
          <w:rFonts w:ascii="Times New Roman" w:cs="Times New Roman" w:eastAsia="Times New Roman" w:hAnsi="Times New Roman"/>
          <w:sz w:val="19"/>
          <w:szCs w:val="19"/>
          <w:color w:val="auto"/>
        </w:rPr>
        <w:t>” of or by any Person (the “</w:t>
      </w:r>
      <w:r>
        <w:rPr>
          <w:rFonts w:ascii="Times New Roman" w:cs="Times New Roman" w:eastAsia="Times New Roman" w:hAnsi="Times New Roman"/>
          <w:sz w:val="19"/>
          <w:szCs w:val="19"/>
          <w:b w:val="1"/>
          <w:bCs w:val="1"/>
          <w:color w:val="auto"/>
        </w:rPr>
        <w:t>guarantor</w:t>
      </w:r>
      <w:r>
        <w:rPr>
          <w:rFonts w:ascii="Times New Roman" w:cs="Times New Roman" w:eastAsia="Times New Roman" w:hAnsi="Times New Roman"/>
          <w:sz w:val="19"/>
          <w:szCs w:val="19"/>
          <w:color w:val="auto"/>
        </w:rPr>
        <w:t>”) means any obligation, contingent or otherwise, of the guarantor guaranteeing or having the economic effect of guaranteeing any Indebtedness of any other Person (the “</w:t>
      </w:r>
      <w:r>
        <w:rPr>
          <w:rFonts w:ascii="Times New Roman" w:cs="Times New Roman" w:eastAsia="Times New Roman" w:hAnsi="Times New Roman"/>
          <w:sz w:val="19"/>
          <w:szCs w:val="19"/>
          <w:b w:val="1"/>
          <w:bCs w:val="1"/>
          <w:color w:val="auto"/>
        </w:rPr>
        <w:t>Primary Obligor</w:t>
      </w:r>
      <w:r>
        <w:rPr>
          <w:rFonts w:ascii="Times New Roman" w:cs="Times New Roman" w:eastAsia="Times New Roman" w:hAnsi="Times New Roman"/>
          <w:sz w:val="19"/>
          <w:szCs w:val="19"/>
          <w:color w:val="auto"/>
        </w:rPr>
        <w:t>”) in any manner and including any obligation of the guarantor,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w:t>
      </w:r>
    </w:p>
    <w:p>
      <w:pPr>
        <w:spacing w:after="0" w:line="3" w:lineRule="exact"/>
        <w:rPr>
          <w:sz w:val="20"/>
          <w:szCs w:val="20"/>
          <w:color w:val="auto"/>
        </w:rPr>
      </w:pPr>
    </w:p>
    <w:p>
      <w:pPr>
        <w:jc w:val="both"/>
        <w:ind w:firstLine="8"/>
        <w:spacing w:after="0" w:line="249" w:lineRule="auto"/>
        <w:tabs>
          <w:tab w:leader="none" w:pos="289"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an account party in respect of any letter of credit or letter of guaranty issued to support such Indebtedness or monetary obligation, (e) entered into for the purpose of assuring in any other manner the obligee in respect of such Indebtedness of the payment or performance thereof or to protect such obligee against loss in respect thereof (in whole or in part) or (f) secured by any Lien on any assets of such guarantor securing any Indebtedness of any other Person, whether or not such Indebtedness is assumed by such guarantor (or any right, contingent or otherwise, of any holder of such Indebtedness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11240"/>
          </w:cols>
          <w:pgMar w:left="320" w:top="1413" w:right="339" w:bottom="1440" w:gutter="0" w:footer="0" w:header="0"/>
        </w:sectPr>
      </w:pPr>
    </w:p>
    <w:bookmarkStart w:id="86" w:name="page87"/>
    <w:bookmarkEnd w:id="86"/>
    <w:p>
      <w:pPr>
        <w:jc w:val="both"/>
        <w:spacing w:after="0" w:line="261" w:lineRule="auto"/>
        <w:rPr>
          <w:sz w:val="20"/>
          <w:szCs w:val="20"/>
          <w:color w:val="auto"/>
        </w:rPr>
      </w:pPr>
      <w:r>
        <w:rPr>
          <w:rFonts w:ascii="Times New Roman" w:cs="Times New Roman" w:eastAsia="Times New Roman" w:hAnsi="Times New Roman"/>
          <w:sz w:val="20"/>
          <w:szCs w:val="20"/>
          <w:color w:val="auto"/>
        </w:rPr>
        <w:t>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Guaranteed Obligations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9.01</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w:t>
      </w:r>
      <w:r>
        <w:rPr>
          <w:rFonts w:ascii="Times New Roman" w:cs="Times New Roman" w:eastAsia="Times New Roman" w:hAnsi="Times New Roman"/>
          <w:sz w:val="20"/>
          <w:szCs w:val="20"/>
          <w:color w:val="auto"/>
        </w:rPr>
        <w:t>” has the meaning assigned to such term in the definition of “Guarantee”.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Guarantor Percentage</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petroleum products and other hydrocarbons, solvents, polychlorinated bi-phenyls, asbestos and asbestos-containing materials and any other chemical, material, substance or waste, or any constituent thereof, that is prohibited, limited or regulated by any Environmental Law.</w:t>
      </w:r>
    </w:p>
    <w:p>
      <w:pPr>
        <w:spacing w:after="0" w:line="16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Hazardous Materials Activity</w:t>
      </w:r>
      <w:r>
        <w:rPr>
          <w:rFonts w:ascii="Times New Roman" w:cs="Times New Roman" w:eastAsia="Times New Roman" w:hAnsi="Times New Roman"/>
          <w:sz w:val="20"/>
          <w:szCs w:val="20"/>
          <w:color w:val="auto"/>
        </w:rPr>
        <w:t>” means any past, current, proposed or threatened activity, event or occurrence involving any Hazardous Material, including the use, manufacture, possession, storage, holding, presence, existence, location, Release, threatened Release, discharge, placement, generation, transportation, processing, construction, treatment, abatement, removal, remediation, disposal, disposition or handling of any Hazardous Material, and any corrective action or response action with respect to any of the foregoing.</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Holdings</w:t>
      </w:r>
      <w:r>
        <w:rPr>
          <w:rFonts w:ascii="Times New Roman" w:cs="Times New Roman" w:eastAsia="Times New Roman" w:hAnsi="Times New Roman"/>
          <w:sz w:val="20"/>
          <w:szCs w:val="20"/>
          <w:color w:val="auto"/>
        </w:rPr>
        <w:t>” has the meaning assigned to such term in the preamble to this Agreement.</w:t>
      </w:r>
    </w:p>
    <w:p>
      <w:pPr>
        <w:spacing w:after="0" w:line="216"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Immaterial Subsidiary</w:t>
      </w:r>
      <w:r>
        <w:rPr>
          <w:rFonts w:ascii="Times New Roman" w:cs="Times New Roman" w:eastAsia="Times New Roman" w:hAnsi="Times New Roman"/>
          <w:sz w:val="19"/>
          <w:szCs w:val="19"/>
          <w:color w:val="auto"/>
        </w:rPr>
        <w:t xml:space="preserve">” means, as of any date, any Subsidiary of Holdings (other than the Borrower) for which (a) the consolidated total assets (determined in accordance with GAAP) of such Subsidiary and its Subsidiaries constitute less than 5% of consolidated total assets and (b) the consolidated revenues (determined in accordance with GAAP) of such Subsidiary and its Subsidiaries constitute less than 5% of the consolidated revenues (determined in accordance with GAAP) of Holdings and its Subsidiaries, in each case, as of the last day of and for the most recently ended four consecutive Fiscal Quarters then most recently ended for which financial statements of the type described in </w:t>
      </w:r>
      <w:r>
        <w:rPr>
          <w:rFonts w:ascii="Times New Roman" w:cs="Times New Roman" w:eastAsia="Times New Roman" w:hAnsi="Times New Roman"/>
          <w:sz w:val="19"/>
          <w:szCs w:val="19"/>
          <w:u w:val="single" w:color="auto"/>
          <w:color w:val="auto"/>
        </w:rPr>
        <w:t>Section 5.01(a)</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5.01(b)</w:t>
      </w:r>
      <w:r>
        <w:rPr>
          <w:rFonts w:ascii="Times New Roman" w:cs="Times New Roman" w:eastAsia="Times New Roman" w:hAnsi="Times New Roman"/>
          <w:sz w:val="19"/>
          <w:szCs w:val="19"/>
          <w:color w:val="auto"/>
        </w:rPr>
        <w:t xml:space="preserve">, as applicable, have been delivered;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consolidated total assets (as so determined) and revenues (as so determined) of all Immaterial Subsidiaries shall not exceed 10% of consolidated total assets or 10% of the consolidated revenues of Holdings and its Subsidiaries that are not otherwise Excluded Subsidiaries by virtue of any of </w:t>
      </w:r>
      <w:r>
        <w:rPr>
          <w:rFonts w:ascii="Times New Roman" w:cs="Times New Roman" w:eastAsia="Times New Roman" w:hAnsi="Times New Roman"/>
          <w:sz w:val="19"/>
          <w:szCs w:val="19"/>
          <w:u w:val="single" w:color="auto"/>
          <w:color w:val="auto"/>
        </w:rPr>
        <w:t>clauses (a)</w:t>
      </w:r>
      <w:r>
        <w:rPr>
          <w:rFonts w:ascii="Times New Roman" w:cs="Times New Roman" w:eastAsia="Times New Roman" w:hAnsi="Times New Roman"/>
          <w:sz w:val="19"/>
          <w:szCs w:val="19"/>
          <w:color w:val="auto"/>
        </w:rPr>
        <w:t xml:space="preserve"> through</w:t>
      </w:r>
    </w:p>
    <w:p>
      <w:pPr>
        <w:jc w:val="both"/>
        <w:ind w:firstLine="8"/>
        <w:spacing w:after="0" w:line="249" w:lineRule="auto"/>
        <w:tabs>
          <w:tab w:leader="none" w:pos="269" w:val="left"/>
        </w:tabs>
        <w:numPr>
          <w:ilvl w:val="0"/>
          <w:numId w:val="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or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the definition of “Excluded Subsidiary” as of the last day of and for the relevant most recent four consecutive Fiscal Quarters then most recently ended for which financial statements of the type described in </w:t>
      </w:r>
      <w:r>
        <w:rPr>
          <w:rFonts w:ascii="Times New Roman" w:cs="Times New Roman" w:eastAsia="Times New Roman" w:hAnsi="Times New Roman"/>
          <w:sz w:val="20"/>
          <w:szCs w:val="20"/>
          <w:u w:val="single" w:color="auto"/>
          <w:color w:val="auto"/>
        </w:rPr>
        <w:t>Section 5.01(a)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5.01(b)</w:t>
      </w:r>
      <w:r>
        <w:rPr>
          <w:rFonts w:ascii="Times New Roman" w:cs="Times New Roman" w:eastAsia="Times New Roman" w:hAnsi="Times New Roman"/>
          <w:sz w:val="20"/>
          <w:szCs w:val="20"/>
          <w:color w:val="auto"/>
        </w:rPr>
        <w:t xml:space="preserve">, as applicable, have been delivered, as the case may be. Notwithstanding the foregoing, for purposes of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xml:space="preserve"> of this Agreement, the term “Immaterial Subsidiary” shall not include any “significant subsidiaries” (as defined in Article 1 of Regulation S-X) or group of subsidiaries that would together constitute a “significant subsidiary” (as so defined).</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Indebtedness</w:t>
      </w:r>
      <w:r>
        <w:rPr>
          <w:rFonts w:ascii="Times New Roman" w:cs="Times New Roman" w:eastAsia="Times New Roman" w:hAnsi="Times New Roman"/>
          <w:sz w:val="20"/>
          <w:szCs w:val="20"/>
          <w:color w:val="auto"/>
        </w:rPr>
        <w:t xml:space="preserve">”, as applied to any Person, means, without duplication, (a) all indebtedness for borrowed money (including, for the avoidance of doubt, the Loan); (b) Financing Lease Obligations; (c) all obligations of such Person evidenced by bonds, debentures, notes, loan agreements or similar instruments; (d) any obligation owed for all or any part of the deferred purchase price of property or services (other than (i) trade accounts payable or accrued expenses and (ii) any contingent obligation incurred in connection with any Investment permitted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unless such obligation is not paid within five (5) Business Days after becoming due and payable); (e) all Indebtedness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11240"/>
          </w:cols>
          <w:pgMar w:left="320" w:top="1413" w:right="339" w:bottom="1440" w:gutter="0" w:footer="0" w:header="0"/>
        </w:sectPr>
      </w:pPr>
    </w:p>
    <w:bookmarkStart w:id="87" w:name="page88"/>
    <w:bookmarkEnd w:id="87"/>
    <w:p>
      <w:pPr>
        <w:jc w:val="both"/>
        <w:spacing w:after="0" w:line="252" w:lineRule="auto"/>
        <w:rPr>
          <w:sz w:val="20"/>
          <w:szCs w:val="20"/>
          <w:color w:val="auto"/>
        </w:rPr>
      </w:pPr>
      <w:r>
        <w:rPr>
          <w:rFonts w:ascii="Times New Roman" w:cs="Times New Roman" w:eastAsia="Times New Roman" w:hAnsi="Times New Roman"/>
          <w:sz w:val="20"/>
          <w:szCs w:val="20"/>
          <w:color w:val="auto"/>
        </w:rPr>
        <w:t>secured by any Lien on any property or asset owned or held by such Person regardless of whether the Indebtedness secured thereby shall have been assumed by such Person or is non-recourse to the credit of such Person (provided that the amount of any such Indebtedness that is nonrecourse shall be deemed to be equal to the lesser of (i) the amount for which such Person is actually liable and (ii) the fair market value of the property securing such obligations); (f) the amount of any letter of credit issued for the account of such Person or as to which such Person is otherwise liable for reimbursement of drawings; (g) the Guarantee by such Person of the Indebtedness of another; (h) all obligations of such Person in respect of any Disqualified Capital Stock and (i) all net obligations of such Person in respect of any Derivative Transaction, including any hedge agreement, whether or not entered into for hedging or speculative purposes. For all purposes hereof, the Indebtedness of any Person shall include the Indebtedness of any partnership or joint venture in which such Person is a general partner or a joint venturer, except to the extent such Person’s liability for such Indebtedness is otherwise limited.</w:t>
      </w:r>
    </w:p>
    <w:p>
      <w:pPr>
        <w:spacing w:after="0" w:line="172"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Indemnified Taxes</w:t>
      </w:r>
      <w:r>
        <w:rPr>
          <w:rFonts w:ascii="Times New Roman" w:cs="Times New Roman" w:eastAsia="Times New Roman" w:hAnsi="Times New Roman"/>
          <w:sz w:val="20"/>
          <w:szCs w:val="20"/>
          <w:color w:val="auto"/>
        </w:rPr>
        <w:t xml:space="preserve">” means (a) Taxes imposed on or with respect to any payment made by or on account of any obligation of any Loan Party under any Loan Document other than Excluded Taxes and (b) to the extent not otherwise described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Other Taxes.</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8.03(b)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Payment Date</w:t>
      </w:r>
      <w:r>
        <w:rPr>
          <w:rFonts w:ascii="Times New Roman" w:cs="Times New Roman" w:eastAsia="Times New Roman" w:hAnsi="Times New Roman"/>
          <w:sz w:val="20"/>
          <w:szCs w:val="20"/>
          <w:color w:val="auto"/>
        </w:rPr>
        <w:t>” means, (a) as to any Term SOFR Loan, the last day of each Interest Period applicable to such Loan and the Termination Date; provided that if any Interest Period for a Term SOFR Loan exceeds three months, the respective dates that fall every three months after the beginning of such Interest Period shall also be Interest Payment Dates and (b) as to any Base Rate Loan, the last Business Day of each March, June, September and December and the Termination Date.</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Interest Period</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ind w:left="1300" w:right="20" w:hanging="644"/>
        <w:spacing w:after="0" w:line="283" w:lineRule="auto"/>
        <w:tabs>
          <w:tab w:leader="none" w:pos="1213"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Base Rate Borrowing, the period commencing on the date of such Borrowing and ending 30 days thereafter; provided that:</w:t>
      </w:r>
    </w:p>
    <w:p>
      <w:pPr>
        <w:spacing w:after="0" w:line="146"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77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which would otherwise end on a day which is not a Business Day shall be extended to the next succeeding Business Day; and</w:t>
      </w:r>
    </w:p>
    <w:p>
      <w:pPr>
        <w:spacing w:after="0" w:line="146"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which would otherwise end after the Termination Date shall end on the Termination Date; and</w:t>
      </w:r>
    </w:p>
    <w:p>
      <w:pPr>
        <w:spacing w:after="0" w:line="229" w:lineRule="exact"/>
        <w:rPr>
          <w:rFonts w:ascii="Times New Roman" w:cs="Times New Roman" w:eastAsia="Times New Roman" w:hAnsi="Times New Roman"/>
          <w:sz w:val="20"/>
          <w:szCs w:val="20"/>
          <w:color w:val="auto"/>
        </w:rPr>
      </w:pPr>
    </w:p>
    <w:p>
      <w:pPr>
        <w:ind w:left="1300" w:hanging="644"/>
        <w:spacing w:after="0" w:line="261" w:lineRule="auto"/>
        <w:tabs>
          <w:tab w:leader="none" w:pos="1126"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each Term SOFR Borrowing, the period commencing on the date of such Borrowing and ending one, three or six months thereafter, as the Borrower may elect in the applicable Borrowing Request or Notice of Interest Rate Election; provided that:</w:t>
      </w:r>
    </w:p>
    <w:p>
      <w:pPr>
        <w:spacing w:after="0" w:line="181" w:lineRule="exact"/>
        <w:rPr>
          <w:rFonts w:ascii="Times New Roman" w:cs="Times New Roman" w:eastAsia="Times New Roman" w:hAnsi="Times New Roman"/>
          <w:sz w:val="20"/>
          <w:szCs w:val="20"/>
          <w:color w:val="auto"/>
        </w:rPr>
      </w:pPr>
    </w:p>
    <w:p>
      <w:pPr>
        <w:ind w:left="1960" w:hanging="656"/>
        <w:spacing w:after="0" w:line="261" w:lineRule="auto"/>
        <w:tabs>
          <w:tab w:leader="none" w:pos="1777"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which would otherwise end on a day which is not a Business Day shall be extended to the next succeeding Business Day unless such Business Day falls in another calendar month, in which case such Interest Period shall end on the next preceding Business Day;</w:t>
      </w:r>
    </w:p>
    <w:p>
      <w:pPr>
        <w:spacing w:after="0" w:line="181" w:lineRule="exact"/>
        <w:rPr>
          <w:rFonts w:ascii="Times New Roman" w:cs="Times New Roman" w:eastAsia="Times New Roman" w:hAnsi="Times New Roman"/>
          <w:sz w:val="20"/>
          <w:szCs w:val="20"/>
          <w:color w:val="auto"/>
        </w:rPr>
      </w:pPr>
    </w:p>
    <w:p>
      <w:pPr>
        <w:ind w:left="1960" w:hanging="656"/>
        <w:spacing w:after="0" w:line="261" w:lineRule="auto"/>
        <w:tabs>
          <w:tab w:leader="none" w:pos="1843"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Period which begins on the last Business Day of a calendar month (or on a day for which there is no numerically corresponding day in the calendar month at the end of such Interest Period) shall, subject to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xml:space="preserve"> below, end on the last Business Day of a calendar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15</w:t>
      </w:r>
    </w:p>
    <w:p>
      <w:pPr>
        <w:sectPr>
          <w:pgSz w:w="11900" w:h="16838" w:orient="portrait"/>
          <w:cols w:equalWidth="0" w:num="1">
            <w:col w:w="11240"/>
          </w:cols>
          <w:pgMar w:left="320" w:top="1413" w:right="339" w:bottom="1440" w:gutter="0" w:footer="0" w:header="0"/>
        </w:sectPr>
      </w:pPr>
    </w:p>
    <w:bookmarkStart w:id="88" w:name="page89"/>
    <w:bookmarkEnd w:id="88"/>
    <w:p>
      <w:pPr>
        <w:ind w:left="1800" w:hanging="496"/>
        <w:spacing w:after="0"/>
        <w:tabs>
          <w:tab w:leader="none" w:pos="180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Interest Period which would otherwise end after the Termination Date shall end on the Termination Date; and</w:t>
      </w:r>
    </w:p>
    <w:p>
      <w:pPr>
        <w:spacing w:after="0" w:line="229" w:lineRule="exact"/>
        <w:rPr>
          <w:rFonts w:ascii="Times New Roman" w:cs="Times New Roman" w:eastAsia="Times New Roman" w:hAnsi="Times New Roman"/>
          <w:sz w:val="20"/>
          <w:szCs w:val="20"/>
          <w:color w:val="auto"/>
        </w:rPr>
      </w:pPr>
    </w:p>
    <w:p>
      <w:pPr>
        <w:ind w:left="1960" w:hanging="656"/>
        <w:spacing w:after="0" w:line="269" w:lineRule="auto"/>
        <w:tabs>
          <w:tab w:leader="none" w:pos="1832"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tenor that has been removed from this definition pursuant to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 xml:space="preserve"> shall be available for specification in such Borrowing Request or Notice of Interest Rate Election;</w:t>
      </w:r>
    </w:p>
    <w:p>
      <w:pPr>
        <w:spacing w:after="0" w:line="173" w:lineRule="exact"/>
        <w:rPr>
          <w:sz w:val="20"/>
          <w:szCs w:val="20"/>
          <w:color w:val="auto"/>
        </w:rPr>
      </w:pPr>
    </w:p>
    <w:p>
      <w:pPr>
        <w:ind w:right="20" w:firstLine="648"/>
        <w:spacing w:after="0" w:line="269" w:lineRule="auto"/>
        <w:rPr>
          <w:sz w:val="20"/>
          <w:szCs w:val="20"/>
          <w:color w:val="auto"/>
        </w:rPr>
      </w:pPr>
      <w:r>
        <w:rPr>
          <w:rFonts w:ascii="Times New Roman" w:cs="Times New Roman" w:eastAsia="Times New Roman" w:hAnsi="Times New Roman"/>
          <w:sz w:val="20"/>
          <w:szCs w:val="20"/>
          <w:color w:val="auto"/>
        </w:rPr>
        <w:t xml:space="preserve">For purposes of this definition, the date of a Borrowing shall initially be the date on which such Borrowing is to be advanced and shall thereafter be the effective date of the most recent conversion or continuation of such Borrowing pursuant to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Interpolated Screen Rate</w:t>
      </w:r>
      <w:r>
        <w:rPr>
          <w:rFonts w:ascii="Times New Roman" w:cs="Times New Roman" w:eastAsia="Times New Roman" w:hAnsi="Times New Roman"/>
          <w:sz w:val="19"/>
          <w:szCs w:val="19"/>
          <w:color w:val="auto"/>
        </w:rPr>
        <w:t>” means, with respect to Term SOFR, the rate which results from interpolating on a linear basis between:</w:t>
      </w:r>
    </w:p>
    <w:p>
      <w:pPr>
        <w:spacing w:after="0" w:line="245" w:lineRule="exact"/>
        <w:rPr>
          <w:sz w:val="20"/>
          <w:szCs w:val="20"/>
          <w:color w:val="auto"/>
        </w:rPr>
      </w:pPr>
    </w:p>
    <w:p>
      <w:pPr>
        <w:ind w:right="20" w:firstLine="656"/>
        <w:spacing w:after="0" w:line="269" w:lineRule="auto"/>
        <w:tabs>
          <w:tab w:leader="none" w:pos="91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SOFR Screen Rate for the longest period for which the Term SOFR Screen Rate is available for such Term SOFR Loan, which period is less than the Interest Period of such Term SOFR Loan; and</w:t>
      </w:r>
    </w:p>
    <w:p>
      <w:pPr>
        <w:spacing w:after="0" w:line="172" w:lineRule="exact"/>
        <w:rPr>
          <w:rFonts w:ascii="Times New Roman" w:cs="Times New Roman" w:eastAsia="Times New Roman" w:hAnsi="Times New Roman"/>
          <w:sz w:val="20"/>
          <w:szCs w:val="20"/>
          <w:color w:val="auto"/>
        </w:rPr>
      </w:pPr>
    </w:p>
    <w:p>
      <w:pPr>
        <w:ind w:firstLine="656"/>
        <w:spacing w:after="0" w:line="269" w:lineRule="auto"/>
        <w:tabs>
          <w:tab w:leader="none" w:pos="942"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SOFR Screen Rate for the shortest period for which the Term SOFR Screen Rate is available for such Term SOFR Loan, which period exceeds the Interest Period of such Term SOFR Loan;</w:t>
      </w:r>
    </w:p>
    <w:p>
      <w:pPr>
        <w:spacing w:after="0" w:line="16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if any such Interpolated Screen Rate shall be less than zero, such rate shall be deemed to be zero for purposes of this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w:t>
      </w:r>
    </w:p>
    <w:p>
      <w:pPr>
        <w:spacing w:after="0" w:line="13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Investment</w:t>
      </w:r>
      <w:r>
        <w:rPr>
          <w:rFonts w:ascii="Times New Roman" w:cs="Times New Roman" w:eastAsia="Times New Roman" w:hAnsi="Times New Roman"/>
          <w:sz w:val="20"/>
          <w:szCs w:val="20"/>
          <w:color w:val="auto"/>
        </w:rPr>
        <w:t>” means (a) any purchase or other acquisition, or ownership, by Holdings or any of its Subsidiaries of any of the Securities of any other Person (other than Holdings or any other Loan Party), (b) the acquisition by purchase or otherwise (other than purchases or other acquisitions of inventory, materials, supplies and/or equipment in the ordinary course of business) of all or substantially all of the business, property or fixed assets of any Person or any division or line of business or other business unit of any Person, (c) any Guarantee by Holdings or any of its Subsidiaries of Indebtedness of any other Person (other than Holdings or any other Loan Party) and (d) any loan, advance (other than advances made on an intercompany basis between or among Holdings and the other Loan Parties in the ordinary course of business for the purchase of inventory, materials, supplies and/or equipment or in respect of allocation of corporate overhead expenses) or capital contribution by Holdings or any of its Subsidiaries to any other Person (other than Holdings or any Subsidiary Guarantor). The amount, as of any date of determination, of any Investment in the form of a Guarantee shall be equal to the stated or determinable amount of the related primary obligation, or portion thereof, in respect of which such Guarantee is made or, if not stated or determinable, the maximum reasonably anticipated liability in respect thereof, as determined in good faith by Holdings in accordance with GAAP. For purposes of covenant compliance with Section 6.05, the amount of any Investment shall be the amount actually invested, without adjustment for subsequent increases or decreases in the value of such Investment, less any amount paid, repaid, returned, distributed or otherwise received in Cash in respect of such Investment.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IP Rights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3.05(b)</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IRS</w:t>
      </w:r>
      <w:r>
        <w:rPr>
          <w:rFonts w:ascii="Times New Roman" w:cs="Times New Roman" w:eastAsia="Times New Roman" w:hAnsi="Times New Roman"/>
          <w:sz w:val="20"/>
          <w:szCs w:val="20"/>
          <w:color w:val="auto"/>
        </w:rPr>
        <w:t>” means the U.S. Internal Revenue Service.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5.10(a)</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16</w:t>
      </w:r>
    </w:p>
    <w:p>
      <w:pPr>
        <w:sectPr>
          <w:pgSz w:w="11900" w:h="16838" w:orient="portrait"/>
          <w:cols w:equalWidth="0" w:num="1">
            <w:col w:w="11240"/>
          </w:cols>
          <w:pgMar w:left="320" w:top="1413" w:right="339" w:bottom="1440" w:gutter="0" w:footer="0" w:header="0"/>
        </w:sectPr>
      </w:pPr>
    </w:p>
    <w:bookmarkStart w:id="89" w:name="page90"/>
    <w:bookmarkEnd w:id="89"/>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Junior Debt</w:t>
      </w:r>
      <w:r>
        <w:rPr>
          <w:rFonts w:ascii="Times New Roman" w:cs="Times New Roman" w:eastAsia="Times New Roman" w:hAnsi="Times New Roman"/>
          <w:sz w:val="20"/>
          <w:szCs w:val="20"/>
          <w:color w:val="auto"/>
        </w:rPr>
        <w:t>” means any Indebtedness of Holdings and its Subsidiaries that is (i) unsecured or expressly subordinated in right of payment to the Obligations (other than Indebtedness among Holdings and its Subsidiaries) or (ii) secured by a Lien on the Collateral that ranks junior in right of security to the Liens on the Collateral securing the Obligations.</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Lender</w:t>
      </w:r>
      <w:r>
        <w:rPr>
          <w:rFonts w:ascii="Times New Roman" w:cs="Times New Roman" w:eastAsia="Times New Roman" w:hAnsi="Times New Roman"/>
          <w:sz w:val="20"/>
          <w:szCs w:val="20"/>
          <w:color w:val="auto"/>
        </w:rPr>
        <w:t>” means Intercontinental Exchange Holdings, Inc., a Delaware corporation, together with its permitted successors and assigns, acting in such capacity under this Agreement.</w:t>
      </w:r>
    </w:p>
    <w:p>
      <w:pPr>
        <w:spacing w:after="0" w:line="16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Lien</w:t>
      </w:r>
      <w:r>
        <w:rPr>
          <w:rFonts w:ascii="Times New Roman" w:cs="Times New Roman" w:eastAsia="Times New Roman" w:hAnsi="Times New Roman"/>
          <w:sz w:val="20"/>
          <w:szCs w:val="20"/>
          <w:color w:val="auto"/>
        </w:rPr>
        <w:t>”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Financing Lease Obligation having substantially the same economic effect as any of the foregoing), in each case, in the nature of security.</w:t>
      </w:r>
    </w:p>
    <w:p>
      <w:pPr>
        <w:spacing w:after="0" w:line="164" w:lineRule="exact"/>
        <w:rPr>
          <w:sz w:val="20"/>
          <w:szCs w:val="20"/>
          <w:color w:val="auto"/>
        </w:rPr>
      </w:pPr>
    </w:p>
    <w:p>
      <w:pPr>
        <w:jc w:val="both"/>
        <w:ind w:firstLine="648"/>
        <w:spacing w:after="0" w:line="27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w:t>
      </w:r>
      <w:r>
        <w:rPr>
          <w:rFonts w:ascii="Times New Roman" w:cs="Times New Roman" w:eastAsia="Times New Roman" w:hAnsi="Times New Roman"/>
          <w:sz w:val="20"/>
          <w:szCs w:val="20"/>
          <w:color w:val="auto"/>
        </w:rPr>
        <w:t xml:space="preserve">” means a Loan made by the Lender (which may be a Term SOFR Loan or a Base Rate Loan) in accordance with the applicable Borrowing Request (and for the avoidance of doubt shall include all PIK Interest Amounts added thereon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Documents</w:t>
      </w:r>
      <w:r>
        <w:rPr>
          <w:rFonts w:ascii="Times New Roman" w:cs="Times New Roman" w:eastAsia="Times New Roman" w:hAnsi="Times New Roman"/>
          <w:sz w:val="20"/>
          <w:szCs w:val="20"/>
          <w:color w:val="auto"/>
        </w:rPr>
        <w:t xml:space="preserve">” means this Agreement and the Collateral Documents then in effect and any other document or instrument designated by the Borrower and the Lender as a “Loan Document” entered into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Any reference in this Agreement or any other Loan Document to a Loan Document shall include all appendices, exhibits or schedules thereto, and all amendments, restatements, amendments and restatements, supplements or other modifications thereto.</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Guarantor</w:t>
      </w:r>
      <w:r>
        <w:rPr>
          <w:rFonts w:ascii="Times New Roman" w:cs="Times New Roman" w:eastAsia="Times New Roman" w:hAnsi="Times New Roman"/>
          <w:sz w:val="20"/>
          <w:szCs w:val="20"/>
          <w:color w:val="auto"/>
        </w:rPr>
        <w:t>” means each Loan Party (except, solely with respect to obligations of the Borrower, the Borrower).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Guaranty</w:t>
      </w:r>
      <w:r>
        <w:rPr>
          <w:rFonts w:ascii="Times New Roman" w:cs="Times New Roman" w:eastAsia="Times New Roman" w:hAnsi="Times New Roman"/>
          <w:sz w:val="20"/>
          <w:szCs w:val="20"/>
          <w:color w:val="auto"/>
        </w:rPr>
        <w:t xml:space="preserve">” means the guaranty set forth in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of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Loan Parties</w:t>
      </w:r>
      <w:r>
        <w:rPr>
          <w:rFonts w:ascii="Times New Roman" w:cs="Times New Roman" w:eastAsia="Times New Roman" w:hAnsi="Times New Roman"/>
          <w:sz w:val="20"/>
          <w:szCs w:val="20"/>
          <w:color w:val="auto"/>
        </w:rPr>
        <w:t>” means Holdings, the Borrower and each Subsidiary Guarantor.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Margin Stock</w:t>
      </w:r>
      <w:r>
        <w:rPr>
          <w:rFonts w:ascii="Times New Roman" w:cs="Times New Roman" w:eastAsia="Times New Roman" w:hAnsi="Times New Roman"/>
          <w:sz w:val="20"/>
          <w:szCs w:val="20"/>
          <w:color w:val="auto"/>
        </w:rPr>
        <w:t>” has the meaning assigned to such term in Regulation U.</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Material Adverse Effect</w:t>
      </w:r>
      <w:r>
        <w:rPr>
          <w:rFonts w:ascii="Times New Roman" w:cs="Times New Roman" w:eastAsia="Times New Roman" w:hAnsi="Times New Roman"/>
          <w:sz w:val="20"/>
          <w:szCs w:val="20"/>
          <w:color w:val="auto"/>
        </w:rPr>
        <w:t>” means a material adverse effect on (i) the business, operations, properties, assets or financial condition, in each case, of Holdings and its Subsidiaries, taken as a whole, (ii) the legality, validity, binding effect or enforceability against a Loan Party of a material Loan Document to which it is a party, (iii) the rights, remedies and benefits available to, or conferred upon, the Lender under the applicable Loan Documents or (iv) the ability of the Borrower and the Loan Guarantors to perform their obligations under the Loan Documents.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Maximum Liability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9.09</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Moody’s</w:t>
      </w:r>
      <w:r>
        <w:rPr>
          <w:rFonts w:ascii="Times New Roman" w:cs="Times New Roman" w:eastAsia="Times New Roman" w:hAnsi="Times New Roman"/>
          <w:sz w:val="20"/>
          <w:szCs w:val="20"/>
          <w:color w:val="auto"/>
        </w:rPr>
        <w:t>” means Moody’s Investors Service, Inc. and any successor to its rating agency business.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Multiemployer Plan</w:t>
      </w:r>
      <w:r>
        <w:rPr>
          <w:rFonts w:ascii="Times New Roman" w:cs="Times New Roman" w:eastAsia="Times New Roman" w:hAnsi="Times New Roman"/>
          <w:sz w:val="20"/>
          <w:szCs w:val="20"/>
          <w:color w:val="auto"/>
        </w:rPr>
        <w:t>” means any employee benefit plan which is a “multiemployer plan” as defined in Section 3(37) of ERISA, to which Holdings or any of its Subsidiaries, or any of their respective ERISA Affiliates, makes or is obligated to make contributions and with respect to which any of them has an ongoing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17</w:t>
      </w:r>
    </w:p>
    <w:p>
      <w:pPr>
        <w:sectPr>
          <w:pgSz w:w="11900" w:h="16838" w:orient="portrait"/>
          <w:cols w:equalWidth="0" w:num="1">
            <w:col w:w="11240"/>
          </w:cols>
          <w:pgMar w:left="320" w:top="1409" w:right="339" w:bottom="1440" w:gutter="0" w:footer="0" w:header="0"/>
        </w:sectPr>
      </w:pPr>
    </w:p>
    <w:bookmarkStart w:id="90" w:name="page91"/>
    <w:bookmarkEnd w:id="90"/>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Non-Paying Guarantor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Notice of Interest Rate Election</w:t>
      </w:r>
      <w:r>
        <w:rPr>
          <w:rFonts w:ascii="Times New Roman" w:cs="Times New Roman" w:eastAsia="Times New Roman" w:hAnsi="Times New Roman"/>
          <w:sz w:val="20"/>
          <w:szCs w:val="20"/>
          <w:color w:val="auto"/>
        </w:rPr>
        <w:t xml:space="preserve">” shall have the meaning given to such term in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Obligated Party</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9.02</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Obligations</w:t>
      </w:r>
      <w:r>
        <w:rPr>
          <w:rFonts w:ascii="Times New Roman" w:cs="Times New Roman" w:eastAsia="Times New Roman" w:hAnsi="Times New Roman"/>
          <w:sz w:val="20"/>
          <w:szCs w:val="20"/>
          <w:color w:val="auto"/>
        </w:rPr>
        <w:t>” means all unpaid principal of and accrued and unpaid interest (including any interest, fees and other amounts accruing during the pendency of any bankruptcy, insolvency, receivership or other similar proceeding, regardless of whether allowed or allowable in such proceeding) on the Loan, all accrued and unpaid fees and all expenses, reimbursements, indemnities and all other advances to, debts, liabilities, obligations, covenants and duties of any Loan Party to the Lender or any indemnified party arising under the Loan Documents, whether direct or indirect (including those acquired by assumption), absolute, contingent, due or to become due, now existing or hereafter arising.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OFAC</w:t>
      </w:r>
      <w:r>
        <w:rPr>
          <w:rFonts w:ascii="Times New Roman" w:cs="Times New Roman" w:eastAsia="Times New Roman" w:hAnsi="Times New Roman"/>
          <w:sz w:val="20"/>
          <w:szCs w:val="20"/>
          <w:color w:val="auto"/>
        </w:rPr>
        <w:t>” means the U.S. Department of the Treasury’s Office of Foreign Assets Control.</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Organizational Documents</w:t>
      </w:r>
      <w:r>
        <w:rPr>
          <w:rFonts w:ascii="Times New Roman" w:cs="Times New Roman" w:eastAsia="Times New Roman" w:hAnsi="Times New Roman"/>
          <w:sz w:val="20"/>
          <w:szCs w:val="20"/>
          <w:color w:val="auto"/>
        </w:rPr>
        <w:t>” means (a) with respect to any corporation, its certificate or articles of incorporation, formation or organization and its by-laws, (b) with respect to any limited partnership, its certificate of limited partnership, and its partnership agreement,</w:t>
      </w:r>
    </w:p>
    <w:p>
      <w:pPr>
        <w:jc w:val="both"/>
        <w:ind w:firstLine="8"/>
        <w:spacing w:after="0" w:line="251" w:lineRule="auto"/>
        <w:tabs>
          <w:tab w:leader="none" w:pos="30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general partnership, its partnership agreement, (d) with respect to any limited liability company, its articles of organization or certificate of formation, and its operating agreement and (e) with respect to any other form of entity, such other organizational documents required by local Requirements of Law or customary under such jurisdiction to document the formation and governance principles of such type of entity.</w:t>
      </w:r>
    </w:p>
    <w:p>
      <w:pPr>
        <w:spacing w:after="0" w:line="18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Connection Taxes</w:t>
      </w:r>
      <w:r>
        <w:rPr>
          <w:rFonts w:ascii="Times New Roman" w:cs="Times New Roman" w:eastAsia="Times New Roman" w:hAnsi="Times New Roman"/>
          <w:sz w:val="20"/>
          <w:szCs w:val="20"/>
          <w:color w:val="auto"/>
        </w:rPr>
        <w:t>” means Taxes imposed on any Recipient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the Loan or any Loan Document).</w:t>
      </w:r>
    </w:p>
    <w:p>
      <w:pPr>
        <w:spacing w:after="0" w:line="184" w:lineRule="exact"/>
        <w:rPr>
          <w:sz w:val="20"/>
          <w:szCs w:val="20"/>
          <w:color w:val="auto"/>
        </w:rPr>
      </w:pPr>
    </w:p>
    <w:p>
      <w:pPr>
        <w:jc w:val="both"/>
        <w:ind w:right="20"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Other Taxes</w:t>
      </w:r>
      <w:r>
        <w:rPr>
          <w:rFonts w:ascii="Times New Roman" w:cs="Times New Roman" w:eastAsia="Times New Roman" w:hAnsi="Times New Roman"/>
          <w:sz w:val="20"/>
          <w:szCs w:val="20"/>
          <w:color w:val="auto"/>
        </w:rPr>
        <w:t>” means any and all present or future stamp, court or documentary, recording or filing Taxes or any other similar Taxes arising from any payment made hereunder or from the execution, delivery or enforcement of, or otherwise with respect to, this Agreement or the other Loan Documents, except any such Taxes that are Other Connection Taxes imposed with respect to an assignment.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Paying Guarantor</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PBGC</w:t>
      </w:r>
      <w:r>
        <w:rPr>
          <w:rFonts w:ascii="Times New Roman" w:cs="Times New Roman" w:eastAsia="Times New Roman" w:hAnsi="Times New Roman"/>
          <w:sz w:val="20"/>
          <w:szCs w:val="20"/>
          <w:color w:val="auto"/>
        </w:rPr>
        <w:t>” means the Pension Benefit Guaranty Corporation or any successor thereto.</w:t>
      </w:r>
    </w:p>
    <w:p>
      <w:pPr>
        <w:spacing w:after="0" w:line="22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Pension Plan</w:t>
      </w:r>
      <w:r>
        <w:rPr>
          <w:rFonts w:ascii="Times New Roman" w:cs="Times New Roman" w:eastAsia="Times New Roman" w:hAnsi="Times New Roman"/>
          <w:sz w:val="20"/>
          <w:szCs w:val="20"/>
          <w:color w:val="auto"/>
        </w:rPr>
        <w:t>” means any employee pension benefit plan, as defined in Section 3(2) of ERISA (other than a Multiemployer Plan), subject to the provisions of Title IV of ERISA or Section 412 of the Code or Section 302 of ERISA, and in respect of which Holdings or any of its Subsidiaries, or any of their respective ERISA Affiliates, is (or, if such plan were terminated, would under Section 4069 of ERISA be deemed to be) an “employer” as defined in Section 3(5) of ERISA.</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has the meaning specified in the definition of “Term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Liens</w:t>
      </w:r>
      <w:r>
        <w:rPr>
          <w:rFonts w:ascii="Times New Roman" w:cs="Times New Roman" w:eastAsia="Times New Roman" w:hAnsi="Times New Roman"/>
          <w:sz w:val="20"/>
          <w:szCs w:val="20"/>
          <w:color w:val="auto"/>
        </w:rPr>
        <w:t xml:space="preserve">” means Liens permitted pursuant to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18</w:t>
      </w:r>
    </w:p>
    <w:p>
      <w:pPr>
        <w:sectPr>
          <w:pgSz w:w="11900" w:h="16838" w:orient="portrait"/>
          <w:cols w:equalWidth="0" w:num="1">
            <w:col w:w="11240"/>
          </w:cols>
          <w:pgMar w:left="320" w:top="1409" w:right="339" w:bottom="1440" w:gutter="0" w:footer="0" w:header="0"/>
        </w:sectPr>
      </w:pPr>
    </w:p>
    <w:bookmarkStart w:id="91" w:name="page92"/>
    <w:bookmarkEnd w:id="91"/>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Permitted Refinancing Indebtedness</w:t>
      </w:r>
      <w:r>
        <w:rPr>
          <w:rFonts w:ascii="Times New Roman" w:cs="Times New Roman" w:eastAsia="Times New Roman" w:hAnsi="Times New Roman"/>
          <w:sz w:val="20"/>
          <w:szCs w:val="20"/>
          <w:color w:val="auto"/>
        </w:rPr>
        <w:t>” means, any Indebtedness that is incurred to refund, refinance, replace, exchange, renew, repay or extend any Indebtedness existing on the Closing Date or incurred (or established) in compliance with this Agreement; provided, however, that: (1) (a) such Permitted Refinancing Indebtedness has a Weighted Average Life to Maturity at the time such Permitted Refinancing Indebtedness is incurred which is not less than the remaining Weighted Average Life to Maturity of the Indebtedness being refunded, refinanced, replaced, exchanged, renewed, repaid or extended; and (b) to the extent such Permitted Refinancing Indebtedness refinances Junior Debt, such Permitted Refinancing Indebtedness is Junior Debt and, in the case of Indebtedness subordinated in right of payment to the Loans, is subordinated to the Loans on customary terms (as determined by the Lender in good faith); (2) Permitted Refinancing Indebtedness shall not include Indebtedness of a Subsidiary of Holdings that is not a Guarantor or Borrower that refinances Indebtedness of the Borrower or a Guarantor; (3) such Permitted Refinancing Indebtedness is incurred in an aggregate principal amount that is equal to or less than the sum of (x) the aggregate principal amount (or if issued with original issue discount, the then outstanding Indebtedness being refinanced, plus (y) accrued and unpaid interest, dividends, premiums, fees, costs and expenses in connection with such refinancing; and (4) the terms and conditions (including, if applicable, as to collateral but excluding as to subordination, interest rates (including through fixed interest rates), interest rate margins, rate floors, fees, funding discounts, original issue discounts and redemption or prepayment terms and premiums) of any such Permitted Refinancing Indebtedness, taken as a whole, are not materially more restrictive on Holdings and its Subsidiaries, when taken as a whole, than the terms and conditions of the Indebtedness being refinanced.</w:t>
      </w:r>
    </w:p>
    <w:p>
      <w:pPr>
        <w:spacing w:after="0" w:line="201"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means any natural person, corporation, unlimited liability company, limited liability company, trust, joint venture, association, company, partnership, Governmental Authority or any other entity.</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PIK Election Notice</w:t>
      </w:r>
      <w:r>
        <w:rPr>
          <w:rFonts w:ascii="Times New Roman" w:cs="Times New Roman" w:eastAsia="Times New Roman" w:hAnsi="Times New Roman"/>
          <w:sz w:val="20"/>
          <w:szCs w:val="20"/>
          <w:color w:val="auto"/>
        </w:rPr>
        <w:t xml:space="preserve">” means a written notice of election to pay interest in kind pursuant to and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with respect to any interest period in advance of the applicable Interest Payment Date and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xml:space="preserve"> or such other form as may be approved by the Lender.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PIK Interest Amount</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PIK Premium</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Pledge and Security Agreement</w:t>
      </w:r>
      <w:r>
        <w:rPr>
          <w:rFonts w:ascii="Times New Roman" w:cs="Times New Roman" w:eastAsia="Times New Roman" w:hAnsi="Times New Roman"/>
          <w:sz w:val="20"/>
          <w:szCs w:val="20"/>
          <w:color w:val="auto"/>
        </w:rPr>
        <w:t>” means that certain Pledge and Security Agreement, among the Borrower, the other Loan Parties and the Lender in a form reasonably acceptable to the Lender and the Borrower.</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Primary Obligor</w:t>
      </w:r>
      <w:r>
        <w:rPr>
          <w:rFonts w:ascii="Times New Roman" w:cs="Times New Roman" w:eastAsia="Times New Roman" w:hAnsi="Times New Roman"/>
          <w:sz w:val="20"/>
          <w:szCs w:val="20"/>
          <w:color w:val="auto"/>
        </w:rPr>
        <w:t>” has the meaning assigned to such term in the definition of “Guarantee”.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Qualified Capital Stock</w:t>
      </w:r>
      <w:r>
        <w:rPr>
          <w:rFonts w:ascii="Times New Roman" w:cs="Times New Roman" w:eastAsia="Times New Roman" w:hAnsi="Times New Roman"/>
          <w:sz w:val="20"/>
          <w:szCs w:val="20"/>
          <w:color w:val="auto"/>
        </w:rPr>
        <w:t>” of any Person means any Capital Stock of such Person that is not Disqualified Capital Stock.</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Recipient</w:t>
      </w:r>
      <w:r>
        <w:rPr>
          <w:rFonts w:ascii="Times New Roman" w:cs="Times New Roman" w:eastAsia="Times New Roman" w:hAnsi="Times New Roman"/>
          <w:sz w:val="20"/>
          <w:szCs w:val="20"/>
          <w:color w:val="auto"/>
        </w:rPr>
        <w:t>” means any recipient of any payment to be made by or on account of any obligation of the Borrower or any other 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Party.</w:t>
      </w:r>
    </w:p>
    <w:p>
      <w:pPr>
        <w:spacing w:after="0" w:line="210"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U</w:t>
      </w:r>
      <w:r>
        <w:rPr>
          <w:rFonts w:ascii="Times New Roman" w:cs="Times New Roman" w:eastAsia="Times New Roman" w:hAnsi="Times New Roman"/>
          <w:sz w:val="20"/>
          <w:szCs w:val="20"/>
          <w:color w:val="auto"/>
        </w:rPr>
        <w:t>” means Regulation U of the Board as from time to time in effect and all official rulings and interpretations thereunder or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19</w:t>
      </w:r>
    </w:p>
    <w:p>
      <w:pPr>
        <w:sectPr>
          <w:pgSz w:w="11900" w:h="16838" w:orient="portrait"/>
          <w:cols w:equalWidth="0" w:num="1">
            <w:col w:w="11240"/>
          </w:cols>
          <w:pgMar w:left="320" w:top="1409" w:right="339" w:bottom="1440" w:gutter="0" w:footer="0" w:header="0"/>
        </w:sectPr>
      </w:pPr>
    </w:p>
    <w:bookmarkStart w:id="92" w:name="page93"/>
    <w:bookmarkEnd w:id="92"/>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Regulation X</w:t>
      </w:r>
      <w:r>
        <w:rPr>
          <w:rFonts w:ascii="Times New Roman" w:cs="Times New Roman" w:eastAsia="Times New Roman" w:hAnsi="Times New Roman"/>
          <w:sz w:val="20"/>
          <w:szCs w:val="20"/>
          <w:color w:val="auto"/>
        </w:rPr>
        <w:t>” means Regulation X of the Board as from time to time in effect and all official rulings and interpretations thereunder or thereof.</w:t>
      </w:r>
    </w:p>
    <w:p>
      <w:pPr>
        <w:spacing w:after="0" w:line="138"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Related Parties</w:t>
      </w:r>
      <w:r>
        <w:rPr>
          <w:rFonts w:ascii="Times New Roman" w:cs="Times New Roman" w:eastAsia="Times New Roman" w:hAnsi="Times New Roman"/>
          <w:sz w:val="20"/>
          <w:szCs w:val="20"/>
          <w:color w:val="auto"/>
        </w:rPr>
        <w:t>” means, with respect to any specified Person, such Person’s Affiliates and the respective directors, officers, trustees, employees, partners, agents, advisors and other representatives of such Person and such Person’s Affiliates.</w:t>
      </w:r>
    </w:p>
    <w:p>
      <w:pPr>
        <w:spacing w:after="0" w:line="138"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Release</w:t>
      </w:r>
      <w:r>
        <w:rPr>
          <w:rFonts w:ascii="Times New Roman" w:cs="Times New Roman" w:eastAsia="Times New Roman" w:hAnsi="Times New Roman"/>
          <w:sz w:val="20"/>
          <w:szCs w:val="20"/>
          <w:color w:val="auto"/>
        </w:rPr>
        <w:t>” means any release, spill, emission, leaking, pumping, pouring, injection, escaping, deposit, disposal, discharge, dispersal, dumping, leaching or migration of any Hazardous Material into the Environment (including the abandonment or disposal of any barrels, containers or other closed receptacles containing any Hazardous Material), including the movement of any Hazardous Material through the air, soil, surface water or groundwater.</w:t>
      </w:r>
    </w:p>
    <w:p>
      <w:pPr>
        <w:spacing w:after="0" w:line="178"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Governmental Body</w:t>
      </w:r>
      <w:r>
        <w:rPr>
          <w:rFonts w:ascii="Times New Roman" w:cs="Times New Roman" w:eastAsia="Times New Roman" w:hAnsi="Times New Roman"/>
          <w:sz w:val="20"/>
          <w:szCs w:val="20"/>
          <w:color w:val="auto"/>
        </w:rPr>
        <w:t>” means the Federal Reserve Board or the Federal Reserve Bank of New York, or a committee officially endorsed or convened by the Federal Reserve Board or the Federal Reserve Bank of New York, or any successor thereto.</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xml:space="preserve">” has the meaning assigned to such term in </w:t>
      </w:r>
      <w:r>
        <w:rPr>
          <w:rFonts w:ascii="Times New Roman" w:cs="Times New Roman" w:eastAsia="Times New Roman" w:hAnsi="Times New Roman"/>
          <w:sz w:val="20"/>
          <w:szCs w:val="20"/>
          <w:u w:val="single" w:color="auto"/>
          <w:color w:val="auto"/>
        </w:rPr>
        <w:t>Section 8.13(a)</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Requirements of Law</w:t>
      </w:r>
      <w:r>
        <w:rPr>
          <w:rFonts w:ascii="Times New Roman" w:cs="Times New Roman" w:eastAsia="Times New Roman" w:hAnsi="Times New Roman"/>
          <w:sz w:val="20"/>
          <w:szCs w:val="20"/>
          <w:color w:val="auto"/>
        </w:rPr>
        <w:t>” means, with respect to any Person, collectively, the common law and all federal, state, provincial, territorial,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Responsible Officer</w:t>
      </w:r>
      <w:r>
        <w:rPr>
          <w:rFonts w:ascii="Times New Roman" w:cs="Times New Roman" w:eastAsia="Times New Roman" w:hAnsi="Times New Roman"/>
          <w:sz w:val="20"/>
          <w:szCs w:val="20"/>
          <w:color w:val="auto"/>
        </w:rPr>
        <w:t>” of any Person means the chief executive officer, a director, the president, executive vice president, any senior vice president, any vice president, the chief operating officer or any Financial Officer of such Person and any other individual or similar official thereof responsible for the administration of the obligations of such Person in respect of this Agreement.</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Debt Payments</w:t>
      </w:r>
      <w:r>
        <w:rPr>
          <w:rFonts w:ascii="Times New Roman" w:cs="Times New Roman" w:eastAsia="Times New Roman" w:hAnsi="Times New Roman"/>
          <w:sz w:val="20"/>
          <w:szCs w:val="20"/>
          <w:color w:val="auto"/>
        </w:rPr>
        <w:t xml:space="preserve">” has the meaning set forth in </w:t>
      </w:r>
      <w:r>
        <w:rPr>
          <w:rFonts w:ascii="Times New Roman" w:cs="Times New Roman" w:eastAsia="Times New Roman" w:hAnsi="Times New Roman"/>
          <w:sz w:val="20"/>
          <w:szCs w:val="20"/>
          <w:u w:val="single" w:color="auto"/>
          <w:color w:val="auto"/>
        </w:rPr>
        <w:t>Section 6.04(b)</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Payment</w:t>
      </w:r>
      <w:r>
        <w:rPr>
          <w:rFonts w:ascii="Times New Roman" w:cs="Times New Roman" w:eastAsia="Times New Roman" w:hAnsi="Times New Roman"/>
          <w:sz w:val="20"/>
          <w:szCs w:val="20"/>
          <w:color w:val="auto"/>
        </w:rPr>
        <w:t>” means (a) any dividend or other distribution on account of any shares of any class of the Capital Stock of Holdings or any Subsidiary now or hereafter outstanding, except a dividend payable solely in shares of Qualified Capital Stock to the holders of such class, (b) any redemption, retirement, sinking fund or similar payment, purchase or other acquisition for value of any shares of any class of the Capital Stock of Holdings or any Subsidiary now or hereafter outstanding and (c) any payment made to retire, or to obtain the surrender of, any outstanding warrants, options or other rights to acquire shares of any class of the Capital Stock of Holdings or any Subsidiary now or hereafter outstanding.</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Revolving Credit Period</w:t>
      </w:r>
      <w:r>
        <w:rPr>
          <w:rFonts w:ascii="Times New Roman" w:cs="Times New Roman" w:eastAsia="Times New Roman" w:hAnsi="Times New Roman"/>
          <w:sz w:val="20"/>
          <w:szCs w:val="20"/>
          <w:color w:val="auto"/>
        </w:rPr>
        <w:t>” means the period from and including the date hereof to but excluding the Termination Date.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S&amp;P</w:t>
      </w:r>
      <w:r>
        <w:rPr>
          <w:rFonts w:ascii="Times New Roman" w:cs="Times New Roman" w:eastAsia="Times New Roman" w:hAnsi="Times New Roman"/>
          <w:sz w:val="20"/>
          <w:szCs w:val="20"/>
          <w:color w:val="auto"/>
        </w:rPr>
        <w:t>” means S&amp;P Global Ratings, a subsidiary of S&amp;P Global Inc., and any successor to its rating agency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20</w:t>
      </w:r>
    </w:p>
    <w:p>
      <w:pPr>
        <w:sectPr>
          <w:pgSz w:w="11900" w:h="16838" w:orient="portrait"/>
          <w:cols w:equalWidth="0" w:num="1">
            <w:col w:w="11240"/>
          </w:cols>
          <w:pgMar w:left="320" w:top="1409" w:right="339" w:bottom="1440" w:gutter="0" w:footer="0" w:header="0"/>
        </w:sectPr>
      </w:pPr>
    </w:p>
    <w:bookmarkStart w:id="93" w:name="page94"/>
    <w:bookmarkEnd w:id="93"/>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Sanctioned Country</w:t>
      </w:r>
      <w:r>
        <w:rPr>
          <w:rFonts w:ascii="Times New Roman" w:cs="Times New Roman" w:eastAsia="Times New Roman" w:hAnsi="Times New Roman"/>
          <w:sz w:val="20"/>
          <w:szCs w:val="20"/>
          <w:color w:val="auto"/>
        </w:rPr>
        <w:t>” means any country or territory that, at the relevant time, is the subject or target of any comprehensive or countrywide Sanctions. As at the date hereof, Sanctioned Countries include Cuba (solely with respect to any Person organized under the laws of the United States or any political subdivision thereof), Iran, North Korea, Syria, and the Crimea, Donetsk, and Luhansk regions of Ukraine.</w:t>
      </w:r>
    </w:p>
    <w:p>
      <w:pPr>
        <w:spacing w:after="0" w:line="1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Sanctions</w:t>
      </w:r>
      <w:r>
        <w:rPr>
          <w:rFonts w:ascii="Times New Roman" w:cs="Times New Roman" w:eastAsia="Times New Roman" w:hAnsi="Times New Roman"/>
          <w:sz w:val="20"/>
          <w:szCs w:val="20"/>
          <w:color w:val="auto"/>
        </w:rPr>
        <w:t>” means any United States sanctions administered by OFAC or the U.S. Department of State.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means the Securities and Exchange Commission.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w:t>
      </w:r>
      <w:r>
        <w:rPr>
          <w:rFonts w:ascii="Times New Roman" w:cs="Times New Roman" w:eastAsia="Times New Roman" w:hAnsi="Times New Roman"/>
          <w:sz w:val="20"/>
          <w:szCs w:val="20"/>
          <w:color w:val="auto"/>
        </w:rPr>
        <w:t xml:space="preserve">” means any stock, shares,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“Securities” shall not include any earn-out agreement or obligation or any employee bonus or other incentive compensation plan or agreement.</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Security Agreement Joinder Agreement</w:t>
      </w:r>
      <w:r>
        <w:rPr>
          <w:rFonts w:ascii="Times New Roman" w:cs="Times New Roman" w:eastAsia="Times New Roman" w:hAnsi="Times New Roman"/>
          <w:sz w:val="20"/>
          <w:szCs w:val="20"/>
          <w:color w:val="auto"/>
        </w:rPr>
        <w:t>” has the meaning assigned to such term in the Pledge and Security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w:t>
      </w:r>
      <w:r>
        <w:rPr>
          <w:rFonts w:ascii="Times New Roman" w:cs="Times New Roman" w:eastAsia="Times New Roman" w:hAnsi="Times New Roman"/>
          <w:sz w:val="20"/>
          <w:szCs w:val="20"/>
          <w:color w:val="auto"/>
        </w:rPr>
        <w:t>” means a rate equal to the secured overnight financing rate as administered by the SOFR Administrator.</w:t>
      </w:r>
    </w:p>
    <w:p>
      <w:pPr>
        <w:spacing w:after="0" w:line="216"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SOFR Administrator</w:t>
      </w:r>
      <w:r>
        <w:rPr>
          <w:rFonts w:ascii="Times New Roman" w:cs="Times New Roman" w:eastAsia="Times New Roman" w:hAnsi="Times New Roman"/>
          <w:sz w:val="20"/>
          <w:szCs w:val="20"/>
          <w:color w:val="auto"/>
        </w:rPr>
        <w:t>” means the Federal Reserve Bank of New York (or a successor administrator of the secured overnight financing rate).</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Specified Event of Default</w:t>
      </w:r>
      <w:r>
        <w:rPr>
          <w:rFonts w:ascii="Times New Roman" w:cs="Times New Roman" w:eastAsia="Times New Roman" w:hAnsi="Times New Roman"/>
          <w:sz w:val="20"/>
          <w:szCs w:val="20"/>
          <w:color w:val="auto"/>
        </w:rPr>
        <w:t xml:space="preserve">” means an Event of Default specified in </w:t>
      </w:r>
      <w:r>
        <w:rPr>
          <w:rFonts w:ascii="Times New Roman" w:cs="Times New Roman" w:eastAsia="Times New Roman" w:hAnsi="Times New Roman"/>
          <w:sz w:val="20"/>
          <w:szCs w:val="20"/>
          <w:u w:val="single" w:color="auto"/>
          <w:color w:val="auto"/>
        </w:rPr>
        <w:t>Sections 7.01(a)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7.01(g)</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xml:space="preserve">” means, with respect to any Person, any corporation, partnership, limited liability company, association, joint venture or other business entity of which more than 50% of the total voting power of shares of stock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determining the percentage of ownership interests of any Person controlled by another Person, no ownership interest in the nature of a “qualifying share” of the former Person shall be deemed to be outstanding.</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subsidiary of Holdings.</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 Guarantor</w:t>
      </w:r>
      <w:r>
        <w:rPr>
          <w:rFonts w:ascii="Times New Roman" w:cs="Times New Roman" w:eastAsia="Times New Roman" w:hAnsi="Times New Roman"/>
          <w:sz w:val="20"/>
          <w:szCs w:val="20"/>
          <w:color w:val="auto"/>
        </w:rPr>
        <w:t>” means each Subsidiary of Holdings (other than any Excluded Subsidiary and other than the Borrower) that guarantees the Obligations pursuant to the terms of this Agreement, in each case, until such time as the respective Subsidiary is released from its obligations under the Loan Guaranty in accordance with the express terms and provisions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21</w:t>
      </w:r>
    </w:p>
    <w:p>
      <w:pPr>
        <w:sectPr>
          <w:pgSz w:w="11900" w:h="16838" w:orient="portrait"/>
          <w:cols w:equalWidth="0" w:num="1">
            <w:col w:w="11240"/>
          </w:cols>
          <w:pgMar w:left="320" w:top="1409" w:right="339" w:bottom="1440" w:gutter="0" w:footer="0" w:header="0"/>
        </w:sectPr>
      </w:pPr>
    </w:p>
    <w:bookmarkStart w:id="94" w:name="page95"/>
    <w:bookmarkEnd w:id="94"/>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 Receivable Agreement</w:t>
      </w:r>
      <w:r>
        <w:rPr>
          <w:rFonts w:ascii="Times New Roman" w:cs="Times New Roman" w:eastAsia="Times New Roman" w:hAnsi="Times New Roman"/>
          <w:sz w:val="20"/>
          <w:szCs w:val="20"/>
          <w:color w:val="auto"/>
        </w:rPr>
        <w:t>” means that certain Tax Receivable Agreement, dated as of October 15, 2021, by and among Holdings, and the other persons from time to time party thereto as TRA Parties, as such agreement may be amended, restated, supplemented or otherwise modified from time to time.</w:t>
      </w:r>
    </w:p>
    <w:p>
      <w:pPr>
        <w:spacing w:after="0" w:line="17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Taxes</w:t>
      </w:r>
      <w:r>
        <w:rPr>
          <w:rFonts w:ascii="Times New Roman" w:cs="Times New Roman" w:eastAsia="Times New Roman" w:hAnsi="Times New Roman"/>
          <w:sz w:val="20"/>
          <w:szCs w:val="20"/>
          <w:color w:val="auto"/>
        </w:rPr>
        <w:t>” means any and all present and future taxes, assessments, levies, imposts, duties, deductions, charges or withholdings (including backup withholding) imposed by any Governmental Authority, including any interest, additions to tax or penalties applicable thereto.</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656"/>
        <w:spacing w:after="0" w:line="250" w:lineRule="auto"/>
        <w:tabs>
          <w:tab w:leader="none" w:pos="94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Term SOFR Borrowing, the Term SOFR Reference Rate for a tenor comparable to the applicable Interest Period on the day (such day, the “</w:t>
      </w:r>
      <w:r>
        <w:rPr>
          <w:rFonts w:ascii="Times New Roman" w:cs="Times New Roman" w:eastAsia="Times New Roman" w:hAnsi="Times New Roman"/>
          <w:sz w:val="20"/>
          <w:szCs w:val="20"/>
          <w:b w:val="1"/>
          <w:bCs w:val="1"/>
          <w:color w:val="auto"/>
        </w:rPr>
        <w:t>Periodic Term SOFR Determination Day</w:t>
      </w:r>
      <w:r>
        <w:rPr>
          <w:rFonts w:ascii="Times New Roman" w:cs="Times New Roman" w:eastAsia="Times New Roman" w:hAnsi="Times New Roman"/>
          <w:sz w:val="20"/>
          <w:szCs w:val="20"/>
          <w:color w:val="auto"/>
        </w:rPr>
        <w:t>”) that is two (2) U.S. Government Securities Business Days prior to the first day of such Interest Period, as such rate is published by the Term SOFR Administrator (the “</w:t>
      </w:r>
      <w:r>
        <w:rPr>
          <w:rFonts w:ascii="Times New Roman" w:cs="Times New Roman" w:eastAsia="Times New Roman" w:hAnsi="Times New Roman"/>
          <w:sz w:val="20"/>
          <w:szCs w:val="20"/>
          <w:b w:val="1"/>
          <w:bCs w:val="1"/>
          <w:color w:val="auto"/>
        </w:rPr>
        <w:t>Term SOFR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Screen Rate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as of 5:00 p.m. (New York City time) on any Periodic Term SOFR Determination Day the Term SOFR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if such fallback is not available, then Term SOFR with respect to such Term SOFR Borrowing for such Interest Period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shall be the applicable Interpolated Screen Rate; and</w:t>
      </w:r>
    </w:p>
    <w:p>
      <w:pPr>
        <w:spacing w:after="0" w:line="199" w:lineRule="exact"/>
        <w:rPr>
          <w:rFonts w:ascii="Times New Roman" w:cs="Times New Roman" w:eastAsia="Times New Roman" w:hAnsi="Times New Roman"/>
          <w:sz w:val="20"/>
          <w:szCs w:val="20"/>
          <w:color w:val="auto"/>
        </w:rPr>
      </w:pPr>
    </w:p>
    <w:p>
      <w:pPr>
        <w:jc w:val="both"/>
        <w:ind w:firstLine="656"/>
        <w:spacing w:after="0" w:line="250" w:lineRule="auto"/>
        <w:tabs>
          <w:tab w:leader="none" w:pos="92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20"/>
          <w:szCs w:val="20"/>
          <w:b w:val="1"/>
          <w:bCs w:val="1"/>
          <w:color w:val="auto"/>
        </w:rPr>
        <w:t>Base Rate Term SOFR Determination Day</w:t>
      </w:r>
      <w:r>
        <w:rPr>
          <w:rFonts w:ascii="Times New Roman" w:cs="Times New Roman" w:eastAsia="Times New Roman" w:hAnsi="Times New Roman"/>
          <w:sz w:val="20"/>
          <w:szCs w:val="20"/>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if as of 5:00 p.m. (New York City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 provided, further, that, if such fallback is not available, then Term SOFR with respect to such Term SOFR Borrowing for such Interest Period shall be the applicable Interpolated Screen Rate;</w:t>
      </w:r>
    </w:p>
    <w:p>
      <w:pPr>
        <w:spacing w:after="0" w:line="192"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further</w:t>
      </w:r>
      <w:r>
        <w:rPr>
          <w:rFonts w:ascii="Times New Roman" w:cs="Times New Roman" w:eastAsia="Times New Roman" w:hAnsi="Times New Roman"/>
          <w:sz w:val="20"/>
          <w:szCs w:val="20"/>
          <w:color w:val="auto"/>
        </w:rPr>
        <w:t>, that if Term SOFR determined as provided above (including pursuant to the provisos under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above) shall ever be less than zero, then Term SOFR shall be deemed to be zero for purposes of this Agreement.</w:t>
      </w:r>
    </w:p>
    <w:p>
      <w:pPr>
        <w:spacing w:after="0" w:line="165"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Administrator</w:t>
      </w:r>
      <w:r>
        <w:rPr>
          <w:rFonts w:ascii="Times New Roman" w:cs="Times New Roman" w:eastAsia="Times New Roman" w:hAnsi="Times New Roman"/>
          <w:sz w:val="20"/>
          <w:szCs w:val="20"/>
          <w:color w:val="auto"/>
        </w:rPr>
        <w:t>” means CME Group Benchmark Administration Limited (CBA) (or a successor administrator of the Term SOFR Reference Rate selected by the Lender in its reasonable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22</w:t>
      </w:r>
    </w:p>
    <w:p>
      <w:pPr>
        <w:sectPr>
          <w:pgSz w:w="11900" w:h="16838" w:orient="portrait"/>
          <w:cols w:equalWidth="0" w:num="1">
            <w:col w:w="11240"/>
          </w:cols>
          <w:pgMar w:left="320" w:top="1409" w:right="339" w:bottom="1440" w:gutter="0" w:footer="0" w:header="0"/>
        </w:sectPr>
      </w:pPr>
    </w:p>
    <w:bookmarkStart w:id="95" w:name="page96"/>
    <w:bookmarkEnd w:id="95"/>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Conforming Changes</w:t>
      </w:r>
      <w:r>
        <w:rPr>
          <w:rFonts w:ascii="Times New Roman" w:cs="Times New Roman" w:eastAsia="Times New Roman" w:hAnsi="Times New Roman"/>
          <w:sz w:val="20"/>
          <w:szCs w:val="20"/>
          <w:color w:val="auto"/>
        </w:rPr>
        <w:t xml:space="preserve">” means, with respect to either the use or administration of Term SOFR,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of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other technical, administrative or operational matters) that the Lender decides may be appropriate to reflect the adoption and implementation of Term SOFR or to permit the use and administration thereof by the Lender in a manner substantially consistent with market practice (or, if the Lender decides that adoption of any portion of such market practice is not administratively feasible or if the Lender determines that no market practice for the administration of any such rate exists, in such other manner of administration as the Lender decides is reasonably necessary in connection with the administration of this Agreement and the other Loan Documents (if any).</w:t>
      </w:r>
    </w:p>
    <w:p>
      <w:pPr>
        <w:spacing w:after="0" w:line="187"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Loan</w:t>
      </w:r>
      <w:r>
        <w:rPr>
          <w:rFonts w:ascii="Times New Roman" w:cs="Times New Roman" w:eastAsia="Times New Roman" w:hAnsi="Times New Roman"/>
          <w:sz w:val="20"/>
          <w:szCs w:val="20"/>
          <w:color w:val="auto"/>
        </w:rPr>
        <w:t>” means a Loan to be made by the Lender as a Loan accruing interest by reference to Term SOFR in accordance with the applicable Borrowing Request.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Reference Rate</w:t>
      </w:r>
      <w:r>
        <w:rPr>
          <w:rFonts w:ascii="Times New Roman" w:cs="Times New Roman" w:eastAsia="Times New Roman" w:hAnsi="Times New Roman"/>
          <w:sz w:val="20"/>
          <w:szCs w:val="20"/>
          <w:color w:val="auto"/>
        </w:rPr>
        <w:t>” means the forward-looking term rate based on SOFR.</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 SOFR Screen Rate</w:t>
      </w:r>
      <w:r>
        <w:rPr>
          <w:rFonts w:ascii="Times New Roman" w:cs="Times New Roman" w:eastAsia="Times New Roman" w:hAnsi="Times New Roman"/>
          <w:sz w:val="20"/>
          <w:szCs w:val="20"/>
          <w:color w:val="auto"/>
        </w:rPr>
        <w:t>” has the meaning set forth in the definition of “Term SOFR”.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Date</w:t>
      </w:r>
      <w:r>
        <w:rPr>
          <w:rFonts w:ascii="Times New Roman" w:cs="Times New Roman" w:eastAsia="Times New Roman" w:hAnsi="Times New Roman"/>
          <w:sz w:val="20"/>
          <w:szCs w:val="20"/>
          <w:color w:val="auto"/>
        </w:rPr>
        <w:t>” means December 31, 2026.</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Threshold Amount</w:t>
      </w:r>
      <w:r>
        <w:rPr>
          <w:rFonts w:ascii="Times New Roman" w:cs="Times New Roman" w:eastAsia="Times New Roman" w:hAnsi="Times New Roman"/>
          <w:sz w:val="20"/>
          <w:szCs w:val="20"/>
          <w:color w:val="auto"/>
        </w:rPr>
        <w:t>” means $5,000,000.</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Total Unutilized Commitment</w:t>
      </w:r>
      <w:r>
        <w:rPr>
          <w:rFonts w:ascii="Times New Roman" w:cs="Times New Roman" w:eastAsia="Times New Roman" w:hAnsi="Times New Roman"/>
          <w:sz w:val="20"/>
          <w:szCs w:val="20"/>
          <w:color w:val="auto"/>
        </w:rPr>
        <w:t xml:space="preserve">” means, at any time, the aggregate amount of the Commitment available to be borrowed by the Borrower pursuant to Section 2.01 at such time less the aggregate outstanding principal amount of all Loans (exclusive of any PIK Interest Amounts added to the principal balance of the Loans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Type</w:t>
      </w:r>
      <w:r>
        <w:rPr>
          <w:rFonts w:ascii="Times New Roman" w:cs="Times New Roman" w:eastAsia="Times New Roman" w:hAnsi="Times New Roman"/>
          <w:sz w:val="20"/>
          <w:szCs w:val="20"/>
          <w:color w:val="auto"/>
        </w:rPr>
        <w:t>” means, with respect to a Loan, its character as a Base Rate Loan or a Term SOFR Loan.</w:t>
      </w:r>
    </w:p>
    <w:p>
      <w:pPr>
        <w:spacing w:after="0" w:line="229"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UCC</w:t>
      </w:r>
      <w:r>
        <w:rPr>
          <w:rFonts w:ascii="Times New Roman" w:cs="Times New Roman" w:eastAsia="Times New Roman" w:hAnsi="Times New Roman"/>
          <w:sz w:val="20"/>
          <w:szCs w:val="20"/>
          <w:color w:val="auto"/>
        </w:rPr>
        <w:t>” means the Uniform Commercial Code as in effect from time to time in the State of New York or any other state the laws of which are required to be applied in connection with the grant or perfection of security interests.</w:t>
      </w:r>
    </w:p>
    <w:p>
      <w:pPr>
        <w:spacing w:after="0" w:line="16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Unadjusted Benchmark Replacement</w:t>
      </w:r>
      <w:r>
        <w:rPr>
          <w:rFonts w:ascii="Times New Roman" w:cs="Times New Roman" w:eastAsia="Times New Roman" w:hAnsi="Times New Roman"/>
          <w:sz w:val="20"/>
          <w:szCs w:val="20"/>
          <w:color w:val="auto"/>
        </w:rPr>
        <w:t>” means the applicable Benchmark Replacement excluding the related Benchmark Replacement Adjustment.</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w:t>
      </w:r>
      <w:r>
        <w:rPr>
          <w:rFonts w:ascii="Times New Roman" w:cs="Times New Roman" w:eastAsia="Times New Roman" w:hAnsi="Times New Roman"/>
          <w:sz w:val="20"/>
          <w:szCs w:val="20"/>
          <w:color w:val="auto"/>
        </w:rPr>
        <w:t>” means the United States of America.</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Government Securities Business Day</w:t>
      </w:r>
      <w:r>
        <w:rPr>
          <w:rFonts w:ascii="Times New Roman" w:cs="Times New Roman" w:eastAsia="Times New Roman" w:hAnsi="Times New Roman"/>
          <w:sz w:val="20"/>
          <w:szCs w:val="20"/>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USA PATRIOT Act</w:t>
      </w:r>
      <w:r>
        <w:rPr>
          <w:rFonts w:ascii="Times New Roman" w:cs="Times New Roman" w:eastAsia="Times New Roman" w:hAnsi="Times New Roman"/>
          <w:sz w:val="20"/>
          <w:szCs w:val="20"/>
          <w:color w:val="auto"/>
        </w:rPr>
        <w:t>” means The Uniting and Strengthening America by Providing Appropriate Tools Required to Intercept and Obstruct Terrorism Act of 2001 (Title III of Pub. L. No. 107-56 (signed into law October 26,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23</w:t>
      </w:r>
    </w:p>
    <w:p>
      <w:pPr>
        <w:sectPr>
          <w:pgSz w:w="11900" w:h="16838" w:orient="portrait"/>
          <w:cols w:equalWidth="0" w:num="1">
            <w:col w:w="11240"/>
          </w:cols>
          <w:pgMar w:left="320" w:top="1409" w:right="339" w:bottom="1440" w:gutter="0" w:footer="0" w:header="0"/>
        </w:sectPr>
      </w:pPr>
    </w:p>
    <w:bookmarkStart w:id="96" w:name="page97"/>
    <w:bookmarkEnd w:id="96"/>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Voting Stock</w:t>
      </w:r>
      <w:r>
        <w:rPr>
          <w:rFonts w:ascii="Times New Roman" w:cs="Times New Roman" w:eastAsia="Times New Roman" w:hAnsi="Times New Roman"/>
          <w:sz w:val="20"/>
          <w:szCs w:val="20"/>
          <w:color w:val="auto"/>
        </w:rPr>
        <w:t>” shall mean, with respect to any Person, shares of such Person’s Capital Stock that is at the time generally entitled, without regard to contingencies, to vote in the election of the Board of Directors of such Person. To the extent that a partnership agreement, limited liability company agreement or other agreement governing a partnership or limited liability company provides that the members of the Board of Directors of such partnership or limited liability company (or, in the case of a limited partnership whose business and affairs are managed or controlled by its general partner, the Board of Directors of the general partner of such limited partnership) are appointed or designated by one or more Persons rather than by a vote of Voting Stock, each of the Persons who are entitled to appoint or designate the members of such Board of Directors will be deemed to own a percentage of Voting Stock of such partnership or limited liability company equal to (a) the aggregate votes entitled to be cast on such Board of Directors by the members of such Board of Directors which such Person or Persons are entitled to appoint or designate divided by (b) the aggregate number of votes of all members of such Board of Directors.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Weighted Average Life to Maturity</w:t>
      </w:r>
      <w:r>
        <w:rPr>
          <w:rFonts w:ascii="Times New Roman" w:cs="Times New Roman" w:eastAsia="Times New Roman" w:hAnsi="Times New Roman"/>
          <w:sz w:val="20"/>
          <w:szCs w:val="20"/>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(it being understood that the Weighted Average Life to Maturity shall be determined without giving effect to any change in installment or other payments of principal resulting from prepayments of such Indebtedness); by (b) the then outstanding principal amount of such Indebtedness.</w:t>
      </w:r>
    </w:p>
    <w:p>
      <w:pPr>
        <w:spacing w:after="0" w:line="18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Wholly-Owned Subsidiary</w:t>
      </w:r>
      <w:r>
        <w:rPr>
          <w:rFonts w:ascii="Times New Roman" w:cs="Times New Roman" w:eastAsia="Times New Roman" w:hAnsi="Times New Roman"/>
          <w:sz w:val="20"/>
          <w:szCs w:val="20"/>
          <w:color w:val="auto"/>
        </w:rPr>
        <w:t>” of any Person means a subsidiary of such Person, 100% of the Capital Stock (including all voting and economic rights) of which (other than directors’ qualifying shares or shares required by law to be owned by a resident of the relevant jurisdiction) shall be owned by such Person or by one or more Wholly-Owned Subsidiaries of such Person.</w:t>
      </w:r>
    </w:p>
    <w:p>
      <w:pPr>
        <w:spacing w:after="0" w:line="179" w:lineRule="exact"/>
        <w:rPr>
          <w:sz w:val="20"/>
          <w:szCs w:val="20"/>
          <w:color w:val="auto"/>
        </w:rPr>
      </w:pPr>
    </w:p>
    <w:p>
      <w:pPr>
        <w:jc w:val="both"/>
        <w:ind w:left="400" w:firstLine="583"/>
        <w:spacing w:after="0" w:line="249" w:lineRule="auto"/>
        <w:rPr>
          <w:sz w:val="20"/>
          <w:szCs w:val="20"/>
          <w:color w:val="auto"/>
        </w:rPr>
      </w:pPr>
      <w:r>
        <w:rPr>
          <w:rFonts w:ascii="Times New Roman" w:cs="Times New Roman" w:eastAsia="Times New Roman" w:hAnsi="Times New Roman"/>
          <w:sz w:val="20"/>
          <w:szCs w:val="20"/>
          <w:color w:val="auto"/>
        </w:rPr>
        <w:t xml:space="preserve">SECTION 1.2. </w:t>
      </w:r>
      <w:r>
        <w:rPr>
          <w:rFonts w:ascii="Times New Roman" w:cs="Times New Roman" w:eastAsia="Times New Roman" w:hAnsi="Times New Roman"/>
          <w:sz w:val="20"/>
          <w:szCs w:val="20"/>
          <w:u w:val="single" w:color="auto"/>
          <w:color w:val="auto"/>
        </w:rPr>
        <w:t>Terms Generally; Reclassification</w:t>
      </w:r>
      <w:r>
        <w:rPr>
          <w:rFonts w:ascii="Times New Roman" w:cs="Times New Roman" w:eastAsia="Times New Roman" w:hAnsi="Times New Roman"/>
          <w:sz w:val="20"/>
          <w:szCs w:val="20"/>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or in any Loan Document shall be construed as referring to such agreement, instrument or other document as from time to time amended, restated, amended and restated, supplemented or otherwise modified, extended, refinanced or replaced (subject to any restrictions or qualifications on such amendments, restatements, amendment and restatements, supplements or modifications, extensions, refinancings or replacements set forth herein or in any Loan Document), (b) any reference to any law in any Loan Document shall include all statutory and regulatory provisions consolidating, amending, replacing, supplementing or interpreting such law, (c) any reference herein or in any Loan Document to any Person shall be construed to include such Person’s successors and permitted assigns, (d) the words “herein”, “hereof” and “hereunder”, and words of similar import, when used in any Loan Document, shall be construed to refer to such Loan Document in its entirety and not to any particular provision hereof or thereof, (e) all references herein or in any Loan Document to Articles, Sections, clauses, paragraphs, Exhibits and Schedules shall be construed to refer to Articles, Sections, clauses and paragraphs of, and Exhibits and Schedules to, such Loan Document, (f) in the computation of periods of time in any Loan Document from a specified date to a later specified date, the word “from” means “from and including”,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24</w:t>
      </w:r>
    </w:p>
    <w:p>
      <w:pPr>
        <w:sectPr>
          <w:pgSz w:w="11900" w:h="16838" w:orient="portrait"/>
          <w:cols w:equalWidth="0" w:num="1">
            <w:col w:w="11240"/>
          </w:cols>
          <w:pgMar w:left="320" w:top="1409" w:right="339" w:bottom="1440" w:gutter="0" w:footer="0" w:header="0"/>
        </w:sectPr>
      </w:pPr>
    </w:p>
    <w:bookmarkStart w:id="97" w:name="page98"/>
    <w:bookmarkEnd w:id="97"/>
    <w:p>
      <w:pPr>
        <w:jc w:val="both"/>
        <w:ind w:left="200"/>
        <w:spacing w:after="0" w:line="261" w:lineRule="auto"/>
        <w:rPr>
          <w:sz w:val="20"/>
          <w:szCs w:val="20"/>
          <w:color w:val="auto"/>
        </w:rPr>
      </w:pPr>
      <w:r>
        <w:rPr>
          <w:rFonts w:ascii="Times New Roman" w:cs="Times New Roman" w:eastAsia="Times New Roman" w:hAnsi="Times New Roman"/>
          <w:sz w:val="20"/>
          <w:szCs w:val="20"/>
          <w:color w:val="auto"/>
        </w:rPr>
        <w:t>words “to” and “until” mean “to but excluding” and the word “through” means “to and including” and (g) the words “asset” and “property”, when used in any Loan Document, shall be construed to have the same meaning and effect and to refer to any and all tangible and intangible assets and properties, including Cash, securities, accounts and contract rights.</w:t>
      </w:r>
    </w:p>
    <w:p>
      <w:pPr>
        <w:spacing w:after="0" w:line="181"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1.3. </w:t>
      </w:r>
      <w:r>
        <w:rPr>
          <w:rFonts w:ascii="Times New Roman" w:cs="Times New Roman" w:eastAsia="Times New Roman" w:hAnsi="Times New Roman"/>
          <w:sz w:val="20"/>
          <w:szCs w:val="20"/>
          <w:u w:val="single" w:color="auto"/>
          <w:color w:val="auto"/>
        </w:rPr>
        <w:t>Accounting Terms</w:t>
      </w:r>
      <w:r>
        <w:rPr>
          <w:rFonts w:ascii="Times New Roman" w:cs="Times New Roman" w:eastAsia="Times New Roman" w:hAnsi="Times New Roman"/>
          <w:sz w:val="20"/>
          <w:szCs w:val="20"/>
          <w:color w:val="auto"/>
        </w:rPr>
        <w:t>. Unless otherwise specified herein, all terms of a financial or accounting nature used herein shall be interpreted, all accounting determinations hereunder shall be made, and all financial statements required to be delivered hereunder shall be prepared in accordance with GAAP, applied on a basis consistent (except for changes concurred in by Holdings’ independent public accountants and except, in the case of unaudited financial statements, for the absence of footnotes and subject to normal year-end adjustments) with the most recent audited consolidated financial statements of Holdings and its consolidated Subsidiaries delivered to the Lender.</w:t>
      </w:r>
    </w:p>
    <w:p>
      <w:pPr>
        <w:spacing w:after="0" w:line="179" w:lineRule="exact"/>
        <w:rPr>
          <w:sz w:val="20"/>
          <w:szCs w:val="20"/>
          <w:color w:val="auto"/>
        </w:rPr>
      </w:pPr>
    </w:p>
    <w:p>
      <w:pPr>
        <w:jc w:val="both"/>
        <w:ind w:left="200" w:firstLine="583"/>
        <w:spacing w:after="0" w:line="257" w:lineRule="auto"/>
        <w:rPr>
          <w:sz w:val="20"/>
          <w:szCs w:val="20"/>
          <w:color w:val="auto"/>
        </w:rPr>
      </w:pPr>
      <w:r>
        <w:rPr>
          <w:rFonts w:ascii="Times New Roman" w:cs="Times New Roman" w:eastAsia="Times New Roman" w:hAnsi="Times New Roman"/>
          <w:sz w:val="20"/>
          <w:szCs w:val="20"/>
          <w:color w:val="auto"/>
        </w:rPr>
        <w:t xml:space="preserve">SECTION 1.4. </w:t>
      </w:r>
      <w:r>
        <w:rPr>
          <w:rFonts w:ascii="Times New Roman" w:cs="Times New Roman" w:eastAsia="Times New Roman" w:hAnsi="Times New Roman"/>
          <w:sz w:val="20"/>
          <w:szCs w:val="20"/>
          <w:u w:val="single" w:color="auto"/>
          <w:color w:val="auto"/>
        </w:rPr>
        <w:t>Timing of Payment of Performance; Times of Day</w:t>
      </w:r>
      <w:r>
        <w:rPr>
          <w:rFonts w:ascii="Times New Roman" w:cs="Times New Roman" w:eastAsia="Times New Roman" w:hAnsi="Times New Roman"/>
          <w:sz w:val="20"/>
          <w:szCs w:val="20"/>
          <w:color w:val="auto"/>
        </w:rPr>
        <w:t>. When payment of any obligation or the performance of any covenant, duty or obligation is stated to be due or performance required on a day which is not a Business Day, the date of such payment or performance shall extend to the immediately succeeding Business Day, and, in the case of any payment accruing interest, interest thereon shall be payable for the period of such extension. Unless otherwise specified herein, all references herein to times of day shall be references to New York City time (daylight or standard, as applicable).</w:t>
      </w:r>
    </w:p>
    <w:p>
      <w:pPr>
        <w:spacing w:after="0" w:line="173"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1.5. </w:t>
      </w:r>
      <w:r>
        <w:rPr>
          <w:rFonts w:ascii="Times New Roman" w:cs="Times New Roman" w:eastAsia="Times New Roman" w:hAnsi="Times New Roman"/>
          <w:sz w:val="20"/>
          <w:szCs w:val="20"/>
          <w:u w:val="single" w:color="auto"/>
          <w:color w:val="auto"/>
        </w:rPr>
        <w:t>Division of Limited Liability Company</w:t>
      </w:r>
      <w:r>
        <w:rPr>
          <w:rFonts w:ascii="Times New Roman" w:cs="Times New Roman" w:eastAsia="Times New Roman" w:hAnsi="Times New Roman"/>
          <w:sz w:val="20"/>
          <w:szCs w:val="20"/>
          <w:color w:val="auto"/>
        </w:rPr>
        <w:t>. 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hereunder (and each division of any limited liability company that is a subsidiary, Subsidiary, joint venture or any other like term shall also constitute such a Person or entity).</w:t>
      </w:r>
    </w:p>
    <w:p>
      <w:pPr>
        <w:spacing w:after="0" w:line="179"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1.6.</w:t>
      </w:r>
      <w:r>
        <w:rPr>
          <w:sz w:val="20"/>
          <w:szCs w:val="20"/>
          <w:color w:val="auto"/>
        </w:rPr>
        <w:tab/>
      </w:r>
      <w:r>
        <w:rPr>
          <w:rFonts w:ascii="Times New Roman" w:cs="Times New Roman" w:eastAsia="Times New Roman" w:hAnsi="Times New Roman"/>
          <w:sz w:val="19"/>
          <w:szCs w:val="19"/>
          <w:u w:val="single" w:color="auto"/>
          <w:color w:val="auto"/>
        </w:rPr>
        <w:t>Benchmark Replacement Setting</w:t>
      </w:r>
      <w:r>
        <w:rPr>
          <w:rFonts w:ascii="Times New Roman" w:cs="Times New Roman" w:eastAsia="Times New Roman" w:hAnsi="Times New Roman"/>
          <w:sz w:val="19"/>
          <w:szCs w:val="19"/>
          <w:color w:val="auto"/>
          <w:highlight w:val="white"/>
        </w:rPr>
        <w:t>.</w:t>
      </w:r>
    </w:p>
    <w:p>
      <w:pPr>
        <w:spacing w:after="0" w:line="229" w:lineRule="exact"/>
        <w:rPr>
          <w:sz w:val="20"/>
          <w:szCs w:val="20"/>
          <w:color w:val="auto"/>
        </w:rPr>
      </w:pPr>
    </w:p>
    <w:p>
      <w:pPr>
        <w:jc w:val="both"/>
        <w:ind w:left="300" w:firstLine="816"/>
        <w:spacing w:after="0" w:line="241" w:lineRule="auto"/>
        <w:tabs>
          <w:tab w:leader="none" w:pos="1741"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w:t>
      </w:r>
      <w:r>
        <w:rPr>
          <w:rFonts w:ascii="Times New Roman" w:cs="Times New Roman" w:eastAsia="Times New Roman" w:hAnsi="Times New Roman"/>
          <w:sz w:val="20"/>
          <w:szCs w:val="20"/>
          <w:color w:val="auto"/>
        </w:rPr>
        <w:t>. Notwithstanding anything to the contrary herein or in any other Loan Document, upon the occurrence of a Benchmark Transition Event with respect to a Benchmark, the Lender and the Borrower may amend this Agreement to replace such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20"/>
          <w:szCs w:val="20"/>
          <w:color w:val="auto"/>
        </w:rPr>
        <w:t xml:space="preserve">) Business Day after the Lender has posted such proposed amendment to the Borrower. No replacement of a Benchmark with a Benchmark Replacement pursuant to this </w:t>
      </w:r>
      <w:r>
        <w:rPr>
          <w:rFonts w:ascii="Times New Roman" w:cs="Times New Roman" w:eastAsia="Times New Roman" w:hAnsi="Times New Roman"/>
          <w:sz w:val="20"/>
          <w:szCs w:val="20"/>
          <w:u w:val="single" w:color="auto"/>
          <w:color w:val="auto"/>
        </w:rPr>
        <w:t>Section 1.06(a)</w:t>
      </w:r>
      <w:r>
        <w:rPr>
          <w:rFonts w:ascii="Times New Roman" w:cs="Times New Roman" w:eastAsia="Times New Roman" w:hAnsi="Times New Roman"/>
          <w:sz w:val="20"/>
          <w:szCs w:val="20"/>
          <w:color w:val="auto"/>
        </w:rPr>
        <w:t xml:space="preserve"> will occur prior to the applicable Benchmark Transition Start Date.</w:t>
      </w:r>
    </w:p>
    <w:p>
      <w:pPr>
        <w:spacing w:after="0" w:line="203"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implementation of a Benchmark Replacement, the Lender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The Lender will promptly notify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w:t>
      </w:r>
    </w:p>
    <w:p>
      <w:pPr>
        <w:sectPr>
          <w:pgSz w:w="11900" w:h="16838" w:orient="portrait"/>
          <w:cols w:equalWidth="0" w:num="1">
            <w:col w:w="11040"/>
          </w:cols>
          <w:pgMar w:left="520" w:top="1413" w:right="339" w:bottom="1440" w:gutter="0" w:footer="0" w:header="0"/>
        </w:sectPr>
      </w:pPr>
    </w:p>
    <w:bookmarkStart w:id="98" w:name="page99"/>
    <w:bookmarkEnd w:id="98"/>
    <w:p>
      <w:pPr>
        <w:ind w:left="300"/>
        <w:spacing w:after="0" w:line="283" w:lineRule="auto"/>
        <w:rPr>
          <w:sz w:val="20"/>
          <w:szCs w:val="20"/>
          <w:color w:val="auto"/>
        </w:rPr>
      </w:pPr>
      <w:r>
        <w:rPr>
          <w:rFonts w:ascii="Times New Roman" w:cs="Times New Roman" w:eastAsia="Times New Roman" w:hAnsi="Times New Roman"/>
          <w:sz w:val="20"/>
          <w:szCs w:val="20"/>
          <w:color w:val="auto"/>
        </w:rPr>
        <w:t>the Borrower of the effectiveness of any Benchmark Replacement Conforming Changes in connection with the use or administration of the applicable Benchmark Replacement.</w:t>
      </w:r>
    </w:p>
    <w:p>
      <w:pPr>
        <w:spacing w:after="0" w:line="146" w:lineRule="exact"/>
        <w:rPr>
          <w:sz w:val="20"/>
          <w:szCs w:val="20"/>
          <w:color w:val="auto"/>
        </w:rPr>
      </w:pPr>
    </w:p>
    <w:p>
      <w:pPr>
        <w:jc w:val="both"/>
        <w:ind w:left="300" w:firstLine="816"/>
        <w:spacing w:after="0" w:line="253" w:lineRule="auto"/>
        <w:tabs>
          <w:tab w:leader="none" w:pos="174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 Standards for Decisions and Determinations</w:t>
      </w:r>
      <w:r>
        <w:rPr>
          <w:rFonts w:ascii="Times New Roman" w:cs="Times New Roman" w:eastAsia="Times New Roman" w:hAnsi="Times New Roman"/>
          <w:sz w:val="20"/>
          <w:szCs w:val="20"/>
          <w:color w:val="auto"/>
        </w:rPr>
        <w:t xml:space="preserve">. The Lender will promptly notify the Borrower of (i) the implementation of any Benchmark Replacement, (ii) the effectiveness of any Benchmark Replacement Conforming Changes and (iii) the removal or reinstatement of any tenor of a Benchmark pursuant to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 xml:space="preserve">. Any determination, decision or election that may be made by the Lender pursuant to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w:t>
      </w:r>
    </w:p>
    <w:p>
      <w:pPr>
        <w:spacing w:after="0" w:line="179" w:lineRule="exact"/>
        <w:rPr>
          <w:rFonts w:ascii="Times New Roman" w:cs="Times New Roman" w:eastAsia="Times New Roman" w:hAnsi="Times New Roman"/>
          <w:sz w:val="20"/>
          <w:szCs w:val="20"/>
          <w:color w:val="auto"/>
        </w:rPr>
      </w:pPr>
    </w:p>
    <w:p>
      <w:pPr>
        <w:jc w:val="both"/>
        <w:ind w:left="300" w:firstLine="816"/>
        <w:spacing w:after="0" w:line="250" w:lineRule="auto"/>
        <w:tabs>
          <w:tab w:leader="none" w:pos="1738"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xml:space="preserve">. Notwithstanding anything to the contrary herein or in any other Loan Document, at any time (including in connection with the implementation of a Benchmark Replacement), (i) if any then-current Benchmark is a term rate (including Term SOFR) and either (A) any tenor for such Benchmark is not displayed on a screen or other information service that publishes such rate from time to time as selected by the Lender in its reasonable discretion or (B) the regulatory supervisor for the administrator of such Benchmark has provided a public statement or publication of information announcing that any tenor for such Benchmark is or will be no longer representative or in compliance with or aligned with the International Organization of Securities Commissions (IOSCO) Principles for Financial Benchmarks, then the Lender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or not in compliance with or aligned with the International Organization of Securities Commissions (IOSCO) Principles for Financial Benchmarks, then the Lender may modify the definition of “Interest Period” (or any similar or analogous definition) for all Benchmark settings at or after such time to reinstate such previously removed tenor.</w:t>
      </w:r>
    </w:p>
    <w:p>
      <w:pPr>
        <w:spacing w:after="0" w:line="196" w:lineRule="exact"/>
        <w:rPr>
          <w:rFonts w:ascii="Times New Roman" w:cs="Times New Roman" w:eastAsia="Times New Roman" w:hAnsi="Times New Roman"/>
          <w:sz w:val="20"/>
          <w:szCs w:val="20"/>
          <w:color w:val="auto"/>
        </w:rPr>
      </w:pPr>
    </w:p>
    <w:p>
      <w:pPr>
        <w:jc w:val="both"/>
        <w:ind w:left="300" w:firstLine="816"/>
        <w:spacing w:after="0" w:line="265" w:lineRule="auto"/>
        <w:tabs>
          <w:tab w:leader="none" w:pos="1741"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Benchmark Unavailability Period</w:t>
      </w:r>
      <w:r>
        <w:rPr>
          <w:rFonts w:ascii="Times New Roman" w:cs="Times New Roman" w:eastAsia="Times New Roman" w:hAnsi="Times New Roman"/>
          <w:sz w:val="19"/>
          <w:szCs w:val="19"/>
          <w:color w:val="auto"/>
        </w:rPr>
        <w:t xml:space="preserve">. Upon the Borrower’s receipt of notice of the commencement of a Benchmark Unavailability Period with respect to a given Benchmark, the Borrower may revoke any pending request for a Term SOFR Borrowing of, conversion to or continuation of Term SOFR Loans, in each case, to be made, converted or continued during any Benchmark Unavailability Period denominated in the applicable currency and, failing that, (i) in the case of any request for an affected Term SOFR Borrowing, the Borrower will be deemed to have converted any such request into a request for a Borrowing of, or conversion to, Base Rate Loans in the amount specified therein; and (ii) any outstanding Term SOFR Loans will be deemed to have been converted into Base Rate Loans at the end of the applicable Interest Period.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9"/>
          <w:szCs w:val="19"/>
          <w:u w:val="single" w:color="auto"/>
          <w:color w:val="auto"/>
        </w:rPr>
        <w:t>Section 2.12</w:t>
      </w:r>
      <w:r>
        <w:rPr>
          <w:rFonts w:ascii="Times New Roman" w:cs="Times New Roman" w:eastAsia="Times New Roman" w:hAnsi="Times New Roman"/>
          <w:sz w:val="19"/>
          <w:szCs w:val="19"/>
          <w:color w:val="auto"/>
        </w:rPr>
        <w:t>. During a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ectPr>
          <w:pgSz w:w="11900" w:h="16838" w:orient="portrait"/>
          <w:cols w:equalWidth="0" w:num="1">
            <w:col w:w="11040"/>
          </w:cols>
          <w:pgMar w:left="520" w:top="1413" w:right="339" w:bottom="1440" w:gutter="0" w:footer="0" w:header="0"/>
        </w:sectPr>
      </w:pPr>
    </w:p>
    <w:bookmarkStart w:id="99" w:name="page100"/>
    <w:bookmarkEnd w:id="99"/>
    <w:p>
      <w:pPr>
        <w:jc w:val="both"/>
        <w:ind w:left="200" w:firstLine="583"/>
        <w:spacing w:after="0" w:line="264" w:lineRule="auto"/>
        <w:rPr>
          <w:sz w:val="20"/>
          <w:szCs w:val="20"/>
          <w:color w:val="auto"/>
        </w:rPr>
      </w:pPr>
      <w:r>
        <w:rPr>
          <w:rFonts w:ascii="Times New Roman" w:cs="Times New Roman" w:eastAsia="Times New Roman" w:hAnsi="Times New Roman"/>
          <w:sz w:val="19"/>
          <w:szCs w:val="19"/>
          <w:color w:val="auto"/>
        </w:rPr>
        <w:t xml:space="preserve">SECTION 1.7. </w:t>
      </w:r>
      <w:r>
        <w:rPr>
          <w:rFonts w:ascii="Times New Roman" w:cs="Times New Roman" w:eastAsia="Times New Roman" w:hAnsi="Times New Roman"/>
          <w:sz w:val="19"/>
          <w:szCs w:val="19"/>
          <w:u w:val="single" w:color="auto"/>
          <w:color w:val="auto"/>
        </w:rPr>
        <w:t>Rates</w:t>
      </w:r>
      <w:r>
        <w:rPr>
          <w:rFonts w:ascii="Times New Roman" w:cs="Times New Roman" w:eastAsia="Times New Roman" w:hAnsi="Times New Roman"/>
          <w:sz w:val="19"/>
          <w:szCs w:val="19"/>
          <w:color w:val="auto"/>
        </w:rPr>
        <w:t>. The Lender does not warrant or accept responsibility for, and shall not have any liability with respect to (a) the continuation of, administration of, submission of, calculation of or any other matter related to any Benchmark, any component definition thereof or rates referenced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or any other Benchmark prior to its discontinuance or unavailability, or (b) the effect, implementation or composition of any Term SOFR Conforming Changes or Benchmark Replacement Conforming Changes. The Lender and its affiliates or other related entities may engage in transactions that affect the calculation of any Benchmark, any alternative, successor or replacement rate (including any Benchmark Replacement) or any relevant adjustments thereto, in each case, in a manner adverse to the Borrower. The Lender may select information sources or services in its reasonable discretion to ascertain any Benchmark, any component definition thereof or rates referenced in the definition thereof, in each case pursuant to the terms of this Agreement, and shall have no liability to the Borrower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2" w:lineRule="exact"/>
        <w:rPr>
          <w:sz w:val="20"/>
          <w:szCs w:val="20"/>
          <w:color w:val="auto"/>
        </w:rPr>
      </w:pPr>
    </w:p>
    <w:p>
      <w:pPr>
        <w:jc w:val="center"/>
        <w:ind w:right="180"/>
        <w:spacing w:after="0"/>
        <w:tabs>
          <w:tab w:leader="none" w:pos="300" w:val="left"/>
        </w:tabs>
        <w:rPr>
          <w:sz w:val="20"/>
          <w:szCs w:val="20"/>
          <w:color w:val="auto"/>
        </w:rPr>
      </w:pPr>
      <w:r>
        <w:rPr>
          <w:rFonts w:ascii="Times New Roman" w:cs="Times New Roman" w:eastAsia="Times New Roman" w:hAnsi="Times New Roman"/>
          <w:sz w:val="20"/>
          <w:szCs w:val="20"/>
          <w:color w:val="auto"/>
        </w:rPr>
        <w:t>ARTICLE 2</w:t>
      </w:r>
      <w:r>
        <w:rPr>
          <w:sz w:val="20"/>
          <w:szCs w:val="20"/>
          <w:color w:val="auto"/>
        </w:rPr>
        <w:tab/>
      </w:r>
      <w:r>
        <w:rPr>
          <w:rFonts w:ascii="Times New Roman" w:cs="Times New Roman" w:eastAsia="Times New Roman" w:hAnsi="Times New Roman"/>
          <w:sz w:val="19"/>
          <w:szCs w:val="19"/>
          <w:color w:val="auto"/>
        </w:rPr>
        <w:t>THE LOAN</w:t>
      </w:r>
    </w:p>
    <w:p>
      <w:pPr>
        <w:spacing w:after="0" w:line="229" w:lineRule="exact"/>
        <w:rPr>
          <w:sz w:val="20"/>
          <w:szCs w:val="20"/>
          <w:color w:val="auto"/>
        </w:rPr>
      </w:pPr>
    </w:p>
    <w:p>
      <w:pPr>
        <w:jc w:val="both"/>
        <w:ind w:left="200" w:firstLine="583"/>
        <w:spacing w:after="0" w:line="249" w:lineRule="auto"/>
        <w:rPr>
          <w:sz w:val="20"/>
          <w:szCs w:val="20"/>
          <w:color w:val="auto"/>
        </w:rPr>
      </w:pPr>
      <w:r>
        <w:rPr>
          <w:rFonts w:ascii="Times New Roman" w:cs="Times New Roman" w:eastAsia="Times New Roman" w:hAnsi="Times New Roman"/>
          <w:sz w:val="20"/>
          <w:szCs w:val="20"/>
          <w:color w:val="auto"/>
        </w:rPr>
        <w:t xml:space="preserve">SECTION 2.1. </w:t>
      </w:r>
      <w:r>
        <w:rPr>
          <w:rFonts w:ascii="Times New Roman" w:cs="Times New Roman" w:eastAsia="Times New Roman" w:hAnsi="Times New Roman"/>
          <w:sz w:val="20"/>
          <w:szCs w:val="20"/>
          <w:u w:val="single" w:color="auto"/>
          <w:color w:val="auto"/>
        </w:rPr>
        <w:t>Commitment to Lend</w:t>
      </w:r>
      <w:r>
        <w:rPr>
          <w:rFonts w:ascii="Times New Roman" w:cs="Times New Roman" w:eastAsia="Times New Roman" w:hAnsi="Times New Roman"/>
          <w:sz w:val="20"/>
          <w:szCs w:val="20"/>
          <w:color w:val="auto"/>
        </w:rPr>
        <w:t xml:space="preserve">. Subject to the terms and conditions set forth herein, the Lender agrees to make revolving Loans to the Borrower denominated in Dollars at any time and from time to time on and after the Closing Date and until the earlier of the Termination Date and the termination of the Commitment of the Lender in accordance with the terms hereof; provided that, after giving effect to any Borrowing of Loans, the aggregate principal amount of Loans (without giving effect to any PIK Interest Amounts added to the principal balance of the Loans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outstanding shall not exceed the Lender’s Commitment;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notwithstanding the foregoing, (i) prior to December 31, 2024, the Borrower will not be permitted to borrow under this Agreement without the Lender’s consent in its sole discretion, (ii) from and including December 31, 2024 until (but not including) March 31, 2025, the Borrower shall be permitted to borrow up to $10,000,000 in aggregate principal amount of Loans (without giving effect to any PIK Interest Amounts added to the principal balance of the Loans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2.06(c)</w:t>
      </w:r>
      <w:r>
        <w:rPr>
          <w:rFonts w:ascii="Times New Roman" w:cs="Times New Roman" w:eastAsia="Times New Roman" w:hAnsi="Times New Roman"/>
          <w:sz w:val="20"/>
          <w:szCs w:val="20"/>
          <w:color w:val="auto"/>
        </w:rPr>
        <w:t xml:space="preserve">) without the Lender’s consent, (iii) from and including March 31, 2025 until (but not including) June 30, 2025, the Borrower shall be permitted to borrow up to $20,000,000 in aggregate principal amount of Loans (without giving effect to any PIK Interest Amounts added to the principal balance of the Loans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without the Lender’s consent, (iv) from and including June 30, 2025 until (but not including) September 30, 2025, the Borrower shall be permitted to borrow up to $30,000,000 in aggregate principal of Loans (without giving effect to any PIK Interest Amounts added to the principal balance of the Loans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without the Lender’s consent and (v) on or after September 30, 2025, the Borrower shall be permitted to borrow up to $40,000,000 in aggregate principal amount of Loans (without giving effect to any PIK Interest Amount added to the principal balance of the Loans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Within the foregoing limits and subject to the terms, conditions and limitations set forth herein, Loans denominated may be borrowed, paid, repaid and reborrowed. Each Borrowing shall comprise an aggregate principal amount that is an integral multiple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ectPr>
          <w:pgSz w:w="11900" w:h="16838" w:orient="portrait"/>
          <w:cols w:equalWidth="0" w:num="1">
            <w:col w:w="11040"/>
          </w:cols>
          <w:pgMar w:left="520" w:top="1413" w:right="339" w:bottom="1440" w:gutter="0" w:footer="0" w:header="0"/>
        </w:sectPr>
      </w:pPr>
    </w:p>
    <w:bookmarkStart w:id="100" w:name="page101"/>
    <w:bookmarkEnd w:id="100"/>
    <w:p>
      <w:pPr>
        <w:jc w:val="both"/>
        <w:ind w:left="200" w:right="20"/>
        <w:spacing w:after="0" w:line="283" w:lineRule="auto"/>
        <w:rPr>
          <w:sz w:val="20"/>
          <w:szCs w:val="20"/>
          <w:color w:val="auto"/>
        </w:rPr>
      </w:pPr>
      <w:r>
        <w:rPr>
          <w:rFonts w:ascii="Times New Roman" w:cs="Times New Roman" w:eastAsia="Times New Roman" w:hAnsi="Times New Roman"/>
          <w:sz w:val="20"/>
          <w:szCs w:val="20"/>
          <w:color w:val="auto"/>
        </w:rPr>
        <w:t xml:space="preserve">$100,000 and not less than $100,000, except that any such Borrowing may be in the aggregate principal amount available in accordance with </w:t>
      </w:r>
      <w:r>
        <w:rPr>
          <w:rFonts w:ascii="Times New Roman" w:cs="Times New Roman" w:eastAsia="Times New Roman" w:hAnsi="Times New Roman"/>
          <w:sz w:val="20"/>
          <w:szCs w:val="20"/>
          <w:u w:val="single" w:color="auto"/>
          <w:color w:val="auto"/>
        </w:rPr>
        <w:t>Section 2.01</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200" w:firstLine="583"/>
        <w:spacing w:after="0" w:line="258" w:lineRule="auto"/>
        <w:rPr>
          <w:sz w:val="20"/>
          <w:szCs w:val="20"/>
          <w:color w:val="auto"/>
        </w:rPr>
      </w:pPr>
      <w:r>
        <w:rPr>
          <w:rFonts w:ascii="Times New Roman" w:cs="Times New Roman" w:eastAsia="Times New Roman" w:hAnsi="Times New Roman"/>
          <w:sz w:val="20"/>
          <w:szCs w:val="20"/>
          <w:color w:val="auto"/>
        </w:rPr>
        <w:t xml:space="preserve">SECTION 2.2. </w:t>
      </w:r>
      <w:r>
        <w:rPr>
          <w:rFonts w:ascii="Times New Roman" w:cs="Times New Roman" w:eastAsia="Times New Roman" w:hAnsi="Times New Roman"/>
          <w:sz w:val="20"/>
          <w:szCs w:val="20"/>
          <w:u w:val="single" w:color="auto"/>
          <w:color w:val="auto"/>
        </w:rPr>
        <w:t>Requests for Borrowings</w:t>
      </w:r>
      <w:r>
        <w:rPr>
          <w:rFonts w:ascii="Times New Roman" w:cs="Times New Roman" w:eastAsia="Times New Roman" w:hAnsi="Times New Roman"/>
          <w:sz w:val="20"/>
          <w:szCs w:val="20"/>
          <w:color w:val="auto"/>
        </w:rPr>
        <w:t xml:space="preserve">. The Borrower shall give the Lender written notice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hereto or in such other form as may be acceptable to the Lender (a “</w:t>
      </w:r>
      <w:r>
        <w:rPr>
          <w:rFonts w:ascii="Times New Roman" w:cs="Times New Roman" w:eastAsia="Times New Roman" w:hAnsi="Times New Roman"/>
          <w:sz w:val="20"/>
          <w:szCs w:val="20"/>
          <w:b w:val="1"/>
          <w:bCs w:val="1"/>
          <w:color w:val="auto"/>
        </w:rPr>
        <w:t>Borrowing Request</w:t>
      </w:r>
      <w:r>
        <w:rPr>
          <w:rFonts w:ascii="Times New Roman" w:cs="Times New Roman" w:eastAsia="Times New Roman" w:hAnsi="Times New Roman"/>
          <w:sz w:val="20"/>
          <w:szCs w:val="20"/>
          <w:color w:val="auto"/>
        </w:rPr>
        <w:t>”) not later than (a) 10:30 a.m. (New York City time) on the date of each Base Rate Borrowing, and (b) 10:30 a.m. (New York City time) on the third U.S. Government Securities Business Day before each Term SOFR Borrowing, specifying:</w:t>
      </w:r>
    </w:p>
    <w:p>
      <w:pPr>
        <w:spacing w:after="0" w:line="186" w:lineRule="exact"/>
        <w:rPr>
          <w:sz w:val="20"/>
          <w:szCs w:val="20"/>
          <w:color w:val="auto"/>
        </w:rPr>
      </w:pPr>
    </w:p>
    <w:p>
      <w:pPr>
        <w:ind w:left="1560" w:hanging="444"/>
        <w:spacing w:after="0"/>
        <w:tabs>
          <w:tab w:leader="none" w:pos="15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of such Borrowing, which shall be a Business Day;</w:t>
      </w:r>
    </w:p>
    <w:p>
      <w:pPr>
        <w:spacing w:after="0" w:line="215" w:lineRule="exact"/>
        <w:rPr>
          <w:rFonts w:ascii="Times New Roman" w:cs="Times New Roman" w:eastAsia="Times New Roman" w:hAnsi="Times New Roman"/>
          <w:sz w:val="20"/>
          <w:szCs w:val="20"/>
          <w:color w:val="auto"/>
        </w:rPr>
      </w:pPr>
    </w:p>
    <w:p>
      <w:pPr>
        <w:ind w:left="1560" w:hanging="444"/>
        <w:spacing w:after="0"/>
        <w:tabs>
          <w:tab w:leader="none" w:pos="156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such Borrowing (expressed in Dollars);</w:t>
      </w:r>
    </w:p>
    <w:p>
      <w:pPr>
        <w:spacing w:after="0" w:line="229" w:lineRule="exact"/>
        <w:rPr>
          <w:sz w:val="20"/>
          <w:szCs w:val="20"/>
          <w:color w:val="auto"/>
        </w:rPr>
      </w:pPr>
    </w:p>
    <w:p>
      <w:pPr>
        <w:ind w:left="1640" w:hanging="524"/>
        <w:spacing w:after="0"/>
        <w:tabs>
          <w:tab w:leader="none" w:pos="164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Loans comprising such Borrowing are to be Base Rate Loans or Term SOFR Loans;</w:t>
      </w:r>
    </w:p>
    <w:p>
      <w:pPr>
        <w:spacing w:after="0" w:line="215" w:lineRule="exact"/>
        <w:rPr>
          <w:rFonts w:ascii="Times New Roman" w:cs="Times New Roman" w:eastAsia="Times New Roman" w:hAnsi="Times New Roman"/>
          <w:sz w:val="20"/>
          <w:szCs w:val="20"/>
          <w:color w:val="auto"/>
        </w:rPr>
      </w:pPr>
    </w:p>
    <w:p>
      <w:pPr>
        <w:ind w:left="1120" w:hanging="4"/>
        <w:spacing w:after="0" w:line="283" w:lineRule="auto"/>
        <w:tabs>
          <w:tab w:leader="none" w:pos="1615"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Term SOFR Borrowing, the duration of the Interest Period applicable thereto, subject to the provisions of the definition of Interest Period; and</w:t>
      </w:r>
    </w:p>
    <w:p>
      <w:pPr>
        <w:spacing w:after="0" w:line="159" w:lineRule="exact"/>
        <w:rPr>
          <w:rFonts w:ascii="Times New Roman" w:cs="Times New Roman" w:eastAsia="Times New Roman" w:hAnsi="Times New Roman"/>
          <w:sz w:val="20"/>
          <w:szCs w:val="20"/>
          <w:color w:val="auto"/>
        </w:rPr>
      </w:pPr>
    </w:p>
    <w:p>
      <w:pPr>
        <w:ind w:left="1120" w:hanging="4"/>
        <w:spacing w:after="0" w:line="269" w:lineRule="auto"/>
        <w:tabs>
          <w:tab w:leader="none" w:pos="1459"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location of the account to which funds are to be disbursed (which shall be an account in the name of the Borrower).</w:t>
      </w:r>
    </w:p>
    <w:p>
      <w:pPr>
        <w:spacing w:after="0" w:line="169" w:lineRule="exact"/>
        <w:rPr>
          <w:sz w:val="20"/>
          <w:szCs w:val="20"/>
          <w:color w:val="auto"/>
        </w:rPr>
      </w:pPr>
    </w:p>
    <w:p>
      <w:pPr>
        <w:ind w:left="1120"/>
        <w:spacing w:after="0" w:line="273" w:lineRule="auto"/>
        <w:rPr>
          <w:sz w:val="20"/>
          <w:szCs w:val="20"/>
          <w:color w:val="auto"/>
        </w:rPr>
      </w:pPr>
      <w:r>
        <w:rPr>
          <w:rFonts w:ascii="Times New Roman" w:cs="Times New Roman" w:eastAsia="Times New Roman" w:hAnsi="Times New Roman"/>
          <w:sz w:val="20"/>
          <w:szCs w:val="20"/>
          <w:color w:val="auto"/>
        </w:rPr>
        <w:t xml:space="preserve">The Borrower may present to the Lender a Borrowing Request on any Business Day;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Borrower may present to the Lender no more than one Borrowing Request per calendar week.</w:t>
      </w:r>
    </w:p>
    <w:p>
      <w:pPr>
        <w:spacing w:after="0" w:line="169"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2.3.</w:t>
      </w:r>
      <w:r>
        <w:rPr>
          <w:sz w:val="20"/>
          <w:szCs w:val="20"/>
          <w:color w:val="auto"/>
        </w:rPr>
        <w:tab/>
      </w:r>
      <w:r>
        <w:rPr>
          <w:rFonts w:ascii="Times New Roman" w:cs="Times New Roman" w:eastAsia="Times New Roman" w:hAnsi="Times New Roman"/>
          <w:sz w:val="19"/>
          <w:szCs w:val="19"/>
          <w:u w:val="single" w:color="auto"/>
          <w:color w:val="auto"/>
        </w:rPr>
        <w:t>Notice to Lender; Funding of Loans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300" w:firstLine="816"/>
        <w:spacing w:after="0" w:line="251" w:lineRule="auto"/>
        <w:tabs>
          <w:tab w:leader="none" w:pos="174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of a Borrowing Request by the Lender, such Borrowing Request shall not thereafter be revocable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to the contrary in the foregoing, a Borrowing Request delivered by the Borrower may state that such notice is conditioned upon the effectiveness of other credit facilities or transactions (such notice to specify the proposed effective date), in which case such notice may be revoked by the Borrower (by notice to the Lender on or prior to such specified effective date) if such condition is not satisfied and the Borrower shall indemnify the Lender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 if and to the extent applicable.</w:t>
      </w:r>
    </w:p>
    <w:p>
      <w:pPr>
        <w:spacing w:after="0" w:line="190"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the Lender shall make each Loan to be made by it hereunder on the proposed date thereof by wire transfer of immediately available funds by 2:00 p.m., New York City time, to the applicable account of the Borrower notified to the Lender from time to time in writing.</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41"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Lender makes a new Loan hereunder on a day on which the Borrower is to repay all or any part of an outstanding Loan from the Lender, the Lender shall apply the proceeds of its new Loan to make such repayment and only an amount equal to the difference (if any) between the amount being borrowed and the amount being repaid shall be made available by the Lender as provided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2.03</w:t>
      </w:r>
      <w:r>
        <w:rPr>
          <w:rFonts w:ascii="Times New Roman" w:cs="Times New Roman" w:eastAsia="Times New Roman" w:hAnsi="Times New Roman"/>
          <w:sz w:val="20"/>
          <w:szCs w:val="20"/>
          <w:color w:val="auto"/>
        </w:rPr>
        <w:t xml:space="preserve">, or remitted by the Borrower to the Lender as provided in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as the case may be.</w:t>
      </w:r>
    </w:p>
    <w:p>
      <w:pPr>
        <w:spacing w:after="0" w:line="192"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2.4.</w:t>
      </w:r>
      <w:r>
        <w:rPr>
          <w:sz w:val="20"/>
          <w:szCs w:val="20"/>
          <w:color w:val="auto"/>
        </w:rPr>
        <w:tab/>
      </w:r>
      <w:r>
        <w:rPr>
          <w:rFonts w:ascii="Times New Roman" w:cs="Times New Roman" w:eastAsia="Times New Roman" w:hAnsi="Times New Roman"/>
          <w:sz w:val="19"/>
          <w:szCs w:val="19"/>
          <w:u w:val="single" w:color="auto"/>
          <w:color w:val="auto"/>
        </w:rPr>
        <w:t>Evidence of Debt</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ectPr>
          <w:pgSz w:w="11900" w:h="16838" w:orient="portrait"/>
          <w:cols w:equalWidth="0" w:num="1">
            <w:col w:w="11040"/>
          </w:cols>
          <w:pgMar w:left="520" w:top="1413" w:right="339" w:bottom="1440" w:gutter="0" w:footer="0" w:header="0"/>
        </w:sectPr>
      </w:pPr>
    </w:p>
    <w:bookmarkStart w:id="101" w:name="page102"/>
    <w:bookmarkEnd w:id="101"/>
    <w:p>
      <w:pPr>
        <w:jc w:val="both"/>
        <w:ind w:left="300" w:firstLine="816"/>
        <w:spacing w:after="0" w:line="261" w:lineRule="auto"/>
        <w:tabs>
          <w:tab w:leader="none" w:pos="1741"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shall maintain in accordance with its usual practice an account or accounts evidencing the indebtedness of the Borrower to the Lender resulting from each Loan made by the Lender, including the amounts of principal and interest payable and paid to the Lender from time to time hereunder.</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58" w:lineRule="auto"/>
        <w:tabs>
          <w:tab w:leader="none" w:pos="1738"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entries made in the account or accounts maintained pursuant to paragraph (a) of this </w:t>
      </w:r>
      <w:r>
        <w:rPr>
          <w:rFonts w:ascii="Times New Roman" w:cs="Times New Roman" w:eastAsia="Times New Roman" w:hAnsi="Times New Roman"/>
          <w:sz w:val="20"/>
          <w:szCs w:val="20"/>
          <w:u w:val="single" w:color="auto"/>
          <w:color w:val="auto"/>
        </w:rPr>
        <w:t>Section 2.04</w:t>
      </w:r>
      <w:r>
        <w:rPr>
          <w:rFonts w:ascii="Times New Roman" w:cs="Times New Roman" w:eastAsia="Times New Roman" w:hAnsi="Times New Roman"/>
          <w:sz w:val="20"/>
          <w:szCs w:val="20"/>
          <w:color w:val="auto"/>
        </w:rPr>
        <w:t xml:space="preserve"> shall be prima facie evidence of the existence and amounts of the obligations recorded therein;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failure of the Lender to maintain such account or accounts or any error therein shall not in any manner affect the obligation of the Borrower to repay the Loans in accordance with the terms of this Agreement.</w:t>
      </w:r>
    </w:p>
    <w:p>
      <w:pPr>
        <w:spacing w:after="0" w:line="172" w:lineRule="exact"/>
        <w:rPr>
          <w:sz w:val="20"/>
          <w:szCs w:val="20"/>
          <w:color w:val="auto"/>
        </w:rPr>
      </w:pPr>
    </w:p>
    <w:p>
      <w:pPr>
        <w:jc w:val="both"/>
        <w:ind w:left="200" w:firstLine="583"/>
        <w:spacing w:after="0" w:line="261" w:lineRule="auto"/>
        <w:rPr>
          <w:sz w:val="20"/>
          <w:szCs w:val="20"/>
          <w:color w:val="auto"/>
        </w:rPr>
      </w:pPr>
      <w:r>
        <w:rPr>
          <w:rFonts w:ascii="Times New Roman" w:cs="Times New Roman" w:eastAsia="Times New Roman" w:hAnsi="Times New Roman"/>
          <w:sz w:val="20"/>
          <w:szCs w:val="20"/>
          <w:color w:val="auto"/>
        </w:rPr>
        <w:t xml:space="preserve">SECTION 2.5. </w:t>
      </w:r>
      <w:r>
        <w:rPr>
          <w:rFonts w:ascii="Times New Roman" w:cs="Times New Roman" w:eastAsia="Times New Roman" w:hAnsi="Times New Roman"/>
          <w:sz w:val="20"/>
          <w:szCs w:val="20"/>
          <w:u w:val="single" w:color="auto"/>
          <w:color w:val="auto"/>
        </w:rPr>
        <w:t>Maturity of Loans</w:t>
      </w:r>
      <w:r>
        <w:rPr>
          <w:rFonts w:ascii="Times New Roman" w:cs="Times New Roman" w:eastAsia="Times New Roman" w:hAnsi="Times New Roman"/>
          <w:sz w:val="20"/>
          <w:szCs w:val="20"/>
          <w:color w:val="auto"/>
        </w:rPr>
        <w:t xml:space="preserve">. Each Loan included in any Borrowing shall mature, and the principal amount thereof (including any PIK Interest Amount added to the principal balance of the Loans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shall be due and payable, on the Termination Date.</w:t>
      </w:r>
    </w:p>
    <w:p>
      <w:pPr>
        <w:spacing w:after="0" w:line="181"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2.6.</w:t>
      </w:r>
      <w:r>
        <w:rPr>
          <w:sz w:val="20"/>
          <w:szCs w:val="20"/>
          <w:color w:val="auto"/>
        </w:rPr>
        <w:tab/>
      </w:r>
      <w:r>
        <w:rPr>
          <w:rFonts w:ascii="Times New Roman" w:cs="Times New Roman" w:eastAsia="Times New Roman" w:hAnsi="Times New Roman"/>
          <w:sz w:val="20"/>
          <w:szCs w:val="20"/>
          <w:u w:val="single" w:color="auto"/>
          <w:color w:val="auto"/>
        </w:rPr>
        <w:t>Interest</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jc w:val="both"/>
        <w:ind w:left="300" w:firstLine="816"/>
        <w:spacing w:after="0" w:line="261" w:lineRule="auto"/>
        <w:tabs>
          <w:tab w:leader="none" w:pos="174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Rate Loans</w:t>
      </w:r>
      <w:r>
        <w:rPr>
          <w:rFonts w:ascii="Times New Roman" w:cs="Times New Roman" w:eastAsia="Times New Roman" w:hAnsi="Times New Roman"/>
          <w:sz w:val="20"/>
          <w:szCs w:val="20"/>
          <w:color w:val="auto"/>
        </w:rPr>
        <w:t>. Each Base Rate Loan shall bear interest on the outstanding principal amount thereof, for each day from the date such Loan is made until it becomes due, at a rate per annum equal to the sum of the Applicable Margin plus the Base Rate for such day. Such interest shall be payable for each Interest Period on the Interest Payment Date.</w:t>
      </w:r>
    </w:p>
    <w:p>
      <w:pPr>
        <w:spacing w:after="0" w:line="167" w:lineRule="exact"/>
        <w:rPr>
          <w:rFonts w:ascii="Times New Roman" w:cs="Times New Roman" w:eastAsia="Times New Roman" w:hAnsi="Times New Roman"/>
          <w:sz w:val="20"/>
          <w:szCs w:val="20"/>
          <w:color w:val="auto"/>
        </w:rPr>
      </w:pPr>
    </w:p>
    <w:p>
      <w:pPr>
        <w:jc w:val="both"/>
        <w:ind w:left="300" w:firstLine="816"/>
        <w:spacing w:after="0" w:line="268" w:lineRule="auto"/>
        <w:tabs>
          <w:tab w:leader="none" w:pos="17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 SOFR Loans</w:t>
      </w:r>
      <w:r>
        <w:rPr>
          <w:rFonts w:ascii="Times New Roman" w:cs="Times New Roman" w:eastAsia="Times New Roman" w:hAnsi="Times New Roman"/>
          <w:sz w:val="20"/>
          <w:szCs w:val="20"/>
          <w:color w:val="auto"/>
        </w:rPr>
        <w:t>. Each Term SOFR Loan shall bear interest on the outstanding principal amount thereof, for the Interest Period applicable thereto, at a rate per annum equal to the sum of the Applicable Margin plus Term SOFR. Such interest shall be payable for each Interest Period on the applicable Interest Payment Date.</w:t>
      </w:r>
    </w:p>
    <w:p>
      <w:pPr>
        <w:spacing w:after="0" w:line="161"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41"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PIK Option</w:t>
      </w:r>
      <w:r>
        <w:rPr>
          <w:rFonts w:ascii="Times New Roman" w:cs="Times New Roman" w:eastAsia="Times New Roman" w:hAnsi="Times New Roman"/>
          <w:sz w:val="20"/>
          <w:szCs w:val="20"/>
          <w:color w:val="auto"/>
        </w:rPr>
        <w:t>. With respect to the Loans for any Interest Period, no later than five (5) Business Days (or, such shorter period as the Lender may agree in its sole discretion) prior to the applicable Interest Payment Date, the Borrower shall have the option to submit a PIK Election Notice to the Lender, electing to pay interest owed on such Interest Payment Date with respect to such Interest Period in kind (the amount of such interest paid in kind, the “</w:t>
      </w:r>
      <w:r>
        <w:rPr>
          <w:rFonts w:ascii="Times New Roman" w:cs="Times New Roman" w:eastAsia="Times New Roman" w:hAnsi="Times New Roman"/>
          <w:sz w:val="20"/>
          <w:szCs w:val="20"/>
          <w:b w:val="1"/>
          <w:bCs w:val="1"/>
          <w:color w:val="auto"/>
        </w:rPr>
        <w:t>PIK Interest Amount</w:t>
      </w:r>
      <w:r>
        <w:rPr>
          <w:rFonts w:ascii="Times New Roman" w:cs="Times New Roman" w:eastAsia="Times New Roman" w:hAnsi="Times New Roman"/>
          <w:sz w:val="20"/>
          <w:szCs w:val="20"/>
          <w:color w:val="auto"/>
        </w:rPr>
        <w:t>”) by adding such PIK Interest Amount to the principal amount of the Loans on the applicable Interest Payment Date; provided that during any such Interest Period for which the Borrower has submitted a PIK Election Notice the Applicable Margin shall be automatically increased by 1.00% per annum (the “</w:t>
      </w:r>
      <w:r>
        <w:rPr>
          <w:rFonts w:ascii="Times New Roman" w:cs="Times New Roman" w:eastAsia="Times New Roman" w:hAnsi="Times New Roman"/>
          <w:sz w:val="20"/>
          <w:szCs w:val="20"/>
          <w:b w:val="1"/>
          <w:bCs w:val="1"/>
          <w:color w:val="auto"/>
        </w:rPr>
        <w:t>PIK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Premium</w:t>
      </w:r>
      <w:r>
        <w:rPr>
          <w:rFonts w:ascii="Times New Roman" w:cs="Times New Roman" w:eastAsia="Times New Roman" w:hAnsi="Times New Roman"/>
          <w:sz w:val="20"/>
          <w:szCs w:val="20"/>
          <w:color w:val="auto"/>
        </w:rPr>
        <w:t>”, which such PIK Premium shall be included in the PIK Interest Amount).</w:t>
      </w:r>
    </w:p>
    <w:p>
      <w:pPr>
        <w:spacing w:after="0" w:line="179" w:lineRule="exact"/>
        <w:rPr>
          <w:rFonts w:ascii="Times New Roman" w:cs="Times New Roman" w:eastAsia="Times New Roman" w:hAnsi="Times New Roman"/>
          <w:sz w:val="20"/>
          <w:szCs w:val="20"/>
          <w:color w:val="auto"/>
        </w:rPr>
      </w:pPr>
    </w:p>
    <w:p>
      <w:pPr>
        <w:jc w:val="both"/>
        <w:ind w:left="300" w:firstLine="816"/>
        <w:spacing w:after="0" w:line="251" w:lineRule="auto"/>
        <w:tabs>
          <w:tab w:leader="none" w:pos="173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interest in respect of the Loans that is paid-in-kind shall be capitalized on the outstanding principal amount of the Loans in arrears on each Interest Payment Date for such Loan and shall be payable as part of the outstanding principal amount of the Loans (taking into account any interest that has been paid in kind and capitalized to the principal amount in accordance with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upon any prepayment of the Loans and shall be payable as part of the outstanding principal amount of the Loans upon the Termination Date. The PIK Interest Amount shall constitute principal under the Loans and, in each case, shall accrue interest at the applicable rate set forth in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payable in accordance with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Interest that has accrued but has not been paid in Cash or capitalized shall be payable on the date of any prepayment, on the Termination Date and on any date of acceleration of the Loans. The aggregate amount of interest capitalized and added to principal on any relevant date shall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ectPr>
          <w:pgSz w:w="11900" w:h="16838" w:orient="portrait"/>
          <w:cols w:equalWidth="0" w:num="1">
            <w:col w:w="11040"/>
          </w:cols>
          <w:pgMar w:left="520" w:top="1413" w:right="339" w:bottom="1440" w:gutter="0" w:footer="0" w:header="0"/>
        </w:sectPr>
      </w:pPr>
    </w:p>
    <w:bookmarkStart w:id="102" w:name="page103"/>
    <w:bookmarkEnd w:id="102"/>
    <w:p>
      <w:pPr>
        <w:ind w:left="300"/>
        <w:spacing w:after="0"/>
        <w:rPr>
          <w:sz w:val="20"/>
          <w:szCs w:val="20"/>
          <w:color w:val="auto"/>
        </w:rPr>
      </w:pPr>
      <w:r>
        <w:rPr>
          <w:rFonts w:ascii="Times New Roman" w:cs="Times New Roman" w:eastAsia="Times New Roman" w:hAnsi="Times New Roman"/>
          <w:sz w:val="20"/>
          <w:szCs w:val="20"/>
          <w:color w:val="auto"/>
        </w:rPr>
        <w:t>determination by the Lender, which determination shall be conclusive and binding on the Borrower absent manifest error.</w:t>
      </w:r>
    </w:p>
    <w:p>
      <w:pPr>
        <w:spacing w:after="0" w:line="229" w:lineRule="exact"/>
        <w:rPr>
          <w:sz w:val="20"/>
          <w:szCs w:val="20"/>
          <w:color w:val="auto"/>
        </w:rPr>
      </w:pPr>
    </w:p>
    <w:p>
      <w:pPr>
        <w:jc w:val="both"/>
        <w:ind w:left="300" w:firstLine="816"/>
        <w:spacing w:after="0" w:line="251" w:lineRule="auto"/>
        <w:tabs>
          <w:tab w:leader="none" w:pos="1741"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if any principal of or interest on any Loan or any fee payable by the Borrower hereunder is not paid when due, whether at stated maturity, upon acceleration or otherwise, or upon the occurrence of an Event of Default under </w:t>
      </w:r>
      <w:r>
        <w:rPr>
          <w:rFonts w:ascii="Times New Roman" w:cs="Times New Roman" w:eastAsia="Times New Roman" w:hAnsi="Times New Roman"/>
          <w:sz w:val="20"/>
          <w:szCs w:val="20"/>
          <w:u w:val="single" w:color="auto"/>
          <w:color w:val="auto"/>
        </w:rPr>
        <w:t>Section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any and all amounts (including, but not limited to, principal, interest and fees) outstanding hereunder shall bear interest, to the fullest extent permitted by law, after as well as before judgment, at a rate per annum equal to (i) in the case of overdue principal or interest of any Loan 2.00%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rate otherwise applicable to such Loan as provided in the preceding paragraphs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 xml:space="preserve"> or (ii) in the case of any fee, 2.00% </w:t>
      </w:r>
      <w:r>
        <w:rPr>
          <w:rFonts w:ascii="Times New Roman" w:cs="Times New Roman" w:eastAsia="Times New Roman" w:hAnsi="Times New Roman"/>
          <w:sz w:val="20"/>
          <w:szCs w:val="20"/>
          <w:i w:val="1"/>
          <w:iCs w:val="1"/>
          <w:color w:val="auto"/>
        </w:rPr>
        <w:t>plus</w:t>
      </w:r>
      <w:r>
        <w:rPr>
          <w:rFonts w:ascii="Times New Roman" w:cs="Times New Roman" w:eastAsia="Times New Roman" w:hAnsi="Times New Roman"/>
          <w:sz w:val="20"/>
          <w:szCs w:val="20"/>
          <w:color w:val="auto"/>
        </w:rPr>
        <w:t xml:space="preserve"> the rate applicable to Loans that are Base Rate Loans as provided in paragraph (a) of this </w:t>
      </w:r>
      <w:r>
        <w:rPr>
          <w:rFonts w:ascii="Times New Roman" w:cs="Times New Roman" w:eastAsia="Times New Roman" w:hAnsi="Times New Roman"/>
          <w:sz w:val="20"/>
          <w:szCs w:val="20"/>
          <w:u w:val="single" w:color="auto"/>
          <w:color w:val="auto"/>
        </w:rPr>
        <w:t>Section 2.06</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6"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this Agreement, the Lender shall determine each interest rate applicable to the Loans hereunder. The Lender shall give prompt notice to the Borrower of each rate of interest so determined, and such determination thereof shall be conclusive in the absence of manifest error.</w:t>
      </w:r>
    </w:p>
    <w:p>
      <w:pPr>
        <w:spacing w:after="0" w:line="181"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2.7.</w:t>
      </w:r>
      <w:r>
        <w:rPr>
          <w:sz w:val="20"/>
          <w:szCs w:val="20"/>
          <w:color w:val="auto"/>
        </w:rPr>
        <w:tab/>
      </w:r>
      <w:r>
        <w:rPr>
          <w:rFonts w:ascii="Times New Roman" w:cs="Times New Roman" w:eastAsia="Times New Roman" w:hAnsi="Times New Roman"/>
          <w:sz w:val="19"/>
          <w:szCs w:val="19"/>
          <w:u w:val="single" w:color="auto"/>
          <w:color w:val="auto"/>
        </w:rPr>
        <w:t>Commitment Fees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firstLine="816"/>
        <w:spacing w:after="0" w:line="261" w:lineRule="auto"/>
        <w:tabs>
          <w:tab w:leader="none" w:pos="174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to the Lender a commitment fee at the rate of 0.50 % per annum. Such commitment fee shall accrue from and including the date hereof to but excluding the date of termination of the Commitment on the daily average Total Unutilized Commitment.</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58" w:lineRule="auto"/>
        <w:tabs>
          <w:tab w:leader="none" w:pos="1738"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Accrued fees under this </w:t>
      </w:r>
      <w:r>
        <w:rPr>
          <w:rFonts w:ascii="Times New Roman" w:cs="Times New Roman" w:eastAsia="Times New Roman" w:hAnsi="Times New Roman"/>
          <w:sz w:val="20"/>
          <w:szCs w:val="20"/>
          <w:u w:val="single" w:color="auto"/>
          <w:color w:val="auto"/>
        </w:rPr>
        <w:t>Section 2.07</w:t>
      </w:r>
      <w:r>
        <w:rPr>
          <w:rFonts w:ascii="Times New Roman" w:cs="Times New Roman" w:eastAsia="Times New Roman" w:hAnsi="Times New Roman"/>
          <w:sz w:val="20"/>
          <w:szCs w:val="20"/>
          <w:color w:val="auto"/>
        </w:rPr>
        <w:t xml:space="preserve"> shall be payable quarterly in arrears (i) within five Business Days after March 31, June 30, September 30 and December 31 and (ii) upon the date of termination of the Commitment in its entirety. The Lender shall notify the Borrower on or prior to each such quarterly payment date of the amount of fees then payable by the Borrower, and the Lender’s determination thereof shall be conclusive in the absence of manifest error.</w:t>
      </w:r>
    </w:p>
    <w:p>
      <w:pPr>
        <w:spacing w:after="0" w:line="172" w:lineRule="exact"/>
        <w:rPr>
          <w:sz w:val="20"/>
          <w:szCs w:val="20"/>
          <w:color w:val="auto"/>
        </w:rPr>
      </w:pPr>
    </w:p>
    <w:p>
      <w:pPr>
        <w:jc w:val="both"/>
        <w:ind w:left="200" w:firstLine="583"/>
        <w:spacing w:after="0" w:line="252" w:lineRule="auto"/>
        <w:rPr>
          <w:sz w:val="20"/>
          <w:szCs w:val="20"/>
          <w:color w:val="auto"/>
        </w:rPr>
      </w:pPr>
      <w:r>
        <w:rPr>
          <w:rFonts w:ascii="Times New Roman" w:cs="Times New Roman" w:eastAsia="Times New Roman" w:hAnsi="Times New Roman"/>
          <w:sz w:val="20"/>
          <w:szCs w:val="20"/>
          <w:color w:val="auto"/>
        </w:rPr>
        <w:t xml:space="preserve">SECTION 2.8. </w:t>
      </w:r>
      <w:r>
        <w:rPr>
          <w:rFonts w:ascii="Times New Roman" w:cs="Times New Roman" w:eastAsia="Times New Roman" w:hAnsi="Times New Roman"/>
          <w:sz w:val="20"/>
          <w:szCs w:val="20"/>
          <w:u w:val="single" w:color="auto"/>
          <w:color w:val="auto"/>
        </w:rPr>
        <w:t>Optional Termination, Reduction of Commitment</w:t>
      </w:r>
      <w:r>
        <w:rPr>
          <w:rFonts w:ascii="Times New Roman" w:cs="Times New Roman" w:eastAsia="Times New Roman" w:hAnsi="Times New Roman"/>
          <w:sz w:val="20"/>
          <w:szCs w:val="20"/>
          <w:color w:val="auto"/>
        </w:rPr>
        <w:t xml:space="preserve">. During the Revolving Credit Period, the Borrower may, upon at least one Business Days’ notice to the Lender (i) terminate the Commitment at any time, if no Loans are outstanding at such time or (ii) reduce from time to time by an aggregate amount of $5,000,000 or any larger integral multiple thereof, the aggregate amount of the Commitment in excess of the aggregate outstanding principal amount of the Loans (exclusive of any PIK Interest Amounts added to the principal balance of the Loans in accordance with </w:t>
      </w:r>
      <w:r>
        <w:rPr>
          <w:rFonts w:ascii="Times New Roman" w:cs="Times New Roman" w:eastAsia="Times New Roman" w:hAnsi="Times New Roman"/>
          <w:sz w:val="20"/>
          <w:szCs w:val="20"/>
          <w:u w:val="single" w:color="auto"/>
          <w:color w:val="auto"/>
        </w:rPr>
        <w:t>Section 2.06(c))</w:t>
      </w:r>
      <w:r>
        <w:rPr>
          <w:rFonts w:ascii="Times New Roman" w:cs="Times New Roman" w:eastAsia="Times New Roman" w:hAnsi="Times New Roman"/>
          <w:sz w:val="20"/>
          <w:szCs w:val="20"/>
          <w:color w:val="auto"/>
        </w:rPr>
        <w:t xml:space="preserve">, if any. For the avoidance of doubt, it is hereby acknowledged and agreed that a notice to terminate or reduce the Commitments delivered by the Borrower may state that such notice is conditioned upon the effectiveness of other credit facilities or transactions (such notice to specify the proposed effective date), in which case such notice may be revoked by the Borrower (by notice to the Lender on or prior to such specified effective date) if such condition is not satisfied and the Borrower shall indemnify the Lender in accordance with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if and to the extent applicable.</w:t>
      </w:r>
    </w:p>
    <w:p>
      <w:pPr>
        <w:spacing w:after="0" w:line="189" w:lineRule="exact"/>
        <w:rPr>
          <w:sz w:val="20"/>
          <w:szCs w:val="20"/>
          <w:color w:val="auto"/>
        </w:rPr>
      </w:pPr>
    </w:p>
    <w:p>
      <w:pPr>
        <w:jc w:val="both"/>
        <w:ind w:left="200" w:firstLine="583"/>
        <w:spacing w:after="0" w:line="269" w:lineRule="auto"/>
        <w:rPr>
          <w:sz w:val="20"/>
          <w:szCs w:val="20"/>
          <w:color w:val="auto"/>
        </w:rPr>
      </w:pPr>
      <w:r>
        <w:rPr>
          <w:rFonts w:ascii="Times New Roman" w:cs="Times New Roman" w:eastAsia="Times New Roman" w:hAnsi="Times New Roman"/>
          <w:sz w:val="20"/>
          <w:szCs w:val="20"/>
          <w:color w:val="auto"/>
        </w:rPr>
        <w:t xml:space="preserve">SECTION 2.9. </w:t>
      </w:r>
      <w:r>
        <w:rPr>
          <w:rFonts w:ascii="Times New Roman" w:cs="Times New Roman" w:eastAsia="Times New Roman" w:hAnsi="Times New Roman"/>
          <w:sz w:val="20"/>
          <w:szCs w:val="20"/>
          <w:u w:val="single" w:color="auto"/>
          <w:color w:val="auto"/>
        </w:rPr>
        <w:t>Scheduled Termination of Commitment</w:t>
      </w:r>
      <w:r>
        <w:rPr>
          <w:rFonts w:ascii="Times New Roman" w:cs="Times New Roman" w:eastAsia="Times New Roman" w:hAnsi="Times New Roman"/>
          <w:sz w:val="20"/>
          <w:szCs w:val="20"/>
          <w:color w:val="auto"/>
        </w:rPr>
        <w:t>. The Commitment shall terminate on the Termination Date, and any Loans then outstanding (together with accrued interest thereon) shall be due and payable on such date.</w:t>
      </w:r>
    </w:p>
    <w:p>
      <w:pPr>
        <w:spacing w:after="0" w:line="173"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2.10.</w:t>
      </w:r>
      <w:r>
        <w:rPr>
          <w:sz w:val="20"/>
          <w:szCs w:val="20"/>
          <w:color w:val="auto"/>
        </w:rPr>
        <w:tab/>
      </w:r>
      <w:r>
        <w:rPr>
          <w:rFonts w:ascii="Times New Roman" w:cs="Times New Roman" w:eastAsia="Times New Roman" w:hAnsi="Times New Roman"/>
          <w:sz w:val="19"/>
          <w:szCs w:val="19"/>
          <w:u w:val="single" w:color="auto"/>
          <w:color w:val="auto"/>
        </w:rPr>
        <w:t>Prepayments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ectPr>
          <w:pgSz w:w="11900" w:h="16838" w:orient="portrait"/>
          <w:cols w:equalWidth="0" w:num="1">
            <w:col w:w="11040"/>
          </w:cols>
          <w:pgMar w:left="520" w:top="1413" w:right="339" w:bottom="1440" w:gutter="0" w:footer="0" w:header="0"/>
        </w:sectPr>
      </w:pPr>
    </w:p>
    <w:bookmarkStart w:id="103" w:name="page104"/>
    <w:bookmarkEnd w:id="103"/>
    <w:p>
      <w:pPr>
        <w:jc w:val="both"/>
        <w:ind w:left="300" w:firstLine="816"/>
        <w:spacing w:after="0" w:line="253" w:lineRule="auto"/>
        <w:tabs>
          <w:tab w:leader="none" w:pos="174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upon notice to the Lender not later than 10:00 a.m. (New York City time) on any Business Day prepay any Base Rate Borrowing, and (ii) upon at least three U.S. Government Securities Business Days’ notice to the Lender prepay any Term SOFR Borrowing, in each case in whole at any time, or from time to time in part in amounts aggregating $1,000,000 (or, if less, the then remaining amount outstanding) or any larger integral multiple of $100,000, by paying the principal amount to be prepaid together with accrued interest thereon to the date of prepayment and together with any additional amounts payable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ind w:left="300" w:firstLine="816"/>
        <w:spacing w:after="0" w:line="253" w:lineRule="auto"/>
        <w:tabs>
          <w:tab w:leader="none" w:pos="174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Upon receipt of a notice of prepayment by the Lender pursuant to this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such notice shall thereafter be irrevocable by the Borrower;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notwithstanding anything to the contrary in the foregoing, a notice of prepayment delivered by the Borrower may state that such notice is conditioned upon the effectiveness of other credit facilities or transactions (such notice to specify the proposed effective date), in which case such notice may be revoked by the Borrower (by notice to the Lender on or prior to such specified effective date) if such condition is not satisfied and the Borrower shall indemnify the Lender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2.12</w:t>
      </w:r>
      <w:r>
        <w:rPr>
          <w:rFonts w:ascii="Times New Roman" w:cs="Times New Roman" w:eastAsia="Times New Roman" w:hAnsi="Times New Roman"/>
          <w:sz w:val="20"/>
          <w:szCs w:val="20"/>
          <w:color w:val="auto"/>
        </w:rPr>
        <w:t>, if and to the extent applicable.</w:t>
      </w:r>
    </w:p>
    <w:p>
      <w:pPr>
        <w:spacing w:after="0" w:line="192" w:lineRule="exact"/>
        <w:rPr>
          <w:sz w:val="20"/>
          <w:szCs w:val="20"/>
          <w:color w:val="auto"/>
        </w:rPr>
      </w:pPr>
    </w:p>
    <w:p>
      <w:pPr>
        <w:jc w:val="both"/>
        <w:ind w:left="200" w:firstLine="583"/>
        <w:spacing w:after="0" w:line="250" w:lineRule="auto"/>
        <w:rPr>
          <w:sz w:val="20"/>
          <w:szCs w:val="20"/>
          <w:color w:val="auto"/>
        </w:rPr>
      </w:pPr>
      <w:r>
        <w:rPr>
          <w:rFonts w:ascii="Times New Roman" w:cs="Times New Roman" w:eastAsia="Times New Roman" w:hAnsi="Times New Roman"/>
          <w:sz w:val="20"/>
          <w:szCs w:val="20"/>
          <w:color w:val="auto"/>
        </w:rPr>
        <w:t xml:space="preserve">SECTION 2.11. </w:t>
      </w:r>
      <w:r>
        <w:rPr>
          <w:rFonts w:ascii="Times New Roman" w:cs="Times New Roman" w:eastAsia="Times New Roman" w:hAnsi="Times New Roman"/>
          <w:sz w:val="20"/>
          <w:szCs w:val="20"/>
          <w:u w:val="single" w:color="auto"/>
          <w:color w:val="auto"/>
        </w:rPr>
        <w:t>General Provisions as to Payments</w:t>
      </w:r>
      <w:r>
        <w:rPr>
          <w:rFonts w:ascii="Times New Roman" w:cs="Times New Roman" w:eastAsia="Times New Roman" w:hAnsi="Times New Roman"/>
          <w:sz w:val="20"/>
          <w:szCs w:val="20"/>
          <w:color w:val="auto"/>
        </w:rPr>
        <w:t>. The Borrower shall make each payment of principal of, and interest on, the Loans on the date when due, without setoff or counterclaim, by wire transfer of immediately available funds by 12:00 noon, New York City time, to the applicable account of the Lender as notified to the Borrower from time to time. The Borrower shall make each payment of fees hereunder on the date when due by wire transfer of immediately available funds by 12:00 noon, New York City time to the applicable account of the Lender specified in in writing to the Borrower from time to time. Whenever any payment of principal of, or interest on, the Term SOFR Loans or of fees shall be due on a day which is not a Business Day, the date for payment thereof shall be extended to the next succeeding Business Day. If the date for any payment of principal is extended by operation of law or otherwise, interest thereon shall be payable for such extended time. All payments hereunder (whether of principal, interest, fees or otherwise) shall be made in Dollars.</w:t>
      </w:r>
    </w:p>
    <w:p>
      <w:pPr>
        <w:spacing w:after="0" w:line="193" w:lineRule="exact"/>
        <w:rPr>
          <w:sz w:val="20"/>
          <w:szCs w:val="20"/>
          <w:color w:val="auto"/>
        </w:rPr>
      </w:pPr>
    </w:p>
    <w:p>
      <w:pPr>
        <w:jc w:val="both"/>
        <w:ind w:left="200" w:firstLine="583"/>
        <w:spacing w:after="0" w:line="251" w:lineRule="auto"/>
        <w:rPr>
          <w:sz w:val="20"/>
          <w:szCs w:val="20"/>
          <w:color w:val="auto"/>
        </w:rPr>
      </w:pPr>
      <w:r>
        <w:rPr>
          <w:rFonts w:ascii="Times New Roman" w:cs="Times New Roman" w:eastAsia="Times New Roman" w:hAnsi="Times New Roman"/>
          <w:sz w:val="20"/>
          <w:szCs w:val="20"/>
          <w:color w:val="auto"/>
        </w:rPr>
        <w:t xml:space="preserve">SECTION 2.12. </w:t>
      </w:r>
      <w:r>
        <w:rPr>
          <w:rFonts w:ascii="Times New Roman" w:cs="Times New Roman" w:eastAsia="Times New Roman" w:hAnsi="Times New Roman"/>
          <w:sz w:val="20"/>
          <w:szCs w:val="20"/>
          <w:u w:val="single" w:color="auto"/>
          <w:color w:val="auto"/>
        </w:rPr>
        <w:t>Funding Losses</w:t>
      </w:r>
      <w:r>
        <w:rPr>
          <w:rFonts w:ascii="Times New Roman" w:cs="Times New Roman" w:eastAsia="Times New Roman" w:hAnsi="Times New Roman"/>
          <w:sz w:val="20"/>
          <w:szCs w:val="20"/>
          <w:color w:val="auto"/>
        </w:rPr>
        <w:t xml:space="preserve">. If the Borrower converts any Term SOFR Loan in accordance with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on any day other than the last day of the Interest Period applicable thereto, then the Borrower shall reimburse the Lender within 15 days after demand for any resulting loss or expense incurred by it (or by an existing or prospective participant in the related Loan), including (without limitation) any loss incurred in obtaining, liquidating or employing deposits from third parties, but excluding loss of margin for the period after any such payment or failure to borrow or prepay; provided that the Lender shall have delivered to the Borrower a certificate as to the amount of such loss or expense and describing in reasonable detail the calculation thereof, which certificate shall be conclusive in the absence of manifest error.</w:t>
      </w:r>
    </w:p>
    <w:p>
      <w:pPr>
        <w:spacing w:after="0" w:line="193" w:lineRule="exact"/>
        <w:rPr>
          <w:sz w:val="20"/>
          <w:szCs w:val="20"/>
          <w:color w:val="auto"/>
        </w:rPr>
      </w:pPr>
    </w:p>
    <w:p>
      <w:pPr>
        <w:jc w:val="both"/>
        <w:ind w:left="200" w:firstLine="583"/>
        <w:spacing w:after="0" w:line="258" w:lineRule="auto"/>
        <w:rPr>
          <w:sz w:val="20"/>
          <w:szCs w:val="20"/>
          <w:color w:val="auto"/>
        </w:rPr>
      </w:pPr>
      <w:r>
        <w:rPr>
          <w:rFonts w:ascii="Times New Roman" w:cs="Times New Roman" w:eastAsia="Times New Roman" w:hAnsi="Times New Roman"/>
          <w:sz w:val="20"/>
          <w:szCs w:val="20"/>
          <w:color w:val="auto"/>
        </w:rPr>
        <w:t xml:space="preserve">SECTION 2.13. </w:t>
      </w:r>
      <w:r>
        <w:rPr>
          <w:rFonts w:ascii="Times New Roman" w:cs="Times New Roman" w:eastAsia="Times New Roman" w:hAnsi="Times New Roman"/>
          <w:sz w:val="20"/>
          <w:szCs w:val="20"/>
          <w:u w:val="single" w:color="auto"/>
          <w:color w:val="auto"/>
        </w:rPr>
        <w:t>Computation of Interest and Fees</w:t>
      </w:r>
      <w:r>
        <w:rPr>
          <w:rFonts w:ascii="Times New Roman" w:cs="Times New Roman" w:eastAsia="Times New Roman" w:hAnsi="Times New Roman"/>
          <w:sz w:val="20"/>
          <w:szCs w:val="20"/>
          <w:color w:val="auto"/>
        </w:rPr>
        <w:t>. Interest hereunder shall be computed on the basis of a year of 365 days (or 366 days in a leap year) and paid for the actual number of days elapsed (including the first day but excluding the last day). All other interest and commitment fees shall be computed on the basis of a year of 360 days and paid for the actual number of days elapsed (including the first day but excluding the last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ectPr>
          <w:pgSz w:w="11900" w:h="16838" w:orient="portrait"/>
          <w:cols w:equalWidth="0" w:num="1">
            <w:col w:w="11040"/>
          </w:cols>
          <w:pgMar w:left="520" w:top="1413" w:right="339" w:bottom="1440" w:gutter="0" w:footer="0" w:header="0"/>
        </w:sectPr>
      </w:pPr>
    </w:p>
    <w:bookmarkStart w:id="104" w:name="page105"/>
    <w:bookmarkEnd w:id="104"/>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2.14.</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300" w:firstLine="816"/>
        <w:spacing w:after="0" w:line="250" w:lineRule="auto"/>
        <w:tabs>
          <w:tab w:leader="none" w:pos="174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xml:space="preserve">. All payments by or on account of any obligation of any Loan Party hereunder shall be made free and clear of and without deduction or withholding for any Taxes, except as required by applicable law. If any applicable law (as determined in the good faith discretion of an applicable Loan Party or other applicable withholding agent) requires the deduction or withholding of any Tax from any such payment by a Loan Party, then the applicable withholding agent shall be entitled to make such deduction or withholding and shall timely pay the full amount deducted or withheld to the relevant Governmental Authority in accordance with the applicable law;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Loan Party shall be required to deduct or withhold any Indemnified Taxes from such payments, the sum payable by such Loan Party shall be increased as necessary so that after making such deduction or withholding (including deductions and withholdings applicable to additional sums payable under this </w:t>
      </w:r>
      <w:r>
        <w:rPr>
          <w:rFonts w:ascii="Times New Roman" w:cs="Times New Roman" w:eastAsia="Times New Roman" w:hAnsi="Times New Roman"/>
          <w:sz w:val="20"/>
          <w:szCs w:val="20"/>
          <w:u w:val="single" w:color="auto"/>
          <w:color w:val="auto"/>
        </w:rPr>
        <w:t>Section 2.14(a)</w:t>
      </w:r>
      <w:r>
        <w:rPr>
          <w:rFonts w:ascii="Times New Roman" w:cs="Times New Roman" w:eastAsia="Times New Roman" w:hAnsi="Times New Roman"/>
          <w:sz w:val="20"/>
          <w:szCs w:val="20"/>
          <w:color w:val="auto"/>
        </w:rPr>
        <w:t>) the Lender receives an amount equal to the sum it would have received had no such deductions or withholding been made.</w:t>
      </w:r>
    </w:p>
    <w:p>
      <w:pPr>
        <w:spacing w:after="0" w:line="192" w:lineRule="exact"/>
        <w:rPr>
          <w:rFonts w:ascii="Times New Roman" w:cs="Times New Roman" w:eastAsia="Times New Roman" w:hAnsi="Times New Roman"/>
          <w:sz w:val="20"/>
          <w:szCs w:val="20"/>
          <w:color w:val="auto"/>
        </w:rPr>
      </w:pPr>
    </w:p>
    <w:p>
      <w:pPr>
        <w:ind w:left="300" w:right="20" w:firstLine="816"/>
        <w:spacing w:after="0" w:line="283" w:lineRule="auto"/>
        <w:tabs>
          <w:tab w:leader="none" w:pos="173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Taxes</w:t>
      </w:r>
      <w:r>
        <w:rPr>
          <w:rFonts w:ascii="Times New Roman" w:cs="Times New Roman" w:eastAsia="Times New Roman" w:hAnsi="Times New Roman"/>
          <w:sz w:val="20"/>
          <w:szCs w:val="20"/>
          <w:color w:val="auto"/>
        </w:rPr>
        <w:t>. In addition, the Loan Parties shall pay any Other Taxes to the relevant Governmental Authority in accordance with applicable law.</w:t>
      </w:r>
    </w:p>
    <w:p>
      <w:pPr>
        <w:spacing w:after="0" w:line="146" w:lineRule="exact"/>
        <w:rPr>
          <w:rFonts w:ascii="Times New Roman" w:cs="Times New Roman" w:eastAsia="Times New Roman" w:hAnsi="Times New Roman"/>
          <w:sz w:val="20"/>
          <w:szCs w:val="20"/>
          <w:color w:val="auto"/>
        </w:rPr>
      </w:pPr>
    </w:p>
    <w:p>
      <w:pPr>
        <w:jc w:val="both"/>
        <w:ind w:left="300" w:firstLine="816"/>
        <w:spacing w:after="0" w:line="269" w:lineRule="auto"/>
        <w:tabs>
          <w:tab w:leader="none" w:pos="1741"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Indemnification by Loan Parties</w:t>
      </w:r>
      <w:r>
        <w:rPr>
          <w:rFonts w:ascii="Times New Roman" w:cs="Times New Roman" w:eastAsia="Times New Roman" w:hAnsi="Times New Roman"/>
          <w:sz w:val="19"/>
          <w:szCs w:val="19"/>
          <w:color w:val="auto"/>
        </w:rPr>
        <w:t xml:space="preserve">. Each Loan Party shall indemnify the Lender within 10 days after written demand therefor, for the full amount of any Indemnified Taxes paid by the Lender, on or with respect to any payment by or any payment on account of any obligation of such Loan Party hereunder (including Indemnified Taxes imposed or asserted on or attributable to amounts payable under this </w:t>
      </w:r>
      <w:r>
        <w:rPr>
          <w:rFonts w:ascii="Times New Roman" w:cs="Times New Roman" w:eastAsia="Times New Roman" w:hAnsi="Times New Roman"/>
          <w:sz w:val="19"/>
          <w:szCs w:val="19"/>
          <w:u w:val="single" w:color="auto"/>
          <w:color w:val="auto"/>
        </w:rPr>
        <w:t>Section 2.14</w:t>
      </w:r>
      <w:r>
        <w:rPr>
          <w:rFonts w:ascii="Times New Roman" w:cs="Times New Roman" w:eastAsia="Times New Roman" w:hAnsi="Times New Roman"/>
          <w:sz w:val="19"/>
          <w:szCs w:val="19"/>
          <w:color w:val="auto"/>
        </w:rPr>
        <w:t>) and any reasonable out-of-pocket expenses arising therefrom or with respect thereto, whether or not such Indemnified Taxes were correctly or legally imposed or asserted by the relevant Governmental Authority. A certificate as to the amount of such payment or liability delivered to the Loan Parties by the Lender shall be conclusive absent manifest error.</w:t>
      </w:r>
    </w:p>
    <w:p>
      <w:pPr>
        <w:spacing w:after="0" w:line="177" w:lineRule="exact"/>
        <w:rPr>
          <w:rFonts w:ascii="Times New Roman" w:cs="Times New Roman" w:eastAsia="Times New Roman" w:hAnsi="Times New Roman"/>
          <w:sz w:val="19"/>
          <w:szCs w:val="19"/>
          <w:color w:val="auto"/>
        </w:rPr>
      </w:pPr>
    </w:p>
    <w:p>
      <w:pPr>
        <w:jc w:val="both"/>
        <w:ind w:left="300" w:firstLine="816"/>
        <w:spacing w:after="0" w:line="254" w:lineRule="auto"/>
        <w:tabs>
          <w:tab w:leader="none" w:pos="173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 Loan Party to a Governmental Authority in accordance with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such Loan Party shall deliver to the Lender the original or a certified copy of a receipt issued by such Governmental Authority evidencing such payment, a copy of the return reporting such payment or other evidence of such payment reasonably satisfactory to the Lender.</w:t>
      </w:r>
    </w:p>
    <w:p>
      <w:pPr>
        <w:spacing w:after="0" w:line="187"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shall survive the replacement of the Lender or any assignment of rights by, or the replacement of, the Lender and the repayment, satisfaction or discharge of all obligations under any Loan Document.</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6"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Status of Lender</w:t>
      </w:r>
      <w:r>
        <w:rPr>
          <w:rFonts w:ascii="Times New Roman" w:cs="Times New Roman" w:eastAsia="Times New Roman" w:hAnsi="Times New Roman"/>
          <w:sz w:val="20"/>
          <w:szCs w:val="20"/>
          <w:color w:val="auto"/>
        </w:rPr>
        <w:t>. Upon becoming a Lender under this Agreement (and at the reasonable request of the Borrower from time to time thereafter), the Lender shall provide to Borrower executed copies of IRS Form W-9 certifying that Lender is exempt from U.S. federal backup withholding tax.</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the Lender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it shall pay to the indemnifying Loan Party an amount equal to such refund (but only to the extent of indemnity payments made under this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with respect to the Taxes giving rise to such refund), net of all out-of-pocket expenses (including Taxes) of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ectPr>
          <w:pgSz w:w="11900" w:h="16838" w:orient="portrait"/>
          <w:cols w:equalWidth="0" w:num="1">
            <w:col w:w="11040"/>
          </w:cols>
          <w:pgMar w:left="520" w:top="1413" w:right="339" w:bottom="1440" w:gutter="0" w:footer="0" w:header="0"/>
        </w:sectPr>
      </w:pPr>
    </w:p>
    <w:bookmarkStart w:id="105" w:name="page106"/>
    <w:bookmarkEnd w:id="105"/>
    <w:p>
      <w:pPr>
        <w:jc w:val="both"/>
        <w:ind w:left="500"/>
        <w:spacing w:after="0" w:line="252" w:lineRule="auto"/>
        <w:rPr>
          <w:sz w:val="20"/>
          <w:szCs w:val="20"/>
          <w:color w:val="auto"/>
        </w:rPr>
      </w:pPr>
      <w:r>
        <w:rPr>
          <w:rFonts w:ascii="Times New Roman" w:cs="Times New Roman" w:eastAsia="Times New Roman" w:hAnsi="Times New Roman"/>
          <w:sz w:val="20"/>
          <w:szCs w:val="20"/>
          <w:color w:val="auto"/>
        </w:rPr>
        <w:t>and without interest (other than any interest paid by the relevant Governmental Authority with respect to such refund). Such Loan Party, upon the request of Lender, shall repay to the Lender the amount paid over pursuant to this paragraph (g) (plus any penalties, interest or other charges imposed by the relevant Governmental Authority) in the event that the Lender is required to repay such refund to such Governmental Authority. Notwithstanding anything to the contrary in this paragraph (g), in no event will the Lender be required to pay any amount to a Loan Party pursuant to this paragraph (g) the payment of which would place the Lender in a less favorable net after-Tax position than the Lender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the Lender to make available its Tax returns (or any other information relating to its Taxes that it deems confidential) to the Loan Party or any other Person.</w:t>
      </w:r>
    </w:p>
    <w:p>
      <w:pPr>
        <w:spacing w:after="0" w:line="176" w:lineRule="exact"/>
        <w:rPr>
          <w:sz w:val="20"/>
          <w:szCs w:val="20"/>
          <w:color w:val="auto"/>
        </w:rPr>
      </w:pPr>
    </w:p>
    <w:p>
      <w:pPr>
        <w:jc w:val="both"/>
        <w:ind w:left="4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2.15. </w:t>
      </w:r>
      <w:r>
        <w:rPr>
          <w:rFonts w:ascii="Times New Roman" w:cs="Times New Roman" w:eastAsia="Times New Roman" w:hAnsi="Times New Roman"/>
          <w:sz w:val="20"/>
          <w:szCs w:val="20"/>
          <w:u w:val="single" w:color="auto"/>
          <w:color w:val="auto"/>
        </w:rPr>
        <w:t>Conversion and Continuation of Loans</w:t>
      </w:r>
      <w:r>
        <w:rPr>
          <w:rFonts w:ascii="Times New Roman" w:cs="Times New Roman" w:eastAsia="Times New Roman" w:hAnsi="Times New Roman"/>
          <w:sz w:val="20"/>
          <w:szCs w:val="20"/>
          <w:color w:val="auto"/>
        </w:rPr>
        <w:t xml:space="preserve">. The Borrower shall have the right at any time and from time to time upon prior irrevocable written notice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hereto or in such other form as may be acceptable to the Lender (a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Interest Rate Election</w:t>
      </w:r>
      <w:r>
        <w:rPr>
          <w:rFonts w:ascii="Times New Roman" w:cs="Times New Roman" w:eastAsia="Times New Roman" w:hAnsi="Times New Roman"/>
          <w:sz w:val="20"/>
          <w:szCs w:val="20"/>
          <w:color w:val="auto"/>
        </w:rPr>
        <w:t>”) to the Lender (i) not later than 10:30 a.m., New York City time, on the day of conversion, to convert all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part of any Term SOFR Borrowing into a Base Rate Borrowing, and (ii) not later than 10:30 a.m., New York City time, three U.S. Government Securities Business Days prior to conversion or continuation, to convert any Base Rate Borrowing into a Term SOFR Borrowing or to continue any Term SOFR Borrowing as a Term SOFR Borrowing for an additional Interest Period, subject in each case to the following:</w:t>
      </w:r>
    </w:p>
    <w:p>
      <w:pPr>
        <w:spacing w:after="0" w:line="193" w:lineRule="exact"/>
        <w:rPr>
          <w:sz w:val="20"/>
          <w:szCs w:val="20"/>
          <w:color w:val="auto"/>
        </w:rPr>
      </w:pPr>
    </w:p>
    <w:p>
      <w:pPr>
        <w:ind w:left="500" w:right="20" w:firstLine="816"/>
        <w:spacing w:after="0" w:line="269" w:lineRule="auto"/>
        <w:tabs>
          <w:tab w:leader="none" w:pos="194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less than all the outstanding principal amount of the Borrowing shall be converted or continued, the aggregate principal amount of the Borrowing converted or continued shall be an integral multiple of $1,000,000 and not less than $5,000,000;</w:t>
      </w:r>
    </w:p>
    <w:p>
      <w:pPr>
        <w:spacing w:after="0" w:line="172" w:lineRule="exact"/>
        <w:rPr>
          <w:rFonts w:ascii="Times New Roman" w:cs="Times New Roman" w:eastAsia="Times New Roman" w:hAnsi="Times New Roman"/>
          <w:sz w:val="20"/>
          <w:szCs w:val="20"/>
          <w:color w:val="auto"/>
        </w:rPr>
      </w:pPr>
    </w:p>
    <w:p>
      <w:pPr>
        <w:ind w:left="1940" w:hanging="624"/>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accrued interest on the Borrowing (or portion thereof) being converted shall be paid by the Borrower at the time of</w:t>
      </w:r>
    </w:p>
    <w:p>
      <w:pPr>
        <w:spacing w:after="0" w:line="21" w:lineRule="exact"/>
        <w:rPr>
          <w:rFonts w:ascii="Times New Roman" w:cs="Times New Roman" w:eastAsia="Times New Roman" w:hAnsi="Times New Roman"/>
          <w:sz w:val="20"/>
          <w:szCs w:val="20"/>
          <w:color w:val="auto"/>
        </w:rPr>
      </w:pPr>
    </w:p>
    <w:p>
      <w:pPr>
        <w:ind w:left="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conversion;</w:t>
      </w:r>
    </w:p>
    <w:p>
      <w:pPr>
        <w:spacing w:after="0" w:line="207" w:lineRule="exact"/>
        <w:rPr>
          <w:rFonts w:ascii="Times New Roman" w:cs="Times New Roman" w:eastAsia="Times New Roman" w:hAnsi="Times New Roman"/>
          <w:sz w:val="20"/>
          <w:szCs w:val="20"/>
          <w:color w:val="auto"/>
        </w:rPr>
      </w:pPr>
    </w:p>
    <w:p>
      <w:pPr>
        <w:ind w:left="500" w:firstLine="816"/>
        <w:spacing w:after="0" w:line="269" w:lineRule="auto"/>
        <w:tabs>
          <w:tab w:leader="none" w:pos="194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any Term SOFR Borrowing is converted at a time other than the end of the Interest Period applicable thereto, the Borrower shall pay, upon demand, any amounts due to the Lender pursuant to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940" w:hanging="624"/>
        <w:spacing w:after="0"/>
        <w:tabs>
          <w:tab w:leader="none" w:pos="19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Interest Period may be selected for any Term SOFR Borrowing that would end later than the Termination Date;</w:t>
      </w:r>
    </w:p>
    <w:p>
      <w:pPr>
        <w:spacing w:after="0" w:line="28" w:lineRule="exact"/>
        <w:rPr>
          <w:rFonts w:ascii="Times New Roman" w:cs="Times New Roman" w:eastAsia="Times New Roman" w:hAnsi="Times New Roman"/>
          <w:sz w:val="20"/>
          <w:szCs w:val="20"/>
          <w:color w:val="auto"/>
        </w:rPr>
      </w:pPr>
    </w:p>
    <w:p>
      <w:pPr>
        <w:ind w:left="5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200" w:lineRule="exact"/>
        <w:rPr>
          <w:rFonts w:ascii="Times New Roman" w:cs="Times New Roman" w:eastAsia="Times New Roman" w:hAnsi="Times New Roman"/>
          <w:sz w:val="20"/>
          <w:szCs w:val="20"/>
          <w:color w:val="auto"/>
        </w:rPr>
      </w:pPr>
    </w:p>
    <w:p>
      <w:pPr>
        <w:jc w:val="both"/>
        <w:ind w:left="500" w:firstLine="816"/>
        <w:spacing w:after="0" w:line="261" w:lineRule="auto"/>
        <w:tabs>
          <w:tab w:leader="none" w:pos="1941"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Event of Default shall have occurred and be continuing, the Borrower shall not have the right to convert or to continue the Borrowing denominated in Dollars as a Term SOFR Borrowing (and unless repaid as provided herein, each Term SOFR Borrowing shall immediately be converted to a Base Rate Borrowing).</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Each Notice of Interest Rate Election shall be irrevocable and shall refer to this Agreement and specify (i) the identity and amount of the Borrowing to be converted or continued, (ii) whether the Borrowing is to be converted to a Term SOFR Borrowing or a Base Rate Borrowing or continued as a Term SOFR Borrowing, or a Base Rate Borrowing, (iii) the date of such conversion or continuation (which shall be a Business Day or U.S. Government Securities Business Day, as applicable) and (iv) if the Borrowing is to be converted to a Term SOFR Borrowing or continued as a Term SOFR Borrowing, the Interest Period with respect thereto. If no Interest Period is specified in any such Notice of Interest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33</w:t>
      </w:r>
    </w:p>
    <w:p>
      <w:pPr>
        <w:sectPr>
          <w:pgSz w:w="11900" w:h="16838" w:orient="portrait"/>
          <w:cols w:equalWidth="0" w:num="1">
            <w:col w:w="11240"/>
          </w:cols>
          <w:pgMar w:left="320" w:top="1413" w:right="339" w:bottom="1440" w:gutter="0" w:footer="0" w:header="0"/>
        </w:sectPr>
      </w:pPr>
    </w:p>
    <w:bookmarkStart w:id="106" w:name="page107"/>
    <w:bookmarkEnd w:id="10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Election with respect to any conversion to a Term SOFR Borrowing or any continuation as a Term SOFR Borrowing, the Borrower shall be deemed to have selected an Interest Period of one month’s duration. If no Notice of Interest Rate Election shall have been given in accordance with this </w:t>
      </w:r>
      <w:r>
        <w:rPr>
          <w:rFonts w:ascii="Times New Roman" w:cs="Times New Roman" w:eastAsia="Times New Roman" w:hAnsi="Times New Roman"/>
          <w:sz w:val="20"/>
          <w:szCs w:val="20"/>
          <w:u w:val="single" w:color="auto"/>
          <w:color w:val="auto"/>
        </w:rPr>
        <w:t>Section 2.15</w:t>
      </w:r>
      <w:r>
        <w:rPr>
          <w:rFonts w:ascii="Times New Roman" w:cs="Times New Roman" w:eastAsia="Times New Roman" w:hAnsi="Times New Roman"/>
          <w:sz w:val="20"/>
          <w:szCs w:val="20"/>
          <w:color w:val="auto"/>
        </w:rPr>
        <w:t xml:space="preserve"> to convert or continue the Borrowing, the Borrowing shall, at the end of the Interest Period applicable thereto (unless repaid pursuant to the terms hereof), automatically be continued as a Borrowing of the same Type, and with the same Interest Period, as the Borrowing being continued.</w:t>
      </w:r>
    </w:p>
    <w:p>
      <w:pPr>
        <w:spacing w:after="0" w:line="192" w:lineRule="exact"/>
        <w:rPr>
          <w:sz w:val="20"/>
          <w:szCs w:val="20"/>
          <w:color w:val="auto"/>
        </w:rPr>
      </w:pPr>
    </w:p>
    <w:p>
      <w:pPr>
        <w:jc w:val="both"/>
        <w:ind w:left="4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2.16. </w:t>
      </w:r>
      <w:r>
        <w:rPr>
          <w:rFonts w:ascii="Times New Roman" w:cs="Times New Roman" w:eastAsia="Times New Roman" w:hAnsi="Times New Roman"/>
          <w:sz w:val="20"/>
          <w:szCs w:val="20"/>
          <w:u w:val="single" w:color="auto"/>
          <w:color w:val="auto"/>
        </w:rPr>
        <w:t>Term SOFR Conforming Changes</w:t>
      </w:r>
      <w:r>
        <w:rPr>
          <w:rFonts w:ascii="Times New Roman" w:cs="Times New Roman" w:eastAsia="Times New Roman" w:hAnsi="Times New Roman"/>
          <w:sz w:val="20"/>
          <w:szCs w:val="20"/>
          <w:color w:val="auto"/>
        </w:rPr>
        <w:t>. In connection with the use or administration of Term SOFR, the Lender will have the right to make Term SOFR Conforming Changes from time to time and, notwithstanding anything to the contrary herein or in any other Loan Document, any amendments implementing such Term SOFR Conforming Changes will become effective without any further action or consent of any other party to this Agreement or any other Loan Document. The Lender will promptly notify the Borrower of the effectiveness of any Term SOFR Conforming Changes in connection with the use or administration of Term SOFR.</w:t>
      </w:r>
    </w:p>
    <w:p>
      <w:pPr>
        <w:spacing w:after="0" w:line="192" w:lineRule="exact"/>
        <w:rPr>
          <w:sz w:val="20"/>
          <w:szCs w:val="20"/>
          <w:color w:val="auto"/>
        </w:rPr>
      </w:pPr>
    </w:p>
    <w:p>
      <w:pPr>
        <w:jc w:val="both"/>
        <w:ind w:left="400" w:firstLine="583"/>
        <w:spacing w:after="0" w:line="250" w:lineRule="auto"/>
        <w:rPr>
          <w:sz w:val="20"/>
          <w:szCs w:val="20"/>
          <w:color w:val="auto"/>
        </w:rPr>
      </w:pPr>
      <w:r>
        <w:rPr>
          <w:rFonts w:ascii="Times New Roman" w:cs="Times New Roman" w:eastAsia="Times New Roman" w:hAnsi="Times New Roman"/>
          <w:sz w:val="20"/>
          <w:szCs w:val="20"/>
          <w:color w:val="auto"/>
        </w:rPr>
        <w:t xml:space="preserve">SECTION 2.17. </w:t>
      </w:r>
      <w:r>
        <w:rPr>
          <w:rFonts w:ascii="Times New Roman" w:cs="Times New Roman" w:eastAsia="Times New Roman" w:hAnsi="Times New Roman"/>
          <w:sz w:val="20"/>
          <w:szCs w:val="20"/>
          <w:u w:val="single" w:color="auto"/>
          <w:color w:val="auto"/>
        </w:rPr>
        <w:t>Basis for Determining Interest Rate Inadequate or Unfair</w:t>
      </w:r>
      <w:r>
        <w:rPr>
          <w:rFonts w:ascii="Times New Roman" w:cs="Times New Roman" w:eastAsia="Times New Roman" w:hAnsi="Times New Roman"/>
          <w:sz w:val="20"/>
          <w:szCs w:val="20"/>
          <w:color w:val="auto"/>
        </w:rPr>
        <w:t xml:space="preserve">. Unless and until a Benchmark Replacement is implemented in accordance with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in the case of a Term SOFR Borrowing, if the Lender determines that adequate and reasonable means do not exist for ascertaining “Term SOFR” to be used in determining the interest rate applicable to the Loans comprising such Borrowing, then, in each case, the Lender shall forthwith give notice thereof to the Borrower, whereupon until the Lender notifies the Borrower that the circumstances giving rise to such suspension no longer exist, (w) the obligations of the Lender to make or continue any of the affected Term SOFR Loans, or to convert Base Rate Loans to any affected Term SOFR Loans, as the case may be, shall be suspended (to the extent of the affected Loans or the affected Interest Periods), (x) if such determination affects the calculation of Base Rate, the Lender shall during the period of such suspension compute Base Rate without reference to </w:t>
      </w:r>
      <w:r>
        <w:rPr>
          <w:rFonts w:ascii="Times New Roman" w:cs="Times New Roman" w:eastAsia="Times New Roman" w:hAnsi="Times New Roman"/>
          <w:sz w:val="20"/>
          <w:szCs w:val="20"/>
          <w:u w:val="single" w:color="auto"/>
          <w:color w:val="auto"/>
        </w:rPr>
        <w:t>clause (c)</w:t>
      </w:r>
      <w:r>
        <w:rPr>
          <w:rFonts w:ascii="Times New Roman" w:cs="Times New Roman" w:eastAsia="Times New Roman" w:hAnsi="Times New Roman"/>
          <w:sz w:val="20"/>
          <w:szCs w:val="20"/>
          <w:color w:val="auto"/>
        </w:rPr>
        <w:t xml:space="preserve"> of the definition of “Base Rate”, and (y) any outstanding affected Term SOFR Loans will be deemed to have been converted into Base Rate Loans at the end of the applicable Interest Period.</w:t>
      </w:r>
    </w:p>
    <w:p>
      <w:pPr>
        <w:spacing w:after="0" w:line="196" w:lineRule="exact"/>
        <w:rPr>
          <w:sz w:val="20"/>
          <w:szCs w:val="20"/>
          <w:color w:val="auto"/>
        </w:rPr>
      </w:pPr>
    </w:p>
    <w:p>
      <w:pPr>
        <w:jc w:val="both"/>
        <w:ind w:left="400" w:firstLine="583"/>
        <w:spacing w:after="0" w:line="266" w:lineRule="auto"/>
        <w:rPr>
          <w:sz w:val="20"/>
          <w:szCs w:val="20"/>
          <w:color w:val="auto"/>
        </w:rPr>
      </w:pPr>
      <w:r>
        <w:rPr>
          <w:rFonts w:ascii="Times New Roman" w:cs="Times New Roman" w:eastAsia="Times New Roman" w:hAnsi="Times New Roman"/>
          <w:sz w:val="19"/>
          <w:szCs w:val="19"/>
          <w:color w:val="auto"/>
        </w:rPr>
        <w:t xml:space="preserve">SECTION 2.18. </w:t>
      </w: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 If, on or after the date of this Agreement, the adoption of any applicable law, rule or regulation, or any change in any applicable law, rule or regulation, or any change in the interpretation or administration thereof by any governmental authority, central bank or comparable agency charged with the interpretation or administration thereof, or compliance by the Lender with any request or directive (whether or not having the force of law) of any such authority, central bank or comparable agency shall make it unlawful or impossible for the Lender to make, maintain or fund its Term SOFR Loans, and the Lender shall so notify the Borrower, whereupon until the Lender notifies the Borrower that the circumstances giving rise to such suspension no longer exist, the obligation of the Lender to make Term SOFR Loans shall be suspended. If the Lender shall determine that it may not lawfully continue to maintain and fund any of its outstanding Term SOFR Loans to maturity and shall so specify in such notice, the Borrower shall immediately prepay in full the then outstanding principal amount of each such Term SOFR Loan, together with accrued interest thereon.</w:t>
      </w:r>
    </w:p>
    <w:p>
      <w:pPr>
        <w:spacing w:after="0" w:line="170" w:lineRule="exact"/>
        <w:rPr>
          <w:sz w:val="20"/>
          <w:szCs w:val="20"/>
          <w:color w:val="auto"/>
        </w:rPr>
      </w:pPr>
    </w:p>
    <w:p>
      <w:pPr>
        <w:jc w:val="both"/>
        <w:ind w:left="400" w:firstLine="583"/>
        <w:spacing w:after="0" w:line="261" w:lineRule="auto"/>
        <w:rPr>
          <w:sz w:val="20"/>
          <w:szCs w:val="20"/>
          <w:color w:val="auto"/>
        </w:rPr>
      </w:pPr>
      <w:r>
        <w:rPr>
          <w:rFonts w:ascii="Times New Roman" w:cs="Times New Roman" w:eastAsia="Times New Roman" w:hAnsi="Times New Roman"/>
          <w:sz w:val="20"/>
          <w:szCs w:val="20"/>
          <w:color w:val="auto"/>
        </w:rPr>
        <w:t xml:space="preserve">SECTION 2.19. </w:t>
      </w:r>
      <w:r>
        <w:rPr>
          <w:rFonts w:ascii="Times New Roman" w:cs="Times New Roman" w:eastAsia="Times New Roman" w:hAnsi="Times New Roman"/>
          <w:sz w:val="20"/>
          <w:szCs w:val="20"/>
          <w:u w:val="single" w:color="auto"/>
          <w:color w:val="auto"/>
        </w:rPr>
        <w:t>Base Rate Loans Substituted for Affected Term SOFR Loans</w:t>
      </w:r>
      <w:r>
        <w:rPr>
          <w:rFonts w:ascii="Times New Roman" w:cs="Times New Roman" w:eastAsia="Times New Roman" w:hAnsi="Times New Roman"/>
          <w:sz w:val="20"/>
          <w:szCs w:val="20"/>
          <w:color w:val="auto"/>
        </w:rPr>
        <w:t xml:space="preserve">. If the obligation of the Lender to make Term SOFR Loans has been suspended pursuant to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and the Borrower shall, by at least five Business Days’ prior notice to the Lender, have elected that the provisions of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apply to the Lender, then, unless and until the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34</w:t>
      </w:r>
    </w:p>
    <w:p>
      <w:pPr>
        <w:sectPr>
          <w:pgSz w:w="11900" w:h="16838" w:orient="portrait"/>
          <w:cols w:equalWidth="0" w:num="1">
            <w:col w:w="11240"/>
          </w:cols>
          <w:pgMar w:left="320" w:top="1413" w:right="339" w:bottom="1440" w:gutter="0" w:footer="0" w:header="0"/>
        </w:sectPr>
      </w:pPr>
    </w:p>
    <w:bookmarkStart w:id="107" w:name="page108"/>
    <w:bookmarkEnd w:id="107"/>
    <w:p>
      <w:pPr>
        <w:ind w:left="400"/>
        <w:spacing w:after="0"/>
        <w:rPr>
          <w:sz w:val="20"/>
          <w:szCs w:val="20"/>
          <w:color w:val="auto"/>
        </w:rPr>
      </w:pPr>
      <w:r>
        <w:rPr>
          <w:rFonts w:ascii="Times New Roman" w:cs="Times New Roman" w:eastAsia="Times New Roman" w:hAnsi="Times New Roman"/>
          <w:sz w:val="20"/>
          <w:szCs w:val="20"/>
          <w:color w:val="auto"/>
        </w:rPr>
        <w:t>notifies the Borrower that the circumstances giving rise to such suspension or demand for compensation no longer apply:</w:t>
      </w:r>
    </w:p>
    <w:p>
      <w:pPr>
        <w:spacing w:after="0" w:line="229" w:lineRule="exact"/>
        <w:rPr>
          <w:sz w:val="20"/>
          <w:szCs w:val="20"/>
          <w:color w:val="auto"/>
        </w:rPr>
      </w:pPr>
    </w:p>
    <w:p>
      <w:pPr>
        <w:ind w:left="500" w:firstLine="816"/>
        <w:spacing w:after="0" w:line="269" w:lineRule="auto"/>
        <w:tabs>
          <w:tab w:leader="none" w:pos="194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Loans which would otherwise be made by the Lender as Term SOFR Loans shall be made instead as Base Rate Loans, and such Base Rate Loans shall be made in Dollars, and</w:t>
      </w:r>
    </w:p>
    <w:p>
      <w:pPr>
        <w:spacing w:after="0" w:line="172" w:lineRule="exact"/>
        <w:rPr>
          <w:rFonts w:ascii="Times New Roman" w:cs="Times New Roman" w:eastAsia="Times New Roman" w:hAnsi="Times New Roman"/>
          <w:sz w:val="20"/>
          <w:szCs w:val="20"/>
          <w:color w:val="auto"/>
        </w:rPr>
      </w:pPr>
    </w:p>
    <w:p>
      <w:pPr>
        <w:ind w:left="500" w:right="20" w:firstLine="816"/>
        <w:spacing w:after="0" w:line="269" w:lineRule="auto"/>
        <w:tabs>
          <w:tab w:leader="none" w:pos="193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after each of its Term SOFR Loans have been repaid, all payments of principal which would otherwise be applied to repay such Term SOFR Loans shall be applied to repay its Base Rate Loans instead.</w:t>
      </w:r>
    </w:p>
    <w:p>
      <w:pPr>
        <w:spacing w:after="0" w:line="173" w:lineRule="exact"/>
        <w:rPr>
          <w:sz w:val="20"/>
          <w:szCs w:val="20"/>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20"/>
          <w:szCs w:val="20"/>
          <w:color w:val="auto"/>
        </w:rPr>
        <w:t>ARTICLE 3</w:t>
      </w:r>
      <w:r>
        <w:rPr>
          <w:sz w:val="20"/>
          <w:szCs w:val="20"/>
          <w:color w:val="auto"/>
        </w:rPr>
        <w:tab/>
      </w:r>
      <w:r>
        <w:rPr>
          <w:rFonts w:ascii="Times New Roman" w:cs="Times New Roman" w:eastAsia="Times New Roman" w:hAnsi="Times New Roman"/>
          <w:sz w:val="19"/>
          <w:szCs w:val="19"/>
          <w:color w:val="auto"/>
        </w:rPr>
        <w:t>REPRESENTATIONS AND WARRANTIES</w:t>
      </w:r>
    </w:p>
    <w:p>
      <w:pPr>
        <w:spacing w:after="0" w:line="229"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On the Closing Date and on any other applicable date, each of Holdings, the Borrower and the other Loan Parties, on behalf of themselves and their respective Subsidiaries, represents and warrants to the Lender that:</w:t>
      </w:r>
    </w:p>
    <w:p>
      <w:pPr>
        <w:spacing w:after="0" w:line="173" w:lineRule="exact"/>
        <w:rPr>
          <w:sz w:val="20"/>
          <w:szCs w:val="20"/>
          <w:color w:val="auto"/>
        </w:rPr>
      </w:pPr>
    </w:p>
    <w:p>
      <w:pPr>
        <w:jc w:val="both"/>
        <w:ind w:left="420" w:firstLine="648"/>
        <w:spacing w:after="0" w:line="266" w:lineRule="auto"/>
        <w:rPr>
          <w:sz w:val="20"/>
          <w:szCs w:val="20"/>
          <w:color w:val="auto"/>
        </w:rPr>
      </w:pPr>
      <w:r>
        <w:rPr>
          <w:rFonts w:ascii="Times New Roman" w:cs="Times New Roman" w:eastAsia="Times New Roman" w:hAnsi="Times New Roman"/>
          <w:sz w:val="19"/>
          <w:szCs w:val="19"/>
          <w:color w:val="auto"/>
        </w:rPr>
        <w:t xml:space="preserve">SECTION 3.1. </w:t>
      </w:r>
      <w:r>
        <w:rPr>
          <w:rFonts w:ascii="Times New Roman" w:cs="Times New Roman" w:eastAsia="Times New Roman" w:hAnsi="Times New Roman"/>
          <w:sz w:val="19"/>
          <w:szCs w:val="19"/>
          <w:u w:val="single" w:color="auto"/>
          <w:color w:val="auto"/>
        </w:rPr>
        <w:t>Organization; Powers</w:t>
      </w:r>
      <w:r>
        <w:rPr>
          <w:rFonts w:ascii="Times New Roman" w:cs="Times New Roman" w:eastAsia="Times New Roman" w:hAnsi="Times New Roman"/>
          <w:sz w:val="19"/>
          <w:szCs w:val="19"/>
          <w:color w:val="auto"/>
        </w:rPr>
        <w:t xml:space="preserve">. Each of the Loan Parties and each of their Subsidiaries (a) is (i) duly organized and validly existing and (ii) in good standing (to the extent such concept exists in the relevant jurisdiction) under the laws of the jurisdiction of its organization, (b) has all requisite power and authority to own its property and assets and to carry on its business as now conducted and (c) is qualified to do business in, and is in good standing (to the extent such concept exists in the relevant jurisdiction) in, every jurisdiction where its ownership, lease or operation of properties or conduct of its business requires such qualification; except, in each case referred to in this </w:t>
      </w:r>
      <w:r>
        <w:rPr>
          <w:rFonts w:ascii="Times New Roman" w:cs="Times New Roman" w:eastAsia="Times New Roman" w:hAnsi="Times New Roman"/>
          <w:sz w:val="19"/>
          <w:szCs w:val="19"/>
          <w:u w:val="single" w:color="auto"/>
          <w:color w:val="auto"/>
        </w:rPr>
        <w:t>Section 3.01</w:t>
      </w:r>
      <w:r>
        <w:rPr>
          <w:rFonts w:ascii="Times New Roman" w:cs="Times New Roman" w:eastAsia="Times New Roman" w:hAnsi="Times New Roman"/>
          <w:sz w:val="19"/>
          <w:szCs w:val="19"/>
          <w:color w:val="auto"/>
        </w:rPr>
        <w:t xml:space="preserve"> (other than </w:t>
      </w:r>
      <w:r>
        <w:rPr>
          <w:rFonts w:ascii="Times New Roman" w:cs="Times New Roman" w:eastAsia="Times New Roman" w:hAnsi="Times New Roman"/>
          <w:sz w:val="19"/>
          <w:szCs w:val="19"/>
          <w:u w:val="single" w:color="auto"/>
          <w:color w:val="auto"/>
        </w:rPr>
        <w:t>clauses (a)(i)</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(b)</w:t>
      </w:r>
      <w:r>
        <w:rPr>
          <w:rFonts w:ascii="Times New Roman" w:cs="Times New Roman" w:eastAsia="Times New Roman" w:hAnsi="Times New Roman"/>
          <w:sz w:val="19"/>
          <w:szCs w:val="19"/>
          <w:color w:val="auto"/>
        </w:rPr>
        <w:t xml:space="preserve"> with respect to Holdings and the Borrower) where the failure to do so, individually or in the aggregate, could not reasonably be expected to result in a Material Adverse Effect.</w:t>
      </w:r>
    </w:p>
    <w:p>
      <w:pPr>
        <w:spacing w:after="0" w:line="181" w:lineRule="exact"/>
        <w:rPr>
          <w:sz w:val="20"/>
          <w:szCs w:val="20"/>
          <w:color w:val="auto"/>
        </w:rPr>
      </w:pPr>
    </w:p>
    <w:p>
      <w:pPr>
        <w:jc w:val="both"/>
        <w:ind w:left="4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3.2. </w:t>
      </w:r>
      <w:r>
        <w:rPr>
          <w:rFonts w:ascii="Times New Roman" w:cs="Times New Roman" w:eastAsia="Times New Roman" w:hAnsi="Times New Roman"/>
          <w:sz w:val="20"/>
          <w:szCs w:val="20"/>
          <w:u w:val="single" w:color="auto"/>
          <w:color w:val="auto"/>
        </w:rPr>
        <w:t>Authorization; Enforceability</w:t>
      </w:r>
      <w:r>
        <w:rPr>
          <w:rFonts w:ascii="Times New Roman" w:cs="Times New Roman" w:eastAsia="Times New Roman" w:hAnsi="Times New Roman"/>
          <w:sz w:val="20"/>
          <w:szCs w:val="20"/>
          <w:color w:val="auto"/>
        </w:rPr>
        <w:t>. The execution, delivery and performance of each of the Loan Documents are within each applicable Loan Party’s corporate or other organizational powers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applicable bankruptcy, insolvency or similar laws affecting creditors’ rights generally and to general principles of equity and principles of good faith and dealing.</w:t>
      </w:r>
    </w:p>
    <w:p>
      <w:pPr>
        <w:spacing w:after="0" w:line="179" w:lineRule="exact"/>
        <w:rPr>
          <w:sz w:val="20"/>
          <w:szCs w:val="20"/>
          <w:color w:val="auto"/>
        </w:rPr>
      </w:pPr>
    </w:p>
    <w:p>
      <w:pPr>
        <w:jc w:val="both"/>
        <w:ind w:left="420" w:firstLine="648"/>
        <w:spacing w:after="0" w:line="270" w:lineRule="auto"/>
        <w:rPr>
          <w:sz w:val="20"/>
          <w:szCs w:val="20"/>
          <w:color w:val="auto"/>
        </w:rPr>
      </w:pPr>
      <w:r>
        <w:rPr>
          <w:rFonts w:ascii="Times New Roman" w:cs="Times New Roman" w:eastAsia="Times New Roman" w:hAnsi="Times New Roman"/>
          <w:sz w:val="19"/>
          <w:szCs w:val="19"/>
          <w:color w:val="auto"/>
        </w:rPr>
        <w:t xml:space="preserve">SECTION 3.3. </w:t>
      </w:r>
      <w:r>
        <w:rPr>
          <w:rFonts w:ascii="Times New Roman" w:cs="Times New Roman" w:eastAsia="Times New Roman" w:hAnsi="Times New Roman"/>
          <w:sz w:val="19"/>
          <w:szCs w:val="19"/>
          <w:u w:val="single" w:color="auto"/>
          <w:color w:val="auto"/>
        </w:rPr>
        <w:t>Governmental Approvals; No Conflicts</w:t>
      </w:r>
      <w:r>
        <w:rPr>
          <w:rFonts w:ascii="Times New Roman" w:cs="Times New Roman" w:eastAsia="Times New Roman" w:hAnsi="Times New Roman"/>
          <w:sz w:val="19"/>
          <w:szCs w:val="19"/>
          <w:color w:val="auto"/>
        </w:rPr>
        <w:t>. The execution and delivery of the Loan Documents by each Loan Party party thereto and the performance by such Loan Party thereof (a) do not require any consent or approval of, registration or filing with, or any other action by, any Governmental Authority, except (i) such as have been obtained or made and are in full force and effect,</w:t>
      </w:r>
    </w:p>
    <w:p>
      <w:pPr>
        <w:jc w:val="both"/>
        <w:ind w:left="420" w:hanging="7"/>
        <w:spacing w:after="0" w:line="249" w:lineRule="auto"/>
        <w:tabs>
          <w:tab w:leader="none" w:pos="743"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filings necessary to perfect Liens created pursuant to the Loan Documents and (iii) such consents, approvals, registrations, filings, or other actions the failure to obtain or make which could not be reasonably expected to have a Material Adverse Effect, (b) will not violate (i) any of such Loan Party’s Organizational Documents or (ii) any Requirements of Law applicable to such Loan Party which, in the case of this </w:t>
      </w:r>
      <w:r>
        <w:rPr>
          <w:rFonts w:ascii="Times New Roman" w:cs="Times New Roman" w:eastAsia="Times New Roman" w:hAnsi="Times New Roman"/>
          <w:sz w:val="20"/>
          <w:szCs w:val="20"/>
          <w:u w:val="single" w:color="auto"/>
          <w:color w:val="auto"/>
        </w:rPr>
        <w:t>clause (b)(ii)</w:t>
      </w:r>
      <w:r>
        <w:rPr>
          <w:rFonts w:ascii="Times New Roman" w:cs="Times New Roman" w:eastAsia="Times New Roman" w:hAnsi="Times New Roman"/>
          <w:sz w:val="20"/>
          <w:szCs w:val="20"/>
          <w:color w:val="auto"/>
        </w:rPr>
        <w:t>, could reasonably be expected to have a Material Adverse Effect and (c) will not violate or result in a default under any material Contractual Obligation of any of the Loan Parties which violation or default could reasonably be expected to result in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35</w:t>
      </w:r>
    </w:p>
    <w:p>
      <w:pPr>
        <w:sectPr>
          <w:pgSz w:w="11900" w:h="16838" w:orient="portrait"/>
          <w:cols w:equalWidth="0" w:num="1">
            <w:col w:w="11240"/>
          </w:cols>
          <w:pgMar w:left="320" w:top="1413" w:right="339" w:bottom="1440" w:gutter="0" w:footer="0" w:header="0"/>
        </w:sectPr>
      </w:pPr>
    </w:p>
    <w:bookmarkStart w:id="108" w:name="page109"/>
    <w:bookmarkEnd w:id="108"/>
    <w:p>
      <w:pPr>
        <w:ind w:left="2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3.4. </w:t>
      </w: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Since the Closing Date, there has been no event or condition that has resulted, or would reasonably be expected to result, in a Material Adverse Effect.</w:t>
      </w:r>
    </w:p>
    <w:p>
      <w:pPr>
        <w:spacing w:after="0" w:line="146" w:lineRule="exact"/>
        <w:rPr>
          <w:sz w:val="20"/>
          <w:szCs w:val="20"/>
          <w:color w:val="auto"/>
        </w:rPr>
      </w:pPr>
    </w:p>
    <w:p>
      <w:pPr>
        <w:ind w:left="8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3.5.</w:t>
      </w:r>
      <w:r>
        <w:rPr>
          <w:sz w:val="20"/>
          <w:szCs w:val="20"/>
          <w:color w:val="auto"/>
        </w:rPr>
        <w:tab/>
      </w:r>
      <w:r>
        <w:rPr>
          <w:rFonts w:ascii="Times New Roman" w:cs="Times New Roman" w:eastAsia="Times New Roman" w:hAnsi="Times New Roman"/>
          <w:sz w:val="19"/>
          <w:szCs w:val="19"/>
          <w:u w:val="single" w:color="auto"/>
          <w:color w:val="auto"/>
        </w:rPr>
        <w:t>Properties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300" w:firstLine="816"/>
        <w:spacing w:after="0" w:line="253" w:lineRule="auto"/>
        <w:tabs>
          <w:tab w:leader="none" w:pos="174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each of its Subsidiaries has good and valid fee simple title (or similar concept under any applicable jurisdiction) to or rights to purchase, or valid leasehold interests in, or other limited property interests in, all real property interests and has good title to its personal property and assets, in each case, except (i) for defects in title that do not materially interfere with its ability to conduct its business as currently conducted or to utilize such properties and assets for their intended purposes or (ii) where the failure to have such title or rights could not reasonably be expected to have a Material Adverse Effect. All such properties and assets are free and clear of Liens, other than Permitted Liens.</w:t>
      </w:r>
    </w:p>
    <w:p>
      <w:pPr>
        <w:spacing w:after="0" w:line="178"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 its Subsidiaries have valid title to or a valid license or right to use all patents, trademarks, service marks, trade names, copyrights, proprietary know how and data and other rights in works of authorship (including all copyrights embodied in software) and all other similar intellectual property rights (the foregoing, collectively, “</w:t>
      </w:r>
      <w:r>
        <w:rPr>
          <w:rFonts w:ascii="Times New Roman" w:cs="Times New Roman" w:eastAsia="Times New Roman" w:hAnsi="Times New Roman"/>
          <w:sz w:val="20"/>
          <w:szCs w:val="20"/>
          <w:b w:val="1"/>
          <w:bCs w:val="1"/>
          <w:color w:val="auto"/>
        </w:rPr>
        <w:t>IP Rights</w:t>
      </w:r>
      <w:r>
        <w:rPr>
          <w:rFonts w:ascii="Times New Roman" w:cs="Times New Roman" w:eastAsia="Times New Roman" w:hAnsi="Times New Roman"/>
          <w:sz w:val="20"/>
          <w:szCs w:val="20"/>
          <w:color w:val="auto"/>
        </w:rPr>
        <w:t>”) necessary to conduct the businesses of Holdings and its Subsidiaries as presently conducted without any infringement or misappropriation of the IP Rights of third parties, except where such failure to own or license or have rights to use could not, or where such infringement or misappropriation could not, have, individually or in the aggregate, a Material Adverse Effect.</w:t>
      </w:r>
    </w:p>
    <w:p>
      <w:pPr>
        <w:spacing w:after="0" w:line="192" w:lineRule="exact"/>
        <w:rPr>
          <w:sz w:val="20"/>
          <w:szCs w:val="20"/>
          <w:color w:val="auto"/>
        </w:rPr>
      </w:pPr>
    </w:p>
    <w:p>
      <w:pPr>
        <w:ind w:left="8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3.6.</w:t>
      </w:r>
      <w:r>
        <w:rPr>
          <w:sz w:val="20"/>
          <w:szCs w:val="20"/>
          <w:color w:val="auto"/>
        </w:rPr>
        <w:tab/>
      </w:r>
      <w:r>
        <w:rPr>
          <w:rFonts w:ascii="Times New Roman" w:cs="Times New Roman" w:eastAsia="Times New Roman" w:hAnsi="Times New Roman"/>
          <w:sz w:val="19"/>
          <w:szCs w:val="19"/>
          <w:u w:val="single" w:color="auto"/>
          <w:color w:val="auto"/>
        </w:rPr>
        <w:t>Litigation and Environmental Matters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300" w:firstLine="816"/>
        <w:spacing w:after="0" w:line="261" w:lineRule="auto"/>
        <w:tabs>
          <w:tab w:leader="none" w:pos="174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are no actions, suits or proceedings by or before any arbitrator or Governmental Authority pending against or, to the knowledge of Holdings, threatened in writing against or affecting the Loan Parties or any of their Subsidiaries which could reasonably be expected, individually or in the aggregate, to result in a Material Adverse Effect.</w:t>
      </w:r>
    </w:p>
    <w:p>
      <w:pPr>
        <w:spacing w:after="0" w:line="167" w:lineRule="exact"/>
        <w:rPr>
          <w:rFonts w:ascii="Times New Roman" w:cs="Times New Roman" w:eastAsia="Times New Roman" w:hAnsi="Times New Roman"/>
          <w:sz w:val="20"/>
          <w:szCs w:val="20"/>
          <w:color w:val="auto"/>
        </w:rPr>
      </w:pPr>
    </w:p>
    <w:p>
      <w:pPr>
        <w:jc w:val="both"/>
        <w:ind w:left="300" w:firstLine="816"/>
        <w:spacing w:after="0" w:line="276" w:lineRule="auto"/>
        <w:tabs>
          <w:tab w:leader="none" w:pos="1738"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for any matters that, individually or in the aggregate, could not reasonably be expected to result in a Material Adverse Effect, (i) no Loan Party nor any of its Subsidiaries has received written notice of any Environmental Claim or knows of any basis for any Environmental Liability and (ii) no Loan Party nor any of its Subsidiaries has failed to comply with any Environmental Law or to obtain, maintain or comply with any permit, license or other approval required under any Environmental Law.</w:t>
      </w:r>
    </w:p>
    <w:p>
      <w:pPr>
        <w:spacing w:after="0" w:line="169" w:lineRule="exact"/>
        <w:rPr>
          <w:rFonts w:ascii="Times New Roman" w:cs="Times New Roman" w:eastAsia="Times New Roman" w:hAnsi="Times New Roman"/>
          <w:sz w:val="19"/>
          <w:szCs w:val="19"/>
          <w:color w:val="auto"/>
        </w:rPr>
      </w:pPr>
    </w:p>
    <w:p>
      <w:pPr>
        <w:jc w:val="both"/>
        <w:ind w:left="300" w:firstLine="816"/>
        <w:spacing w:after="0" w:line="261" w:lineRule="auto"/>
        <w:tabs>
          <w:tab w:leader="none" w:pos="1741"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Holdings nor any of its Subsidiaries has treated, stored, transported or disposed of Hazardous Materials at or from any currently or formerly operated real estate or facility relating to its business in a manner that could reasonably be expected to have a Material Adverse Effect.</w:t>
      </w:r>
    </w:p>
    <w:p>
      <w:pPr>
        <w:spacing w:after="0" w:line="168" w:lineRule="exact"/>
        <w:rPr>
          <w:sz w:val="20"/>
          <w:szCs w:val="20"/>
          <w:color w:val="auto"/>
        </w:rPr>
      </w:pPr>
    </w:p>
    <w:p>
      <w:pPr>
        <w:jc w:val="both"/>
        <w:ind w:left="220" w:firstLine="648"/>
        <w:spacing w:after="0" w:line="268" w:lineRule="auto"/>
        <w:rPr>
          <w:sz w:val="20"/>
          <w:szCs w:val="20"/>
          <w:color w:val="auto"/>
        </w:rPr>
      </w:pPr>
      <w:r>
        <w:rPr>
          <w:rFonts w:ascii="Times New Roman" w:cs="Times New Roman" w:eastAsia="Times New Roman" w:hAnsi="Times New Roman"/>
          <w:sz w:val="20"/>
          <w:szCs w:val="20"/>
          <w:color w:val="auto"/>
        </w:rPr>
        <w:t xml:space="preserve">SECTION 3.7.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Each of Holdings and its Subsidiaries is in compliance with all Requirements of Law applicable to it or its property, except, in each case, where the failure to do so, individually or in the aggregate, could not reasonably be expected to result in a Material Adverse Effect.</w:t>
      </w:r>
    </w:p>
    <w:p>
      <w:pPr>
        <w:spacing w:after="0" w:line="161" w:lineRule="exact"/>
        <w:rPr>
          <w:sz w:val="20"/>
          <w:szCs w:val="20"/>
          <w:color w:val="auto"/>
        </w:rPr>
      </w:pPr>
    </w:p>
    <w:p>
      <w:pPr>
        <w:jc w:val="both"/>
        <w:ind w:left="220"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3.8. </w:t>
      </w:r>
      <w:r>
        <w:rPr>
          <w:rFonts w:ascii="Times New Roman" w:cs="Times New Roman" w:eastAsia="Times New Roman" w:hAnsi="Times New Roman"/>
          <w:sz w:val="20"/>
          <w:szCs w:val="20"/>
          <w:u w:val="single" w:color="auto"/>
          <w:color w:val="auto"/>
        </w:rPr>
        <w:t>Investment Company Status</w:t>
      </w:r>
      <w:r>
        <w:rPr>
          <w:rFonts w:ascii="Times New Roman" w:cs="Times New Roman" w:eastAsia="Times New Roman" w:hAnsi="Times New Roman"/>
          <w:sz w:val="20"/>
          <w:szCs w:val="20"/>
          <w:color w:val="auto"/>
        </w:rPr>
        <w:t>. No Loan Party is required to register as an “investment company” under the Investment Company Act of 1940, as amended. The execution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w:t>
      </w:r>
    </w:p>
    <w:p>
      <w:pPr>
        <w:sectPr>
          <w:pgSz w:w="11900" w:h="16838" w:orient="portrait"/>
          <w:cols w:equalWidth="0" w:num="1">
            <w:col w:w="11040"/>
          </w:cols>
          <w:pgMar w:left="520" w:top="1413" w:right="339" w:bottom="1440" w:gutter="0" w:footer="0" w:header="0"/>
        </w:sectPr>
      </w:pPr>
    </w:p>
    <w:bookmarkStart w:id="109" w:name="page110"/>
    <w:bookmarkEnd w:id="109"/>
    <w:p>
      <w:pPr>
        <w:jc w:val="both"/>
        <w:ind w:left="220"/>
        <w:spacing w:after="0" w:line="283" w:lineRule="auto"/>
        <w:rPr>
          <w:sz w:val="20"/>
          <w:szCs w:val="20"/>
          <w:color w:val="auto"/>
        </w:rPr>
      </w:pPr>
      <w:r>
        <w:rPr>
          <w:rFonts w:ascii="Times New Roman" w:cs="Times New Roman" w:eastAsia="Times New Roman" w:hAnsi="Times New Roman"/>
          <w:sz w:val="20"/>
          <w:szCs w:val="20"/>
          <w:color w:val="auto"/>
        </w:rPr>
        <w:t>delivery of the Loan Documents by the Loan Parties and the consummation by the Loan Parties of the transactions contemplated by this Agreement do not violate, and are not subject to voidance under, the Investment Company Act of 1940, as amended.</w:t>
      </w:r>
    </w:p>
    <w:p>
      <w:pPr>
        <w:spacing w:after="0" w:line="146" w:lineRule="exact"/>
        <w:rPr>
          <w:sz w:val="20"/>
          <w:szCs w:val="20"/>
          <w:color w:val="auto"/>
        </w:rPr>
      </w:pPr>
    </w:p>
    <w:p>
      <w:pPr>
        <w:jc w:val="both"/>
        <w:ind w:left="220" w:firstLine="648"/>
        <w:spacing w:after="0" w:line="253" w:lineRule="auto"/>
        <w:rPr>
          <w:sz w:val="20"/>
          <w:szCs w:val="20"/>
          <w:color w:val="auto"/>
        </w:rPr>
      </w:pPr>
      <w:r>
        <w:rPr>
          <w:rFonts w:ascii="Times New Roman" w:cs="Times New Roman" w:eastAsia="Times New Roman" w:hAnsi="Times New Roman"/>
          <w:sz w:val="20"/>
          <w:szCs w:val="20"/>
          <w:color w:val="auto"/>
        </w:rPr>
        <w:t xml:space="preserve">SECTION 3.9. </w:t>
      </w:r>
      <w:r>
        <w:rPr>
          <w:rFonts w:ascii="Times New Roman" w:cs="Times New Roman" w:eastAsia="Times New Roman" w:hAnsi="Times New Roman"/>
          <w:sz w:val="20"/>
          <w:szCs w:val="20"/>
          <w:u w:val="single" w:color="auto"/>
          <w:color w:val="auto"/>
        </w:rPr>
        <w:t>Taxes</w:t>
      </w:r>
      <w:r>
        <w:rPr>
          <w:rFonts w:ascii="Times New Roman" w:cs="Times New Roman" w:eastAsia="Times New Roman" w:hAnsi="Times New Roman"/>
          <w:sz w:val="20"/>
          <w:szCs w:val="20"/>
          <w:color w:val="auto"/>
        </w:rPr>
        <w:t>. Each of Holdings and its Subsidiaries has timely filed or caused to be filed all federal or state income and other Tax returns and reports required to have been filed by it and has paid or caused to be paid all federal or state income and other Taxes required to have been paid by it that are due and payable, except, in each case, (a) Taxes (or any requirement to file Tax returns with respect thereto) that are being contested in good faith by appropriate proceedings and for which Holdings or such Subsidiary, as applicable, has set aside on its books adequate reserves in accordance with GAAP, or (b) to the extent a failure to do so could reasonably be expected to have a Material Adverse Effect.</w:t>
      </w:r>
    </w:p>
    <w:p>
      <w:pPr>
        <w:spacing w:after="0" w:line="192" w:lineRule="exact"/>
        <w:rPr>
          <w:sz w:val="20"/>
          <w:szCs w:val="20"/>
          <w:color w:val="auto"/>
        </w:rPr>
      </w:pPr>
    </w:p>
    <w:p>
      <w:pPr>
        <w:jc w:val="both"/>
        <w:ind w:left="2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3.10. </w:t>
      </w:r>
      <w:r>
        <w:rPr>
          <w:rFonts w:ascii="Times New Roman" w:cs="Times New Roman" w:eastAsia="Times New Roman" w:hAnsi="Times New Roman"/>
          <w:sz w:val="20"/>
          <w:szCs w:val="20"/>
          <w:u w:val="single" w:color="auto"/>
          <w:color w:val="auto"/>
        </w:rPr>
        <w:t>ERISA; Plan Assets</w:t>
      </w:r>
      <w:r>
        <w:rPr>
          <w:rFonts w:ascii="Times New Roman" w:cs="Times New Roman" w:eastAsia="Times New Roman" w:hAnsi="Times New Roman"/>
          <w:sz w:val="20"/>
          <w:szCs w:val="20"/>
          <w:color w:val="auto"/>
        </w:rPr>
        <w:t>. No ERISA Event has occurred in the five-year period prior to the date on which this representation is made or deemed made and is continuing that, when taken together with all other such ERISA Events, could reasonably be expected to result in a Material Adverse Effect.</w:t>
      </w:r>
    </w:p>
    <w:p>
      <w:pPr>
        <w:spacing w:after="0" w:line="181" w:lineRule="exact"/>
        <w:rPr>
          <w:sz w:val="20"/>
          <w:szCs w:val="20"/>
          <w:color w:val="auto"/>
        </w:rPr>
      </w:pPr>
    </w:p>
    <w:p>
      <w:pPr>
        <w:jc w:val="both"/>
        <w:ind w:left="2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3.11. </w:t>
      </w:r>
      <w:r>
        <w:rPr>
          <w:rFonts w:ascii="Times New Roman" w:cs="Times New Roman" w:eastAsia="Times New Roman" w:hAnsi="Times New Roman"/>
          <w:sz w:val="20"/>
          <w:szCs w:val="20"/>
          <w:u w:val="single" w:color="auto"/>
          <w:color w:val="auto"/>
        </w:rPr>
        <w:t>Disclosure</w:t>
      </w:r>
      <w:r>
        <w:rPr>
          <w:rFonts w:ascii="Times New Roman" w:cs="Times New Roman" w:eastAsia="Times New Roman" w:hAnsi="Times New Roman"/>
          <w:sz w:val="20"/>
          <w:szCs w:val="20"/>
          <w:color w:val="auto"/>
        </w:rPr>
        <w:t xml:space="preserve">. All information concerning Holdings and the Borrower that was prepared by or on behalf of Holdings or the Borrower or their respective representatives and made available to the Lender in connection with this Agreement,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projected financial information, each Loan Party represents only that such information was prepared in good faith based upon assumptions believed to be reasonable at the time,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w:t>
      </w:r>
    </w:p>
    <w:p>
      <w:pPr>
        <w:spacing w:after="0" w:line="182" w:lineRule="exact"/>
        <w:rPr>
          <w:sz w:val="20"/>
          <w:szCs w:val="20"/>
          <w:color w:val="auto"/>
        </w:rPr>
      </w:pPr>
    </w:p>
    <w:p>
      <w:pPr>
        <w:jc w:val="both"/>
        <w:ind w:left="220" w:firstLine="648"/>
        <w:spacing w:after="0" w:line="251" w:lineRule="auto"/>
        <w:rPr>
          <w:sz w:val="20"/>
          <w:szCs w:val="20"/>
          <w:color w:val="auto"/>
        </w:rPr>
      </w:pPr>
      <w:r>
        <w:rPr>
          <w:rFonts w:ascii="Times New Roman" w:cs="Times New Roman" w:eastAsia="Times New Roman" w:hAnsi="Times New Roman"/>
          <w:sz w:val="20"/>
          <w:szCs w:val="20"/>
          <w:color w:val="auto"/>
        </w:rPr>
        <w:t xml:space="preserve">SECTION 3.12. </w:t>
      </w:r>
      <w:r>
        <w:rPr>
          <w:rFonts w:ascii="Times New Roman" w:cs="Times New Roman" w:eastAsia="Times New Roman" w:hAnsi="Times New Roman"/>
          <w:sz w:val="20"/>
          <w:szCs w:val="20"/>
          <w:u w:val="single" w:color="auto"/>
          <w:color w:val="auto"/>
        </w:rPr>
        <w:t>Solvency</w:t>
      </w:r>
      <w:r>
        <w:rPr>
          <w:rFonts w:ascii="Times New Roman" w:cs="Times New Roman" w:eastAsia="Times New Roman" w:hAnsi="Times New Roman"/>
          <w:sz w:val="20"/>
          <w:szCs w:val="20"/>
          <w:color w:val="auto"/>
        </w:rPr>
        <w:t>. As of the Closing Date, immediately after the incurrence of Indebtedness being incurred under this Agreement on the Closing Date, (i) the sum of the debt (including contingent liabilities) of Holdings and its Subsidiaries, on a consolidated basis taken as a whole, does not exceed the fair value of the assets of Holdings and its Subsidiaries, on a consolidated basis taken as a whole, (ii) the present fair saleable value of the assets of Holdings and its Subsidiaries, on a consolidated basis taken as a whole, is not less than the amount that will be required to pay the probable liabilities (including contingent liabilities) of Holdings and its Subsidiaries, on a consolidated basis taken as a whole, on their debts as they become absolute and matured, (iii) the capital of Holdings and its Subsidiaries, on a consolidated basis taken as a whole, is not unreasonably small in relation to the business of Holdings and its Subsidiaries, on a consolidated basis taken as a whole, contemplated as of the Closing Date, and (iv) Holdings and its Subsidiaries, on a consolidated basis taken as a whole, do not intend to incur, or believe that they will incur, debts (including current obligations and contingent liabilities) beyond their ability to pay such debts as they mature in the ordinary course of business. For purposes of the foregoing determination, the amount of any contingent liability at any time shall be computed as the amount that, in light of all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w:t>
      </w:r>
    </w:p>
    <w:p>
      <w:pPr>
        <w:sectPr>
          <w:pgSz w:w="11900" w:h="16838" w:orient="portrait"/>
          <w:cols w:equalWidth="0" w:num="1">
            <w:col w:w="11040"/>
          </w:cols>
          <w:pgMar w:left="520" w:top="1413" w:right="339" w:bottom="1440" w:gutter="0" w:footer="0" w:header="0"/>
        </w:sectPr>
      </w:pPr>
    </w:p>
    <w:bookmarkStart w:id="110" w:name="page111"/>
    <w:bookmarkEnd w:id="110"/>
    <w:p>
      <w:pPr>
        <w:jc w:val="both"/>
        <w:ind w:left="220"/>
        <w:spacing w:after="0" w:line="283" w:lineRule="auto"/>
        <w:rPr>
          <w:sz w:val="20"/>
          <w:szCs w:val="20"/>
          <w:color w:val="auto"/>
        </w:rPr>
      </w:pPr>
      <w:r>
        <w:rPr>
          <w:rFonts w:ascii="Times New Roman" w:cs="Times New Roman" w:eastAsia="Times New Roman" w:hAnsi="Times New Roman"/>
          <w:sz w:val="20"/>
          <w:szCs w:val="20"/>
          <w:color w:val="auto"/>
        </w:rPr>
        <w:t>the facts and circumstances existing at such time, represents the amount that can reasonably be expected to become an actual or matured liability.</w:t>
      </w:r>
    </w:p>
    <w:p>
      <w:pPr>
        <w:spacing w:after="0" w:line="146" w:lineRule="exact"/>
        <w:rPr>
          <w:sz w:val="20"/>
          <w:szCs w:val="20"/>
          <w:color w:val="auto"/>
        </w:rPr>
      </w:pPr>
    </w:p>
    <w:p>
      <w:pPr>
        <w:jc w:val="both"/>
        <w:ind w:left="220" w:firstLine="648"/>
        <w:spacing w:after="0" w:line="261" w:lineRule="auto"/>
        <w:rPr>
          <w:sz w:val="20"/>
          <w:szCs w:val="20"/>
          <w:color w:val="auto"/>
        </w:rPr>
      </w:pPr>
      <w:r>
        <w:rPr>
          <w:rFonts w:ascii="Times New Roman" w:cs="Times New Roman" w:eastAsia="Times New Roman" w:hAnsi="Times New Roman"/>
          <w:sz w:val="20"/>
          <w:szCs w:val="20"/>
          <w:color w:val="auto"/>
        </w:rPr>
        <w:t xml:space="preserve">SECTION 3.13. </w:t>
      </w:r>
      <w:r>
        <w:rPr>
          <w:rFonts w:ascii="Times New Roman" w:cs="Times New Roman" w:eastAsia="Times New Roman" w:hAnsi="Times New Roman"/>
          <w:sz w:val="20"/>
          <w:szCs w:val="20"/>
          <w:u w:val="single" w:color="auto"/>
          <w:color w:val="auto"/>
        </w:rPr>
        <w:t>Capitalization and Subsidiaries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3.13</w:t>
      </w:r>
      <w:r>
        <w:rPr>
          <w:rFonts w:ascii="Times New Roman" w:cs="Times New Roman" w:eastAsia="Times New Roman" w:hAnsi="Times New Roman"/>
          <w:sz w:val="20"/>
          <w:szCs w:val="20"/>
          <w:color w:val="auto"/>
        </w:rPr>
        <w:t xml:space="preserve"> of the Disclosure Letter sets forth, in each case, as of the Closing Date, (a) a correct and complete list of the name of each Subsidiary of Holdings and the ownership interest therein held by Holdings or its applicable Subsidiary, and (b) the type of entity of each of Holdings’ Subsidiaries.</w:t>
      </w:r>
    </w:p>
    <w:p>
      <w:pPr>
        <w:spacing w:after="0" w:line="181" w:lineRule="exact"/>
        <w:rPr>
          <w:sz w:val="20"/>
          <w:szCs w:val="20"/>
          <w:color w:val="auto"/>
        </w:rPr>
      </w:pPr>
    </w:p>
    <w:p>
      <w:pPr>
        <w:jc w:val="both"/>
        <w:ind w:left="220" w:firstLine="648"/>
        <w:spacing w:after="0" w:line="265" w:lineRule="auto"/>
        <w:rPr>
          <w:sz w:val="20"/>
          <w:szCs w:val="20"/>
          <w:color w:val="auto"/>
        </w:rPr>
      </w:pPr>
      <w:r>
        <w:rPr>
          <w:rFonts w:ascii="Times New Roman" w:cs="Times New Roman" w:eastAsia="Times New Roman" w:hAnsi="Times New Roman"/>
          <w:sz w:val="19"/>
          <w:szCs w:val="19"/>
          <w:color w:val="auto"/>
        </w:rPr>
        <w:t xml:space="preserve">SECTION 3.14. </w:t>
      </w:r>
      <w:r>
        <w:rPr>
          <w:rFonts w:ascii="Times New Roman" w:cs="Times New Roman" w:eastAsia="Times New Roman" w:hAnsi="Times New Roman"/>
          <w:sz w:val="19"/>
          <w:szCs w:val="19"/>
          <w:u w:val="single" w:color="auto"/>
          <w:color w:val="auto"/>
        </w:rPr>
        <w:t>Security Interest in Collateral</w:t>
      </w:r>
      <w:r>
        <w:rPr>
          <w:rFonts w:ascii="Times New Roman" w:cs="Times New Roman" w:eastAsia="Times New Roman" w:hAnsi="Times New Roman"/>
          <w:sz w:val="19"/>
          <w:szCs w:val="19"/>
          <w:color w:val="auto"/>
        </w:rPr>
        <w:t>. The provisions of this Agreement and the other Loan Documents create legal, valid and enforceable Liens on the Collateral in favor of the Lender, subject, as to enforceability, to applicable bankruptcy, insolvency or similar laws affecting creditors’ rights generally and to general principles of equity and principles of good faith and fair dealing, and upon the making of such filings and taking of such other actions required to be taken hereby or by the applicable Loan Documents (including (i) the filing of appropriate financing statements with the office of the Secretary of State of the state of organization of each Loan Party that is a Domestic Subsidiary, as the case may be, (ii) the filing of appropriate notices with the U.S. Patent and Trademark Office and the U.S. Copyright Office, in each case in favor of the Lender, and (iii) the delivery to the Lender of any stock certificates or promissory notes, in each case, to the extent required to be delivered pursuant to the applicable Loan Documents), such Liens will constitute perfected Liens (with the priority such Liens are expressed to have within the relevant Collateral Document) on the Collateral (to the extent such Liens are required to be perfected under the terms of the Loan Documents and to the extent such Liens may be perfected by possession or the making of such filings), securing the Obligations, in each case as and to the extent set forth therein.</w:t>
      </w:r>
    </w:p>
    <w:p>
      <w:pPr>
        <w:spacing w:after="0" w:line="181" w:lineRule="exact"/>
        <w:rPr>
          <w:sz w:val="20"/>
          <w:szCs w:val="20"/>
          <w:color w:val="auto"/>
        </w:rPr>
      </w:pPr>
    </w:p>
    <w:p>
      <w:pPr>
        <w:ind w:left="8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3.15.</w:t>
      </w:r>
      <w:r>
        <w:rPr>
          <w:sz w:val="20"/>
          <w:szCs w:val="20"/>
          <w:color w:val="auto"/>
        </w:rPr>
        <w:tab/>
      </w:r>
      <w:r>
        <w:rPr>
          <w:rFonts w:ascii="Times New Roman" w:cs="Times New Roman" w:eastAsia="Times New Roman" w:hAnsi="Times New Roman"/>
          <w:sz w:val="19"/>
          <w:szCs w:val="19"/>
          <w:u w:val="single" w:color="auto"/>
          <w:color w:val="auto"/>
        </w:rPr>
        <w:t>Federal Reserve Regulations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1740" w:hanging="624"/>
        <w:spacing w:after="0"/>
        <w:tabs>
          <w:tab w:leader="none" w:pos="174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 more than 25% of the value of the assets of Holdings, and its Subsidiaries, taken as a whole, is represented by</w:t>
      </w:r>
    </w:p>
    <w:p>
      <w:pPr>
        <w:spacing w:after="0" w:line="28"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Margin Stock.</w:t>
      </w:r>
    </w:p>
    <w:p>
      <w:pPr>
        <w:spacing w:after="0" w:line="200" w:lineRule="exact"/>
        <w:rPr>
          <w:rFonts w:ascii="Times New Roman" w:cs="Times New Roman" w:eastAsia="Times New Roman" w:hAnsi="Times New Roman"/>
          <w:sz w:val="20"/>
          <w:szCs w:val="20"/>
          <w:color w:val="auto"/>
        </w:rPr>
      </w:pPr>
    </w:p>
    <w:p>
      <w:pPr>
        <w:ind w:left="300" w:firstLine="816"/>
        <w:spacing w:after="0" w:line="283" w:lineRule="auto"/>
        <w:tabs>
          <w:tab w:leader="none" w:pos="173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Holdings or any of its Subsidiaries is engaged principally, or as one of its important activities, in the business of extending credit for the purpose of buying or carrying Margin Stock.</w:t>
      </w:r>
    </w:p>
    <w:p>
      <w:pPr>
        <w:spacing w:after="0" w:line="146" w:lineRule="exact"/>
        <w:rPr>
          <w:rFonts w:ascii="Times New Roman" w:cs="Times New Roman" w:eastAsia="Times New Roman" w:hAnsi="Times New Roman"/>
          <w:sz w:val="20"/>
          <w:szCs w:val="20"/>
          <w:color w:val="auto"/>
        </w:rPr>
      </w:pPr>
    </w:p>
    <w:p>
      <w:pPr>
        <w:ind w:left="300" w:right="20" w:firstLine="816"/>
        <w:spacing w:after="0" w:line="283" w:lineRule="auto"/>
        <w:tabs>
          <w:tab w:leader="none" w:pos="174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the Loan will be used, whether directly or indirectly, and whether immediately, incidentally or ultimately, for any purpose that entails a violation of the provisions of Regulation U or X.</w:t>
      </w:r>
    </w:p>
    <w:p>
      <w:pPr>
        <w:spacing w:after="0" w:line="160" w:lineRule="exact"/>
        <w:rPr>
          <w:sz w:val="20"/>
          <w:szCs w:val="20"/>
          <w:color w:val="auto"/>
        </w:rPr>
      </w:pPr>
    </w:p>
    <w:p>
      <w:pPr>
        <w:ind w:left="86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3.16.</w:t>
      </w:r>
      <w:r>
        <w:rPr>
          <w:sz w:val="20"/>
          <w:szCs w:val="20"/>
          <w:color w:val="auto"/>
        </w:rPr>
        <w:tab/>
      </w:r>
      <w:r>
        <w:rPr>
          <w:rFonts w:ascii="Times New Roman" w:cs="Times New Roman" w:eastAsia="Times New Roman" w:hAnsi="Times New Roman"/>
          <w:sz w:val="19"/>
          <w:szCs w:val="19"/>
          <w:u w:val="single" w:color="auto"/>
          <w:color w:val="auto"/>
        </w:rPr>
        <w:t>Sanctions; Anti-Terrorism Laws; Anti-Corruption Laws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firstLine="816"/>
        <w:spacing w:after="0" w:line="274" w:lineRule="auto"/>
        <w:tabs>
          <w:tab w:leader="none" w:pos="1741"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None of Holdings or any of its Subsidiaries, nor, to the knowledge of Holdings, any Affiliate, director, officer agent or employee of any of the foregoing, is (i) the target of any Sanctions or (ii) organized in, resident in, or doing business within a Sanctioned Country; and the Borrower will not directly or, to the knowledge of the Borrower, indirectly use the proceeds of the Loan or otherwise directly or, knowingly, indirectly make available such proceeds to any Person for the purpose of financing the activities or business of any Person, or in any Sanctioned Country, except to the extent permissible for a Person required to comply with Sanctions.</w:t>
      </w:r>
    </w:p>
    <w:p>
      <w:pPr>
        <w:spacing w:after="0" w:line="156" w:lineRule="exact"/>
        <w:rPr>
          <w:rFonts w:ascii="Times New Roman" w:cs="Times New Roman" w:eastAsia="Times New Roman" w:hAnsi="Times New Roman"/>
          <w:sz w:val="19"/>
          <w:szCs w:val="19"/>
          <w:color w:val="auto"/>
        </w:rPr>
      </w:pPr>
    </w:p>
    <w:p>
      <w:pPr>
        <w:ind w:left="1740" w:hanging="624"/>
        <w:spacing w:after="0"/>
        <w:tabs>
          <w:tab w:leader="none" w:pos="1740"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applicable, each Loan Party is in compliance, in all material respects, with (i) applicable Sanctions and</w:t>
      </w:r>
    </w:p>
    <w:p>
      <w:pPr>
        <w:spacing w:after="0" w:line="39" w:lineRule="exact"/>
        <w:rPr>
          <w:rFonts w:ascii="Times New Roman" w:cs="Times New Roman" w:eastAsia="Times New Roman" w:hAnsi="Times New Roman"/>
          <w:sz w:val="19"/>
          <w:szCs w:val="19"/>
          <w:color w:val="auto"/>
        </w:rPr>
      </w:pPr>
    </w:p>
    <w:p>
      <w:pPr>
        <w:ind w:left="600" w:hanging="300"/>
        <w:spacing w:after="0"/>
        <w:tabs>
          <w:tab w:leader="none" w:pos="60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Anti-Terrorism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w:t>
      </w:r>
    </w:p>
    <w:p>
      <w:pPr>
        <w:sectPr>
          <w:pgSz w:w="11900" w:h="16838" w:orient="portrait"/>
          <w:cols w:equalWidth="0" w:num="1">
            <w:col w:w="11040"/>
          </w:cols>
          <w:pgMar w:left="520" w:top="1413" w:right="339" w:bottom="1440" w:gutter="0" w:footer="0" w:header="0"/>
        </w:sectPr>
      </w:pPr>
    </w:p>
    <w:bookmarkStart w:id="111" w:name="page112"/>
    <w:bookmarkEnd w:id="111"/>
    <w:p>
      <w:pPr>
        <w:jc w:val="both"/>
        <w:ind w:left="300" w:firstLine="816"/>
        <w:spacing w:after="0" w:line="258" w:lineRule="auto"/>
        <w:tabs>
          <w:tab w:leader="none" w:pos="1741"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the Loan will be used, directly or, to the knowledge of the Borrower, indirectly, for any payments to any governmental official or employee, political party, official of a political party, candidate for political office, or anyone else acting in an official capacity, in order to obtain, retain or direct business or obtain any improper advantage, in violation of Anti-Corruption Laws.</w:t>
      </w:r>
    </w:p>
    <w:p>
      <w:pPr>
        <w:spacing w:after="0" w:line="172" w:lineRule="exact"/>
        <w:rPr>
          <w:sz w:val="20"/>
          <w:szCs w:val="20"/>
          <w:color w:val="auto"/>
        </w:rPr>
      </w:pPr>
    </w:p>
    <w:p>
      <w:pPr>
        <w:ind w:left="2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3.17. </w:t>
      </w:r>
      <w:r>
        <w:rPr>
          <w:rFonts w:ascii="Times New Roman" w:cs="Times New Roman" w:eastAsia="Times New Roman" w:hAnsi="Times New Roman"/>
          <w:sz w:val="20"/>
          <w:szCs w:val="20"/>
          <w:u w:val="single" w:color="auto"/>
          <w:color w:val="auto"/>
        </w:rPr>
        <w:t>Use of Proceeds</w:t>
      </w:r>
      <w:r>
        <w:rPr>
          <w:rFonts w:ascii="Times New Roman" w:cs="Times New Roman" w:eastAsia="Times New Roman" w:hAnsi="Times New Roman"/>
          <w:sz w:val="20"/>
          <w:szCs w:val="20"/>
          <w:color w:val="auto"/>
        </w:rPr>
        <w:t xml:space="preserve">. The Borrower has used the proceeds of the Loans only in compliance with (and not in contravention of) </w:t>
      </w:r>
      <w:r>
        <w:rPr>
          <w:rFonts w:ascii="Times New Roman" w:cs="Times New Roman" w:eastAsia="Times New Roman" w:hAnsi="Times New Roman"/>
          <w:sz w:val="20"/>
          <w:szCs w:val="20"/>
          <w:u w:val="single" w:color="auto"/>
          <w:color w:val="auto"/>
        </w:rPr>
        <w:t>Section 5.09</w:t>
      </w:r>
      <w:r>
        <w:rPr>
          <w:rFonts w:ascii="Times New Roman" w:cs="Times New Roman" w:eastAsia="Times New Roman" w:hAnsi="Times New Roman"/>
          <w:sz w:val="20"/>
          <w:szCs w:val="20"/>
          <w:color w:val="auto"/>
        </w:rPr>
        <w:t>.</w:t>
      </w:r>
    </w:p>
    <w:p>
      <w:pPr>
        <w:spacing w:after="0" w:line="160" w:lineRule="exact"/>
        <w:rPr>
          <w:sz w:val="20"/>
          <w:szCs w:val="20"/>
          <w:color w:val="auto"/>
        </w:rPr>
      </w:pPr>
    </w:p>
    <w:p>
      <w:pPr>
        <w:jc w:val="center"/>
        <w:ind w:right="200"/>
        <w:spacing w:after="0"/>
        <w:tabs>
          <w:tab w:leader="none" w:pos="280" w:val="left"/>
        </w:tabs>
        <w:rPr>
          <w:sz w:val="20"/>
          <w:szCs w:val="20"/>
          <w:color w:val="auto"/>
        </w:rPr>
      </w:pPr>
      <w:r>
        <w:rPr>
          <w:rFonts w:ascii="Times New Roman" w:cs="Times New Roman" w:eastAsia="Times New Roman" w:hAnsi="Times New Roman"/>
          <w:sz w:val="20"/>
          <w:szCs w:val="20"/>
          <w:color w:val="auto"/>
        </w:rPr>
        <w:t>ARTICLE 4</w:t>
      </w:r>
      <w:r>
        <w:rPr>
          <w:sz w:val="20"/>
          <w:szCs w:val="20"/>
          <w:color w:val="auto"/>
        </w:rPr>
        <w:tab/>
      </w:r>
      <w:r>
        <w:rPr>
          <w:rFonts w:ascii="Times New Roman" w:cs="Times New Roman" w:eastAsia="Times New Roman" w:hAnsi="Times New Roman"/>
          <w:sz w:val="19"/>
          <w:szCs w:val="19"/>
          <w:color w:val="auto"/>
        </w:rPr>
        <w:t>CONDITIONS PRECEDENT</w:t>
      </w:r>
    </w:p>
    <w:p>
      <w:pPr>
        <w:spacing w:after="0" w:line="216" w:lineRule="exact"/>
        <w:rPr>
          <w:sz w:val="20"/>
          <w:szCs w:val="20"/>
          <w:color w:val="auto"/>
        </w:rPr>
      </w:pPr>
    </w:p>
    <w:p>
      <w:pPr>
        <w:ind w:left="2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4.1. </w:t>
      </w:r>
      <w:r>
        <w:rPr>
          <w:rFonts w:ascii="Times New Roman" w:cs="Times New Roman" w:eastAsia="Times New Roman" w:hAnsi="Times New Roman"/>
          <w:sz w:val="20"/>
          <w:szCs w:val="20"/>
          <w:u w:val="single" w:color="auto"/>
          <w:color w:val="auto"/>
        </w:rPr>
        <w:t>Closing Date</w:t>
      </w:r>
      <w:r>
        <w:rPr>
          <w:rFonts w:ascii="Times New Roman" w:cs="Times New Roman" w:eastAsia="Times New Roman" w:hAnsi="Times New Roman"/>
          <w:sz w:val="20"/>
          <w:szCs w:val="20"/>
          <w:color w:val="auto"/>
        </w:rPr>
        <w:t>. The obligations of the Lender to make Loans hereunder shall not become effective until the date (the “</w:t>
      </w:r>
      <w:r>
        <w:rPr>
          <w:rFonts w:ascii="Times New Roman" w:cs="Times New Roman" w:eastAsia="Times New Roman" w:hAnsi="Times New Roman"/>
          <w:sz w:val="20"/>
          <w:szCs w:val="20"/>
          <w:b w:val="1"/>
          <w:bCs w:val="1"/>
          <w:color w:val="auto"/>
        </w:rPr>
        <w:t>Closing Date</w:t>
      </w:r>
      <w:r>
        <w:rPr>
          <w:rFonts w:ascii="Times New Roman" w:cs="Times New Roman" w:eastAsia="Times New Roman" w:hAnsi="Times New Roman"/>
          <w:sz w:val="20"/>
          <w:szCs w:val="20"/>
          <w:color w:val="auto"/>
        </w:rPr>
        <w:t xml:space="preserve">”) on which each of the following conditions is satisfied (or waived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jc w:val="both"/>
        <w:ind w:left="300" w:firstLine="816"/>
        <w:spacing w:after="0" w:line="258" w:lineRule="auto"/>
        <w:tabs>
          <w:tab w:leader="none" w:pos="174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Credit Agreement and Loan Documents</w:t>
      </w:r>
      <w:r>
        <w:rPr>
          <w:rFonts w:ascii="Times New Roman" w:cs="Times New Roman" w:eastAsia="Times New Roman" w:hAnsi="Times New Roman"/>
          <w:sz w:val="20"/>
          <w:szCs w:val="20"/>
          <w:color w:val="auto"/>
        </w:rPr>
        <w:t xml:space="preserve">. The Lender (or its counsel) shall have received from each of the Loan Parties party thereto either (i) a counterpart of this Agreement and each other Loan Document to be executed on the Closing Date, in each case signed on behalf of such party or (ii) evidence satisfactory to the Lender (which may include facsimile or e-mail transmission) that such party has signed a counterpart of the applicable agreements referred to in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above.</w:t>
      </w:r>
    </w:p>
    <w:p>
      <w:pPr>
        <w:spacing w:after="0" w:line="185" w:lineRule="exact"/>
        <w:rPr>
          <w:rFonts w:ascii="Times New Roman" w:cs="Times New Roman" w:eastAsia="Times New Roman" w:hAnsi="Times New Roman"/>
          <w:sz w:val="20"/>
          <w:szCs w:val="20"/>
          <w:color w:val="auto"/>
        </w:rPr>
      </w:pPr>
    </w:p>
    <w:p>
      <w:pPr>
        <w:jc w:val="both"/>
        <w:ind w:left="300" w:firstLine="816"/>
        <w:spacing w:after="0" w:line="249" w:lineRule="auto"/>
        <w:tabs>
          <w:tab w:leader="none" w:pos="173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Certificates; Certified Charters; Good Standing Certificates</w:t>
      </w:r>
      <w:r>
        <w:rPr>
          <w:rFonts w:ascii="Times New Roman" w:cs="Times New Roman" w:eastAsia="Times New Roman" w:hAnsi="Times New Roman"/>
          <w:sz w:val="20"/>
          <w:szCs w:val="20"/>
          <w:color w:val="auto"/>
        </w:rPr>
        <w:t>. The Lender shall have received (i) a certificate of each Loan Party, dated the Closing Date and executed by a Responsible Officer of such Loan Party, which shall (A) certify that attached thereto is a true and complete copy of the resolutions or written consents of its governing body authorizing the execution, delivery and performance of the Loan Documents to which it is a party and, in the case of the Borrower, the Borrowings hereunder, and that such resolutions or written consents have not been modified, rescinded or amended and are in full force and effect, (B) identify by name and title and bear the signatures of the Responsible Officers or authorized signatories of such Loan Party authorized to sign the Loan Documents to which it is a party on the Closing Date and (C) certify that attached thereto is a true and complete copy of the Organizational Documents of each Loan Party and a true and correct copy of its by-laws or operating, management, partnership or similar agreement (to the extent applicable) and that such documents or agreements have not been amended (except as otherwise attached), and (ii) a certificate of good standing (or equivalent) from the relevant office in such Loan Party’s jurisdiction of organization (to the extent relevant, customary and available in the jurisdiction of incorporation, formation or organization of such Loan Party) dated as of the Closing Date or a recent date prior thereto.</w:t>
      </w:r>
    </w:p>
    <w:p>
      <w:pPr>
        <w:spacing w:after="0" w:line="201"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1"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Officer’s Certificate</w:t>
      </w:r>
      <w:r>
        <w:rPr>
          <w:rFonts w:ascii="Times New Roman" w:cs="Times New Roman" w:eastAsia="Times New Roman" w:hAnsi="Times New Roman"/>
          <w:sz w:val="20"/>
          <w:szCs w:val="20"/>
          <w:color w:val="auto"/>
        </w:rPr>
        <w:t>. The Lender shall have received a certificate of the Borrower, dated the Closing Date and certified by a Responsible Officer of the Borrower, as to the satisfaction of the conditions precedent set forth in Sections 4.01(d) and 4.01(e) below.</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Accuracy of Representations and Warranties</w:t>
      </w:r>
      <w:r>
        <w:rPr>
          <w:rFonts w:ascii="Times New Roman" w:cs="Times New Roman" w:eastAsia="Times New Roman" w:hAnsi="Times New Roman"/>
          <w:sz w:val="20"/>
          <w:szCs w:val="20"/>
          <w:color w:val="auto"/>
        </w:rPr>
        <w:t xml:space="preserve">. The representations and warranties of the Borrower contained in </w:t>
      </w:r>
      <w:r>
        <w:rPr>
          <w:rFonts w:ascii="Times New Roman" w:cs="Times New Roman" w:eastAsia="Times New Roman" w:hAnsi="Times New Roman"/>
          <w:sz w:val="20"/>
          <w:szCs w:val="20"/>
          <w:u w:val="single" w:color="auto"/>
          <w:color w:val="auto"/>
        </w:rPr>
        <w:t>Article 3</w:t>
      </w:r>
      <w:r>
        <w:rPr>
          <w:rFonts w:ascii="Times New Roman" w:cs="Times New Roman" w:eastAsia="Times New Roman" w:hAnsi="Times New Roman"/>
          <w:sz w:val="20"/>
          <w:szCs w:val="20"/>
          <w:color w:val="auto"/>
        </w:rPr>
        <w:t xml:space="preserve"> of this Agreement shall be true and correct in all material respects on and as of the Closing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such representations and warranties are qualified by materiality, material adverse change, material adverse effect or words of like import, such representations and warranties shall be true and correct in all respects;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if such representations and warranties relate to an earlier date, such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w:t>
      </w:r>
    </w:p>
    <w:p>
      <w:pPr>
        <w:sectPr>
          <w:pgSz w:w="11900" w:h="16838" w:orient="portrait"/>
          <w:cols w:equalWidth="0" w:num="1">
            <w:col w:w="11040"/>
          </w:cols>
          <w:pgMar w:left="520" w:top="1413" w:right="339" w:bottom="1440" w:gutter="0" w:footer="0" w:header="0"/>
        </w:sectPr>
      </w:pPr>
    </w:p>
    <w:bookmarkStart w:id="112" w:name="page113"/>
    <w:bookmarkEnd w:id="112"/>
    <w:p>
      <w:pPr>
        <w:ind w:left="500"/>
        <w:spacing w:after="0"/>
        <w:rPr>
          <w:sz w:val="20"/>
          <w:szCs w:val="20"/>
          <w:color w:val="auto"/>
        </w:rPr>
      </w:pPr>
      <w:r>
        <w:rPr>
          <w:rFonts w:ascii="Times New Roman" w:cs="Times New Roman" w:eastAsia="Times New Roman" w:hAnsi="Times New Roman"/>
          <w:sz w:val="20"/>
          <w:szCs w:val="20"/>
          <w:color w:val="auto"/>
        </w:rPr>
        <w:t>warranties shall be true and correct in all material respects or in all respects, as the case may be, as of such earlier date.</w:t>
      </w:r>
    </w:p>
    <w:p>
      <w:pPr>
        <w:spacing w:after="0" w:line="229" w:lineRule="exact"/>
        <w:rPr>
          <w:sz w:val="20"/>
          <w:szCs w:val="20"/>
          <w:color w:val="auto"/>
        </w:rPr>
      </w:pPr>
    </w:p>
    <w:p>
      <w:pPr>
        <w:ind w:left="500" w:firstLine="816"/>
        <w:spacing w:after="0" w:line="269" w:lineRule="auto"/>
        <w:tabs>
          <w:tab w:leader="none" w:pos="1941"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Closing Date Certificate</w:t>
      </w:r>
      <w:r>
        <w:rPr>
          <w:rFonts w:ascii="Times New Roman" w:cs="Times New Roman" w:eastAsia="Times New Roman" w:hAnsi="Times New Roman"/>
          <w:sz w:val="20"/>
          <w:szCs w:val="20"/>
          <w:color w:val="auto"/>
        </w:rPr>
        <w:t>. As of the Closing Date, no Default or Event of Default shall have occurred and be continuing, and no Default or Event of Default would result from this Agreement or any transactions contemplated hereby.</w:t>
      </w:r>
    </w:p>
    <w:p>
      <w:pPr>
        <w:spacing w:after="0" w:line="172" w:lineRule="exact"/>
        <w:rPr>
          <w:rFonts w:ascii="Times New Roman" w:cs="Times New Roman" w:eastAsia="Times New Roman" w:hAnsi="Times New Roman"/>
          <w:sz w:val="20"/>
          <w:szCs w:val="20"/>
          <w:color w:val="auto"/>
        </w:rPr>
      </w:pPr>
    </w:p>
    <w:p>
      <w:pPr>
        <w:ind w:left="500" w:firstLine="816"/>
        <w:spacing w:after="0" w:line="269" w:lineRule="auto"/>
        <w:tabs>
          <w:tab w:leader="none" w:pos="194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Expenses</w:t>
      </w:r>
      <w:r>
        <w:rPr>
          <w:rFonts w:ascii="Times New Roman" w:cs="Times New Roman" w:eastAsia="Times New Roman" w:hAnsi="Times New Roman"/>
          <w:sz w:val="20"/>
          <w:szCs w:val="20"/>
          <w:color w:val="auto"/>
        </w:rPr>
        <w:t>. The Lender shall have received all reasonable and documented expenses required to be paid or reimbursed by a Loan Party and for which invoices have been presented at least one Business Day prior to the Closing Date.</w:t>
      </w:r>
    </w:p>
    <w:p>
      <w:pPr>
        <w:spacing w:after="0" w:line="173" w:lineRule="exact"/>
        <w:rPr>
          <w:sz w:val="20"/>
          <w:szCs w:val="20"/>
          <w:color w:val="auto"/>
        </w:rPr>
      </w:pPr>
    </w:p>
    <w:p>
      <w:pPr>
        <w:ind w:left="4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SECTION 4.2. </w:t>
      </w:r>
      <w:r>
        <w:rPr>
          <w:rFonts w:ascii="Times New Roman" w:cs="Times New Roman" w:eastAsia="Times New Roman" w:hAnsi="Times New Roman"/>
          <w:sz w:val="20"/>
          <w:szCs w:val="20"/>
          <w:u w:val="single" w:color="auto"/>
          <w:color w:val="auto"/>
        </w:rPr>
        <w:t>Each Credit Extension</w:t>
      </w:r>
      <w:r>
        <w:rPr>
          <w:rFonts w:ascii="Times New Roman" w:cs="Times New Roman" w:eastAsia="Times New Roman" w:hAnsi="Times New Roman"/>
          <w:sz w:val="20"/>
          <w:szCs w:val="20"/>
          <w:color w:val="auto"/>
        </w:rPr>
        <w:t xml:space="preserve">. The obligation of the Lender to make any Loans to the Borrower is subject to the satisfaction (or waiver in accordance with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of the following conditions:</w:t>
      </w:r>
    </w:p>
    <w:p>
      <w:pPr>
        <w:spacing w:after="0" w:line="146" w:lineRule="exact"/>
        <w:rPr>
          <w:sz w:val="20"/>
          <w:szCs w:val="20"/>
          <w:color w:val="auto"/>
        </w:rPr>
      </w:pPr>
    </w:p>
    <w:p>
      <w:pPr>
        <w:ind w:left="1940" w:hanging="624"/>
        <w:spacing w:after="0"/>
        <w:tabs>
          <w:tab w:leader="none" w:pos="19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Lender shall have received a Borrowing Request as required by </w:t>
      </w:r>
      <w:r>
        <w:rPr>
          <w:rFonts w:ascii="Times New Roman" w:cs="Times New Roman" w:eastAsia="Times New Roman" w:hAnsi="Times New Roman"/>
          <w:sz w:val="20"/>
          <w:szCs w:val="20"/>
          <w:u w:val="single" w:color="auto"/>
          <w:color w:val="auto"/>
        </w:rPr>
        <w:t>Section 2.02</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500" w:firstLine="816"/>
        <w:spacing w:after="0" w:line="253" w:lineRule="auto"/>
        <w:tabs>
          <w:tab w:leader="none" w:pos="1938"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warranties of each Loan Party set forth in the Loan Documents shall be true and correct in all material respects (except that any representations and warranties with are themselves qualified materiality shall be true and correct in all respects), which, in each case, on and as of such Borrowing, except in the case of any such representation and warranty that expressly relates to an earlier date, in which case such representation and warranty shall be so true and correct in all material respects (except that any representations and warranties with are themselves qualified materiality shall be true and correct in all respects) on and as of such earlier date.</w:t>
      </w:r>
    </w:p>
    <w:p>
      <w:pPr>
        <w:spacing w:after="0" w:line="178" w:lineRule="exact"/>
        <w:rPr>
          <w:rFonts w:ascii="Times New Roman" w:cs="Times New Roman" w:eastAsia="Times New Roman" w:hAnsi="Times New Roman"/>
          <w:sz w:val="20"/>
          <w:szCs w:val="20"/>
          <w:color w:val="auto"/>
        </w:rPr>
      </w:pPr>
    </w:p>
    <w:p>
      <w:pPr>
        <w:ind w:left="500" w:firstLine="816"/>
        <w:spacing w:after="0" w:line="283" w:lineRule="auto"/>
        <w:tabs>
          <w:tab w:leader="none" w:pos="1941"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time of and immediately after giving effect to such Borrowing, no Default or Event of Default shall have occurred and be continuing.</w:t>
      </w:r>
    </w:p>
    <w:p>
      <w:pPr>
        <w:spacing w:after="0" w:line="160"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20"/>
          <w:szCs w:val="20"/>
          <w:color w:val="auto"/>
        </w:rPr>
        <w:t xml:space="preserve">To the extent this </w:t>
      </w:r>
      <w:r>
        <w:rPr>
          <w:rFonts w:ascii="Times New Roman" w:cs="Times New Roman" w:eastAsia="Times New Roman" w:hAnsi="Times New Roman"/>
          <w:sz w:val="20"/>
          <w:szCs w:val="20"/>
          <w:u w:val="single" w:color="auto"/>
          <w:color w:val="auto"/>
        </w:rPr>
        <w:t>Section 4.02</w:t>
      </w:r>
      <w:r>
        <w:rPr>
          <w:rFonts w:ascii="Times New Roman" w:cs="Times New Roman" w:eastAsia="Times New Roman" w:hAnsi="Times New Roman"/>
          <w:sz w:val="20"/>
          <w:szCs w:val="20"/>
          <w:color w:val="auto"/>
        </w:rPr>
        <w:t xml:space="preserve"> is applicable, each Borrowing shall be deemed to constitute a representation and warranty by the Borrower on the date thereof that the conditions specified in </w:t>
      </w:r>
      <w:r>
        <w:rPr>
          <w:rFonts w:ascii="Times New Roman" w:cs="Times New Roman" w:eastAsia="Times New Roman" w:hAnsi="Times New Roman"/>
          <w:sz w:val="20"/>
          <w:szCs w:val="20"/>
          <w:u w:val="single" w:color="auto"/>
          <w:color w:val="auto"/>
        </w:rPr>
        <w:t>Sections 4.02(b)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4.02(c)</w:t>
      </w:r>
      <w:r>
        <w:rPr>
          <w:rFonts w:ascii="Times New Roman" w:cs="Times New Roman" w:eastAsia="Times New Roman" w:hAnsi="Times New Roman"/>
          <w:sz w:val="20"/>
          <w:szCs w:val="20"/>
          <w:color w:val="auto"/>
        </w:rPr>
        <w:t xml:space="preserve"> have been satisfied.</w:t>
      </w:r>
    </w:p>
    <w:p>
      <w:pPr>
        <w:spacing w:after="0" w:line="173" w:lineRule="exact"/>
        <w:rPr>
          <w:sz w:val="20"/>
          <w:szCs w:val="20"/>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20"/>
          <w:szCs w:val="20"/>
          <w:color w:val="auto"/>
        </w:rPr>
        <w:t>ARTICLE 5</w:t>
      </w:r>
      <w:r>
        <w:rPr>
          <w:sz w:val="20"/>
          <w:szCs w:val="20"/>
          <w:color w:val="auto"/>
        </w:rPr>
        <w:tab/>
      </w:r>
      <w:r>
        <w:rPr>
          <w:rFonts w:ascii="Times New Roman" w:cs="Times New Roman" w:eastAsia="Times New Roman" w:hAnsi="Times New Roman"/>
          <w:sz w:val="19"/>
          <w:szCs w:val="19"/>
          <w:color w:val="auto"/>
        </w:rPr>
        <w:t>AFFIRMATIVE COVENANTS</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Until the date that all the principal of and interest on the Loan and all fees, expenses, other amounts and Obligations payable under any Loan Document (other than contingent indemnification and/or reimbursement obligations for which no claim or demand has been made) have been paid in full in Cash, each of Holdings, the Borrower and its Subsidiaries covenant and agree with the Lender that:</w:t>
      </w:r>
    </w:p>
    <w:p>
      <w:pPr>
        <w:spacing w:after="0" w:line="181" w:lineRule="exact"/>
        <w:rPr>
          <w:sz w:val="20"/>
          <w:szCs w:val="20"/>
          <w:color w:val="auto"/>
        </w:rPr>
      </w:pPr>
    </w:p>
    <w:p>
      <w:pPr>
        <w:ind w:left="98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5.1.</w:t>
      </w:r>
      <w:r>
        <w:rPr>
          <w:sz w:val="20"/>
          <w:szCs w:val="20"/>
          <w:color w:val="auto"/>
        </w:rPr>
        <w:tab/>
      </w:r>
      <w:r>
        <w:rPr>
          <w:rFonts w:ascii="Times New Roman" w:cs="Times New Roman" w:eastAsia="Times New Roman" w:hAnsi="Times New Roman"/>
          <w:sz w:val="19"/>
          <w:szCs w:val="19"/>
          <w:u w:val="single" w:color="auto"/>
          <w:color w:val="auto"/>
        </w:rPr>
        <w:t>Financial Statements and Other Reports</w:t>
      </w:r>
      <w:r>
        <w:rPr>
          <w:rFonts w:ascii="Times New Roman" w:cs="Times New Roman" w:eastAsia="Times New Roman" w:hAnsi="Times New Roman"/>
          <w:sz w:val="19"/>
          <w:szCs w:val="19"/>
          <w:color w:val="auto"/>
        </w:rPr>
        <w:t>. Holdings will deliver to the Lender:</w:t>
      </w:r>
    </w:p>
    <w:p>
      <w:pPr>
        <w:spacing w:after="0" w:line="229" w:lineRule="exact"/>
        <w:rPr>
          <w:sz w:val="20"/>
          <w:szCs w:val="20"/>
          <w:color w:val="auto"/>
        </w:rPr>
      </w:pPr>
    </w:p>
    <w:p>
      <w:pPr>
        <w:jc w:val="both"/>
        <w:ind w:left="500" w:firstLine="816"/>
        <w:spacing w:after="0" w:line="253" w:lineRule="auto"/>
        <w:tabs>
          <w:tab w:leader="none" w:pos="1941"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Unaudited Financial Statements</w:t>
      </w:r>
      <w:r>
        <w:rPr>
          <w:rFonts w:ascii="Times New Roman" w:cs="Times New Roman" w:eastAsia="Times New Roman" w:hAnsi="Times New Roman"/>
          <w:sz w:val="20"/>
          <w:szCs w:val="20"/>
          <w:color w:val="auto"/>
        </w:rPr>
        <w:t>. Commencing with the financial statements for the Fiscal Quarter ending September 30, 2024, within 45 days following the end of each of the first three Fiscal Quarters of each Fiscal Year (or, if applicable, any later date by which Holdings is required to file its quarterly report on Form 10-Q under applicable SEC rules), the unaudited consolidated statement of financial position of Holdings as at the end of such Fiscal Quarter and the related consolidated statements of comprehensive income (loss) and cash flows of Holdings for such Fiscal Quarter and for the period from the beginning of the then current Fiscal Year to the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40</w:t>
      </w:r>
    </w:p>
    <w:p>
      <w:pPr>
        <w:sectPr>
          <w:pgSz w:w="11900" w:h="16838" w:orient="portrait"/>
          <w:cols w:equalWidth="0" w:num="1">
            <w:col w:w="11240"/>
          </w:cols>
          <w:pgMar w:left="320" w:top="1413" w:right="339" w:bottom="1440" w:gutter="0" w:footer="0" w:header="0"/>
        </w:sectPr>
      </w:pPr>
    </w:p>
    <w:bookmarkStart w:id="113" w:name="page114"/>
    <w:bookmarkEnd w:id="113"/>
    <w:p>
      <w:pPr>
        <w:jc w:val="both"/>
        <w:ind w:left="300"/>
        <w:spacing w:after="0" w:line="261" w:lineRule="auto"/>
        <w:rPr>
          <w:sz w:val="20"/>
          <w:szCs w:val="20"/>
          <w:color w:val="auto"/>
        </w:rPr>
      </w:pPr>
      <w:r>
        <w:rPr>
          <w:rFonts w:ascii="Times New Roman" w:cs="Times New Roman" w:eastAsia="Times New Roman" w:hAnsi="Times New Roman"/>
          <w:sz w:val="20"/>
          <w:szCs w:val="20"/>
          <w:color w:val="auto"/>
        </w:rPr>
        <w:t>of such Fiscal Quarter, setting forth in each case in comparative form the corresponding figures for the corresponding periods of the previous Fiscal Year, all in reasonable detail, together with a Financial Officer Certification with respect thereto, subject to changes resulting from audit and normal year-end audit adjustments and to the absence of footnotes;</w:t>
      </w:r>
    </w:p>
    <w:p>
      <w:pPr>
        <w:spacing w:after="0" w:line="181" w:lineRule="exact"/>
        <w:rPr>
          <w:sz w:val="20"/>
          <w:szCs w:val="20"/>
          <w:color w:val="auto"/>
        </w:rPr>
      </w:pPr>
    </w:p>
    <w:p>
      <w:pPr>
        <w:jc w:val="both"/>
        <w:ind w:left="300" w:firstLine="816"/>
        <w:spacing w:after="0" w:line="250" w:lineRule="auto"/>
        <w:tabs>
          <w:tab w:leader="none" w:pos="173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Annual Financial Statements</w:t>
      </w:r>
      <w:r>
        <w:rPr>
          <w:rFonts w:ascii="Times New Roman" w:cs="Times New Roman" w:eastAsia="Times New Roman" w:hAnsi="Times New Roman"/>
          <w:sz w:val="20"/>
          <w:szCs w:val="20"/>
          <w:color w:val="auto"/>
        </w:rPr>
        <w:t>. Beginning with the Fiscal Year ending December 31, 2024, as soon as available and in any event within 90 days after the end of each Fiscal Year (or, if applicable, any later date by which Holdings is required to file its annual report on Form 10-K under applicable SEC rules), (i) the consolidated statement of financial position of Holdings as at the end of such Fiscal Year and the related consolidated statements of comprehensive income (loss), changes in equity and cash flows of Holdings for such Fiscal Year, setting forth in each case in comparative form the corresponding figures for the previous Fiscal Year, in reasonable detail; and (ii) with respect to such consolidated financial statements, a report thereon of independent registered public accountants of recognized national standing (which report shall be unqualified as to “going concern” and scope of audit (other than solely as a result of any upcoming scheduled maturity of the Obligations occurring within one year from the time such opinion is delivered), and shall state that such consolidated financial statements fairly present, in all material respects, the consolidated financial position of Holdings as at the dates indicated and the results of its consolidated operations and cash flows for the periods indicated in conformity with GAAP;</w:t>
      </w:r>
    </w:p>
    <w:p>
      <w:pPr>
        <w:spacing w:after="0" w:line="186"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300" w:right="20" w:firstLine="816"/>
        <w:spacing w:after="0" w:line="283" w:lineRule="auto"/>
        <w:tabs>
          <w:tab w:leader="none" w:pos="173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Default</w:t>
      </w:r>
      <w:r>
        <w:rPr>
          <w:rFonts w:ascii="Times New Roman" w:cs="Times New Roman" w:eastAsia="Times New Roman" w:hAnsi="Times New Roman"/>
          <w:sz w:val="20"/>
          <w:szCs w:val="20"/>
          <w:color w:val="auto"/>
        </w:rPr>
        <w:t>. Promptly upon a Responsible Officer obtaining knowledge thereof, the occurrence of any Default or Event of Default, written notice thereof;</w:t>
      </w:r>
    </w:p>
    <w:p>
      <w:pPr>
        <w:spacing w:after="0" w:line="146"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 of Litigation</w:t>
      </w:r>
      <w:r>
        <w:rPr>
          <w:rFonts w:ascii="Times New Roman" w:cs="Times New Roman" w:eastAsia="Times New Roman" w:hAnsi="Times New Roman"/>
          <w:sz w:val="20"/>
          <w:szCs w:val="20"/>
          <w:color w:val="auto"/>
        </w:rPr>
        <w:t>. Promptly upon a Responsible Officer obtaining knowledge thereof, the occurrence of (i) the</w:t>
      </w:r>
    </w:p>
    <w:p>
      <w:pPr>
        <w:spacing w:after="0" w:line="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institution of, or threat (in writing) of, any Adverse Proceeding not previously disclosed in writing by the Loan Parties to the Lender or</w:t>
      </w:r>
    </w:p>
    <w:p>
      <w:pPr>
        <w:spacing w:after="0" w:line="18" w:lineRule="exact"/>
        <w:rPr>
          <w:sz w:val="20"/>
          <w:szCs w:val="20"/>
          <w:color w:val="auto"/>
        </w:rPr>
      </w:pPr>
    </w:p>
    <w:p>
      <w:pPr>
        <w:ind w:left="300" w:right="20"/>
        <w:spacing w:after="0" w:line="260" w:lineRule="auto"/>
        <w:tabs>
          <w:tab w:leader="none" w:pos="60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material development in any Adverse Proceeding that, in the case of either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(ii)</w:t>
      </w:r>
      <w:r>
        <w:rPr>
          <w:rFonts w:ascii="Times New Roman" w:cs="Times New Roman" w:eastAsia="Times New Roman" w:hAnsi="Times New Roman"/>
          <w:sz w:val="20"/>
          <w:szCs w:val="20"/>
          <w:color w:val="auto"/>
        </w:rPr>
        <w:t>, could reasonably be expected to have a Material Adverse Effect, written notice specifying the nature thereof;</w:t>
      </w:r>
    </w:p>
    <w:p>
      <w:pPr>
        <w:spacing w:after="0" w:line="168" w:lineRule="exact"/>
        <w:rPr>
          <w:rFonts w:ascii="Times New Roman" w:cs="Times New Roman" w:eastAsia="Times New Roman" w:hAnsi="Times New Roman"/>
          <w:sz w:val="20"/>
          <w:szCs w:val="20"/>
          <w:color w:val="auto"/>
        </w:rPr>
      </w:pPr>
    </w:p>
    <w:p>
      <w:pPr>
        <w:ind w:left="300" w:firstLine="816"/>
        <w:spacing w:after="0" w:line="283" w:lineRule="auto"/>
        <w:tabs>
          <w:tab w:leader="none" w:pos="1746"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ERISA</w:t>
      </w:r>
      <w:r>
        <w:rPr>
          <w:rFonts w:ascii="Times New Roman" w:cs="Times New Roman" w:eastAsia="Times New Roman" w:hAnsi="Times New Roman"/>
          <w:sz w:val="20"/>
          <w:szCs w:val="20"/>
          <w:color w:val="auto"/>
        </w:rPr>
        <w:t>. Promptly upon a Responsible Officer obtaining knowledge thereof, the occurrence of any ERISA Event that could reasonably be expected to have a Material Adverse Effect, a written notice specifying the nature thereof;</w:t>
      </w:r>
    </w:p>
    <w:p>
      <w:pPr>
        <w:spacing w:after="0" w:line="159"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Information Regarding Collateral</w:t>
      </w:r>
      <w:r>
        <w:rPr>
          <w:rFonts w:ascii="Times New Roman" w:cs="Times New Roman" w:eastAsia="Times New Roman" w:hAnsi="Times New Roman"/>
          <w:sz w:val="20"/>
          <w:szCs w:val="20"/>
          <w:color w:val="auto"/>
        </w:rPr>
        <w:t>. Holdings will furnish to the Lender prompt (and in any event within thirty (30) days (or such later date as the Lender may reasonable agree)) written notice with respect to the Borrower, Holdings or any other Loan Party that is organized in the United States, of any change (A) in any such Person’s legal name, (B) in any such Person’s type of organization, (C) in any such Person’s jurisdiction of organization, incorporation or amalgamation, chief executive office or domicile or (D) in any such Person’s organizational identification number (to the extent necessary to perfect or maintain the perfection and priority of the Lender’s security interest in the applicable Collateral);</w:t>
      </w:r>
    </w:p>
    <w:p>
      <w:pPr>
        <w:spacing w:after="0" w:line="192"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8"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Reports</w:t>
      </w:r>
      <w:r>
        <w:rPr>
          <w:rFonts w:ascii="Times New Roman" w:cs="Times New Roman" w:eastAsia="Times New Roman" w:hAnsi="Times New Roman"/>
          <w:sz w:val="20"/>
          <w:szCs w:val="20"/>
          <w:color w:val="auto"/>
        </w:rPr>
        <w:t>. Subject in all respects to the last paragraph of this Section 5.01, promptly upon their becoming available and without duplication of any obligations with respect to any such information that is otherwise required to be delivered under the provisions of any Loan Document, copies of all financial statements, reports, notices and proxy statements sent or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ectPr>
          <w:pgSz w:w="11900" w:h="16838" w:orient="portrait"/>
          <w:cols w:equalWidth="0" w:num="1">
            <w:col w:w="11040"/>
          </w:cols>
          <w:pgMar w:left="520" w:top="1413" w:right="339" w:bottom="1440" w:gutter="0" w:footer="0" w:header="0"/>
        </w:sectPr>
      </w:pPr>
    </w:p>
    <w:bookmarkStart w:id="114" w:name="page115"/>
    <w:bookmarkEnd w:id="114"/>
    <w:p>
      <w:pPr>
        <w:ind w:left="500"/>
        <w:spacing w:after="0" w:line="283" w:lineRule="auto"/>
        <w:rPr>
          <w:sz w:val="20"/>
          <w:szCs w:val="20"/>
          <w:color w:val="auto"/>
        </w:rPr>
      </w:pPr>
      <w:r>
        <w:rPr>
          <w:rFonts w:ascii="Times New Roman" w:cs="Times New Roman" w:eastAsia="Times New Roman" w:hAnsi="Times New Roman"/>
          <w:sz w:val="20"/>
          <w:szCs w:val="20"/>
          <w:color w:val="auto"/>
        </w:rPr>
        <w:t>available generally by Holdings to all of its public security holders acting in such capacity or by any Subsidiary of Holdings to its public security holders other than Holdings or another Subsidiary of Holdings; and</w:t>
      </w:r>
    </w:p>
    <w:p>
      <w:pPr>
        <w:spacing w:after="0" w:line="146" w:lineRule="exact"/>
        <w:rPr>
          <w:sz w:val="20"/>
          <w:szCs w:val="20"/>
          <w:color w:val="auto"/>
        </w:rPr>
      </w:pPr>
    </w:p>
    <w:p>
      <w:pPr>
        <w:jc w:val="both"/>
        <w:ind w:left="500" w:firstLine="816"/>
        <w:spacing w:after="0" w:line="261" w:lineRule="auto"/>
        <w:tabs>
          <w:tab w:leader="none" w:pos="1941"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Information</w:t>
      </w:r>
      <w:r>
        <w:rPr>
          <w:rFonts w:ascii="Times New Roman" w:cs="Times New Roman" w:eastAsia="Times New Roman" w:hAnsi="Times New Roman"/>
          <w:sz w:val="20"/>
          <w:szCs w:val="20"/>
          <w:color w:val="auto"/>
        </w:rPr>
        <w:t xml:space="preserve">. Subject to the limitations set forth in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xml:space="preserve"> and the confidentiality provisions of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8.13</w:t>
      </w:r>
      <w:r>
        <w:rPr>
          <w:rFonts w:ascii="Times New Roman" w:cs="Times New Roman" w:eastAsia="Times New Roman" w:hAnsi="Times New Roman"/>
          <w:sz w:val="20"/>
          <w:szCs w:val="20"/>
          <w:color w:val="auto"/>
        </w:rPr>
        <w:t>, such additional information (financial or otherwise) as the Lender may reasonably request from time to time in connection with the financial condition or business of Holdings and its Subsidiaries; and</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Documents required to be delivered pursuant to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may be delivered electronically and if so delivered, shall be deemed to have been delivered on the date (i) on which executed certificates or other documents are faxed to the Lender (or electronically mailed to an address provided by the Lender); or (ii) in respect of the items required to be delivered pursuant this </w:t>
      </w:r>
      <w:r>
        <w:rPr>
          <w:rFonts w:ascii="Times New Roman" w:cs="Times New Roman" w:eastAsia="Times New Roman" w:hAnsi="Times New Roman"/>
          <w:sz w:val="20"/>
          <w:szCs w:val="20"/>
          <w:u w:val="single" w:color="auto"/>
          <w:color w:val="auto"/>
        </w:rPr>
        <w:t>Section 5.01</w:t>
      </w:r>
      <w:r>
        <w:rPr>
          <w:rFonts w:ascii="Times New Roman" w:cs="Times New Roman" w:eastAsia="Times New Roman" w:hAnsi="Times New Roman"/>
          <w:sz w:val="20"/>
          <w:szCs w:val="20"/>
          <w:color w:val="auto"/>
        </w:rPr>
        <w:t xml:space="preserve"> in respect of information furnished or filed by Holdings or any of its subsidiaries with any securities exchange or with the SEC or any governmental or private regulatory authority, such items have been made available on the SEC website or the website of the relevant analogous governmental or private regulatory authority or securities exchange. Notwithstanding the foregoing, the obligations in </w:t>
      </w:r>
      <w:r>
        <w:rPr>
          <w:rFonts w:ascii="Times New Roman" w:cs="Times New Roman" w:eastAsia="Times New Roman" w:hAnsi="Times New Roman"/>
          <w:sz w:val="20"/>
          <w:szCs w:val="20"/>
          <w:u w:val="single" w:color="auto"/>
          <w:color w:val="auto"/>
        </w:rPr>
        <w:t>paragraphs (a)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5.01</w:t>
      </w:r>
      <w:r>
        <w:rPr>
          <w:rFonts w:ascii="Times New Roman" w:cs="Times New Roman" w:eastAsia="Times New Roman" w:hAnsi="Times New Roman"/>
          <w:sz w:val="20"/>
          <w:szCs w:val="20"/>
          <w:color w:val="auto"/>
        </w:rPr>
        <w:t xml:space="preserve"> may be satisfied with respect to financial information of Holdings and its consolidated Subsidiaries by furnishing Holdings’ Form 10-K, 10-Q, Annual Information Form and quarterly financial statements, as applicable, filed with the SEC.</w:t>
      </w:r>
    </w:p>
    <w:p>
      <w:pPr>
        <w:spacing w:after="0" w:line="195" w:lineRule="exact"/>
        <w:rPr>
          <w:sz w:val="20"/>
          <w:szCs w:val="20"/>
          <w:color w:val="auto"/>
        </w:rPr>
      </w:pPr>
    </w:p>
    <w:p>
      <w:pPr>
        <w:jc w:val="both"/>
        <w:ind w:left="400" w:firstLine="583"/>
        <w:spacing w:after="0" w:line="251" w:lineRule="auto"/>
        <w:rPr>
          <w:sz w:val="20"/>
          <w:szCs w:val="20"/>
          <w:color w:val="auto"/>
        </w:rPr>
      </w:pPr>
      <w:r>
        <w:rPr>
          <w:rFonts w:ascii="Times New Roman" w:cs="Times New Roman" w:eastAsia="Times New Roman" w:hAnsi="Times New Roman"/>
          <w:sz w:val="20"/>
          <w:szCs w:val="20"/>
          <w:color w:val="auto"/>
        </w:rPr>
        <w:t xml:space="preserve">SECTION 5.2. </w:t>
      </w:r>
      <w:r>
        <w:rPr>
          <w:rFonts w:ascii="Times New Roman" w:cs="Times New Roman" w:eastAsia="Times New Roman" w:hAnsi="Times New Roman"/>
          <w:sz w:val="20"/>
          <w:szCs w:val="20"/>
          <w:u w:val="single" w:color="auto"/>
          <w:color w:val="auto"/>
        </w:rPr>
        <w:t>Existence</w:t>
      </w:r>
      <w:r>
        <w:rPr>
          <w:rFonts w:ascii="Times New Roman" w:cs="Times New Roman" w:eastAsia="Times New Roman" w:hAnsi="Times New Roman"/>
          <w:sz w:val="20"/>
          <w:szCs w:val="20"/>
          <w:color w:val="auto"/>
        </w:rPr>
        <w:t xml:space="preserve">. Holdings will, and will cause each of its Subsidiaries to, at all times preserve and keep in full force and effect its existence and all rights and franchises, licenses and permits necessary in the normal conduct of its business except to the extent (other than with respect to the preservation of existence of Holdings or the Borrower) failure to do so could not reasonably be expected to result in a Material Adverse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neither Holdings nor any of its Subsidiaries shall be required to preserve any such existence (other than the preservation of existence of Holdings and the Borrower), right or franchise, licenses or permits if Holdings shall determine that the preservation thereof is no longer desirable in the conduct of the business of Holdings and its Subsidiaries as a whole, and that the loss thereof is not disadvantageous in any material respect to the business of Holdings and its Subsidiaries as a whole.</w:t>
      </w:r>
    </w:p>
    <w:p>
      <w:pPr>
        <w:spacing w:after="0" w:line="182" w:lineRule="exact"/>
        <w:rPr>
          <w:sz w:val="20"/>
          <w:szCs w:val="20"/>
          <w:color w:val="auto"/>
        </w:rPr>
      </w:pPr>
    </w:p>
    <w:p>
      <w:pPr>
        <w:jc w:val="both"/>
        <w:ind w:left="4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5.3. </w:t>
      </w:r>
      <w:r>
        <w:rPr>
          <w:rFonts w:ascii="Times New Roman" w:cs="Times New Roman" w:eastAsia="Times New Roman" w:hAnsi="Times New Roman"/>
          <w:sz w:val="20"/>
          <w:szCs w:val="20"/>
          <w:u w:val="single" w:color="auto"/>
          <w:color w:val="auto"/>
        </w:rPr>
        <w:t>Payment of Taxes</w:t>
      </w:r>
      <w:r>
        <w:rPr>
          <w:rFonts w:ascii="Times New Roman" w:cs="Times New Roman" w:eastAsia="Times New Roman" w:hAnsi="Times New Roman"/>
          <w:sz w:val="20"/>
          <w:szCs w:val="20"/>
          <w:color w:val="auto"/>
        </w:rPr>
        <w:t xml:space="preserve">. Holdings will, and will cause each of its Subsidiaries to, pay all Taxes imposed upon it or any of its properties or assets before any penalty or fine accrues thereon;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Tax need be paid if (a) it is being contested in good faith by appropriate proceedings and adequate reserves or other appropriate provisions, as shall be required in conformity with GAAP, shall have been made therefor and, in the case of a Tax which has or may become a Lien against any of the Collateral, such contest proceedings operate to stay the sale of any portion of the Collateral to satisfy such Tax or (b) the failure to pay or discharge the same could not reasonably be expected to result in a Material Adverse Effect.</w:t>
      </w:r>
    </w:p>
    <w:p>
      <w:pPr>
        <w:spacing w:after="0" w:line="192" w:lineRule="exact"/>
        <w:rPr>
          <w:sz w:val="20"/>
          <w:szCs w:val="20"/>
          <w:color w:val="auto"/>
        </w:rPr>
      </w:pPr>
    </w:p>
    <w:p>
      <w:pPr>
        <w:jc w:val="both"/>
        <w:ind w:left="4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5.4. </w:t>
      </w:r>
      <w:r>
        <w:rPr>
          <w:rFonts w:ascii="Times New Roman" w:cs="Times New Roman" w:eastAsia="Times New Roman" w:hAnsi="Times New Roman"/>
          <w:sz w:val="20"/>
          <w:szCs w:val="20"/>
          <w:u w:val="single" w:color="auto"/>
          <w:color w:val="auto"/>
        </w:rPr>
        <w:t>Maintenance of Properties</w:t>
      </w:r>
      <w:r>
        <w:rPr>
          <w:rFonts w:ascii="Times New Roman" w:cs="Times New Roman" w:eastAsia="Times New Roman" w:hAnsi="Times New Roman"/>
          <w:sz w:val="20"/>
          <w:szCs w:val="20"/>
          <w:color w:val="auto"/>
        </w:rPr>
        <w:t>. Holdings will, and will cause each of its Subsidiaries to, maintain or cause to be maintained in good repair, working order and condition, ordinary wear and tear and casualty and condemnation excepted, all property and maintain and renew all intellectual property, in each case, reasonably necessary to the normal conduct of business of Holdings and its Subsidiaries, taken as a whole, and from time to time will make or cause to be made all needed and appropriate repairs, renewals and replacements thereof except as expressly permitted by this Agreement or where the failure to maintain or renew such properties or make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42</w:t>
      </w:r>
    </w:p>
    <w:p>
      <w:pPr>
        <w:sectPr>
          <w:pgSz w:w="11900" w:h="16838" w:orient="portrait"/>
          <w:cols w:equalWidth="0" w:num="1">
            <w:col w:w="11240"/>
          </w:cols>
          <w:pgMar w:left="320" w:top="1413" w:right="339" w:bottom="1440" w:gutter="0" w:footer="0" w:header="0"/>
        </w:sectPr>
      </w:pPr>
    </w:p>
    <w:bookmarkStart w:id="115" w:name="page116"/>
    <w:bookmarkEnd w:id="115"/>
    <w:p>
      <w:pPr>
        <w:ind w:left="200"/>
        <w:spacing w:after="0"/>
        <w:rPr>
          <w:sz w:val="20"/>
          <w:szCs w:val="20"/>
          <w:color w:val="auto"/>
        </w:rPr>
      </w:pPr>
      <w:r>
        <w:rPr>
          <w:rFonts w:ascii="Times New Roman" w:cs="Times New Roman" w:eastAsia="Times New Roman" w:hAnsi="Times New Roman"/>
          <w:sz w:val="20"/>
          <w:szCs w:val="20"/>
          <w:color w:val="auto"/>
        </w:rPr>
        <w:t>repairs, renewals or replacements could not reasonably be expected to have a Material Adverse Effect.</w:t>
      </w:r>
    </w:p>
    <w:p>
      <w:pPr>
        <w:spacing w:after="0" w:line="229" w:lineRule="exact"/>
        <w:rPr>
          <w:sz w:val="20"/>
          <w:szCs w:val="20"/>
          <w:color w:val="auto"/>
        </w:rPr>
      </w:pPr>
    </w:p>
    <w:p>
      <w:pPr>
        <w:jc w:val="both"/>
        <w:ind w:left="200" w:firstLine="583"/>
        <w:spacing w:after="0" w:line="250" w:lineRule="auto"/>
        <w:rPr>
          <w:sz w:val="20"/>
          <w:szCs w:val="20"/>
          <w:color w:val="auto"/>
        </w:rPr>
      </w:pPr>
      <w:r>
        <w:rPr>
          <w:rFonts w:ascii="Times New Roman" w:cs="Times New Roman" w:eastAsia="Times New Roman" w:hAnsi="Times New Roman"/>
          <w:sz w:val="20"/>
          <w:szCs w:val="20"/>
          <w:color w:val="auto"/>
        </w:rPr>
        <w:t xml:space="preserve">SECTION 5.5. </w:t>
      </w: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Holdings will maintain or cause to be maintained, with financially sound and reputable insurers, such insurance coverage with respect to liabilities, losses or damage in respect of the assets, properties and businesses of Holdings and its Subsidiaries as may customarily be carried or maintained under similar circumstances by Persons engaged in similar businesses (as determined in good faith by Holdings), in each case in such amounts, with such deductibles, covering such risks and otherwise on such terms and conditions as Holdings believes in good faith is reasonable and prudent in light of the size or nature of its business. Not later than 45 days after the Closing Date (or such later date as the Lender may reasonably agree), each such policy of insurance shall (a) name the Lender, as an additional insured thereunder as its interests may appear and (b) in the case of each casualty insurance policy with respect to the Collateral, contain a lender’s loss payable and mortgagee, as applicable, clause or endorsement from such insurance carrier that names the Lender, as lender’s loss payee and mortgagee, as applicable, thereunder and, to the extent available, provides for at least 30 days’ prior written notice to the Lender of any modification or cancellation of such policy (or 10 days’ prior written notice for any cancellation due to non-payment of premiums).</w:t>
      </w:r>
    </w:p>
    <w:p>
      <w:pPr>
        <w:spacing w:after="0" w:line="186" w:lineRule="exact"/>
        <w:rPr>
          <w:sz w:val="20"/>
          <w:szCs w:val="20"/>
          <w:color w:val="auto"/>
        </w:rPr>
      </w:pPr>
    </w:p>
    <w:p>
      <w:pPr>
        <w:jc w:val="both"/>
        <w:ind w:left="200" w:firstLine="583"/>
        <w:spacing w:after="0" w:line="249" w:lineRule="auto"/>
        <w:rPr>
          <w:sz w:val="20"/>
          <w:szCs w:val="20"/>
          <w:color w:val="auto"/>
        </w:rPr>
      </w:pPr>
      <w:r>
        <w:rPr>
          <w:rFonts w:ascii="Times New Roman" w:cs="Times New Roman" w:eastAsia="Times New Roman" w:hAnsi="Times New Roman"/>
          <w:sz w:val="20"/>
          <w:szCs w:val="20"/>
          <w:color w:val="auto"/>
        </w:rPr>
        <w:t xml:space="preserve">SECTION 5.6. </w:t>
      </w:r>
      <w:r>
        <w:rPr>
          <w:rFonts w:ascii="Times New Roman" w:cs="Times New Roman" w:eastAsia="Times New Roman" w:hAnsi="Times New Roman"/>
          <w:sz w:val="20"/>
          <w:szCs w:val="20"/>
          <w:u w:val="single" w:color="auto"/>
          <w:color w:val="auto"/>
        </w:rPr>
        <w:t>Inspections</w:t>
      </w:r>
      <w:r>
        <w:rPr>
          <w:rFonts w:ascii="Times New Roman" w:cs="Times New Roman" w:eastAsia="Times New Roman" w:hAnsi="Times New Roman"/>
          <w:sz w:val="20"/>
          <w:szCs w:val="20"/>
          <w:color w:val="auto"/>
        </w:rPr>
        <w:t>. Holdings will, and will cause each of its Subsidiaries to, permit any authorized representatives designated by the Lender to visit and inspect any of the properties of Holdings and any of its Subsidiaries at which the principal financial records and executive officers of the applicable Person are located, to inspect, copy and take extracts from its financial and accounting records, and to discuss its affairs, finances and accounts with its Responsible Officers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Holdings may, if it so chooses, be present at or participate in any such discussion), all upon reasonable notice, reasonable coordination in and at such reasonable times during normal business hours;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provided in the proviso below in connection with the occurrence and continuance of an Event of Default, (i) the Lender shall not exercise such rights more often than once during any calendar year and (ii) only once per calendar year shall be at the expense of Holdings;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when an Event of Default has occurred and is continuing, the Lender (or any of its representatives or independent contractors) may do any of the foregoing at the expense of Holdings in accordance with </w:t>
      </w:r>
      <w:r>
        <w:rPr>
          <w:rFonts w:ascii="Times New Roman" w:cs="Times New Roman" w:eastAsia="Times New Roman" w:hAnsi="Times New Roman"/>
          <w:sz w:val="20"/>
          <w:szCs w:val="20"/>
          <w:u w:val="single" w:color="auto"/>
          <w:color w:val="auto"/>
        </w:rPr>
        <w:t>Section 8.03(a)</w:t>
      </w:r>
      <w:r>
        <w:rPr>
          <w:rFonts w:ascii="Times New Roman" w:cs="Times New Roman" w:eastAsia="Times New Roman" w:hAnsi="Times New Roman"/>
          <w:sz w:val="20"/>
          <w:szCs w:val="20"/>
          <w:color w:val="auto"/>
        </w:rPr>
        <w:t xml:space="preserve"> at any time during normal business hours and upon reasonable advance notice. Notwithstanding anything to the contrary in this </w:t>
      </w:r>
      <w:r>
        <w:rPr>
          <w:rFonts w:ascii="Times New Roman" w:cs="Times New Roman" w:eastAsia="Times New Roman" w:hAnsi="Times New Roman"/>
          <w:sz w:val="20"/>
          <w:szCs w:val="20"/>
          <w:u w:val="single" w:color="auto"/>
          <w:color w:val="auto"/>
        </w:rPr>
        <w:t>Section 5.06</w:t>
      </w:r>
      <w:r>
        <w:rPr>
          <w:rFonts w:ascii="Times New Roman" w:cs="Times New Roman" w:eastAsia="Times New Roman" w:hAnsi="Times New Roman"/>
          <w:sz w:val="20"/>
          <w:szCs w:val="20"/>
          <w:color w:val="auto"/>
        </w:rPr>
        <w:t>, none of Holdings or any Subsidiary will be required to disclose, permit the inspection, examination or making copies or abstracts of, or discussion of, any document, information or other matter (i) that constitutes non-financial trade secrets or non-financial proprietary information, (ii) in respect of which disclosure to the Lender (or its respective representatives or contractors) is prohibited by applicable law or any binding agreement or (iii) that is subject to attorney-client or similar privilege or constitutes attorney work product.</w:t>
      </w:r>
    </w:p>
    <w:p>
      <w:pPr>
        <w:spacing w:after="0" w:line="201" w:lineRule="exact"/>
        <w:rPr>
          <w:sz w:val="20"/>
          <w:szCs w:val="20"/>
          <w:color w:val="auto"/>
        </w:rPr>
      </w:pPr>
    </w:p>
    <w:p>
      <w:pPr>
        <w:jc w:val="both"/>
        <w:ind w:left="200" w:firstLine="583"/>
        <w:spacing w:after="0" w:line="258" w:lineRule="auto"/>
        <w:rPr>
          <w:sz w:val="20"/>
          <w:szCs w:val="20"/>
          <w:color w:val="auto"/>
        </w:rPr>
      </w:pPr>
      <w:r>
        <w:rPr>
          <w:rFonts w:ascii="Times New Roman" w:cs="Times New Roman" w:eastAsia="Times New Roman" w:hAnsi="Times New Roman"/>
          <w:sz w:val="20"/>
          <w:szCs w:val="20"/>
          <w:color w:val="auto"/>
        </w:rPr>
        <w:t xml:space="preserve">SECTION 5.7. </w:t>
      </w:r>
      <w:r>
        <w:rPr>
          <w:rFonts w:ascii="Times New Roman" w:cs="Times New Roman" w:eastAsia="Times New Roman" w:hAnsi="Times New Roman"/>
          <w:sz w:val="20"/>
          <w:szCs w:val="20"/>
          <w:u w:val="single" w:color="auto"/>
          <w:color w:val="auto"/>
        </w:rPr>
        <w:t>Maintenance of Book and Records</w:t>
      </w:r>
      <w:r>
        <w:rPr>
          <w:rFonts w:ascii="Times New Roman" w:cs="Times New Roman" w:eastAsia="Times New Roman" w:hAnsi="Times New Roman"/>
          <w:sz w:val="20"/>
          <w:szCs w:val="20"/>
          <w:color w:val="auto"/>
        </w:rPr>
        <w:t>. Holdings will, and will cause its Subsidiaries to, maintain proper books of record and account, in which entries that are full, true and correct in all material respects shall be made of all material financial transactions and matters involving the assets and business of Holdings and its Subsidiaries, as the case may be, and permit the preparation of consolidated financial statements in accordance with GAAP.</w:t>
      </w:r>
    </w:p>
    <w:p>
      <w:pPr>
        <w:spacing w:after="0" w:line="172" w:lineRule="exact"/>
        <w:rPr>
          <w:sz w:val="20"/>
          <w:szCs w:val="20"/>
          <w:color w:val="auto"/>
        </w:rPr>
      </w:pPr>
    </w:p>
    <w:p>
      <w:pPr>
        <w:jc w:val="both"/>
        <w:ind w:left="200" w:firstLine="583"/>
        <w:spacing w:after="0" w:line="268" w:lineRule="auto"/>
        <w:rPr>
          <w:sz w:val="20"/>
          <w:szCs w:val="20"/>
          <w:color w:val="auto"/>
        </w:rPr>
      </w:pPr>
      <w:r>
        <w:rPr>
          <w:rFonts w:ascii="Times New Roman" w:cs="Times New Roman" w:eastAsia="Times New Roman" w:hAnsi="Times New Roman"/>
          <w:sz w:val="20"/>
          <w:szCs w:val="20"/>
          <w:color w:val="auto"/>
        </w:rPr>
        <w:t xml:space="preserve">SECTION 5.8.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Holdings will comply, and shall cause each of its Subsidiaries to comply, with Requirements of Law (including all Environmental Laws, ERISA, Anti-Corruption Laws, Anti-Terrorism Laws and Sanctions), except to the extent the failure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ectPr>
          <w:pgSz w:w="11900" w:h="16838" w:orient="portrait"/>
          <w:cols w:equalWidth="0" w:num="1">
            <w:col w:w="11040"/>
          </w:cols>
          <w:pgMar w:left="520" w:top="1413" w:right="339" w:bottom="1440" w:gutter="0" w:footer="0" w:header="0"/>
        </w:sectPr>
      </w:pPr>
    </w:p>
    <w:bookmarkStart w:id="116" w:name="page117"/>
    <w:bookmarkEnd w:id="116"/>
    <w:p>
      <w:pPr>
        <w:ind w:left="200"/>
        <w:spacing w:after="0"/>
        <w:rPr>
          <w:sz w:val="20"/>
          <w:szCs w:val="20"/>
          <w:color w:val="auto"/>
        </w:rPr>
      </w:pPr>
      <w:r>
        <w:rPr>
          <w:rFonts w:ascii="Times New Roman" w:cs="Times New Roman" w:eastAsia="Times New Roman" w:hAnsi="Times New Roman"/>
          <w:sz w:val="20"/>
          <w:szCs w:val="20"/>
          <w:color w:val="auto"/>
        </w:rPr>
        <w:t>Holdings or such Subsidiary to comply could not reasonably be expected to have a Material Adverse Effect.</w:t>
      </w:r>
    </w:p>
    <w:p>
      <w:pPr>
        <w:spacing w:after="0" w:line="229"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5.9.</w:t>
      </w:r>
      <w:r>
        <w:rPr>
          <w:sz w:val="20"/>
          <w:szCs w:val="20"/>
          <w:color w:val="auto"/>
        </w:rPr>
        <w:tab/>
      </w:r>
      <w:r>
        <w:rPr>
          <w:rFonts w:ascii="Times New Roman" w:cs="Times New Roman" w:eastAsia="Times New Roman" w:hAnsi="Times New Roman"/>
          <w:sz w:val="19"/>
          <w:szCs w:val="19"/>
          <w:u w:val="single" w:color="auto"/>
          <w:color w:val="auto"/>
        </w:rPr>
        <w:t>Use of Proceeds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firstLine="816"/>
        <w:spacing w:after="0" w:line="261" w:lineRule="auto"/>
        <w:tabs>
          <w:tab w:leader="none" w:pos="1741"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Loans made under this Agreement will be used by the Borrower (i) for its general corporate purposes and (ii) on or in connection with the Closing Date, to pay fees and expenses incurred in connection with the negotiation and documentation of this Agreement and the other Loan Documents.</w:t>
      </w:r>
    </w:p>
    <w:p>
      <w:pPr>
        <w:spacing w:after="0" w:line="181" w:lineRule="exact"/>
        <w:rPr>
          <w:rFonts w:ascii="Times New Roman" w:cs="Times New Roman" w:eastAsia="Times New Roman" w:hAnsi="Times New Roman"/>
          <w:sz w:val="20"/>
          <w:szCs w:val="20"/>
          <w:color w:val="auto"/>
        </w:rPr>
      </w:pPr>
    </w:p>
    <w:p>
      <w:pPr>
        <w:ind w:left="300" w:firstLine="816"/>
        <w:spacing w:after="0" w:line="283" w:lineRule="auto"/>
        <w:tabs>
          <w:tab w:leader="none" w:pos="1738"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part of the proceeds of the Loan will be used, whether directly or indirectly, for any purpose that would entail a violation of Regulations U or X.</w:t>
      </w:r>
    </w:p>
    <w:p>
      <w:pPr>
        <w:spacing w:after="0" w:line="146"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5.10.</w:t>
      </w:r>
      <w:r>
        <w:rPr>
          <w:sz w:val="20"/>
          <w:szCs w:val="20"/>
          <w:color w:val="auto"/>
        </w:rPr>
        <w:tab/>
      </w:r>
      <w:r>
        <w:rPr>
          <w:rFonts w:ascii="Times New Roman" w:cs="Times New Roman" w:eastAsia="Times New Roman" w:hAnsi="Times New Roman"/>
          <w:sz w:val="19"/>
          <w:szCs w:val="19"/>
          <w:u w:val="single" w:color="auto"/>
          <w:color w:val="auto"/>
        </w:rPr>
        <w:t>Additional Collateral; Further Assurances</w:t>
      </w:r>
    </w:p>
    <w:p>
      <w:pPr>
        <w:spacing w:after="0" w:line="229" w:lineRule="exact"/>
        <w:rPr>
          <w:sz w:val="20"/>
          <w:szCs w:val="20"/>
          <w:color w:val="auto"/>
        </w:rPr>
      </w:pPr>
    </w:p>
    <w:p>
      <w:pPr>
        <w:jc w:val="both"/>
        <w:ind w:left="300" w:firstLine="816"/>
        <w:spacing w:after="0" w:line="249" w:lineRule="auto"/>
        <w:tabs>
          <w:tab w:leader="none" w:pos="174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applicable law and the limitations expressly set forth in this Agreement and the Collateral Documents, the Borrower and each other Loan Party shall cause each Subsidiary (other than any Excluded Subsidiary) formed or acquired after the Closing Date (including, without limitation, upon the formation of any Subsidiary resulting from a division of a limited liability company) to become a Loan Party on or prior to the date that is 30 days following the date of such formation or acquisition (including, without limitation, upon the formation of any Subsidiary resulting from a division of a limited liability company) (or, in either case, such later date as may be acceptable to the Lender in its reasonable discretion), by executing (i) a Joinder Agreement in substantially the form attached as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 xml:space="preserve"> hereto (the “</w:t>
      </w:r>
      <w:r>
        <w:rPr>
          <w:rFonts w:ascii="Times New Roman" w:cs="Times New Roman" w:eastAsia="Times New Roman" w:hAnsi="Times New Roman"/>
          <w:sz w:val="20"/>
          <w:szCs w:val="20"/>
          <w:b w:val="1"/>
          <w:bCs w:val="1"/>
          <w:color w:val="auto"/>
        </w:rPr>
        <w:t>Joinder Agreement</w:t>
      </w:r>
      <w:r>
        <w:rPr>
          <w:rFonts w:ascii="Times New Roman" w:cs="Times New Roman" w:eastAsia="Times New Roman" w:hAnsi="Times New Roman"/>
          <w:sz w:val="20"/>
          <w:szCs w:val="20"/>
          <w:color w:val="auto"/>
        </w:rPr>
        <w:t xml:space="preserve">”), (ii) a Security Agreement Joinder Agreement or such other customary supplements or joinders to the other applicable Collateral Documents or new security or collateral documents in the United States, in each case to create Liens over its assets of scope substantially similar to the Liens granted pursuant to the Collateral Documents executed pursuant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and (iii) the Global Intercompany Note and (iv) such other documentation as the Lender may reasonably request and that is contemplated by the terms hereof (including, for the avoidance of doubt, documents contemplated by clause (c) of this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or of the applicable Collateral Documents, together with such customary closing certificates, evidences of authority and good standing and legal opinions as the Lender may reasonably request. Upon execution and delivery thereof, each such Person (x) shall automatically become a Subsidiary Guarantor hereunder and thereupon shall have all of the rights, benefits, duties, and obligations in such capacity under the Loan Documents and (y) will take such actions as may be required by the terms hereof or of the applicable Collateral Documents to grant and perfect Liens to the Lender in any property (subject to the limitations set forth herein and in the other Loan Documents) of such Loan Party which constitutes Collateral, on such terms as are required pursuant to the terms of the Collateral Documents.</w:t>
      </w:r>
    </w:p>
    <w:p>
      <w:pPr>
        <w:spacing w:after="0" w:line="187" w:lineRule="exact"/>
        <w:rPr>
          <w:rFonts w:ascii="Times New Roman" w:cs="Times New Roman" w:eastAsia="Times New Roman" w:hAnsi="Times New Roman"/>
          <w:sz w:val="20"/>
          <w:szCs w:val="20"/>
          <w:color w:val="auto"/>
        </w:rPr>
      </w:pPr>
    </w:p>
    <w:p>
      <w:pPr>
        <w:jc w:val="both"/>
        <w:ind w:left="300" w:firstLine="816"/>
        <w:spacing w:after="0" w:line="268" w:lineRule="auto"/>
        <w:tabs>
          <w:tab w:leader="none" w:pos="1738"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the Borrower and each other Loan Party will cause all Capital Stock (other than any Capital Stock constituting an Excluded Asset) directly owned by them to be subject at all times to a first priority perfected Lien in favor of the Lender pursuant to the terms and conditions of, and to the extent required by, the Collateral Documents.</w:t>
      </w:r>
    </w:p>
    <w:p>
      <w:pPr>
        <w:spacing w:after="0" w:line="161"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1"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subject to the limitations expressly set forth in this Agreement and the Collateral Documents, each Loan Party will promptly execute and deliver, or cause to be promptly executed and delivered, to the Lender such documents, agreements and instruments, and will take or cause to be taken such further actions, which the Lender may,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ectPr>
          <w:pgSz w:w="11900" w:h="16838" w:orient="portrait"/>
          <w:cols w:equalWidth="0" w:num="1">
            <w:col w:w="11040"/>
          </w:cols>
          <w:pgMar w:left="520" w:top="1413" w:right="339" w:bottom="1440" w:gutter="0" w:footer="0" w:header="0"/>
        </w:sectPr>
      </w:pPr>
    </w:p>
    <w:bookmarkStart w:id="117" w:name="page118"/>
    <w:bookmarkEnd w:id="117"/>
    <w:p>
      <w:pPr>
        <w:jc w:val="both"/>
        <w:ind w:left="500"/>
        <w:spacing w:after="0" w:line="261" w:lineRule="auto"/>
        <w:rPr>
          <w:sz w:val="20"/>
          <w:szCs w:val="20"/>
          <w:color w:val="auto"/>
        </w:rPr>
      </w:pPr>
      <w:r>
        <w:rPr>
          <w:rFonts w:ascii="Times New Roman" w:cs="Times New Roman" w:eastAsia="Times New Roman" w:hAnsi="Times New Roman"/>
          <w:sz w:val="20"/>
          <w:szCs w:val="20"/>
          <w:color w:val="auto"/>
        </w:rPr>
        <w:t xml:space="preserve">time to time, reasonably request to carry out the terms and conditions of this Agreement and the other Loan Documents and to ensure perfection and priority of the Liens created or intended to be created by the Collateral Documents (to the extent required herein or therein), all at the expense of the Borrower in accordance with </w:t>
      </w:r>
      <w:r>
        <w:rPr>
          <w:rFonts w:ascii="Times New Roman" w:cs="Times New Roman" w:eastAsia="Times New Roman" w:hAnsi="Times New Roman"/>
          <w:sz w:val="20"/>
          <w:szCs w:val="20"/>
          <w:u w:val="single" w:color="auto"/>
          <w:color w:val="auto"/>
        </w:rPr>
        <w:t>Section 8.03(a)</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jc w:val="both"/>
        <w:ind w:left="500" w:firstLine="816"/>
        <w:spacing w:after="0" w:line="261" w:lineRule="auto"/>
        <w:tabs>
          <w:tab w:leader="none" w:pos="1938"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any Subsidiary ceases to constitute an Excluded Subsidiary in accordance with the definition thereof, Holdings shall cause such Subsidiary to take all actions required by this </w:t>
      </w:r>
      <w:r>
        <w:rPr>
          <w:rFonts w:ascii="Times New Roman" w:cs="Times New Roman" w:eastAsia="Times New Roman" w:hAnsi="Times New Roman"/>
          <w:sz w:val="20"/>
          <w:szCs w:val="20"/>
          <w:u w:val="single" w:color="auto"/>
          <w:color w:val="auto"/>
        </w:rPr>
        <w:t>Section 5.10</w:t>
      </w:r>
      <w:r>
        <w:rPr>
          <w:rFonts w:ascii="Times New Roman" w:cs="Times New Roman" w:eastAsia="Times New Roman" w:hAnsi="Times New Roman"/>
          <w:sz w:val="20"/>
          <w:szCs w:val="20"/>
          <w:color w:val="auto"/>
        </w:rPr>
        <w:t xml:space="preserve"> (within the time periods specified herein) as if such Subsidiary were then formed or acquired.</w:t>
      </w:r>
    </w:p>
    <w:p>
      <w:pPr>
        <w:spacing w:after="0" w:line="181" w:lineRule="exact"/>
        <w:rPr>
          <w:sz w:val="20"/>
          <w:szCs w:val="20"/>
          <w:color w:val="auto"/>
        </w:rPr>
      </w:pPr>
    </w:p>
    <w:p>
      <w:pPr>
        <w:jc w:val="both"/>
        <w:ind w:left="400" w:firstLine="583"/>
        <w:spacing w:after="0" w:line="261" w:lineRule="auto"/>
        <w:rPr>
          <w:sz w:val="20"/>
          <w:szCs w:val="20"/>
          <w:color w:val="auto"/>
        </w:rPr>
      </w:pPr>
      <w:r>
        <w:rPr>
          <w:rFonts w:ascii="Times New Roman" w:cs="Times New Roman" w:eastAsia="Times New Roman" w:hAnsi="Times New Roman"/>
          <w:sz w:val="20"/>
          <w:szCs w:val="20"/>
          <w:color w:val="auto"/>
        </w:rPr>
        <w:t xml:space="preserve">SECTION 5.11. </w:t>
      </w:r>
      <w:r>
        <w:rPr>
          <w:rFonts w:ascii="Times New Roman" w:cs="Times New Roman" w:eastAsia="Times New Roman" w:hAnsi="Times New Roman"/>
          <w:sz w:val="20"/>
          <w:szCs w:val="20"/>
          <w:u w:val="single" w:color="auto"/>
          <w:color w:val="auto"/>
        </w:rPr>
        <w:t>Conduct of Business</w:t>
      </w:r>
      <w:r>
        <w:rPr>
          <w:rFonts w:ascii="Times New Roman" w:cs="Times New Roman" w:eastAsia="Times New Roman" w:hAnsi="Times New Roman"/>
          <w:sz w:val="20"/>
          <w:szCs w:val="20"/>
          <w:color w:val="auto"/>
        </w:rPr>
        <w:t>. From and after the Closing Date, Holdings and the Subsidiaries, taken as a whole, shall not fundamentally and substantively alter the character of their business, taken as a whole, from the business conducted by them on the Closing Date and other business activities which are reasonable extensions thereof or incidental, related or ancillary thereto.</w:t>
      </w:r>
    </w:p>
    <w:p>
      <w:pPr>
        <w:spacing w:after="0" w:line="168" w:lineRule="exact"/>
        <w:rPr>
          <w:sz w:val="20"/>
          <w:szCs w:val="20"/>
          <w:color w:val="auto"/>
        </w:rPr>
      </w:pPr>
    </w:p>
    <w:p>
      <w:pPr>
        <w:ind w:left="98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5.12.</w:t>
      </w:r>
      <w:r>
        <w:rPr>
          <w:sz w:val="20"/>
          <w:szCs w:val="20"/>
          <w:color w:val="auto"/>
        </w:rPr>
        <w:tab/>
      </w:r>
      <w:r>
        <w:rPr>
          <w:rFonts w:ascii="Times New Roman" w:cs="Times New Roman" w:eastAsia="Times New Roman" w:hAnsi="Times New Roman"/>
          <w:sz w:val="19"/>
          <w:szCs w:val="19"/>
          <w:u w:val="single" w:color="auto"/>
          <w:color w:val="auto"/>
        </w:rPr>
        <w:t>[Reserved]</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400" w:firstLine="583"/>
        <w:spacing w:after="0" w:line="261" w:lineRule="auto"/>
        <w:rPr>
          <w:sz w:val="20"/>
          <w:szCs w:val="20"/>
          <w:color w:val="auto"/>
        </w:rPr>
      </w:pPr>
      <w:r>
        <w:rPr>
          <w:rFonts w:ascii="Times New Roman" w:cs="Times New Roman" w:eastAsia="Times New Roman" w:hAnsi="Times New Roman"/>
          <w:sz w:val="20"/>
          <w:szCs w:val="20"/>
          <w:color w:val="auto"/>
        </w:rPr>
        <w:t xml:space="preserve">SECTION 5.13. </w:t>
      </w:r>
      <w:r>
        <w:rPr>
          <w:rFonts w:ascii="Times New Roman" w:cs="Times New Roman" w:eastAsia="Times New Roman" w:hAnsi="Times New Roman"/>
          <w:sz w:val="20"/>
          <w:szCs w:val="20"/>
          <w:u w:val="single" w:color="auto"/>
          <w:color w:val="auto"/>
        </w:rPr>
        <w:t>Post-Closing Matters</w:t>
      </w:r>
      <w:r>
        <w:rPr>
          <w:rFonts w:ascii="Times New Roman" w:cs="Times New Roman" w:eastAsia="Times New Roman" w:hAnsi="Times New Roman"/>
          <w:sz w:val="20"/>
          <w:szCs w:val="20"/>
          <w:color w:val="auto"/>
        </w:rPr>
        <w:t xml:space="preserve">. The Loan Parties shall satisfy each of the requirements set forth in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on or before the date specified in </w:t>
      </w:r>
      <w:r>
        <w:rPr>
          <w:rFonts w:ascii="Times New Roman" w:cs="Times New Roman" w:eastAsia="Times New Roman" w:hAnsi="Times New Roman"/>
          <w:sz w:val="20"/>
          <w:szCs w:val="20"/>
          <w:u w:val="single" w:color="auto"/>
          <w:color w:val="auto"/>
        </w:rPr>
        <w:t>Schedule 5.13</w:t>
      </w:r>
      <w:r>
        <w:rPr>
          <w:rFonts w:ascii="Times New Roman" w:cs="Times New Roman" w:eastAsia="Times New Roman" w:hAnsi="Times New Roman"/>
          <w:sz w:val="20"/>
          <w:szCs w:val="20"/>
          <w:color w:val="auto"/>
        </w:rPr>
        <w:t xml:space="preserve"> for each such requirement, or such later date as may be permitted by the Lender with respect thereto.</w:t>
      </w:r>
    </w:p>
    <w:p>
      <w:pPr>
        <w:spacing w:after="0" w:line="200" w:lineRule="exact"/>
        <w:rPr>
          <w:sz w:val="20"/>
          <w:szCs w:val="20"/>
          <w:color w:val="auto"/>
        </w:rPr>
      </w:pPr>
    </w:p>
    <w:p>
      <w:pPr>
        <w:spacing w:after="0" w:line="224" w:lineRule="exact"/>
        <w:rPr>
          <w:sz w:val="20"/>
          <w:szCs w:val="20"/>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20"/>
          <w:szCs w:val="20"/>
          <w:color w:val="auto"/>
        </w:rPr>
        <w:t>ARTICLE 6</w:t>
      </w:r>
      <w:r>
        <w:rPr>
          <w:sz w:val="20"/>
          <w:szCs w:val="20"/>
          <w:color w:val="auto"/>
        </w:rPr>
        <w:tab/>
      </w:r>
      <w:r>
        <w:rPr>
          <w:rFonts w:ascii="Times New Roman" w:cs="Times New Roman" w:eastAsia="Times New Roman" w:hAnsi="Times New Roman"/>
          <w:sz w:val="19"/>
          <w:szCs w:val="19"/>
          <w:color w:val="auto"/>
        </w:rPr>
        <w:t>NEGATIVE COVENANTS</w:t>
      </w:r>
    </w:p>
    <w:p>
      <w:pPr>
        <w:spacing w:after="0" w:line="216" w:lineRule="exact"/>
        <w:rPr>
          <w:sz w:val="20"/>
          <w:szCs w:val="20"/>
          <w:color w:val="auto"/>
        </w:rPr>
      </w:pPr>
    </w:p>
    <w:p>
      <w:pPr>
        <w:jc w:val="both"/>
        <w:ind w:firstLine="238"/>
        <w:spacing w:after="0" w:line="268" w:lineRule="auto"/>
        <w:rPr>
          <w:sz w:val="20"/>
          <w:szCs w:val="20"/>
          <w:color w:val="auto"/>
        </w:rPr>
      </w:pPr>
      <w:r>
        <w:rPr>
          <w:rFonts w:ascii="Times New Roman" w:cs="Times New Roman" w:eastAsia="Times New Roman" w:hAnsi="Times New Roman"/>
          <w:sz w:val="20"/>
          <w:szCs w:val="20"/>
          <w:color w:val="auto"/>
        </w:rPr>
        <w:t>Until the date that all the principal of and interest on the Loans and all fees, expenses, other amounts and Obligations payable under any Loan Document (other than contingent indemnification and/or reimbursement obligations for which no claim or demand has been made) have been paid in full in Cash, each of Holdings and the other Loan Parties covenant and agree with the Lender that:</w:t>
      </w:r>
    </w:p>
    <w:p>
      <w:pPr>
        <w:spacing w:after="0" w:line="161" w:lineRule="exact"/>
        <w:rPr>
          <w:sz w:val="20"/>
          <w:szCs w:val="20"/>
          <w:color w:val="auto"/>
        </w:rPr>
      </w:pPr>
    </w:p>
    <w:p>
      <w:pPr>
        <w:ind w:left="400" w:firstLine="583"/>
        <w:spacing w:after="0" w:line="283" w:lineRule="auto"/>
        <w:rPr>
          <w:sz w:val="20"/>
          <w:szCs w:val="20"/>
          <w:color w:val="auto"/>
        </w:rPr>
      </w:pPr>
      <w:r>
        <w:rPr>
          <w:rFonts w:ascii="Times New Roman" w:cs="Times New Roman" w:eastAsia="Times New Roman" w:hAnsi="Times New Roman"/>
          <w:sz w:val="20"/>
          <w:szCs w:val="20"/>
          <w:color w:val="auto"/>
        </w:rPr>
        <w:t xml:space="preserve">SECTION 1.1. </w:t>
      </w:r>
      <w:r>
        <w:rPr>
          <w:rFonts w:ascii="Times New Roman" w:cs="Times New Roman" w:eastAsia="Times New Roman" w:hAnsi="Times New Roman"/>
          <w:sz w:val="20"/>
          <w:szCs w:val="20"/>
          <w:u w:val="single" w:color="auto"/>
          <w:color w:val="auto"/>
        </w:rPr>
        <w:t>Indebtedness</w:t>
      </w:r>
      <w:r>
        <w:rPr>
          <w:rFonts w:ascii="Times New Roman" w:cs="Times New Roman" w:eastAsia="Times New Roman" w:hAnsi="Times New Roman"/>
          <w:sz w:val="20"/>
          <w:szCs w:val="20"/>
          <w:color w:val="auto"/>
        </w:rPr>
        <w:t>. Holdings shall not, nor shall it permit any of its Subsidiaries to, directly or indirectly, create, incur, assume or otherwise become or remain liable with respect to any Indebtedness, except:</w:t>
      </w:r>
    </w:p>
    <w:p>
      <w:pPr>
        <w:spacing w:after="0" w:line="146" w:lineRule="exact"/>
        <w:rPr>
          <w:sz w:val="20"/>
          <w:szCs w:val="20"/>
          <w:color w:val="auto"/>
        </w:rPr>
      </w:pPr>
    </w:p>
    <w:p>
      <w:pPr>
        <w:ind w:left="1940" w:hanging="624"/>
        <w:spacing w:after="0"/>
        <w:tabs>
          <w:tab w:leader="none" w:pos="194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Obligations;</w:t>
      </w:r>
    </w:p>
    <w:p>
      <w:pPr>
        <w:spacing w:after="0" w:line="229" w:lineRule="exact"/>
        <w:rPr>
          <w:rFonts w:ascii="Times New Roman" w:cs="Times New Roman" w:eastAsia="Times New Roman" w:hAnsi="Times New Roman"/>
          <w:sz w:val="20"/>
          <w:szCs w:val="20"/>
          <w:color w:val="auto"/>
        </w:rPr>
      </w:pPr>
    </w:p>
    <w:p>
      <w:pPr>
        <w:ind w:left="500" w:right="20" w:firstLine="816"/>
        <w:spacing w:after="0" w:line="269" w:lineRule="auto"/>
        <w:tabs>
          <w:tab w:leader="none" w:pos="193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of (i) Holdings owed to any Subsidiary, (ii) the Borrower owed to Holdings or any Subsidiary and (iii) any Subsidiary owed to Holdings, the Borrower or any other Subsidiary;</w:t>
      </w:r>
    </w:p>
    <w:p>
      <w:pPr>
        <w:spacing w:after="0" w:line="172" w:lineRule="exact"/>
        <w:rPr>
          <w:rFonts w:ascii="Times New Roman" w:cs="Times New Roman" w:eastAsia="Times New Roman" w:hAnsi="Times New Roman"/>
          <w:sz w:val="20"/>
          <w:szCs w:val="20"/>
          <w:color w:val="auto"/>
        </w:rPr>
      </w:pPr>
    </w:p>
    <w:p>
      <w:pPr>
        <w:jc w:val="both"/>
        <w:ind w:left="500" w:firstLine="816"/>
        <w:spacing w:after="0" w:line="253" w:lineRule="auto"/>
        <w:tabs>
          <w:tab w:leader="none" w:pos="1941"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 as a result of or which may be deemed to exist pursuant to any performance and completion guaranties or customs, stay, performance, bid, surety, statutory, appeal, performance and return of money bonds, tenders, statutory obligations, leases, governmental contracts, trade contracts or other similar obligations (including relating to any litigation being contested in good faith) incurred in the ordinary course of business or (ii) in respect of any letters of credit, bank guaranties, surety bonds, performance bonds or similar instruments to support any of the foregoing items;</w:t>
      </w:r>
    </w:p>
    <w:p>
      <w:pPr>
        <w:spacing w:after="0" w:line="191" w:lineRule="exact"/>
        <w:rPr>
          <w:rFonts w:ascii="Times New Roman" w:cs="Times New Roman" w:eastAsia="Times New Roman" w:hAnsi="Times New Roman"/>
          <w:sz w:val="20"/>
          <w:szCs w:val="20"/>
          <w:color w:val="auto"/>
        </w:rPr>
      </w:pPr>
    </w:p>
    <w:p>
      <w:pPr>
        <w:jc w:val="both"/>
        <w:ind w:left="500" w:right="20" w:firstLine="816"/>
        <w:spacing w:after="0" w:line="261" w:lineRule="auto"/>
        <w:tabs>
          <w:tab w:leader="none" w:pos="193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commercial credit cards, stored value cards, employee credit cards, purchasing cards and treasury management services and other netting services, overdraft protections, check drawing services, automated clearing-house arrangements,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45</w:t>
      </w:r>
    </w:p>
    <w:p>
      <w:pPr>
        <w:sectPr>
          <w:pgSz w:w="11900" w:h="16838" w:orient="portrait"/>
          <w:cols w:equalWidth="0" w:num="1">
            <w:col w:w="11240"/>
          </w:cols>
          <w:pgMar w:left="320" w:top="1413" w:right="339" w:bottom="1440" w:gutter="0" w:footer="0" w:header="0"/>
        </w:sectPr>
      </w:pPr>
    </w:p>
    <w:bookmarkStart w:id="118" w:name="page119"/>
    <w:bookmarkEnd w:id="118"/>
    <w:p>
      <w:pPr>
        <w:jc w:val="both"/>
        <w:ind w:left="300"/>
        <w:spacing w:after="0" w:line="253" w:lineRule="auto"/>
        <w:rPr>
          <w:sz w:val="20"/>
          <w:szCs w:val="20"/>
          <w:color w:val="auto"/>
        </w:rPr>
      </w:pPr>
      <w:r>
        <w:rPr>
          <w:rFonts w:ascii="Times New Roman" w:cs="Times New Roman" w:eastAsia="Times New Roman" w:hAnsi="Times New Roman"/>
          <w:sz w:val="20"/>
          <w:szCs w:val="20"/>
          <w:color w:val="auto"/>
        </w:rPr>
        <w:t>credit card programs, automated payment services (including depository, overdraft, controlled disbursement, return items and interstate depository network services) and, cash pooling, and, in each case, including similar arrangements and otherwise in connection with cash management, including cash management arrangements among Holdings, and its Subsidiaries, and deposit accounts and incentive, supplier finance or similar programs in the ordinary course of business and to the extent such Indebtedness remains outstanding for no longer than 60 days;</w:t>
      </w:r>
    </w:p>
    <w:p>
      <w:pPr>
        <w:spacing w:after="0" w:line="192" w:lineRule="exact"/>
        <w:rPr>
          <w:sz w:val="20"/>
          <w:szCs w:val="20"/>
          <w:color w:val="auto"/>
        </w:rPr>
      </w:pPr>
    </w:p>
    <w:p>
      <w:pPr>
        <w:ind w:left="300" w:right="20" w:firstLine="816"/>
        <w:spacing w:after="0" w:line="283" w:lineRule="auto"/>
        <w:tabs>
          <w:tab w:leader="none" w:pos="1741"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Indebtedness existing, or pursuant to commitments existing, on the Closing Date and described on </w:t>
      </w:r>
      <w:r>
        <w:rPr>
          <w:rFonts w:ascii="Times New Roman" w:cs="Times New Roman" w:eastAsia="Times New Roman" w:hAnsi="Times New Roman"/>
          <w:sz w:val="20"/>
          <w:szCs w:val="20"/>
          <w:u w:val="single" w:color="auto"/>
          <w:color w:val="auto"/>
        </w:rPr>
        <w:t>Schedule 6.01(e)</w:t>
      </w:r>
      <w:r>
        <w:rPr>
          <w:rFonts w:ascii="Times New Roman" w:cs="Times New Roman" w:eastAsia="Times New Roman" w:hAnsi="Times New Roman"/>
          <w:sz w:val="20"/>
          <w:szCs w:val="20"/>
          <w:color w:val="auto"/>
        </w:rPr>
        <w:t xml:space="preserve"> of the Disclosure Letter and any Permitted Refinancing Indebtedness thereof;</w:t>
      </w:r>
    </w:p>
    <w:p>
      <w:pPr>
        <w:spacing w:after="0" w:line="146" w:lineRule="exact"/>
        <w:rPr>
          <w:rFonts w:ascii="Times New Roman" w:cs="Times New Roman" w:eastAsia="Times New Roman" w:hAnsi="Times New Roman"/>
          <w:sz w:val="20"/>
          <w:szCs w:val="20"/>
          <w:color w:val="auto"/>
        </w:rPr>
      </w:pPr>
    </w:p>
    <w:p>
      <w:pPr>
        <w:jc w:val="both"/>
        <w:ind w:left="300" w:firstLine="816"/>
        <w:spacing w:after="0" w:line="257" w:lineRule="auto"/>
        <w:tabs>
          <w:tab w:leader="none" w:pos="174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with respect to Financing Lease Obligations and purchase money Indebtedness) financing the acquisition, lease, construction, repair, replacement, improvement or installation of assets or capital expenditures and any Permitted Refinancing Indebtedness incurred to refinance such Indebtedness in an aggregate principal amount not to exceed $5,000,000; provided that such Indebtedness is incurred prior to or within 180 days of the applicable acquisition or lease or completion of the applicable construction, repair, replacement, improvement or installation;</w:t>
      </w:r>
    </w:p>
    <w:p>
      <w:pPr>
        <w:spacing w:after="0" w:line="172"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 respect of Derivative Transactions not entered into for speculative purposes;</w:t>
      </w:r>
    </w:p>
    <w:p>
      <w:pPr>
        <w:spacing w:after="0" w:line="229"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incurred as a result of endorsing negotiable instruments received in the ordinary course of business;</w:t>
      </w:r>
    </w:p>
    <w:p>
      <w:pPr>
        <w:spacing w:after="0" w:line="215" w:lineRule="exact"/>
        <w:rPr>
          <w:rFonts w:ascii="Times New Roman" w:cs="Times New Roman" w:eastAsia="Times New Roman" w:hAnsi="Times New Roman"/>
          <w:sz w:val="20"/>
          <w:szCs w:val="20"/>
          <w:color w:val="auto"/>
        </w:rPr>
      </w:pPr>
    </w:p>
    <w:p>
      <w:pPr>
        <w:jc w:val="both"/>
        <w:ind w:left="300" w:firstLine="816"/>
        <w:spacing w:after="0" w:line="258" w:lineRule="auto"/>
        <w:tabs>
          <w:tab w:leader="none" w:pos="17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Event of Default shall have occurred and be continuing at the time of the incurrence thereof and (ii) at the time of any such incurrence of Indebtedness and after giving pro forma effect thereto and the use of the proceeds thereof, the aggregate principal amount of Indebtedness that is outstanding in reliance on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shall not exceed $5,000,000;</w:t>
      </w:r>
    </w:p>
    <w:p>
      <w:pPr>
        <w:spacing w:after="0" w:line="185"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(including obligations in respect of letters of credit, bank guarantees, bankers’ acceptances, surety bonds, performance bonds or similar instruments with respect to such Indebtedness) incurred in respect of workers compensation claims, unemployment, property, casualty or liability insurance (including premiums related thereto) or self-insurance, other reimbursement-type obligations regarding workers compensation claims, other types of social security, pension obligations, vacation pay, or health, disability or other employee benefits, in each case entered into in the ordinary course of business;</w:t>
      </w:r>
    </w:p>
    <w:p>
      <w:pPr>
        <w:spacing w:after="0" w:line="191" w:lineRule="exact"/>
        <w:rPr>
          <w:rFonts w:ascii="Times New Roman" w:cs="Times New Roman" w:eastAsia="Times New Roman" w:hAnsi="Times New Roman"/>
          <w:sz w:val="20"/>
          <w:szCs w:val="20"/>
          <w:color w:val="auto"/>
        </w:rPr>
      </w:pPr>
    </w:p>
    <w:p>
      <w:pPr>
        <w:ind w:left="300" w:firstLine="816"/>
        <w:spacing w:after="0" w:line="269" w:lineRule="auto"/>
        <w:tabs>
          <w:tab w:leader="none" w:pos="173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customer deposits and advance payments received in the ordinary course of business from customers for goods and services purchased in the ordinary course of business;</w:t>
      </w:r>
    </w:p>
    <w:p>
      <w:pPr>
        <w:spacing w:after="0" w:line="172" w:lineRule="exact"/>
        <w:rPr>
          <w:rFonts w:ascii="Times New Roman" w:cs="Times New Roman" w:eastAsia="Times New Roman" w:hAnsi="Times New Roman"/>
          <w:sz w:val="20"/>
          <w:szCs w:val="20"/>
          <w:color w:val="auto"/>
        </w:rPr>
      </w:pPr>
    </w:p>
    <w:p>
      <w:pPr>
        <w:ind w:left="300" w:right="20" w:firstLine="816"/>
        <w:spacing w:after="0" w:line="269" w:lineRule="auto"/>
        <w:tabs>
          <w:tab w:leader="none" w:pos="174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Indebtedness consisting of (i) the financing of insurance premiums or (ii) take or pay obligations entered into in the ordinary course of business;</w:t>
      </w:r>
    </w:p>
    <w:p>
      <w:pPr>
        <w:spacing w:after="0" w:line="172"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of Indebtedness otherwise permitted by this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and</w:t>
      </w:r>
    </w:p>
    <w:p>
      <w:pPr>
        <w:spacing w:after="0" w:line="229"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Indebtedness representing deferred compensation to employees, directors, consultants, contract providers, independent contractors or other service providers of Holdings, the Borrower and the Subsidiaries incurred in the ordinary course of business; and (ii)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ectPr>
          <w:pgSz w:w="11900" w:h="16838" w:orient="portrait"/>
          <w:cols w:equalWidth="0" w:num="1">
            <w:col w:w="11040"/>
          </w:cols>
          <w:pgMar w:left="520" w:top="1413" w:right="339" w:bottom="1440" w:gutter="0" w:footer="0" w:header="0"/>
        </w:sectPr>
      </w:pPr>
    </w:p>
    <w:bookmarkStart w:id="119" w:name="page120"/>
    <w:bookmarkEnd w:id="119"/>
    <w:p>
      <w:pPr>
        <w:ind w:left="300"/>
        <w:spacing w:after="0" w:line="283" w:lineRule="auto"/>
        <w:rPr>
          <w:sz w:val="20"/>
          <w:szCs w:val="20"/>
          <w:color w:val="auto"/>
        </w:rPr>
      </w:pPr>
      <w:r>
        <w:rPr>
          <w:rFonts w:ascii="Times New Roman" w:cs="Times New Roman" w:eastAsia="Times New Roman" w:hAnsi="Times New Roman"/>
          <w:sz w:val="20"/>
          <w:szCs w:val="20"/>
          <w:color w:val="auto"/>
        </w:rPr>
        <w:t>consisting of obligations of Holdings, the Borrower or the Subsidiaries under deferred compensation arrangements to their employees, directors, consultants, independent contractors or other service providers.</w:t>
      </w:r>
    </w:p>
    <w:p>
      <w:pPr>
        <w:spacing w:after="0" w:line="146" w:lineRule="exact"/>
        <w:rPr>
          <w:sz w:val="20"/>
          <w:szCs w:val="20"/>
          <w:color w:val="auto"/>
        </w:rPr>
      </w:pPr>
    </w:p>
    <w:p>
      <w:pPr>
        <w:jc w:val="both"/>
        <w:ind w:left="200" w:firstLine="583"/>
        <w:spacing w:after="0" w:line="261" w:lineRule="auto"/>
        <w:rPr>
          <w:sz w:val="20"/>
          <w:szCs w:val="20"/>
          <w:color w:val="auto"/>
        </w:rPr>
      </w:pPr>
      <w:r>
        <w:rPr>
          <w:rFonts w:ascii="Times New Roman" w:cs="Times New Roman" w:eastAsia="Times New Roman" w:hAnsi="Times New Roman"/>
          <w:sz w:val="20"/>
          <w:szCs w:val="20"/>
          <w:color w:val="auto"/>
        </w:rPr>
        <w:t xml:space="preserve">SECTION 6.1. </w:t>
      </w:r>
      <w:r>
        <w:rPr>
          <w:rFonts w:ascii="Times New Roman" w:cs="Times New Roman" w:eastAsia="Times New Roman" w:hAnsi="Times New Roman"/>
          <w:sz w:val="20"/>
          <w:szCs w:val="20"/>
          <w:u w:val="single" w:color="auto"/>
          <w:color w:val="auto"/>
        </w:rPr>
        <w:t>Liens</w:t>
      </w:r>
      <w:r>
        <w:rPr>
          <w:rFonts w:ascii="Times New Roman" w:cs="Times New Roman" w:eastAsia="Times New Roman" w:hAnsi="Times New Roman"/>
          <w:sz w:val="20"/>
          <w:szCs w:val="20"/>
          <w:color w:val="auto"/>
        </w:rPr>
        <w:t>. Holdings shall not, nor shall they permit any of its Subsidiaries to, create, incur, assume or permit or suffer to exist any Lien on or with respect to any property of any kind owned by it, whether now owned or hereafter acquired, or any income or profits therefrom, except:</w:t>
      </w:r>
    </w:p>
    <w:p>
      <w:pPr>
        <w:spacing w:after="0" w:line="181" w:lineRule="exact"/>
        <w:rPr>
          <w:sz w:val="20"/>
          <w:szCs w:val="20"/>
          <w:color w:val="auto"/>
        </w:rPr>
      </w:pPr>
    </w:p>
    <w:p>
      <w:pPr>
        <w:ind w:left="1740" w:hanging="624"/>
        <w:spacing w:after="0"/>
        <w:tabs>
          <w:tab w:leader="none" w:pos="1740"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created pursuant to the Loan Documents securing the Obligations;</w:t>
      </w:r>
    </w:p>
    <w:p>
      <w:pPr>
        <w:spacing w:after="0" w:line="229"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for Taxes, assessments or other governmental charges or levies (i) that are not then due or, if due, obligations with respect to such Taxes that are not at such time required to be paid pursuant to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 xml:space="preserve"> or (ii) that are being contested in good faith in accordance with </w:t>
      </w:r>
      <w:r>
        <w:rPr>
          <w:rFonts w:ascii="Times New Roman" w:cs="Times New Roman" w:eastAsia="Times New Roman" w:hAnsi="Times New Roman"/>
          <w:sz w:val="20"/>
          <w:szCs w:val="20"/>
          <w:u w:val="single" w:color="auto"/>
          <w:color w:val="auto"/>
        </w:rPr>
        <w:t>Section 5.03</w:t>
      </w:r>
      <w:r>
        <w:rPr>
          <w:rFonts w:ascii="Times New Roman" w:cs="Times New Roman" w:eastAsia="Times New Roman" w:hAnsi="Times New Roman"/>
          <w:sz w:val="20"/>
          <w:szCs w:val="20"/>
          <w:color w:val="auto"/>
        </w:rPr>
        <w:t>;</w:t>
      </w:r>
    </w:p>
    <w:p>
      <w:pPr>
        <w:spacing w:after="0" w:line="167" w:lineRule="exact"/>
        <w:rPr>
          <w:rFonts w:ascii="Times New Roman" w:cs="Times New Roman" w:eastAsia="Times New Roman" w:hAnsi="Times New Roman"/>
          <w:sz w:val="20"/>
          <w:szCs w:val="20"/>
          <w:color w:val="auto"/>
        </w:rPr>
      </w:pPr>
    </w:p>
    <w:p>
      <w:pPr>
        <w:jc w:val="both"/>
        <w:ind w:left="300" w:firstLine="816"/>
        <w:spacing w:after="0" w:line="275" w:lineRule="auto"/>
        <w:tabs>
          <w:tab w:leader="none" w:pos="1741"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statutory Liens (and rights of set-off) of landlords, banks, carriers, warehousemen, mechanics, repairmen, workmen and materialmen, and other Liens imposed by applicable Requirements of Law (i) for amounts not yet overdue by more than 30 days or</w:t>
      </w:r>
    </w:p>
    <w:p>
      <w:pPr>
        <w:ind w:left="300"/>
        <w:spacing w:after="0" w:line="253" w:lineRule="auto"/>
        <w:tabs>
          <w:tab w:leader="none" w:pos="62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amounts that are being contested in good faith by appropriate proceedings, so long as such reserves or other appropriate provisions, if any, as shall be required by GAAP shall have been made for any such contested amounts;</w:t>
      </w:r>
    </w:p>
    <w:p>
      <w:pPr>
        <w:spacing w:after="0" w:line="188" w:lineRule="exact"/>
        <w:rPr>
          <w:rFonts w:ascii="Times New Roman" w:cs="Times New Roman" w:eastAsia="Times New Roman" w:hAnsi="Times New Roman"/>
          <w:sz w:val="20"/>
          <w:szCs w:val="20"/>
          <w:color w:val="auto"/>
        </w:rPr>
      </w:pPr>
    </w:p>
    <w:p>
      <w:pPr>
        <w:jc w:val="both"/>
        <w:ind w:left="300" w:firstLine="816"/>
        <w:spacing w:after="0" w:line="250" w:lineRule="auto"/>
        <w:tabs>
          <w:tab w:leader="none" w:pos="1738"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incurred or deposits made (i) in the ordinary course of business in connection with workers’ compensation, unemployment insurance and other types of social security laws and regulations, (ii) in the ordinary course of business, to secure the performance of tenders, statutory obligations, surety, stay, customs and appeal bonds, bids, leases, government contracts, trade contracts, performance and return-of-money bonds and other similar obligations (exclusive of obligations for the payment of borrowed money), (iii) pursuant to pledges and deposits of Cash or Cash Equivalents in the ordinary course of business, securing (A) any liability for reimbursement or indemnification obligations of insurance carriers providing property, casualty, liability or other insurance to Holdings and its subsidiaries or (B) leases or licenses of property otherwise permitted by this Agreement or (iv) to secure obligations in respect of banking and/or treasury management services, letters of credit, bank guaranties, surety bonds, performance bonds or similar instruments posted with respect to the items described in </w:t>
      </w:r>
      <w:r>
        <w:rPr>
          <w:rFonts w:ascii="Times New Roman" w:cs="Times New Roman" w:eastAsia="Times New Roman" w:hAnsi="Times New Roman"/>
          <w:sz w:val="20"/>
          <w:szCs w:val="20"/>
          <w:u w:val="single" w:color="auto"/>
          <w:color w:val="auto"/>
        </w:rPr>
        <w:t>clauses (i)</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 above;</w:t>
      </w:r>
    </w:p>
    <w:p>
      <w:pPr>
        <w:spacing w:after="0" w:line="192"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1" w:val="left"/>
        </w:tabs>
        <w:numPr>
          <w:ilvl w:val="1"/>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w:t>
      </w:r>
    </w:p>
    <w:p>
      <w:pPr>
        <w:spacing w:after="0" w:line="181"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Liens consisting of any (i) interest or title of a lessor or sub-lessor under any lease of real estate permitted hereunder,</w:t>
      </w:r>
    </w:p>
    <w:p>
      <w:pPr>
        <w:spacing w:after="0" w:line="33" w:lineRule="exact"/>
        <w:rPr>
          <w:rFonts w:ascii="Times New Roman" w:cs="Times New Roman" w:eastAsia="Times New Roman" w:hAnsi="Times New Roman"/>
          <w:sz w:val="19"/>
          <w:szCs w:val="19"/>
          <w:color w:val="auto"/>
        </w:rPr>
      </w:pPr>
    </w:p>
    <w:p>
      <w:pPr>
        <w:jc w:val="both"/>
        <w:ind w:left="300"/>
        <w:spacing w:after="0" w:line="256" w:lineRule="auto"/>
        <w:tabs>
          <w:tab w:leader="none" w:pos="60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customary landlord liens permitted by the terms of any lease, (iii) restriction or encumbrance to which the interest or title of such lessor or sub-lessor may be subject or (iv) subordination of the interest of the lessee or sub-lessee under such lease to any restriction or encumbrance referred to in the preceding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w:t>
      </w:r>
    </w:p>
    <w:p>
      <w:pPr>
        <w:spacing w:after="0" w:line="173"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1"/>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existing on the Closing Date and any modifications, replacements, refinancings, renewals or extensions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Lien shall be described on </w:t>
      </w:r>
      <w:r>
        <w:rPr>
          <w:rFonts w:ascii="Times New Roman" w:cs="Times New Roman" w:eastAsia="Times New Roman" w:hAnsi="Times New Roman"/>
          <w:sz w:val="20"/>
          <w:szCs w:val="20"/>
          <w:u w:val="single" w:color="auto"/>
          <w:color w:val="auto"/>
        </w:rPr>
        <w:t>Schedule 6.02 of the Disclosure Letter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xml:space="preserve"> that (i) no such Lien extends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ectPr>
          <w:pgSz w:w="11900" w:h="16838" w:orient="portrait"/>
          <w:cols w:equalWidth="0" w:num="1">
            <w:col w:w="11040"/>
          </w:cols>
          <w:pgMar w:left="520" w:top="1413" w:right="339" w:bottom="1440" w:gutter="0" w:footer="0" w:header="0"/>
        </w:sectPr>
      </w:pPr>
    </w:p>
    <w:bookmarkStart w:id="120" w:name="page121"/>
    <w:bookmarkEnd w:id="120"/>
    <w:p>
      <w:pPr>
        <w:jc w:val="both"/>
        <w:ind w:left="300"/>
        <w:spacing w:after="0" w:line="258" w:lineRule="auto"/>
        <w:rPr>
          <w:sz w:val="20"/>
          <w:szCs w:val="20"/>
          <w:color w:val="auto"/>
        </w:rPr>
      </w:pPr>
      <w:r>
        <w:rPr>
          <w:rFonts w:ascii="Times New Roman" w:cs="Times New Roman" w:eastAsia="Times New Roman" w:hAnsi="Times New Roman"/>
          <w:sz w:val="20"/>
          <w:szCs w:val="20"/>
          <w:color w:val="auto"/>
        </w:rPr>
        <w:t xml:space="preserve">to any additional property other than (A) after-acquired property that is affixed or incorporated into the property covered by such Lien and (B) proceeds and products thereof, accessions thereto and improvements thereon and (ii) such modification, replacement, refinancing, renewal or extension of the obligations secured or benefited by such Liens, if constituting Indebtedness, is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1740" w:hanging="624"/>
        <w:spacing w:after="0"/>
        <w:tabs>
          <w:tab w:leader="none" w:pos="1740"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Liens securing Indebtedness permitted pursuant to </w:t>
      </w:r>
      <w:r>
        <w:rPr>
          <w:rFonts w:ascii="Times New Roman" w:cs="Times New Roman" w:eastAsia="Times New Roman" w:hAnsi="Times New Roman"/>
          <w:sz w:val="19"/>
          <w:szCs w:val="19"/>
          <w:u w:val="single" w:color="auto"/>
          <w:color w:val="auto"/>
        </w:rPr>
        <w:t>Section 6.01(e)</w:t>
      </w:r>
      <w:r>
        <w:rPr>
          <w:rFonts w:ascii="Times New Roman" w:cs="Times New Roman" w:eastAsia="Times New Roman" w:hAnsi="Times New Roman"/>
          <w:sz w:val="19"/>
          <w:szCs w:val="19"/>
          <w:color w:val="auto"/>
        </w:rPr>
        <w:t>; provided that any such Lien shall encumber only</w:t>
      </w:r>
    </w:p>
    <w:p>
      <w:pPr>
        <w:spacing w:after="0" w:line="39" w:lineRule="exact"/>
        <w:rPr>
          <w:rFonts w:ascii="Times New Roman" w:cs="Times New Roman" w:eastAsia="Times New Roman" w:hAnsi="Times New Roman"/>
          <w:sz w:val="19"/>
          <w:szCs w:val="19"/>
          <w:color w:val="auto"/>
        </w:rPr>
      </w:pPr>
    </w:p>
    <w:p>
      <w:pPr>
        <w:jc w:val="both"/>
        <w:ind w:left="300"/>
        <w:spacing w:after="0" w:line="253" w:lineRule="auto"/>
        <w:tabs>
          <w:tab w:leader="none" w:pos="55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financed by such Indebtedness and replacements thereof and accessions and additions to such property and ancillary rights thereto and the proceeds and the products thereof, improvements thereon and customary security deposits, related contract rights and payment intangibles and other assets related thereto and any cross collateral and (ii) proceeds and products thereof, accessions thereto and improvements thereon;</w:t>
      </w:r>
    </w:p>
    <w:p>
      <w:pPr>
        <w:spacing w:after="0" w:line="175" w:lineRule="exact"/>
        <w:rPr>
          <w:rFonts w:ascii="Times New Roman" w:cs="Times New Roman" w:eastAsia="Times New Roman" w:hAnsi="Times New Roman"/>
          <w:sz w:val="20"/>
          <w:szCs w:val="20"/>
          <w:color w:val="auto"/>
        </w:rPr>
      </w:pPr>
    </w:p>
    <w:p>
      <w:pPr>
        <w:jc w:val="both"/>
        <w:ind w:left="300" w:firstLine="816"/>
        <w:spacing w:after="0" w:line="268" w:lineRule="auto"/>
        <w:tabs>
          <w:tab w:leader="none" w:pos="174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securing Indebtedness permitted pursuant to </w:t>
      </w:r>
      <w:r>
        <w:rPr>
          <w:rFonts w:ascii="Times New Roman" w:cs="Times New Roman" w:eastAsia="Times New Roman" w:hAnsi="Times New Roman"/>
          <w:sz w:val="20"/>
          <w:szCs w:val="20"/>
          <w:u w:val="single" w:color="auto"/>
          <w:color w:val="auto"/>
        </w:rPr>
        <w:t>Section 6.01(i)</w:t>
      </w:r>
      <w:r>
        <w:rPr>
          <w:rFonts w:ascii="Times New Roman" w:cs="Times New Roman" w:eastAsia="Times New Roman" w:hAnsi="Times New Roman"/>
          <w:sz w:val="20"/>
          <w:szCs w:val="20"/>
          <w:color w:val="auto"/>
        </w:rPr>
        <w:t xml:space="preserve"> on assets acquired or on the Capital Stock and assets of the relevant newly acquired Subsidiary;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Lien (A) such Lien does not extend to or cover any other assets and (B) such Lien was not created in contemplation of the applicable acquisition of assets or Capital Stock;</w:t>
      </w:r>
    </w:p>
    <w:p>
      <w:pPr>
        <w:spacing w:after="0" w:line="161"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805"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Liens that are contractual rights of setoff or netting relating to (A) the establishment of depositary relations with banks not granted in connection with the issuance of Indebtedness, (B) pooled deposit or sweep accounts of Holdings or any Subsidiary to permit satisfaction of overdraft or similar obligations incurred in the ordinary course of business of Holdings or any Subsidiary and (C) commodity trading or other brokerage accounts incurred in the ordinary course of business, (ii) Liens encumbering reasonable customary initial deposits and margin deposits, (iii) bankers Liens and rights and remedies as to deposit accounts and (iv) Liens consisting of an agreement to dispose of any property in a Disposition permitted under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in each case, solely to the extent such Disposition would have been permitted on the date of the creation of such Lien;</w:t>
      </w:r>
    </w:p>
    <w:p>
      <w:pPr>
        <w:spacing w:after="0" w:line="179" w:lineRule="exact"/>
        <w:rPr>
          <w:rFonts w:ascii="Times New Roman" w:cs="Times New Roman" w:eastAsia="Times New Roman" w:hAnsi="Times New Roman"/>
          <w:sz w:val="20"/>
          <w:szCs w:val="20"/>
          <w:color w:val="auto"/>
        </w:rPr>
      </w:pPr>
    </w:p>
    <w:p>
      <w:pPr>
        <w:ind w:left="300" w:firstLine="816"/>
        <w:spacing w:after="0" w:line="283" w:lineRule="auto"/>
        <w:tabs>
          <w:tab w:leader="none" w:pos="173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at the time of the incurrence thereof, Liens on assets securing Indebtedness or other obligations in an aggregate principal amount at any time outstanding not to exceed $5,000,000;</w:t>
      </w:r>
    </w:p>
    <w:p>
      <w:pPr>
        <w:spacing w:after="0" w:line="142" w:lineRule="exact"/>
        <w:rPr>
          <w:rFonts w:ascii="Times New Roman" w:cs="Times New Roman" w:eastAsia="Times New Roman" w:hAnsi="Times New Roman"/>
          <w:sz w:val="20"/>
          <w:szCs w:val="20"/>
          <w:color w:val="auto"/>
        </w:rPr>
      </w:pPr>
    </w:p>
    <w:p>
      <w:pPr>
        <w:ind w:left="300" w:firstLine="816"/>
        <w:spacing w:after="0" w:line="287" w:lineRule="auto"/>
        <w:tabs>
          <w:tab w:leader="none" w:pos="174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on assets securing judgments, awards, attachments or decrees and notices of </w:t>
      </w:r>
      <w:r>
        <w:rPr>
          <w:rFonts w:ascii="Times New Roman" w:cs="Times New Roman" w:eastAsia="Times New Roman" w:hAnsi="Times New Roman"/>
          <w:sz w:val="20"/>
          <w:szCs w:val="20"/>
          <w:i w:val="1"/>
          <w:iCs w:val="1"/>
          <w:color w:val="auto"/>
        </w:rPr>
        <w:t>lis pendens</w:t>
      </w:r>
      <w:r>
        <w:rPr>
          <w:rFonts w:ascii="Times New Roman" w:cs="Times New Roman" w:eastAsia="Times New Roman" w:hAnsi="Times New Roman"/>
          <w:sz w:val="20"/>
          <w:szCs w:val="20"/>
          <w:color w:val="auto"/>
        </w:rPr>
        <w:t xml:space="preserve"> and associated rights relating to litigation not constituting an Event of Default under </w:t>
      </w:r>
      <w:r>
        <w:rPr>
          <w:rFonts w:ascii="Times New Roman" w:cs="Times New Roman" w:eastAsia="Times New Roman" w:hAnsi="Times New Roman"/>
          <w:sz w:val="20"/>
          <w:szCs w:val="20"/>
          <w:u w:val="single" w:color="auto"/>
          <w:color w:val="auto"/>
        </w:rPr>
        <w:t>Section 7.01(h)</w:t>
      </w:r>
      <w:r>
        <w:rPr>
          <w:rFonts w:ascii="Times New Roman" w:cs="Times New Roman" w:eastAsia="Times New Roman" w:hAnsi="Times New Roman"/>
          <w:sz w:val="20"/>
          <w:szCs w:val="20"/>
          <w:color w:val="auto"/>
        </w:rPr>
        <w:t>;</w:t>
      </w:r>
    </w:p>
    <w:p>
      <w:pPr>
        <w:spacing w:after="0" w:line="155" w:lineRule="exact"/>
        <w:rPr>
          <w:rFonts w:ascii="Times New Roman" w:cs="Times New Roman" w:eastAsia="Times New Roman" w:hAnsi="Times New Roman"/>
          <w:sz w:val="20"/>
          <w:szCs w:val="20"/>
          <w:color w:val="auto"/>
        </w:rPr>
      </w:pPr>
    </w:p>
    <w:p>
      <w:pPr>
        <w:ind w:left="300" w:firstLine="816"/>
        <w:spacing w:after="0" w:line="269" w:lineRule="auto"/>
        <w:tabs>
          <w:tab w:leader="none" w:pos="1739"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leases, licenses, subleases of IP Rights or sublicenses granted to others in the ordinary course of business, which do not secure any Indebtedness and as otherwise permitted pursuant to </w:t>
      </w:r>
      <w:r>
        <w:rPr>
          <w:rFonts w:ascii="Times New Roman" w:cs="Times New Roman" w:eastAsia="Times New Roman" w:hAnsi="Times New Roman"/>
          <w:sz w:val="20"/>
          <w:szCs w:val="20"/>
          <w:u w:val="single" w:color="auto"/>
          <w:color w:val="auto"/>
        </w:rPr>
        <w:t>Section 6.06(k)</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300" w:right="20" w:firstLine="816"/>
        <w:spacing w:after="0" w:line="269" w:lineRule="auto"/>
        <w:tabs>
          <w:tab w:leader="none" w:pos="1738"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securing obligations in respect letters of credit, bank guaranties, surety bonds, performance bonds or similar instruments permitted under </w:t>
      </w:r>
      <w:r>
        <w:rPr>
          <w:rFonts w:ascii="Times New Roman" w:cs="Times New Roman" w:eastAsia="Times New Roman" w:hAnsi="Times New Roman"/>
          <w:sz w:val="20"/>
          <w:szCs w:val="20"/>
          <w:u w:val="single" w:color="auto"/>
          <w:color w:val="auto"/>
        </w:rPr>
        <w:t>Section 6.01(c)</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insurance policies and the proceeds thereof securing the financing of the premiums with respect thereto;</w:t>
      </w:r>
    </w:p>
    <w:p>
      <w:pPr>
        <w:spacing w:after="0" w:line="229"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Liens on securities that are the subject of repurchase agreements constituting Cash Equivalents permitted under</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ectPr>
          <w:pgSz w:w="11900" w:h="16838" w:orient="portrait"/>
          <w:cols w:equalWidth="0" w:num="1">
            <w:col w:w="11040"/>
          </w:cols>
          <w:pgMar w:left="520" w:top="1413" w:right="339" w:bottom="1440" w:gutter="0" w:footer="0" w:header="0"/>
        </w:sectPr>
      </w:pPr>
    </w:p>
    <w:bookmarkStart w:id="121" w:name="page122"/>
    <w:bookmarkEnd w:id="121"/>
    <w:p>
      <w:pPr>
        <w:jc w:val="both"/>
        <w:ind w:left="200" w:firstLine="583"/>
        <w:spacing w:after="0" w:line="258" w:lineRule="auto"/>
        <w:rPr>
          <w:sz w:val="20"/>
          <w:szCs w:val="20"/>
          <w:color w:val="auto"/>
        </w:rPr>
      </w:pPr>
      <w:r>
        <w:rPr>
          <w:rFonts w:ascii="Times New Roman" w:cs="Times New Roman" w:eastAsia="Times New Roman" w:hAnsi="Times New Roman"/>
          <w:sz w:val="20"/>
          <w:szCs w:val="20"/>
          <w:color w:val="auto"/>
        </w:rPr>
        <w:t xml:space="preserve">SECTION 6.2. </w:t>
      </w:r>
      <w:r>
        <w:rPr>
          <w:rFonts w:ascii="Times New Roman" w:cs="Times New Roman" w:eastAsia="Times New Roman" w:hAnsi="Times New Roman"/>
          <w:sz w:val="20"/>
          <w:szCs w:val="20"/>
          <w:u w:val="single" w:color="auto"/>
          <w:color w:val="auto"/>
        </w:rPr>
        <w:t>Restrictive Agreements</w:t>
      </w:r>
      <w:r>
        <w:rPr>
          <w:rFonts w:ascii="Times New Roman" w:cs="Times New Roman" w:eastAsia="Times New Roman" w:hAnsi="Times New Roman"/>
          <w:sz w:val="20"/>
          <w:szCs w:val="20"/>
          <w:color w:val="auto"/>
        </w:rPr>
        <w:t>. Holdings shall not nor shall it permit any of its Subsidiaries to enter into any agreement (x) prohibiting the creation or assumption of any Lien upon any of its properties, whether now owned or hereafter acquired, for the benefit of the Lender with respect to the Obligations, or (y) prohibiting or restricting any Subsidiary’s ability to make or declare dividends or other distributions with respect to its Capital Stock, except with respect to:</w:t>
      </w:r>
    </w:p>
    <w:p>
      <w:pPr>
        <w:spacing w:after="0" w:line="172" w:lineRule="exact"/>
        <w:rPr>
          <w:sz w:val="20"/>
          <w:szCs w:val="20"/>
          <w:color w:val="auto"/>
        </w:rPr>
      </w:pPr>
    </w:p>
    <w:p>
      <w:pPr>
        <w:ind w:left="1740" w:hanging="624"/>
        <w:spacing w:after="0"/>
        <w:tabs>
          <w:tab w:leader="none" w:pos="17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specific property to be sold pursuant to any Disposition permitted by </w:t>
      </w: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in the case of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of the foregoing, restrictions contained in any agreement with respect to Indebtedness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xml:space="preserve"> that is secured by a Permitted Lien, but only if such restrictions apply only to the Person or Persons obligated under such Indebtedness and its or their Subsidiaries or the property or assets securing such Indebtedness;</w:t>
      </w:r>
    </w:p>
    <w:p>
      <w:pPr>
        <w:spacing w:after="0" w:line="181" w:lineRule="exact"/>
        <w:rPr>
          <w:rFonts w:ascii="Times New Roman" w:cs="Times New Roman" w:eastAsia="Times New Roman" w:hAnsi="Times New Roman"/>
          <w:sz w:val="20"/>
          <w:szCs w:val="20"/>
          <w:color w:val="auto"/>
        </w:rPr>
      </w:pPr>
    </w:p>
    <w:p>
      <w:pPr>
        <w:ind w:left="300" w:firstLine="816"/>
        <w:spacing w:after="0" w:line="269" w:lineRule="auto"/>
        <w:tabs>
          <w:tab w:leader="none" w:pos="174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in the case of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of the foregoing, restrictions contained in the documentation governing Indebtedness permitted by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of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72"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in the case of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of the foregoing, restrictions by reason of customary provisions restricting assignments, subletting or other transfers (including the granting of any Lien) contained in leases, subleases, licenses, sublicenses and other agreements entered into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restrictions are limited to the relevant leases, subleases, licenses, sublicenses or other agreements and/or the property or assets secured by such Liens or the property or assets subject to such leases, subleases, licenses, sublicenses or other agreements, as the case may be);</w:t>
      </w:r>
    </w:p>
    <w:p>
      <w:pPr>
        <w:spacing w:after="0" w:line="191" w:lineRule="exact"/>
        <w:rPr>
          <w:rFonts w:ascii="Times New Roman" w:cs="Times New Roman" w:eastAsia="Times New Roman" w:hAnsi="Times New Roman"/>
          <w:sz w:val="20"/>
          <w:szCs w:val="20"/>
          <w:color w:val="auto"/>
        </w:rPr>
      </w:pPr>
    </w:p>
    <w:p>
      <w:pPr>
        <w:ind w:left="300" w:firstLine="816"/>
        <w:spacing w:after="0" w:line="283" w:lineRule="auto"/>
        <w:tabs>
          <w:tab w:leader="none" w:pos="174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in the case of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of the foregoing, Permitted Liens and restrictions in the agreements relating thereto that limit the right of Holdings or any of its Subsidiaries to Dispose of, or encumber the assets subject to such Liens;</w:t>
      </w:r>
    </w:p>
    <w:p>
      <w:pPr>
        <w:spacing w:after="0" w:line="146" w:lineRule="exact"/>
        <w:rPr>
          <w:rFonts w:ascii="Times New Roman" w:cs="Times New Roman" w:eastAsia="Times New Roman" w:hAnsi="Times New Roman"/>
          <w:sz w:val="20"/>
          <w:szCs w:val="20"/>
          <w:color w:val="auto"/>
        </w:rPr>
      </w:pPr>
    </w:p>
    <w:p>
      <w:pPr>
        <w:jc w:val="both"/>
        <w:ind w:left="300" w:right="20" w:firstLine="816"/>
        <w:spacing w:after="0" w:line="261" w:lineRule="auto"/>
        <w:tabs>
          <w:tab w:leader="none" w:pos="174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encumbrance or restriction assumed in connection with an acquisition of property or the Capital Stock of any Person, so long as such encumbrance or restriction relates solely to the property so acquired (or to the Person or Persons (and its or their subsidiaries) bound thereby) and was not created in connection with or in contemplation of such acquisition;</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58" w:lineRule="auto"/>
        <w:tabs>
          <w:tab w:leader="none" w:pos="173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solely in the case of </w:t>
      </w:r>
      <w:r>
        <w:rPr>
          <w:rFonts w:ascii="Times New Roman" w:cs="Times New Roman" w:eastAsia="Times New Roman" w:hAnsi="Times New Roman"/>
          <w:sz w:val="20"/>
          <w:szCs w:val="20"/>
          <w:u w:val="single" w:color="auto"/>
          <w:color w:val="auto"/>
        </w:rPr>
        <w:t>clause (x)</w:t>
      </w:r>
      <w:r>
        <w:rPr>
          <w:rFonts w:ascii="Times New Roman" w:cs="Times New Roman" w:eastAsia="Times New Roman" w:hAnsi="Times New Roman"/>
          <w:sz w:val="20"/>
          <w:szCs w:val="20"/>
          <w:color w:val="auto"/>
        </w:rPr>
        <w:t xml:space="preserve"> of the foregoing, restrictions imposed by customary provisions in partnership agreements, limited liability company organizational governance documents, joint venture agreements and other similar agreements that restrict the transfer of the assets of, or ownership interests in, such partnership, limited liability company, joint venture or similar Person;</w:t>
      </w:r>
    </w:p>
    <w:p>
      <w:pPr>
        <w:spacing w:after="0" w:line="172" w:lineRule="exact"/>
        <w:rPr>
          <w:rFonts w:ascii="Times New Roman" w:cs="Times New Roman" w:eastAsia="Times New Roman" w:hAnsi="Times New Roman"/>
          <w:sz w:val="20"/>
          <w:szCs w:val="20"/>
          <w:color w:val="auto"/>
        </w:rPr>
      </w:pPr>
    </w:p>
    <w:p>
      <w:pPr>
        <w:ind w:left="300" w:firstLine="816"/>
        <w:spacing w:after="0" w:line="283" w:lineRule="auto"/>
        <w:tabs>
          <w:tab w:leader="none" w:pos="173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Cash or other deposits imposed by Persons under contracts entered into in the ordinary course of business or for whose benefit such Cash or other deposits exist;</w:t>
      </w:r>
    </w:p>
    <w:p>
      <w:pPr>
        <w:spacing w:after="0" w:line="146"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existing on the Closing Date;</w:t>
      </w:r>
    </w:p>
    <w:p>
      <w:pPr>
        <w:spacing w:after="0" w:line="229" w:lineRule="exact"/>
        <w:rPr>
          <w:rFonts w:ascii="Times New Roman" w:cs="Times New Roman" w:eastAsia="Times New Roman" w:hAnsi="Times New Roman"/>
          <w:sz w:val="20"/>
          <w:szCs w:val="20"/>
          <w:color w:val="auto"/>
        </w:rPr>
      </w:pPr>
    </w:p>
    <w:p>
      <w:pPr>
        <w:ind w:left="300" w:right="20" w:firstLine="816"/>
        <w:spacing w:after="0" w:line="283" w:lineRule="auto"/>
        <w:tabs>
          <w:tab w:leader="none" w:pos="1748"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customary provisions in joint venture agreements and other similar agreements applicable to joint ventures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 xml:space="preserve"> and applicable solely to such joint venture and entered into in the ordinary course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ectPr>
          <w:pgSz w:w="11900" w:h="16838" w:orient="portrait"/>
          <w:cols w:equalWidth="0" w:num="1">
            <w:col w:w="11040"/>
          </w:cols>
          <w:pgMar w:left="520" w:top="1413" w:right="339" w:bottom="1440" w:gutter="0" w:footer="0" w:header="0"/>
        </w:sectPr>
      </w:pPr>
    </w:p>
    <w:bookmarkStart w:id="122" w:name="page123"/>
    <w:bookmarkEnd w:id="122"/>
    <w:p>
      <w:pPr>
        <w:jc w:val="both"/>
        <w:ind w:left="300" w:firstLine="816"/>
        <w:spacing w:after="0" w:line="261" w:lineRule="auto"/>
        <w:tabs>
          <w:tab w:leader="none" w:pos="173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provisions restricting the granting of a security interest in intellectual property contained in licenses or sublicenses by Holdings and its Subsidiaries of such intellectual property, which licenses and sublicenses were entered into in the ordinary course of business (in which case such restriction shall relate only to such intellectual property);</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restrictions and conditions contained in asset sale agreements, purchase agreements, acquisition agreements (including by way of merger, acquisition or consolidation) entered into by Holdings or any Subsidiary of Holdings, solely to the extent in effect pending consummation of such transaction;</w:t>
      </w:r>
    </w:p>
    <w:p>
      <w:pPr>
        <w:spacing w:after="0" w:line="181"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restrictions imposed in connection with any Junior Debt incurred in compliance with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customary net worth provisions or similar financial maintenance provisions contained in real property leases;</w:t>
      </w:r>
    </w:p>
    <w:p>
      <w:pPr>
        <w:spacing w:after="0" w:line="229" w:lineRule="exact"/>
        <w:rPr>
          <w:rFonts w:ascii="Times New Roman" w:cs="Times New Roman" w:eastAsia="Times New Roman" w:hAnsi="Times New Roman"/>
          <w:sz w:val="20"/>
          <w:szCs w:val="20"/>
          <w:color w:val="auto"/>
        </w:rPr>
      </w:pPr>
    </w:p>
    <w:p>
      <w:pPr>
        <w:ind w:left="300" w:firstLine="816"/>
        <w:spacing w:after="0" w:line="269" w:lineRule="auto"/>
        <w:tabs>
          <w:tab w:leader="none" w:pos="173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and conditions imposed by any applicable law or any agreements with Governmental Authorities, including any requirements to satisfy minimum capital requirements; and</w:t>
      </w:r>
    </w:p>
    <w:p>
      <w:pPr>
        <w:spacing w:after="0" w:line="172"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restrictions or encumbrances imposed by any amendments, modifications, restatements, renewals, increases, supplements, refundings, replacements or refinancings of the contracts, instruments or obligations referred to in </w:t>
      </w:r>
      <w:r>
        <w:rPr>
          <w:rFonts w:ascii="Times New Roman" w:cs="Times New Roman" w:eastAsia="Times New Roman" w:hAnsi="Times New Roman"/>
          <w:sz w:val="20"/>
          <w:szCs w:val="20"/>
          <w:u w:val="single" w:color="auto"/>
          <w:color w:val="auto"/>
        </w:rPr>
        <w:t>clauses (a)</w:t>
      </w:r>
      <w:r>
        <w:rPr>
          <w:rFonts w:ascii="Times New Roman" w:cs="Times New Roman" w:eastAsia="Times New Roman" w:hAnsi="Times New Roman"/>
          <w:sz w:val="20"/>
          <w:szCs w:val="20"/>
          <w:color w:val="auto"/>
        </w:rPr>
        <w:t xml:space="preserve"> through </w:t>
      </w:r>
      <w:r>
        <w:rPr>
          <w:rFonts w:ascii="Times New Roman" w:cs="Times New Roman" w:eastAsia="Times New Roman" w:hAnsi="Times New Roman"/>
          <w:sz w:val="20"/>
          <w:szCs w:val="20"/>
          <w:u w:val="single" w:color="auto"/>
          <w:color w:val="auto"/>
        </w:rPr>
        <w:t>(o)</w:t>
      </w:r>
      <w:r>
        <w:rPr>
          <w:rFonts w:ascii="Times New Roman" w:cs="Times New Roman" w:eastAsia="Times New Roman" w:hAnsi="Times New Roman"/>
          <w:sz w:val="20"/>
          <w:szCs w:val="20"/>
          <w:color w:val="auto"/>
        </w:rPr>
        <w:t xml:space="preserve">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amendments, modifications, restatements, renewals, increases, supplements, refundings, replacements or refinancings are, in the good faith judgment of the Borrower, no more restrictive with respect to such encumbrances and other restrictions, taken as a whole, than those in effect prior to such amendment, modification, restatement, renewal, increase, supplement, refunding, replacement or refinancing.</w:t>
      </w:r>
    </w:p>
    <w:p>
      <w:pPr>
        <w:spacing w:after="0" w:line="192"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6.3.</w:t>
      </w:r>
      <w:r>
        <w:rPr>
          <w:sz w:val="20"/>
          <w:szCs w:val="20"/>
          <w:color w:val="auto"/>
        </w:rPr>
        <w:tab/>
      </w:r>
      <w:r>
        <w:rPr>
          <w:rFonts w:ascii="Times New Roman" w:cs="Times New Roman" w:eastAsia="Times New Roman" w:hAnsi="Times New Roman"/>
          <w:sz w:val="19"/>
          <w:szCs w:val="19"/>
          <w:u w:val="single" w:color="auto"/>
          <w:color w:val="auto"/>
        </w:rPr>
        <w:t>Restricted Payments; Certain Payments of Indebtedness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ind w:left="300" w:firstLine="816"/>
        <w:spacing w:after="0" w:line="283" w:lineRule="auto"/>
        <w:tabs>
          <w:tab w:leader="none" w:pos="1741"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shall not, and shall not permit the Borrower or any of its Subsidiaries to, pay or make, directly or indirectly, any Restricted Payment, except that:</w:t>
      </w:r>
    </w:p>
    <w:p>
      <w:pPr>
        <w:spacing w:after="0" w:line="146" w:lineRule="exact"/>
        <w:rPr>
          <w:rFonts w:ascii="Times New Roman" w:cs="Times New Roman" w:eastAsia="Times New Roman" w:hAnsi="Times New Roman"/>
          <w:sz w:val="20"/>
          <w:szCs w:val="20"/>
          <w:color w:val="auto"/>
        </w:rPr>
      </w:pPr>
    </w:p>
    <w:p>
      <w:pPr>
        <w:ind w:left="1100" w:firstLine="652"/>
        <w:spacing w:after="0" w:line="283" w:lineRule="auto"/>
        <w:tabs>
          <w:tab w:leader="none" w:pos="239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shall have occurred and be continuing at the time of the declaration thereof, Holdings may make Restricted Payments in an aggregate amount not to exceed $2,000,000;</w:t>
      </w:r>
    </w:p>
    <w:p>
      <w:pPr>
        <w:spacing w:after="0" w:line="146" w:lineRule="exact"/>
        <w:rPr>
          <w:rFonts w:ascii="Times New Roman" w:cs="Times New Roman" w:eastAsia="Times New Roman" w:hAnsi="Times New Roman"/>
          <w:sz w:val="20"/>
          <w:szCs w:val="20"/>
          <w:color w:val="auto"/>
        </w:rPr>
      </w:pPr>
    </w:p>
    <w:p>
      <w:pPr>
        <w:ind w:left="2400" w:hanging="648"/>
        <w:spacing w:after="0"/>
        <w:tabs>
          <w:tab w:leader="none" w:pos="24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[reserved];</w:t>
      </w:r>
    </w:p>
    <w:p>
      <w:pPr>
        <w:spacing w:after="0" w:line="229" w:lineRule="exact"/>
        <w:rPr>
          <w:rFonts w:ascii="Times New Roman" w:cs="Times New Roman" w:eastAsia="Times New Roman" w:hAnsi="Times New Roman"/>
          <w:sz w:val="20"/>
          <w:szCs w:val="20"/>
          <w:color w:val="auto"/>
        </w:rPr>
      </w:pPr>
    </w:p>
    <w:p>
      <w:pPr>
        <w:ind w:left="2400" w:hanging="648"/>
        <w:spacing w:after="0"/>
        <w:tabs>
          <w:tab w:leader="none" w:pos="240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may pay Restricted Payments payable solely in its Qualified Capital Stock;</w:t>
      </w:r>
    </w:p>
    <w:p>
      <w:pPr>
        <w:spacing w:after="0" w:line="229" w:lineRule="exact"/>
        <w:rPr>
          <w:rFonts w:ascii="Times New Roman" w:cs="Times New Roman" w:eastAsia="Times New Roman" w:hAnsi="Times New Roman"/>
          <w:sz w:val="20"/>
          <w:szCs w:val="20"/>
          <w:color w:val="auto"/>
        </w:rPr>
      </w:pPr>
    </w:p>
    <w:p>
      <w:pPr>
        <w:jc w:val="both"/>
        <w:ind w:left="1100" w:firstLine="652"/>
        <w:spacing w:after="0" w:line="261" w:lineRule="auto"/>
        <w:tabs>
          <w:tab w:leader="none" w:pos="238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Subsidiary of the Borrower may make Restricted Payments to its direct equity holders (other than Holdings) on a ratable basis (or greater than ratable basis with respect to equityholders that are the Borrower or a Subsidiary that is a Loan Party);</w:t>
      </w:r>
    </w:p>
    <w:p>
      <w:pPr>
        <w:spacing w:after="0" w:line="167" w:lineRule="exact"/>
        <w:rPr>
          <w:rFonts w:ascii="Times New Roman" w:cs="Times New Roman" w:eastAsia="Times New Roman" w:hAnsi="Times New Roman"/>
          <w:sz w:val="20"/>
          <w:szCs w:val="20"/>
          <w:color w:val="auto"/>
        </w:rPr>
      </w:pPr>
    </w:p>
    <w:p>
      <w:pPr>
        <w:jc w:val="both"/>
        <w:ind w:left="1100" w:firstLine="652"/>
        <w:spacing w:after="0" w:line="268" w:lineRule="auto"/>
        <w:tabs>
          <w:tab w:leader="none" w:pos="2384"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and/or any Subsidiary of Holdings may purchase common stock or common stock options from present or former officers, directors, employees or consultants of Holdings or any Subsidiary upon the death, disability or termination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w:t>
      </w:r>
    </w:p>
    <w:p>
      <w:pPr>
        <w:sectPr>
          <w:pgSz w:w="11900" w:h="16838" w:orient="portrait"/>
          <w:cols w:equalWidth="0" w:num="1">
            <w:col w:w="11040"/>
          </w:cols>
          <w:pgMar w:left="520" w:top="1413" w:right="339" w:bottom="1440" w:gutter="0" w:footer="0" w:header="0"/>
        </w:sectPr>
      </w:pPr>
    </w:p>
    <w:bookmarkStart w:id="123" w:name="page124"/>
    <w:bookmarkEnd w:id="123"/>
    <w:p>
      <w:pPr>
        <w:ind w:left="1100"/>
        <w:spacing w:after="0" w:line="283" w:lineRule="auto"/>
        <w:rPr>
          <w:sz w:val="20"/>
          <w:szCs w:val="20"/>
          <w:color w:val="auto"/>
        </w:rPr>
      </w:pPr>
      <w:r>
        <w:rPr>
          <w:rFonts w:ascii="Times New Roman" w:cs="Times New Roman" w:eastAsia="Times New Roman" w:hAnsi="Times New Roman"/>
          <w:sz w:val="20"/>
          <w:szCs w:val="20"/>
          <w:color w:val="auto"/>
        </w:rPr>
        <w:t>employment of such officer, director, or employee or consultant, in an aggregate amount not to exceed $2,000,000 in any twelve (12) month period;</w:t>
      </w:r>
    </w:p>
    <w:p>
      <w:pPr>
        <w:spacing w:after="0" w:line="146" w:lineRule="exact"/>
        <w:rPr>
          <w:sz w:val="20"/>
          <w:szCs w:val="20"/>
          <w:color w:val="auto"/>
        </w:rPr>
      </w:pPr>
    </w:p>
    <w:p>
      <w:pPr>
        <w:ind w:left="1100" w:firstLine="652"/>
        <w:spacing w:after="0" w:line="283" w:lineRule="auto"/>
        <w:tabs>
          <w:tab w:leader="none" w:pos="2385"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and/or any Subsidiary of Holdings may purchase, redeem or otherwise acquire Capital Stock issued by it with the proceeds received from the substantially concurrent issue of new shares of its Qualified Capital Stock;</w:t>
      </w:r>
    </w:p>
    <w:p>
      <w:pPr>
        <w:spacing w:after="0" w:line="146" w:lineRule="exact"/>
        <w:rPr>
          <w:rFonts w:ascii="Times New Roman" w:cs="Times New Roman" w:eastAsia="Times New Roman" w:hAnsi="Times New Roman"/>
          <w:sz w:val="20"/>
          <w:szCs w:val="20"/>
          <w:color w:val="auto"/>
        </w:rPr>
      </w:pPr>
    </w:p>
    <w:p>
      <w:pPr>
        <w:jc w:val="both"/>
        <w:ind w:left="1100" w:firstLine="652"/>
        <w:spacing w:after="0" w:line="257" w:lineRule="auto"/>
        <w:tabs>
          <w:tab w:leader="none" w:pos="2385"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and/or any Subsidiary of Holdings may (i) make repurchases of Capital Stock deemed to occur upon exercise of stock options or warrants if such repurchased Capital Stock represents a portion of the exercise price of such options or warrants, and (ii) make repurchases of Capital Stock deemed to occur upon the withholding of a portion of the Capital Stock issued, granted or awarded to a current or former officer, director, employee or consultant to pay for the taxes payable by such Person upon such issuance, grant or award (or upon vesting thereof);</w:t>
      </w:r>
    </w:p>
    <w:p>
      <w:pPr>
        <w:spacing w:after="0" w:line="172" w:lineRule="exact"/>
        <w:rPr>
          <w:rFonts w:ascii="Times New Roman" w:cs="Times New Roman" w:eastAsia="Times New Roman" w:hAnsi="Times New Roman"/>
          <w:sz w:val="20"/>
          <w:szCs w:val="20"/>
          <w:color w:val="auto"/>
        </w:rPr>
      </w:pPr>
    </w:p>
    <w:p>
      <w:pPr>
        <w:ind w:left="1100" w:right="20" w:firstLine="652"/>
        <w:spacing w:after="0" w:line="283" w:lineRule="auto"/>
        <w:tabs>
          <w:tab w:leader="none" w:pos="2387"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may pay Cash in lieu of the issuance of fractional shares in connection with the exercise of options, warrants or similar instruments or the conversion of Capital Stock of Holdings;</w:t>
      </w:r>
    </w:p>
    <w:p>
      <w:pPr>
        <w:spacing w:after="0" w:line="159" w:lineRule="exact"/>
        <w:rPr>
          <w:rFonts w:ascii="Times New Roman" w:cs="Times New Roman" w:eastAsia="Times New Roman" w:hAnsi="Times New Roman"/>
          <w:sz w:val="20"/>
          <w:szCs w:val="20"/>
          <w:color w:val="auto"/>
        </w:rPr>
      </w:pPr>
    </w:p>
    <w:p>
      <w:pPr>
        <w:jc w:val="both"/>
        <w:ind w:left="1100" w:firstLine="652"/>
        <w:spacing w:after="0" w:line="253" w:lineRule="auto"/>
        <w:tabs>
          <w:tab w:leader="none" w:pos="2385"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may make Restricted Payments to Holdings in an amount sufficient to enable Holdings to pay obligations incurred by Holdings in the ordinary course of business, including payment of Taxes on behalf of the consolidated group of Holdings and its Subsidiaries, payment of costs and expenses incurred in connection with the ongoing operation and administration of Holdings, and the payment of costs or expenses incurred by Holdings on behalf of any Subsidiary of Holdings; and</w:t>
      </w:r>
    </w:p>
    <w:p>
      <w:pPr>
        <w:spacing w:after="0" w:line="191" w:lineRule="exact"/>
        <w:rPr>
          <w:rFonts w:ascii="Times New Roman" w:cs="Times New Roman" w:eastAsia="Times New Roman" w:hAnsi="Times New Roman"/>
          <w:sz w:val="20"/>
          <w:szCs w:val="20"/>
          <w:color w:val="auto"/>
        </w:rPr>
      </w:pPr>
    </w:p>
    <w:p>
      <w:pPr>
        <w:ind w:left="1100" w:right="20" w:firstLine="652"/>
        <w:spacing w:after="0" w:line="269" w:lineRule="auto"/>
        <w:tabs>
          <w:tab w:leader="none" w:pos="2384" w:val="left"/>
        </w:tabs>
        <w:numPr>
          <w:ilvl w:val="1"/>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may make Restricted Payments to the extent constituting “Tax Distributions”, as defined in Borrower’s limited liability company agreement, as in effect from time to time.</w:t>
      </w:r>
    </w:p>
    <w:p>
      <w:pPr>
        <w:spacing w:after="0" w:line="172" w:lineRule="exact"/>
        <w:rPr>
          <w:rFonts w:ascii="Times New Roman" w:cs="Times New Roman" w:eastAsia="Times New Roman" w:hAnsi="Times New Roman"/>
          <w:sz w:val="20"/>
          <w:szCs w:val="20"/>
          <w:color w:val="auto"/>
        </w:rPr>
      </w:pPr>
    </w:p>
    <w:p>
      <w:pPr>
        <w:jc w:val="both"/>
        <w:ind w:left="300" w:firstLine="816"/>
        <w:spacing w:after="0" w:line="254" w:lineRule="auto"/>
        <w:tabs>
          <w:tab w:leader="none" w:pos="1738"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Holdings shall not, nor shall it permit any Subsidiary to, make any payment in Cash, securities or other property on or in respect of principal or interest on any Junior Debt, including any sinking fund or similar deposit, on account of the purchase, redemption, retirement, acquisition, cancellation or termination of any Junior Debt (collectively, “</w:t>
      </w:r>
      <w:r>
        <w:rPr>
          <w:rFonts w:ascii="Times New Roman" w:cs="Times New Roman" w:eastAsia="Times New Roman" w:hAnsi="Times New Roman"/>
          <w:sz w:val="20"/>
          <w:szCs w:val="20"/>
          <w:b w:val="1"/>
          <w:bCs w:val="1"/>
          <w:color w:val="auto"/>
        </w:rPr>
        <w:t>Restricted Debt Payments</w:t>
      </w:r>
      <w:r>
        <w:rPr>
          <w:rFonts w:ascii="Times New Roman" w:cs="Times New Roman" w:eastAsia="Times New Roman" w:hAnsi="Times New Roman"/>
          <w:sz w:val="20"/>
          <w:szCs w:val="20"/>
          <w:color w:val="auto"/>
        </w:rPr>
        <w:t>”), except:</w:t>
      </w:r>
    </w:p>
    <w:p>
      <w:pPr>
        <w:spacing w:after="0" w:line="187" w:lineRule="exact"/>
        <w:rPr>
          <w:rFonts w:ascii="Times New Roman" w:cs="Times New Roman" w:eastAsia="Times New Roman" w:hAnsi="Times New Roman"/>
          <w:sz w:val="20"/>
          <w:szCs w:val="20"/>
          <w:color w:val="auto"/>
        </w:rPr>
      </w:pPr>
    </w:p>
    <w:p>
      <w:pPr>
        <w:jc w:val="both"/>
        <w:ind w:left="1100" w:firstLine="652"/>
        <w:spacing w:after="0" w:line="261" w:lineRule="auto"/>
        <w:tabs>
          <w:tab w:leader="none" w:pos="239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purchase, defeasance, redemption, repurchase, repayment or other acquisition or retirement of any Junior Debt made by exchange for, or out of the proceeds of the substantially concurrent incurrence of, Junior Debt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181" w:lineRule="exact"/>
        <w:rPr>
          <w:rFonts w:ascii="Times New Roman" w:cs="Times New Roman" w:eastAsia="Times New Roman" w:hAnsi="Times New Roman"/>
          <w:sz w:val="20"/>
          <w:szCs w:val="20"/>
          <w:color w:val="auto"/>
        </w:rPr>
      </w:pPr>
    </w:p>
    <w:p>
      <w:pPr>
        <w:jc w:val="both"/>
        <w:ind w:left="1100" w:firstLine="652"/>
        <w:spacing w:after="0" w:line="261" w:lineRule="auto"/>
        <w:tabs>
          <w:tab w:leader="none" w:pos="239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payments of regularly scheduled interest and payments of fees, expenses and indemnification obligations as and when due in respect of any Junior Debt (other than payments prohibited by the subordination provisions thereof (if any));</w:t>
      </w:r>
    </w:p>
    <w:p>
      <w:pPr>
        <w:spacing w:after="0" w:line="18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0"/>
          <w:szCs w:val="20"/>
          <w:color w:val="auto"/>
        </w:rPr>
        <w:t>(iii)</w:t>
      </w:r>
    </w:p>
    <w:p>
      <w:pPr>
        <w:spacing w:after="0" w:line="216" w:lineRule="exact"/>
        <w:rPr>
          <w:sz w:val="20"/>
          <w:szCs w:val="20"/>
          <w:color w:val="auto"/>
        </w:rPr>
      </w:pPr>
    </w:p>
    <w:p>
      <w:pPr>
        <w:ind w:left="1760" w:right="20" w:hanging="8"/>
        <w:spacing w:after="0" w:line="283" w:lineRule="auto"/>
        <w:tabs>
          <w:tab w:leader="none" w:pos="2088"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payments with respect to intercompany Indebtedness by or among Holdings, Borrower, and/or their Subsidiaries permitted under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 subject to the payment subordination provisions applicable thereto;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w:t>
      </w:r>
    </w:p>
    <w:p>
      <w:pPr>
        <w:sectPr>
          <w:pgSz w:w="11900" w:h="16838" w:orient="portrait"/>
          <w:cols w:equalWidth="0" w:num="1">
            <w:col w:w="11040"/>
          </w:cols>
          <w:pgMar w:left="520" w:top="1413" w:right="339" w:bottom="1440" w:gutter="0" w:footer="0" w:header="0"/>
        </w:sectPr>
      </w:pPr>
    </w:p>
    <w:bookmarkStart w:id="124" w:name="page125"/>
    <w:bookmarkEnd w:id="124"/>
    <w:p>
      <w:pPr>
        <w:ind w:left="1760" w:hanging="8"/>
        <w:spacing w:after="0" w:line="283" w:lineRule="auto"/>
        <w:tabs>
          <w:tab w:leader="none" w:pos="2104"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 long as no Event of Default exists at the time of delivery of notice with respect thereof or would result therefrom, additional Restricted Debt Payments in an aggregate amount not to exceed $2,000,000; and;</w:t>
      </w:r>
    </w:p>
    <w:p>
      <w:pPr>
        <w:spacing w:after="0" w:line="146" w:lineRule="exact"/>
        <w:rPr>
          <w:sz w:val="20"/>
          <w:szCs w:val="20"/>
          <w:color w:val="auto"/>
        </w:rPr>
      </w:pPr>
    </w:p>
    <w:p>
      <w:pPr>
        <w:ind w:left="1100" w:firstLine="652"/>
        <w:spacing w:after="0" w:line="283" w:lineRule="auto"/>
        <w:tabs>
          <w:tab w:leader="none" w:pos="2385"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conversion thereof to Capital Stock (other than Disqualified Capital Stock) of Holdings and the payment of Cash in lieu of fractional shares in connection therewith.</w:t>
      </w:r>
    </w:p>
    <w:p>
      <w:pPr>
        <w:spacing w:after="0" w:line="146" w:lineRule="exact"/>
        <w:rPr>
          <w:sz w:val="20"/>
          <w:szCs w:val="20"/>
          <w:color w:val="auto"/>
        </w:rPr>
      </w:pPr>
    </w:p>
    <w:p>
      <w:pPr>
        <w:ind w:left="200" w:right="20" w:firstLine="583"/>
        <w:spacing w:after="0" w:line="283" w:lineRule="auto"/>
        <w:rPr>
          <w:sz w:val="20"/>
          <w:szCs w:val="20"/>
          <w:color w:val="auto"/>
        </w:rPr>
      </w:pPr>
      <w:r>
        <w:rPr>
          <w:rFonts w:ascii="Times New Roman" w:cs="Times New Roman" w:eastAsia="Times New Roman" w:hAnsi="Times New Roman"/>
          <w:sz w:val="20"/>
          <w:szCs w:val="20"/>
          <w:color w:val="auto"/>
        </w:rPr>
        <w:t xml:space="preserve">SECTION 6.4. </w:t>
      </w:r>
      <w:r>
        <w:rPr>
          <w:rFonts w:ascii="Times New Roman" w:cs="Times New Roman" w:eastAsia="Times New Roman" w:hAnsi="Times New Roman"/>
          <w:sz w:val="20"/>
          <w:szCs w:val="20"/>
          <w:u w:val="single" w:color="auto"/>
          <w:color w:val="auto"/>
        </w:rPr>
        <w:t>Investments</w:t>
      </w:r>
      <w:r>
        <w:rPr>
          <w:rFonts w:ascii="Times New Roman" w:cs="Times New Roman" w:eastAsia="Times New Roman" w:hAnsi="Times New Roman"/>
          <w:sz w:val="20"/>
          <w:szCs w:val="20"/>
          <w:color w:val="auto"/>
        </w:rPr>
        <w:t>. Holdings shall not, nor shall it permit any of its Subsidiaries to make or own any Investment in any other Person except:</w:t>
      </w:r>
    </w:p>
    <w:p>
      <w:pPr>
        <w:spacing w:after="0" w:line="160" w:lineRule="exact"/>
        <w:rPr>
          <w:sz w:val="20"/>
          <w:szCs w:val="20"/>
          <w:color w:val="auto"/>
        </w:rPr>
      </w:pPr>
    </w:p>
    <w:p>
      <w:pPr>
        <w:ind w:left="1740" w:hanging="624"/>
        <w:spacing w:after="0"/>
        <w:tabs>
          <w:tab w:leader="none" w:pos="17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or Investments that were Cash Equivalents at the time made;</w:t>
      </w:r>
    </w:p>
    <w:p>
      <w:pPr>
        <w:spacing w:after="0" w:line="215"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by and among Holdings, the Borrower and any Subsidiary of Holdings;</w:t>
      </w:r>
    </w:p>
    <w:p>
      <w:pPr>
        <w:spacing w:after="0" w:line="229"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4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constituting deposits, prepayments, trade credit and/or other credits to suppliers made in the ordinary course of business, (ii) made in connection with obtaining, maintaining or renewing client and customer contracts made in the ordinary course of business and (iii) in the form of advances made to distributors, suppliers, licensors and licensees, in each case, in the ordinary course of business, or, in the case of </w:t>
      </w:r>
      <w:r>
        <w:rPr>
          <w:rFonts w:ascii="Times New Roman" w:cs="Times New Roman" w:eastAsia="Times New Roman" w:hAnsi="Times New Roman"/>
          <w:sz w:val="20"/>
          <w:szCs w:val="20"/>
          <w:u w:val="single" w:color="auto"/>
          <w:color w:val="auto"/>
        </w:rPr>
        <w:t>clause (iii)</w:t>
      </w:r>
      <w:r>
        <w:rPr>
          <w:rFonts w:ascii="Times New Roman" w:cs="Times New Roman" w:eastAsia="Times New Roman" w:hAnsi="Times New Roman"/>
          <w:sz w:val="20"/>
          <w:szCs w:val="20"/>
          <w:color w:val="auto"/>
        </w:rPr>
        <w:t>, to the extent necessary to maintain the ordinary course of supplies to Holdings or any Subsidiary;</w:t>
      </w:r>
    </w:p>
    <w:p>
      <w:pPr>
        <w:spacing w:after="0" w:line="191"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(i) existing on, or contractually committed to as of, the Closing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Investment shall be described on </w:t>
      </w:r>
      <w:r>
        <w:rPr>
          <w:rFonts w:ascii="Times New Roman" w:cs="Times New Roman" w:eastAsia="Times New Roman" w:hAnsi="Times New Roman"/>
          <w:sz w:val="20"/>
          <w:szCs w:val="20"/>
          <w:u w:val="single" w:color="auto"/>
          <w:color w:val="auto"/>
        </w:rPr>
        <w:t>Schedule 6.05</w:t>
      </w:r>
      <w:r>
        <w:rPr>
          <w:rFonts w:ascii="Times New Roman" w:cs="Times New Roman" w:eastAsia="Times New Roman" w:hAnsi="Times New Roman"/>
          <w:sz w:val="20"/>
          <w:szCs w:val="20"/>
          <w:color w:val="auto"/>
        </w:rPr>
        <w:t xml:space="preserve"> of the Disclosure Letter and (ii) any modification, replacement, renewal or extension thereof so long as such modification, renewal or extension thereof does not increase the amount of such Investment except, in the case of any such Investment described on </w:t>
      </w:r>
      <w:r>
        <w:rPr>
          <w:rFonts w:ascii="Times New Roman" w:cs="Times New Roman" w:eastAsia="Times New Roman" w:hAnsi="Times New Roman"/>
          <w:sz w:val="20"/>
          <w:szCs w:val="20"/>
          <w:u w:val="single" w:color="auto"/>
          <w:color w:val="auto"/>
        </w:rPr>
        <w:t>Schedule 6.05 of the Disclosure Letter</w:t>
      </w:r>
      <w:r>
        <w:rPr>
          <w:rFonts w:ascii="Times New Roman" w:cs="Times New Roman" w:eastAsia="Times New Roman" w:hAnsi="Times New Roman"/>
          <w:sz w:val="20"/>
          <w:szCs w:val="20"/>
          <w:color w:val="auto"/>
        </w:rPr>
        <w:t xml:space="preserve">, by the terms thereof as in effect on the Closing Date or as otherwise permitted by this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jc w:val="both"/>
        <w:ind w:left="300" w:firstLine="816"/>
        <w:spacing w:after="0" w:line="254" w:lineRule="auto"/>
        <w:tabs>
          <w:tab w:leader="none" w:pos="1741"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loans or advances to present or former employees, directors, members of management, officers, managers or consultants, independent contractors or other service providers of Holdings, any subsidiaries of Holdings and/or any joint venture to the extent constituting Investments; provided that at the time of any such Investment and after giving pro forma effect thereto, the aggregate principal amount of Investments made in reliance on this </w:t>
      </w:r>
      <w:r>
        <w:rPr>
          <w:rFonts w:ascii="Times New Roman" w:cs="Times New Roman" w:eastAsia="Times New Roman" w:hAnsi="Times New Roman"/>
          <w:sz w:val="20"/>
          <w:szCs w:val="20"/>
          <w:u w:val="single" w:color="auto"/>
          <w:color w:val="auto"/>
        </w:rPr>
        <w:t>clause (e)</w:t>
      </w:r>
      <w:r>
        <w:rPr>
          <w:rFonts w:ascii="Times New Roman" w:cs="Times New Roman" w:eastAsia="Times New Roman" w:hAnsi="Times New Roman"/>
          <w:sz w:val="20"/>
          <w:szCs w:val="20"/>
          <w:color w:val="auto"/>
        </w:rPr>
        <w:t xml:space="preserve"> shall not exceed $2,000,000;</w:t>
      </w:r>
    </w:p>
    <w:p>
      <w:pPr>
        <w:spacing w:after="0" w:line="187" w:lineRule="exact"/>
        <w:rPr>
          <w:rFonts w:ascii="Times New Roman" w:cs="Times New Roman" w:eastAsia="Times New Roman" w:hAnsi="Times New Roman"/>
          <w:sz w:val="20"/>
          <w:szCs w:val="20"/>
          <w:color w:val="auto"/>
        </w:rPr>
      </w:pPr>
    </w:p>
    <w:p>
      <w:pPr>
        <w:ind w:left="300" w:firstLine="816"/>
        <w:spacing w:after="0" w:line="283" w:lineRule="auto"/>
        <w:tabs>
          <w:tab w:leader="none" w:pos="1746"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consisting of extensions of credit in the nature of accounts receivable or notes receivable arising from the grant of trade credit in the ordinary course of business;</w:t>
      </w:r>
    </w:p>
    <w:p>
      <w:pPr>
        <w:spacing w:after="0" w:line="146" w:lineRule="exact"/>
        <w:rPr>
          <w:rFonts w:ascii="Times New Roman" w:cs="Times New Roman" w:eastAsia="Times New Roman" w:hAnsi="Times New Roman"/>
          <w:sz w:val="20"/>
          <w:szCs w:val="20"/>
          <w:color w:val="auto"/>
        </w:rPr>
      </w:pPr>
    </w:p>
    <w:p>
      <w:pPr>
        <w:ind w:left="300" w:firstLine="816"/>
        <w:spacing w:after="0" w:line="283" w:lineRule="auto"/>
        <w:tabs>
          <w:tab w:leader="none" w:pos="173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the ordinary course of business consisting of endorsements for collection or deposit and customary trade arrangements with customers;</w:t>
      </w:r>
    </w:p>
    <w:p>
      <w:pPr>
        <w:spacing w:after="0" w:line="146" w:lineRule="exact"/>
        <w:rPr>
          <w:rFonts w:ascii="Times New Roman" w:cs="Times New Roman" w:eastAsia="Times New Roman" w:hAnsi="Times New Roman"/>
          <w:sz w:val="20"/>
          <w:szCs w:val="20"/>
          <w:color w:val="auto"/>
        </w:rPr>
      </w:pPr>
    </w:p>
    <w:p>
      <w:pPr>
        <w:jc w:val="both"/>
        <w:ind w:left="300" w:right="20" w:firstLine="816"/>
        <w:spacing w:after="0" w:line="268" w:lineRule="auto"/>
        <w:tabs>
          <w:tab w:leader="none" w:pos="1738"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advances of payroll payments or other compensation (including deferred compensation) or moving, entertainment or travel expenses to present or former employees, directors, members of management, officers, managers or consultants of Holdings, the Borrower or any Subsidiary in the ordinary course of business;</w:t>
      </w:r>
    </w:p>
    <w:p>
      <w:pPr>
        <w:spacing w:after="0" w:line="161"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connection with Derivative Transactions not entered into for speculative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w:t>
      </w:r>
    </w:p>
    <w:p>
      <w:pPr>
        <w:sectPr>
          <w:pgSz w:w="11900" w:h="16838" w:orient="portrait"/>
          <w:cols w:equalWidth="0" w:num="1">
            <w:col w:w="11040"/>
          </w:cols>
          <w:pgMar w:left="520" w:top="1413" w:right="339" w:bottom="1440" w:gutter="0" w:footer="0" w:header="0"/>
        </w:sectPr>
      </w:pPr>
    </w:p>
    <w:bookmarkStart w:id="125" w:name="page126"/>
    <w:bookmarkEnd w:id="125"/>
    <w:p>
      <w:pPr>
        <w:ind w:left="1740" w:hanging="624"/>
        <w:spacing w:after="0"/>
        <w:tabs>
          <w:tab w:leader="none" w:pos="17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received in settlement of amounts due to any of Holdings or its Subsidiaries effected in the ordinary course of business or owing to such Person as a result of insolvency proceedings involving an account debtor or upon the foreclosure or enforcement of any Lien in favor of such Person;</w:t>
      </w:r>
    </w:p>
    <w:p>
      <w:pPr>
        <w:spacing w:after="0" w:line="167" w:lineRule="exact"/>
        <w:rPr>
          <w:rFonts w:ascii="Times New Roman" w:cs="Times New Roman" w:eastAsia="Times New Roman" w:hAnsi="Times New Roman"/>
          <w:sz w:val="20"/>
          <w:szCs w:val="20"/>
          <w:color w:val="auto"/>
        </w:rPr>
      </w:pPr>
    </w:p>
    <w:p>
      <w:pPr>
        <w:ind w:left="300" w:firstLine="816"/>
        <w:spacing w:after="0" w:line="283" w:lineRule="auto"/>
        <w:tabs>
          <w:tab w:leader="none" w:pos="174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Times New Roman" w:cs="Times New Roman" w:eastAsia="Times New Roman" w:hAnsi="Times New Roman"/>
          <w:sz w:val="20"/>
          <w:szCs w:val="20"/>
          <w:u w:val="single" w:color="auto"/>
          <w:color w:val="auto"/>
        </w:rPr>
        <w:t>Section 6.02;</w:t>
      </w:r>
    </w:p>
    <w:p>
      <w:pPr>
        <w:spacing w:after="0" w:line="159"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promissory notes and other non-Cash consideration received in connection with Dispositions permitted by</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6.06;</w:t>
      </w:r>
      <w:r>
        <w:rPr>
          <w:rFonts w:ascii="Times New Roman" w:cs="Times New Roman" w:eastAsia="Times New Roman" w:hAnsi="Times New Roman"/>
          <w:sz w:val="20"/>
          <w:szCs w:val="20"/>
          <w:color w:val="auto"/>
        </w:rPr>
        <w:t xml:space="preserve"> and</w:t>
      </w:r>
    </w:p>
    <w:p>
      <w:pPr>
        <w:spacing w:after="0" w:line="207"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Investments made after the Closing Date by Holdings and/or any of its Subsidiaries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any such Investment and after giving pro forma effect thereto (i) no Event of Default shall have occurred and be continuing and (ii) the aggregate principal amount of Investments made in reliance on this </w:t>
      </w:r>
      <w:r>
        <w:rPr>
          <w:rFonts w:ascii="Times New Roman" w:cs="Times New Roman" w:eastAsia="Times New Roman" w:hAnsi="Times New Roman"/>
          <w:sz w:val="20"/>
          <w:szCs w:val="20"/>
          <w:u w:val="single" w:color="auto"/>
          <w:color w:val="auto"/>
        </w:rPr>
        <w:t>clause (i)</w:t>
      </w:r>
      <w:r>
        <w:rPr>
          <w:rFonts w:ascii="Times New Roman" w:cs="Times New Roman" w:eastAsia="Times New Roman" w:hAnsi="Times New Roman"/>
          <w:sz w:val="20"/>
          <w:szCs w:val="20"/>
          <w:color w:val="auto"/>
        </w:rPr>
        <w:t xml:space="preserve"> shall not exceed $5,000,000.</w:t>
      </w:r>
    </w:p>
    <w:p>
      <w:pPr>
        <w:spacing w:after="0" w:line="181" w:lineRule="exact"/>
        <w:rPr>
          <w:sz w:val="20"/>
          <w:szCs w:val="20"/>
          <w:color w:val="auto"/>
        </w:rPr>
      </w:pPr>
    </w:p>
    <w:p>
      <w:pPr>
        <w:jc w:val="both"/>
        <w:ind w:left="200" w:firstLine="583"/>
        <w:spacing w:after="0" w:line="261" w:lineRule="auto"/>
        <w:rPr>
          <w:sz w:val="20"/>
          <w:szCs w:val="20"/>
          <w:color w:val="auto"/>
        </w:rPr>
      </w:pPr>
      <w:r>
        <w:rPr>
          <w:rFonts w:ascii="Times New Roman" w:cs="Times New Roman" w:eastAsia="Times New Roman" w:hAnsi="Times New Roman"/>
          <w:sz w:val="20"/>
          <w:szCs w:val="20"/>
          <w:color w:val="auto"/>
        </w:rPr>
        <w:t xml:space="preserve">SECTION 6.5. </w:t>
      </w:r>
      <w:r>
        <w:rPr>
          <w:rFonts w:ascii="Times New Roman" w:cs="Times New Roman" w:eastAsia="Times New Roman" w:hAnsi="Times New Roman"/>
          <w:sz w:val="20"/>
          <w:szCs w:val="20"/>
          <w:u w:val="single" w:color="auto"/>
          <w:color w:val="auto"/>
        </w:rPr>
        <w:t>Fundamental Changes; Disposition of Assets</w:t>
      </w:r>
      <w:r>
        <w:rPr>
          <w:rFonts w:ascii="Times New Roman" w:cs="Times New Roman" w:eastAsia="Times New Roman" w:hAnsi="Times New Roman"/>
          <w:sz w:val="20"/>
          <w:szCs w:val="20"/>
          <w:color w:val="auto"/>
        </w:rPr>
        <w:t>. Holdings shall not, nor shall it permit any of its Subsidiaries to, consummate any transaction of merger, consolidation or amalgamation, or liquidate, wind up or dissolve itself (or suffer any liquidation or dissolution), or make any Disposition, except:</w:t>
      </w:r>
    </w:p>
    <w:p>
      <w:pPr>
        <w:spacing w:after="0" w:line="168" w:lineRule="exact"/>
        <w:rPr>
          <w:sz w:val="20"/>
          <w:szCs w:val="20"/>
          <w:color w:val="auto"/>
        </w:rPr>
      </w:pPr>
    </w:p>
    <w:p>
      <w:pPr>
        <w:jc w:val="both"/>
        <w:ind w:left="300" w:firstLine="816"/>
        <w:spacing w:after="0" w:line="268" w:lineRule="auto"/>
        <w:tabs>
          <w:tab w:leader="none" w:pos="1741"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Dispositions (i) between or among Loan Parties, (ii) from Subsidiaries that are not Loan Parties to Loan Parties, (iii) between or among Subsidiaries that are not Loan Parties and (iv) from Loan Parties to Subsidiaries that are not Loan Parties to the extent such Dispositions would be permitted as Investments under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161" w:lineRule="exact"/>
        <w:rPr>
          <w:rFonts w:ascii="Times New Roman" w:cs="Times New Roman" w:eastAsia="Times New Roman" w:hAnsi="Times New Roman"/>
          <w:sz w:val="20"/>
          <w:szCs w:val="20"/>
          <w:color w:val="auto"/>
        </w:rPr>
      </w:pPr>
    </w:p>
    <w:p>
      <w:pPr>
        <w:jc w:val="both"/>
        <w:ind w:left="300" w:firstLine="816"/>
        <w:spacing w:after="0" w:line="258" w:lineRule="auto"/>
        <w:tabs>
          <w:tab w:leader="none" w:pos="1738"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liquidation or dissolution of any Subsidiary if Holdings determines in good faith that such liquidation or dissolution (x) is in the best interests of Holdings, (y) is not materially disadvantageous to the Lender and (z) if such liquidating or dissolving Subsidiary is a Loan Party, a Loan Party receives any assets of such dissolved or liquidated Subsidiary;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 dissolution or liquidation of the Borrower shall be permitted hereunder;</w:t>
      </w:r>
    </w:p>
    <w:p>
      <w:pPr>
        <w:spacing w:after="0" w:line="172"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1"/>
          <w:numId w:val="8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 Dispositions of inventory, equipment, raw or scrap materials or other assets in the ordinary course of business and</w:t>
      </w:r>
    </w:p>
    <w:p>
      <w:pPr>
        <w:spacing w:after="0" w:line="39" w:lineRule="exact"/>
        <w:rPr>
          <w:rFonts w:ascii="Times New Roman" w:cs="Times New Roman" w:eastAsia="Times New Roman" w:hAnsi="Times New Roman"/>
          <w:sz w:val="19"/>
          <w:szCs w:val="19"/>
          <w:color w:val="auto"/>
        </w:rPr>
      </w:pPr>
    </w:p>
    <w:p>
      <w:pPr>
        <w:ind w:left="600" w:hanging="300"/>
        <w:spacing w:after="0"/>
        <w:tabs>
          <w:tab w:leader="none" w:pos="60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leasing or subleasing of real property in the ordinary course of business;</w:t>
      </w:r>
    </w:p>
    <w:p>
      <w:pPr>
        <w:spacing w:after="0" w:line="213"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surplus, obsolete, used or worn out property or other property that, as determined in good faith by Holdings, is (A) no longer useful in its business (or in the business of any of its Subsidiaries) or (B) otherwise economically impracticable to maintain;</w:t>
      </w:r>
    </w:p>
    <w:p>
      <w:pPr>
        <w:spacing w:after="0" w:line="167"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Cash and Cash Equivalents in a manner not otherwise prohibited under this Agreement;</w:t>
      </w:r>
    </w:p>
    <w:p>
      <w:pPr>
        <w:spacing w:after="0" w:line="229" w:lineRule="exact"/>
        <w:rPr>
          <w:rFonts w:ascii="Times New Roman" w:cs="Times New Roman" w:eastAsia="Times New Roman" w:hAnsi="Times New Roman"/>
          <w:sz w:val="20"/>
          <w:szCs w:val="20"/>
          <w:color w:val="auto"/>
        </w:rPr>
      </w:pPr>
    </w:p>
    <w:p>
      <w:pPr>
        <w:jc w:val="both"/>
        <w:ind w:left="300" w:right="20" w:firstLine="816"/>
        <w:spacing w:after="0" w:line="261" w:lineRule="auto"/>
        <w:tabs>
          <w:tab w:leader="none" w:pos="1746"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discounting or forgiveness of accounts receivable in the ordinary course of business (including to insurers which have provided insurance as to the collection thereof) or in connection with the collection or compromise thereof (including sales to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w:t>
      </w:r>
    </w:p>
    <w:p>
      <w:pPr>
        <w:sectPr>
          <w:pgSz w:w="11900" w:h="16838" w:orient="portrait"/>
          <w:cols w:equalWidth="0" w:num="1">
            <w:col w:w="11040"/>
          </w:cols>
          <w:pgMar w:left="520" w:top="1413" w:right="339" w:bottom="1440" w:gutter="0" w:footer="0" w:header="0"/>
        </w:sectPr>
      </w:pPr>
    </w:p>
    <w:bookmarkStart w:id="126" w:name="page127"/>
    <w:bookmarkEnd w:id="126"/>
    <w:p>
      <w:pPr>
        <w:jc w:val="both"/>
        <w:ind w:left="300" w:right="20" w:firstLine="816"/>
        <w:spacing w:after="0" w:line="261" w:lineRule="auto"/>
        <w:tabs>
          <w:tab w:leader="none" w:pos="173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and/or terminations of leases, subleases, licenses or sublicenses (including the provision of software under an open source license), which (i) do not materially interfere with the business of Holdings and its Subsidiaries (taken as a whole) or (ii) relate to closed facilities or the discontinuation of any product or service line;</w:t>
      </w:r>
    </w:p>
    <w:p>
      <w:pPr>
        <w:spacing w:after="0" w:line="181" w:lineRule="exact"/>
        <w:rPr>
          <w:rFonts w:ascii="Times New Roman" w:cs="Times New Roman" w:eastAsia="Times New Roman" w:hAnsi="Times New Roman"/>
          <w:sz w:val="20"/>
          <w:szCs w:val="20"/>
          <w:color w:val="auto"/>
        </w:rPr>
      </w:pPr>
    </w:p>
    <w:p>
      <w:pPr>
        <w:jc w:val="both"/>
        <w:ind w:left="300" w:right="20" w:firstLine="816"/>
        <w:spacing w:after="0" w:line="261" w:lineRule="auto"/>
        <w:tabs>
          <w:tab w:leader="none" w:pos="173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termination of leases in the ordinary course of business, (ii) the expiration of any option agreement in respect of real or personal property and (iii) any surrender or waiver of contractual rights or the settlement, release or surrender of contractual rights or other litigation claims (including in tort) in the ordinary course of business;</w:t>
      </w:r>
    </w:p>
    <w:p>
      <w:pPr>
        <w:spacing w:after="0" w:line="181" w:lineRule="exact"/>
        <w:rPr>
          <w:rFonts w:ascii="Times New Roman" w:cs="Times New Roman" w:eastAsia="Times New Roman" w:hAnsi="Times New Roman"/>
          <w:sz w:val="20"/>
          <w:szCs w:val="20"/>
          <w:color w:val="auto"/>
        </w:rPr>
      </w:pPr>
    </w:p>
    <w:p>
      <w:pPr>
        <w:ind w:left="300" w:firstLine="816"/>
        <w:spacing w:after="0" w:line="269" w:lineRule="auto"/>
        <w:tabs>
          <w:tab w:leader="none" w:pos="174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property subject to casualty, foreclosure, eminent domain, expropriation or condemnation proceedings (including in lieu thereof or any similar proceeding);</w:t>
      </w:r>
    </w:p>
    <w:p>
      <w:pPr>
        <w:spacing w:after="0" w:line="172"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Dispositions after the Closing Date in an aggregate amount of not more than $5,000,000 in any twelve month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Event of Default shall have occurred and be continuing on the date on which the definitive agreement governing the relevant Disposition is executed;</w:t>
      </w:r>
    </w:p>
    <w:p>
      <w:pPr>
        <w:spacing w:after="0" w:line="181"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Liens permitted by </w:t>
      </w:r>
      <w:r>
        <w:rPr>
          <w:rFonts w:ascii="Times New Roman" w:cs="Times New Roman" w:eastAsia="Times New Roman" w:hAnsi="Times New Roman"/>
          <w:sz w:val="20"/>
          <w:szCs w:val="20"/>
          <w:u w:val="single" w:color="auto"/>
          <w:color w:val="auto"/>
        </w:rPr>
        <w:t>Section 6.02</w:t>
      </w:r>
      <w:r>
        <w:rPr>
          <w:rFonts w:ascii="Times New Roman" w:cs="Times New Roman" w:eastAsia="Times New Roman" w:hAnsi="Times New Roman"/>
          <w:sz w:val="20"/>
          <w:szCs w:val="20"/>
          <w:color w:val="auto"/>
        </w:rPr>
        <w:t xml:space="preserve">, Restricted Payments permitted by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and Investments permitted by</w:t>
      </w:r>
    </w:p>
    <w:p>
      <w:pPr>
        <w:spacing w:after="0" w:line="21"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6.05;</w:t>
      </w:r>
    </w:p>
    <w:p>
      <w:pPr>
        <w:spacing w:after="0" w:line="207"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of assets at fair market value to the extent that such assets are exchanged for credit against the purchase price of similar replacement assets or the proceeds of such Disposition are promptly applied to the purchase price of similar replacement assets;</w:t>
      </w:r>
    </w:p>
    <w:p>
      <w:pPr>
        <w:spacing w:after="0" w:line="181"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Dispositions in connection with the early termination or unwind of any Derivative Transaction;</w:t>
      </w:r>
    </w:p>
    <w:p>
      <w:pPr>
        <w:spacing w:after="0" w:line="215"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constituting a Disposition, the settlement, waiver, release or surrender of claims or litigation rights of</w:t>
      </w:r>
    </w:p>
    <w:p>
      <w:pPr>
        <w:spacing w:after="0" w:line="28"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kind; and</w:t>
      </w:r>
    </w:p>
    <w:p>
      <w:pPr>
        <w:spacing w:after="0" w:line="200"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 Dispositions, licensing, sublicensing and cross-licensing arrangements involving any technology, intellectual property or IP Rights of Holdings or any Subsidiary in the ordinary course of business;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any such lease, license or sublease of IP Rights shall be (x) granted on a non-exclusive basis and (y) limited in time, and (ii) the Disposition, abandonment, cancellation or lapse of any technology, intellectual property or IP Rights, or any issuances or registrations, or applications for issuances or registrations, of any intellectual property or IP Rights, which, in the reasonable good faith determination of Holdings are not material to the conduct of the business of Holdings and/or its Subsidiaries, or are no longer economical to maintain in light of its use.</w:t>
      </w:r>
    </w:p>
    <w:p>
      <w:pPr>
        <w:spacing w:after="0" w:line="179"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6.6. </w:t>
      </w:r>
      <w:r>
        <w:rPr>
          <w:rFonts w:ascii="Times New Roman" w:cs="Times New Roman" w:eastAsia="Times New Roman" w:hAnsi="Times New Roman"/>
          <w:sz w:val="20"/>
          <w:szCs w:val="20"/>
          <w:u w:val="single" w:color="auto"/>
          <w:color w:val="auto"/>
        </w:rPr>
        <w:t>Sales and Lease-Backs</w:t>
      </w:r>
      <w:r>
        <w:rPr>
          <w:rFonts w:ascii="Times New Roman" w:cs="Times New Roman" w:eastAsia="Times New Roman" w:hAnsi="Times New Roman"/>
          <w:sz w:val="20"/>
          <w:szCs w:val="20"/>
          <w:color w:val="auto"/>
        </w:rPr>
        <w:t>. Except in connection with any Financing Lease Obligations permitted by Section 6.01(f), Holdings shall not, nor shall it permit any of its Subsidiaries to, directly or indirectly, become or remain liable as lessee or as a guarantor or other surety with respect to any lease of any property (whether real, personal or mixed), whether now owned or hereafter acquired, which Holdings or such Subsidiary (a) has sold or transferred or is to sell or to transfer to any other Person (other than Holdings or any of its Subsidiaries) and (b) intends to use for substantially the same purpose as the property which has been or is to be sold or transferred by Holdings or Subsidiary to any Person (other than Holdings or any of its Subsidiaries) in connection with such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54</w:t>
      </w:r>
    </w:p>
    <w:p>
      <w:pPr>
        <w:sectPr>
          <w:pgSz w:w="11900" w:h="16838" w:orient="portrait"/>
          <w:cols w:equalWidth="0" w:num="1">
            <w:col w:w="11040"/>
          </w:cols>
          <w:pgMar w:left="520" w:top="1413" w:right="339" w:bottom="1440" w:gutter="0" w:footer="0" w:header="0"/>
        </w:sectPr>
      </w:pPr>
    </w:p>
    <w:bookmarkStart w:id="127" w:name="page128"/>
    <w:bookmarkEnd w:id="127"/>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6.7. </w:t>
      </w:r>
      <w:r>
        <w:rPr>
          <w:rFonts w:ascii="Times New Roman" w:cs="Times New Roman" w:eastAsia="Times New Roman" w:hAnsi="Times New Roman"/>
          <w:sz w:val="20"/>
          <w:szCs w:val="20"/>
          <w:u w:val="single" w:color="auto"/>
          <w:color w:val="auto"/>
        </w:rPr>
        <w:t>Transactions with Affiliates</w:t>
      </w:r>
      <w:r>
        <w:rPr>
          <w:rFonts w:ascii="Times New Roman" w:cs="Times New Roman" w:eastAsia="Times New Roman" w:hAnsi="Times New Roman"/>
          <w:sz w:val="20"/>
          <w:szCs w:val="20"/>
          <w:color w:val="auto"/>
        </w:rPr>
        <w:t xml:space="preserve">. Holdings shall not, nor shall it permit any of its Subsidiaries to, enter into any transaction (including the purchase, sale, lease or exchange of any property or the rendering of any service) involving, pursuant to any such transaction, payments in excess of $2,000,000 in any twelve month period with any of their Affiliates on terms (taken as a whole) that are less favorable to Holdings or such Subsidiary in any material respect, as the case may be (as determined in good faith by the Borrower), than those that might be obtained at the time in a comparable arm’s-length transaction from a Person who is not an Affiliate;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restriction shall not apply to:</w:t>
      </w:r>
    </w:p>
    <w:p>
      <w:pPr>
        <w:spacing w:after="0" w:line="192" w:lineRule="exact"/>
        <w:rPr>
          <w:sz w:val="20"/>
          <w:szCs w:val="20"/>
          <w:color w:val="auto"/>
        </w:rPr>
      </w:pPr>
    </w:p>
    <w:p>
      <w:pPr>
        <w:jc w:val="both"/>
        <w:ind w:left="300" w:firstLine="816"/>
        <w:spacing w:after="0" w:line="254" w:lineRule="auto"/>
        <w:tabs>
          <w:tab w:leader="none" w:pos="174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transactions in existence on the Closing Date and described on </w:t>
      </w:r>
      <w:r>
        <w:rPr>
          <w:rFonts w:ascii="Times New Roman" w:cs="Times New Roman" w:eastAsia="Times New Roman" w:hAnsi="Times New Roman"/>
          <w:sz w:val="20"/>
          <w:szCs w:val="20"/>
          <w:u w:val="single" w:color="auto"/>
          <w:color w:val="auto"/>
        </w:rPr>
        <w:t>Schedule 6.08</w:t>
      </w:r>
      <w:r>
        <w:rPr>
          <w:rFonts w:ascii="Times New Roman" w:cs="Times New Roman" w:eastAsia="Times New Roman" w:hAnsi="Times New Roman"/>
          <w:sz w:val="20"/>
          <w:szCs w:val="20"/>
          <w:color w:val="auto"/>
        </w:rPr>
        <w:t xml:space="preserve"> of the Disclosure Letter and any amendment, modification or extension thereto to the extent such amendment, modification or extension, taken as a whole, is not (i) adverse to the Lender in any material respect or (ii) more disadvantageous to the Lender in any material respect than the relevant transaction in existence on the Closing Date in any material respect;</w:t>
      </w:r>
    </w:p>
    <w:p>
      <w:pPr>
        <w:spacing w:after="0" w:line="187"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Guarantees permitted by </w:t>
      </w:r>
      <w:r>
        <w:rPr>
          <w:rFonts w:ascii="Times New Roman" w:cs="Times New Roman" w:eastAsia="Times New Roman" w:hAnsi="Times New Roman"/>
          <w:sz w:val="20"/>
          <w:szCs w:val="20"/>
          <w:u w:val="single" w:color="auto"/>
          <w:color w:val="auto"/>
        </w:rPr>
        <w:t>Section 6.01</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4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issuance, sale or grant of securities or other payments, awards or grants in Cash, securities or otherwise pursuant to compensation arrangements for employees and officers in the ordinary course of business, or the funding of employment arrangements, stock options and stock ownership or other incentive plans for employees and officers in the ordinary course of business and, in each case, approved by a majority of the members of the board of directors (or similar governing body) or a majority of the disinterested members of the board of directors (or similar governing body) of Holdings in good faith;</w:t>
      </w:r>
    </w:p>
    <w:p>
      <w:pPr>
        <w:spacing w:after="0" w:line="191"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transactions between or among Holdings, the Borrower or any Subsidiary of the Borrower in the ordinary course of business, (ii) transactions between or among Loan Parties, (iii) transactions between or among non-Loan Parties, and (iv) transactions between or among any Loan Party and any non-Loan Party so long as the terms of such transaction are not less favorable to the applicable Loan Party than those that might be obtained at the time in a comparable arm’s-length transaction from a Person who is not an Affiliate;</w:t>
      </w:r>
    </w:p>
    <w:p>
      <w:pPr>
        <w:spacing w:after="0" w:line="178"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Restricted Payments expressly permitted under </w:t>
      </w:r>
      <w:r>
        <w:rPr>
          <w:rFonts w:ascii="Times New Roman" w:cs="Times New Roman" w:eastAsia="Times New Roman" w:hAnsi="Times New Roman"/>
          <w:sz w:val="20"/>
          <w:szCs w:val="20"/>
          <w:u w:val="single" w:color="auto"/>
          <w:color w:val="auto"/>
        </w:rPr>
        <w:t>Section 6.04</w:t>
      </w:r>
      <w:r>
        <w:rPr>
          <w:rFonts w:ascii="Times New Roman" w:cs="Times New Roman" w:eastAsia="Times New Roman" w:hAnsi="Times New Roman"/>
          <w:sz w:val="20"/>
          <w:szCs w:val="20"/>
          <w:color w:val="auto"/>
        </w:rPr>
        <w:t xml:space="preserve"> and Investments expressly permitted by </w:t>
      </w:r>
      <w:r>
        <w:rPr>
          <w:rFonts w:ascii="Times New Roman" w:cs="Times New Roman" w:eastAsia="Times New Roman" w:hAnsi="Times New Roman"/>
          <w:sz w:val="20"/>
          <w:szCs w:val="20"/>
          <w:u w:val="single" w:color="auto"/>
          <w:color w:val="auto"/>
        </w:rPr>
        <w:t>Section 6.05</w:t>
      </w:r>
      <w:r>
        <w:rPr>
          <w:rFonts w:ascii="Times New Roman" w:cs="Times New Roman" w:eastAsia="Times New Roman" w:hAnsi="Times New Roman"/>
          <w:sz w:val="20"/>
          <w:szCs w:val="20"/>
          <w:color w:val="auto"/>
        </w:rPr>
        <w:t>;</w:t>
      </w:r>
    </w:p>
    <w:p>
      <w:pPr>
        <w:spacing w:after="0" w:line="28" w:lineRule="exact"/>
        <w:rPr>
          <w:rFonts w:ascii="Times New Roman" w:cs="Times New Roman" w:eastAsia="Times New Roman" w:hAnsi="Times New Roman"/>
          <w:sz w:val="20"/>
          <w:szCs w:val="20"/>
          <w:color w:val="auto"/>
        </w:rPr>
      </w:pPr>
    </w:p>
    <w:p>
      <w:pPr>
        <w:ind w:left="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and</w:t>
      </w:r>
    </w:p>
    <w:p>
      <w:pPr>
        <w:spacing w:after="0" w:line="213"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transactions with Lender or any Affiliate thereof.</w:t>
      </w:r>
    </w:p>
    <w:p>
      <w:pPr>
        <w:spacing w:after="0" w:line="216" w:lineRule="exact"/>
        <w:rPr>
          <w:sz w:val="20"/>
          <w:szCs w:val="20"/>
          <w:color w:val="auto"/>
        </w:rPr>
      </w:pPr>
    </w:p>
    <w:p>
      <w:pPr>
        <w:jc w:val="both"/>
        <w:ind w:left="200" w:firstLine="583"/>
        <w:spacing w:after="0" w:line="261" w:lineRule="auto"/>
        <w:rPr>
          <w:sz w:val="20"/>
          <w:szCs w:val="20"/>
          <w:color w:val="auto"/>
        </w:rPr>
      </w:pPr>
      <w:r>
        <w:rPr>
          <w:rFonts w:ascii="Times New Roman" w:cs="Times New Roman" w:eastAsia="Times New Roman" w:hAnsi="Times New Roman"/>
          <w:sz w:val="20"/>
          <w:szCs w:val="20"/>
          <w:color w:val="auto"/>
        </w:rPr>
        <w:t xml:space="preserve">SECTION 6.8. </w:t>
      </w:r>
      <w:r>
        <w:rPr>
          <w:rFonts w:ascii="Times New Roman" w:cs="Times New Roman" w:eastAsia="Times New Roman" w:hAnsi="Times New Roman"/>
          <w:sz w:val="20"/>
          <w:szCs w:val="20"/>
          <w:u w:val="single" w:color="auto"/>
          <w:color w:val="auto"/>
        </w:rPr>
        <w:t>Amendments or Waivers of Organizational Documents</w:t>
      </w:r>
      <w:r>
        <w:rPr>
          <w:rFonts w:ascii="Times New Roman" w:cs="Times New Roman" w:eastAsia="Times New Roman" w:hAnsi="Times New Roman"/>
          <w:sz w:val="20"/>
          <w:szCs w:val="20"/>
          <w:color w:val="auto"/>
        </w:rPr>
        <w:t>. Holdings shall not, nor shall it permit any of its Subsidiaries to, amend or modify, in each case in a manner that is materially adverse to the Lender (in its capacity as such) such Person’s Organizational Documents without obtaining the prior written consent of the Lender.</w:t>
      </w:r>
    </w:p>
    <w:p>
      <w:pPr>
        <w:spacing w:after="0" w:line="181" w:lineRule="exact"/>
        <w:rPr>
          <w:sz w:val="20"/>
          <w:szCs w:val="20"/>
          <w:color w:val="auto"/>
        </w:rPr>
      </w:pPr>
    </w:p>
    <w:p>
      <w:pPr>
        <w:jc w:val="both"/>
        <w:ind w:left="200" w:firstLine="583"/>
        <w:spacing w:after="0" w:line="258" w:lineRule="auto"/>
        <w:rPr>
          <w:sz w:val="20"/>
          <w:szCs w:val="20"/>
          <w:color w:val="auto"/>
        </w:rPr>
      </w:pPr>
      <w:r>
        <w:rPr>
          <w:rFonts w:ascii="Times New Roman" w:cs="Times New Roman" w:eastAsia="Times New Roman" w:hAnsi="Times New Roman"/>
          <w:sz w:val="20"/>
          <w:szCs w:val="20"/>
          <w:color w:val="auto"/>
        </w:rPr>
        <w:t xml:space="preserve">SECTION 6.9. </w:t>
      </w:r>
      <w:r>
        <w:rPr>
          <w:rFonts w:ascii="Times New Roman" w:cs="Times New Roman" w:eastAsia="Times New Roman" w:hAnsi="Times New Roman"/>
          <w:sz w:val="20"/>
          <w:szCs w:val="20"/>
          <w:u w:val="single" w:color="auto"/>
          <w:color w:val="auto"/>
        </w:rPr>
        <w:t>Amendments of or Waivers with Respect to Junior Debt</w:t>
      </w:r>
      <w:r>
        <w:rPr>
          <w:rFonts w:ascii="Times New Roman" w:cs="Times New Roman" w:eastAsia="Times New Roman" w:hAnsi="Times New Roman"/>
          <w:sz w:val="20"/>
          <w:szCs w:val="20"/>
          <w:color w:val="auto"/>
        </w:rPr>
        <w:t>. Holdings shall not, nor shall it permit any of its Subsidiaries to, amend or otherwise modify the terms of any Junior Debt (or the documentation governing the foregoing) if the effect of such amendment or modification, together with all other amendments or modifications made, is materially adverse to the interests of the Lender (in its capacity as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w:t>
      </w:r>
    </w:p>
    <w:p>
      <w:pPr>
        <w:sectPr>
          <w:pgSz w:w="11900" w:h="16838" w:orient="portrait"/>
          <w:cols w:equalWidth="0" w:num="1">
            <w:col w:w="11040"/>
          </w:cols>
          <w:pgMar w:left="520" w:top="1413" w:right="339" w:bottom="1440" w:gutter="0" w:footer="0" w:header="0"/>
        </w:sectPr>
      </w:pPr>
    </w:p>
    <w:bookmarkStart w:id="128" w:name="page129"/>
    <w:bookmarkEnd w:id="128"/>
    <w:p>
      <w:pPr>
        <w:jc w:val="center"/>
        <w:ind w:right="180"/>
        <w:spacing w:after="0"/>
        <w:tabs>
          <w:tab w:leader="none" w:pos="300" w:val="left"/>
        </w:tabs>
        <w:rPr>
          <w:sz w:val="20"/>
          <w:szCs w:val="20"/>
          <w:color w:val="auto"/>
        </w:rPr>
      </w:pPr>
      <w:r>
        <w:rPr>
          <w:rFonts w:ascii="Times New Roman" w:cs="Times New Roman" w:eastAsia="Times New Roman" w:hAnsi="Times New Roman"/>
          <w:sz w:val="20"/>
          <w:szCs w:val="20"/>
          <w:color w:val="auto"/>
        </w:rPr>
        <w:t>ARTICLE 7</w:t>
      </w:r>
      <w:r>
        <w:rPr>
          <w:sz w:val="20"/>
          <w:szCs w:val="20"/>
          <w:color w:val="auto"/>
        </w:rPr>
        <w:tab/>
      </w:r>
      <w:r>
        <w:rPr>
          <w:rFonts w:ascii="Times New Roman" w:cs="Times New Roman" w:eastAsia="Times New Roman" w:hAnsi="Times New Roman"/>
          <w:sz w:val="19"/>
          <w:szCs w:val="19"/>
          <w:color w:val="auto"/>
        </w:rPr>
        <w:t>EVENTS OF DEFAULT</w:t>
      </w:r>
    </w:p>
    <w:p>
      <w:pPr>
        <w:spacing w:after="0" w:line="225"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7.1.</w:t>
      </w:r>
      <w:r>
        <w:rPr>
          <w:sz w:val="20"/>
          <w:szCs w:val="20"/>
          <w:color w:val="auto"/>
        </w:rPr>
        <w:tab/>
      </w:r>
      <w:r>
        <w:rPr>
          <w:rFonts w:ascii="Times New Roman" w:cs="Times New Roman" w:eastAsia="Times New Roman" w:hAnsi="Times New Roman"/>
          <w:sz w:val="19"/>
          <w:szCs w:val="19"/>
          <w:u w:val="single" w:color="auto"/>
          <w:color w:val="auto"/>
        </w:rPr>
        <w:t>Events of Default</w:t>
      </w:r>
      <w:r>
        <w:rPr>
          <w:rFonts w:ascii="Times New Roman" w:cs="Times New Roman" w:eastAsia="Times New Roman" w:hAnsi="Times New Roman"/>
          <w:sz w:val="19"/>
          <w:szCs w:val="19"/>
          <w:color w:val="auto"/>
        </w:rPr>
        <w:t>. If any of the following events (each, an “</w:t>
      </w:r>
      <w:r>
        <w:rPr>
          <w:rFonts w:ascii="Times New Roman" w:cs="Times New Roman" w:eastAsia="Times New Roman" w:hAnsi="Times New Roman"/>
          <w:sz w:val="19"/>
          <w:szCs w:val="19"/>
          <w:b w:val="1"/>
          <w:bCs w:val="1"/>
          <w:color w:val="auto"/>
        </w:rPr>
        <w:t>Event of Default</w:t>
      </w:r>
      <w:r>
        <w:rPr>
          <w:rFonts w:ascii="Times New Roman" w:cs="Times New Roman" w:eastAsia="Times New Roman" w:hAnsi="Times New Roman"/>
          <w:sz w:val="19"/>
          <w:szCs w:val="19"/>
          <w:color w:val="auto"/>
        </w:rPr>
        <w:t>”) shall occur:</w:t>
      </w:r>
    </w:p>
    <w:p>
      <w:pPr>
        <w:spacing w:after="0" w:line="220" w:lineRule="exact"/>
        <w:rPr>
          <w:sz w:val="20"/>
          <w:szCs w:val="20"/>
          <w:color w:val="auto"/>
        </w:rPr>
      </w:pPr>
    </w:p>
    <w:p>
      <w:pPr>
        <w:jc w:val="both"/>
        <w:ind w:left="300" w:firstLine="816"/>
        <w:spacing w:after="0" w:line="261" w:lineRule="auto"/>
        <w:tabs>
          <w:tab w:leader="none" w:pos="174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Failure To Make Payments When Due</w:t>
      </w:r>
      <w:r>
        <w:rPr>
          <w:rFonts w:ascii="Times New Roman" w:cs="Times New Roman" w:eastAsia="Times New Roman" w:hAnsi="Times New Roman"/>
          <w:sz w:val="20"/>
          <w:szCs w:val="20"/>
          <w:color w:val="auto"/>
        </w:rPr>
        <w:t>. Failure by the Borrower to pay (i) when due any installment of principal of any Loan, whether at stated maturity, by acceleration or otherwise or (ii) any interest on any Loan or any fee or any other amount due hereunder within three Business Days after the date due; or</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54" w:lineRule="auto"/>
        <w:tabs>
          <w:tab w:leader="none" w:pos="1738"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 in Other Agreements</w:t>
      </w:r>
      <w:r>
        <w:rPr>
          <w:rFonts w:ascii="Times New Roman" w:cs="Times New Roman" w:eastAsia="Times New Roman" w:hAnsi="Times New Roman"/>
          <w:sz w:val="20"/>
          <w:szCs w:val="20"/>
          <w:color w:val="auto"/>
        </w:rPr>
        <w:t xml:space="preserve">. (i) Failure of any Loan Party or any of its Subsidiaries to pay when due any principal of or interest on or any other amount payable in respect of one or more items of Indebtedness (other than Indebtedness referred to in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above) with an aggregate outstanding principal amount exceeding the Threshold Amount, in each case beyond the grace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9"/>
          <w:szCs w:val="19"/>
          <w:color w:val="auto"/>
        </w:rPr>
        <w:t>period, if any, provided therefor; or (ii) breach or default by any Loan Party or any of its Subsidiaries with respect to any other term of</w:t>
      </w:r>
    </w:p>
    <w:p>
      <w:pPr>
        <w:spacing w:after="0" w:line="18" w:lineRule="exact"/>
        <w:rPr>
          <w:sz w:val="20"/>
          <w:szCs w:val="20"/>
          <w:color w:val="auto"/>
        </w:rPr>
      </w:pPr>
    </w:p>
    <w:p>
      <w:pPr>
        <w:jc w:val="both"/>
        <w:ind w:left="300"/>
        <w:spacing w:after="0" w:line="249" w:lineRule="auto"/>
        <w:tabs>
          <w:tab w:leader="none" w:pos="63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one or more items of Indebtedness with an aggregate outstanding principal amount exceeding the Threshold Amount, or (B) any loan agreement, mortgage, indenture or other agreement relating to such item(s) of Indebtedness exceeding the Threshold Amount, in each case beyond the grace period, if any, provided therefor, if the effect of such breach or default is to cause, or to permit the holder or holders of such Indebtedness (or a trustee or agent on behalf of such holder or holders) to cause, such Indebtedness to become or be declared due and payable (or redeemable) prior to its stated maturity or the stated maturity of any underlying obligation, as the case may be; or</w:t>
      </w:r>
    </w:p>
    <w:p>
      <w:pPr>
        <w:spacing w:after="0" w:line="193" w:lineRule="exact"/>
        <w:rPr>
          <w:rFonts w:ascii="Times New Roman" w:cs="Times New Roman" w:eastAsia="Times New Roman" w:hAnsi="Times New Roman"/>
          <w:sz w:val="20"/>
          <w:szCs w:val="20"/>
          <w:color w:val="auto"/>
        </w:rPr>
      </w:pPr>
    </w:p>
    <w:p>
      <w:pPr>
        <w:ind w:left="300" w:firstLine="816"/>
        <w:spacing w:after="0" w:line="283" w:lineRule="auto"/>
        <w:tabs>
          <w:tab w:leader="none" w:pos="174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Certain Covenants</w:t>
      </w:r>
      <w:r>
        <w:rPr>
          <w:rFonts w:ascii="Times New Roman" w:cs="Times New Roman" w:eastAsia="Times New Roman" w:hAnsi="Times New Roman"/>
          <w:sz w:val="20"/>
          <w:szCs w:val="20"/>
          <w:color w:val="auto"/>
        </w:rPr>
        <w:t xml:space="preserve">. Failure of the Borrower or any other Loan Party, as required by the relevant provision, to perform or comply with any term or condition contained in </w:t>
      </w:r>
      <w:r>
        <w:rPr>
          <w:rFonts w:ascii="Times New Roman" w:cs="Times New Roman" w:eastAsia="Times New Roman" w:hAnsi="Times New Roman"/>
          <w:sz w:val="20"/>
          <w:szCs w:val="20"/>
          <w:u w:val="single" w:color="auto"/>
          <w:color w:val="auto"/>
        </w:rPr>
        <w:t>Section 5.02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5.13</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Article 6</w:t>
      </w:r>
      <w:r>
        <w:rPr>
          <w:rFonts w:ascii="Times New Roman" w:cs="Times New Roman" w:eastAsia="Times New Roman" w:hAnsi="Times New Roman"/>
          <w:sz w:val="20"/>
          <w:szCs w:val="20"/>
          <w:color w:val="auto"/>
        </w:rPr>
        <w:t>; or</w:t>
      </w:r>
    </w:p>
    <w:p>
      <w:pPr>
        <w:spacing w:after="0" w:line="146"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Breach of Representations, Etc</w:t>
      </w:r>
      <w:r>
        <w:rPr>
          <w:rFonts w:ascii="Times New Roman" w:cs="Times New Roman" w:eastAsia="Times New Roman" w:hAnsi="Times New Roman"/>
          <w:sz w:val="20"/>
          <w:szCs w:val="20"/>
          <w:color w:val="auto"/>
        </w:rPr>
        <w:t>. Any representation, warranty or certification made or deemed made by any Loan Party in any Loan Document or in any certificate or document required to be delivered in connection herewith or therewith shall be untrue in any material respect as of the date made or deemed made; or</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1" w:val="left"/>
        </w:tabs>
        <w:numPr>
          <w:ilvl w:val="1"/>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Defaults under Loan Documents</w:t>
      </w:r>
      <w:r>
        <w:rPr>
          <w:rFonts w:ascii="Times New Roman" w:cs="Times New Roman" w:eastAsia="Times New Roman" w:hAnsi="Times New Roman"/>
          <w:sz w:val="20"/>
          <w:szCs w:val="20"/>
          <w:color w:val="auto"/>
        </w:rPr>
        <w:t xml:space="preserve">. Any Loan Party shall default in the performance of or compliance with any term contained herein or any of the other Loan Documents, other than any such term referred to in any other Section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and such default shall not have been remedied or waived within 30 days of the occurrence thereof; or</w:t>
      </w:r>
    </w:p>
    <w:p>
      <w:pPr>
        <w:spacing w:after="0" w:line="181" w:lineRule="exact"/>
        <w:rPr>
          <w:rFonts w:ascii="Times New Roman" w:cs="Times New Roman" w:eastAsia="Times New Roman" w:hAnsi="Times New Roman"/>
          <w:sz w:val="20"/>
          <w:szCs w:val="20"/>
          <w:color w:val="auto"/>
        </w:rPr>
      </w:pPr>
    </w:p>
    <w:p>
      <w:pPr>
        <w:jc w:val="both"/>
        <w:ind w:left="300" w:firstLine="816"/>
        <w:spacing w:after="0" w:line="266" w:lineRule="auto"/>
        <w:tabs>
          <w:tab w:leader="none" w:pos="1746" w:val="left"/>
        </w:tabs>
        <w:numPr>
          <w:ilvl w:val="1"/>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Involuntary Bankruptcy; Appointment of Receiver, Etc</w:t>
      </w:r>
      <w:r>
        <w:rPr>
          <w:rFonts w:ascii="Times New Roman" w:cs="Times New Roman" w:eastAsia="Times New Roman" w:hAnsi="Times New Roman"/>
          <w:sz w:val="19"/>
          <w:szCs w:val="19"/>
          <w:color w:val="auto"/>
        </w:rPr>
        <w:t>. (i) A court of competent jurisdiction shall enter a decree or order for relief in respect of Holdings, the Borrower or any of its Subsidiaries (other than any Immaterial Subsidiary or any Subsidiary that could at such time, upon designation by Holdings, become an Immaterial Subsidiary) in an involuntary case under the Bankruptcy Code or under any other applicable bankruptcy, insolvency, corporate or similar law now or hereafter in effect, which decree or order is not stayed; or any other similar relief shall be granted under any applicable federal, provincial, territorial or state law; or (ii) an involuntary case shall be commenced against Holdings, the Borrower or any of its Subsidiaries (other than any Immaterial Subsidiary or any Subsidiary that could at such time, upon designation by Holdings, become an Immaterial Subsidiary) under the Bankruptcy Code or under any other applicable bankruptcy, insolvency, corporate or similar law now or hereafter in effect; or a decree or order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ectPr>
          <w:pgSz w:w="11900" w:h="16838" w:orient="portrait"/>
          <w:cols w:equalWidth="0" w:num="1">
            <w:col w:w="11040"/>
          </w:cols>
          <w:pgMar w:left="520" w:top="1413" w:right="339" w:bottom="1440" w:gutter="0" w:footer="0" w:header="0"/>
        </w:sectPr>
      </w:pPr>
    </w:p>
    <w:bookmarkStart w:id="129" w:name="page130"/>
    <w:bookmarkEnd w:id="129"/>
    <w:p>
      <w:pPr>
        <w:jc w:val="both"/>
        <w:ind w:left="300"/>
        <w:spacing w:after="0" w:line="251" w:lineRule="auto"/>
        <w:rPr>
          <w:sz w:val="20"/>
          <w:szCs w:val="20"/>
          <w:color w:val="auto"/>
        </w:rPr>
      </w:pPr>
      <w:r>
        <w:rPr>
          <w:rFonts w:ascii="Times New Roman" w:cs="Times New Roman" w:eastAsia="Times New Roman" w:hAnsi="Times New Roman"/>
          <w:sz w:val="20"/>
          <w:szCs w:val="20"/>
          <w:color w:val="auto"/>
        </w:rPr>
        <w:t xml:space="preserve">court having jurisdiction in the premises for the appointment of a receiver, receiver and manager, liquidator, sequestrator, monitor, trustee, custodian or other officer having similar powers over Holdings, the Borrower or any of its Subsidiaries (other than any Immaterial Subsidiary or any Subsidiary that could at such time, upon designation by Holdings, become an Immaterial Subsidiary), or over all or a substantial part of its property, shall have been entered; or there shall have occurred the involuntary appointment of an interim receiver, receiver and manager, trustee or other custodian of Holdings, the Borrower or any of its Subsidiaries (other than any Immaterial Subsidiary or any Subsidiary that could at such time, upon designation by Holdings, become an Immaterial Subsidiary) for all or a substantial part of its property; and any such event described in this </w:t>
      </w:r>
      <w:r>
        <w:rPr>
          <w:rFonts w:ascii="Times New Roman" w:cs="Times New Roman" w:eastAsia="Times New Roman" w:hAnsi="Times New Roman"/>
          <w:sz w:val="20"/>
          <w:szCs w:val="20"/>
          <w:u w:val="single" w:color="auto"/>
          <w:color w:val="auto"/>
        </w:rPr>
        <w:t>clause (ii)</w:t>
      </w:r>
      <w:r>
        <w:rPr>
          <w:rFonts w:ascii="Times New Roman" w:cs="Times New Roman" w:eastAsia="Times New Roman" w:hAnsi="Times New Roman"/>
          <w:sz w:val="20"/>
          <w:szCs w:val="20"/>
          <w:color w:val="auto"/>
        </w:rPr>
        <w:t xml:space="preserve"> shall continue for 60 consecutive days without having been dismissed, vacated, bonded or discharged; or</w:t>
      </w:r>
    </w:p>
    <w:p>
      <w:pPr>
        <w:spacing w:after="0" w:line="195" w:lineRule="exact"/>
        <w:rPr>
          <w:sz w:val="20"/>
          <w:szCs w:val="20"/>
          <w:color w:val="auto"/>
        </w:rPr>
      </w:pPr>
    </w:p>
    <w:p>
      <w:pPr>
        <w:jc w:val="both"/>
        <w:ind w:left="300" w:firstLine="816"/>
        <w:spacing w:after="0" w:line="250" w:lineRule="auto"/>
        <w:tabs>
          <w:tab w:leader="none" w:pos="1738"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Voluntary Bankruptcy; Appointment of Receiver, Etc</w:t>
      </w:r>
      <w:r>
        <w:rPr>
          <w:rFonts w:ascii="Times New Roman" w:cs="Times New Roman" w:eastAsia="Times New Roman" w:hAnsi="Times New Roman"/>
          <w:sz w:val="20"/>
          <w:szCs w:val="20"/>
          <w:color w:val="auto"/>
        </w:rPr>
        <w:t>. (i) Holdings, the Borrower or any of their Subsidiaries (other than any Immaterial Subsidiary or any Subsidiary that could at such time, upon designation by Holdings, become an Immaterial Subsidiary) shall have an order for relief entered with respect to it or shall commence a voluntary case under the Bankruptcy Code or under any other applicable bankruptcy, insolvency, corporate or similar law now or hereafter in effect, or shall consent to the entry of an order for relief in an involuntary case, or to the conversion of an involuntary case to a voluntary case, under any such law, or shall consent to the appointment of or taking possession by a receiver, receiver and manager, monitor, trustee, liquidator, custodian or other similar official in respect of it or for all or a substantial part of its property; or (ii) Holdings, the Borrower or any of their Subsidiaries (other than any Immaterial Subsidiary or any Subsidiary that could at such time, upon designation by Holdings, become an Immaterial Subsidiary) shall make a general assignment for the benefit of creditors; or (iii) Holdings, the Borrower or any of their Subsidiaries (other than any Immaterial Subsidiary or any Subsidiary that could at such time, upon designation by Holdings, become an Immaterial Subsidiary)shall admit in writing its inability to pay its debts as such debts become due; or</w:t>
      </w:r>
    </w:p>
    <w:p>
      <w:pPr>
        <w:spacing w:after="0" w:line="186"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Judgments and Attachments</w:t>
      </w:r>
      <w:r>
        <w:rPr>
          <w:rFonts w:ascii="Times New Roman" w:cs="Times New Roman" w:eastAsia="Times New Roman" w:hAnsi="Times New Roman"/>
          <w:sz w:val="20"/>
          <w:szCs w:val="20"/>
          <w:color w:val="auto"/>
        </w:rPr>
        <w:t>. Any one or more final money judgments, writs or warrants of attachment or similar process involving in the aggregate at any time an amount in excess of the Threshold Amount (in either case to the extent not adequately covered by insurance or indemnitees (including, if applicable, self-insurance) as to which a third party insurance company or indemnitor has been notified and not denied coverage) shall be entered or filed against Holdings, the Borrower or any of their Subsidiaries or any of their respective assets and shall remain unpaid, undischarged, unvacated, unbonded or unstayed pending appeal for a period of 60 days or more; or</w:t>
      </w:r>
    </w:p>
    <w:p>
      <w:pPr>
        <w:spacing w:after="0" w:line="192"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8"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Employee Benefit Plans</w:t>
      </w:r>
      <w:r>
        <w:rPr>
          <w:rFonts w:ascii="Times New Roman" w:cs="Times New Roman" w:eastAsia="Times New Roman" w:hAnsi="Times New Roman"/>
          <w:sz w:val="20"/>
          <w:szCs w:val="20"/>
          <w:color w:val="auto"/>
        </w:rPr>
        <w:t>. There shall occur one or more ERISA Events, which individually or in the aggregate results in liability of Holdings or any of its Subsidiaries in an aggregate amount which could reasonably be expected to result in a Material Adverse Effect; or</w:t>
      </w:r>
    </w:p>
    <w:p>
      <w:pPr>
        <w:spacing w:after="0" w:line="181"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1"/>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Change of Control</w:t>
      </w:r>
      <w:r>
        <w:rPr>
          <w:rFonts w:ascii="Times New Roman" w:cs="Times New Roman" w:eastAsia="Times New Roman" w:hAnsi="Times New Roman"/>
          <w:sz w:val="19"/>
          <w:szCs w:val="19"/>
          <w:color w:val="auto"/>
        </w:rPr>
        <w:t>. Unless waived in writing by the Lender in its sole discretion, a Change of Control shall occur; or</w:t>
      </w:r>
    </w:p>
    <w:p>
      <w:pPr>
        <w:spacing w:after="0" w:line="227" w:lineRule="exact"/>
        <w:rPr>
          <w:rFonts w:ascii="Times New Roman" w:cs="Times New Roman" w:eastAsia="Times New Roman" w:hAnsi="Times New Roman"/>
          <w:sz w:val="19"/>
          <w:szCs w:val="19"/>
          <w:color w:val="auto"/>
        </w:rPr>
      </w:pPr>
    </w:p>
    <w:p>
      <w:pPr>
        <w:ind w:left="1740" w:hanging="624"/>
        <w:spacing w:after="0"/>
        <w:tabs>
          <w:tab w:leader="none" w:pos="17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Guaranties, Collateral Documents and Other Loan Documents</w:t>
      </w:r>
      <w:r>
        <w:rPr>
          <w:rFonts w:ascii="Times New Roman" w:cs="Times New Roman" w:eastAsia="Times New Roman" w:hAnsi="Times New Roman"/>
          <w:sz w:val="20"/>
          <w:szCs w:val="20"/>
          <w:color w:val="auto"/>
        </w:rPr>
        <w:t>. At any time after the execution and delivery thereof,</w:t>
      </w:r>
    </w:p>
    <w:p>
      <w:pPr>
        <w:spacing w:after="0" w:line="28" w:lineRule="exact"/>
        <w:rPr>
          <w:rFonts w:ascii="Times New Roman" w:cs="Times New Roman" w:eastAsia="Times New Roman" w:hAnsi="Times New Roman"/>
          <w:sz w:val="20"/>
          <w:szCs w:val="20"/>
          <w:color w:val="auto"/>
        </w:rPr>
      </w:pPr>
    </w:p>
    <w:p>
      <w:pPr>
        <w:jc w:val="both"/>
        <w:ind w:left="300"/>
        <w:spacing w:after="0" w:line="253" w:lineRule="auto"/>
        <w:tabs>
          <w:tab w:leader="none" w:pos="537"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Loan Guaranty for any reason, other than the occurrence of the Termination Date, shall cease to be in full force and effect (other than in accordance with its terms) or shall be declared to be null and void or any Loan Guarantor shall repudiate in writing its obligations thereunder, (ii) this Agreement or any Collateral Document ceases to be in full force and effect or shall be declared null and void or any significant part of the Liens purported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57</w:t>
      </w:r>
    </w:p>
    <w:p>
      <w:pPr>
        <w:sectPr>
          <w:pgSz w:w="11900" w:h="16838" w:orient="portrait"/>
          <w:cols w:equalWidth="0" w:num="1">
            <w:col w:w="11040"/>
          </w:cols>
          <w:pgMar w:left="520" w:top="1413" w:right="339" w:bottom="1440" w:gutter="0" w:footer="0" w:header="0"/>
        </w:sectPr>
      </w:pPr>
    </w:p>
    <w:bookmarkStart w:id="130" w:name="page131"/>
    <w:bookmarkEnd w:id="130"/>
    <w:p>
      <w:pPr>
        <w:jc w:val="both"/>
        <w:ind w:left="500"/>
        <w:spacing w:after="0" w:line="281" w:lineRule="auto"/>
        <w:rPr>
          <w:sz w:val="20"/>
          <w:szCs w:val="20"/>
          <w:color w:val="auto"/>
        </w:rPr>
      </w:pPr>
      <w:r>
        <w:rPr>
          <w:rFonts w:ascii="Times New Roman" w:cs="Times New Roman" w:eastAsia="Times New Roman" w:hAnsi="Times New Roman"/>
          <w:sz w:val="19"/>
          <w:szCs w:val="19"/>
          <w:color w:val="auto"/>
        </w:rPr>
        <w:t>created under any Collateral Document ceases to be perfected security interests or (iii) any Loan Party shall contest in writing, the validity or enforceability of any provision of any Loan Document (or any Lien purported to be created by the Collateral Documents or any Loan Guaranty) or deny in writing that it has any further liability (other than by reason of the occurrence of the Termination Date);</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then, and in every such event (other than an event with respect to the Borrower described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this Article), and at any time thereafter during the continuance of such event, the Lender may, by notice to the Borrower, take any of the following actions, at the same or different times: terminate the Commitments and/or declare the portion of the Loan then outstanding to be due and payable in whole (or in part, in which case any principal not so declared to be due and payable may thereafter be declared to be due and payable), and thereupon the principal of the Loan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upon the occurrence of an event with respect to the Borrower described in </w:t>
      </w:r>
      <w:r>
        <w:rPr>
          <w:rFonts w:ascii="Times New Roman" w:cs="Times New Roman" w:eastAsia="Times New Roman" w:hAnsi="Times New Roman"/>
          <w:sz w:val="20"/>
          <w:szCs w:val="20"/>
          <w:u w:val="single" w:color="auto"/>
          <w:color w:val="auto"/>
        </w:rPr>
        <w:t>clause (f)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(g)</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Article 7</w:t>
      </w:r>
      <w:r>
        <w:rPr>
          <w:rFonts w:ascii="Times New Roman" w:cs="Times New Roman" w:eastAsia="Times New Roman" w:hAnsi="Times New Roman"/>
          <w:sz w:val="20"/>
          <w:szCs w:val="20"/>
          <w:color w:val="auto"/>
        </w:rPr>
        <w:t>, the Commitments shall automatically terminate and the principal of the portion of the Loan then outstanding, together with accrued interest thereon and all fees and other Obligations of the Borrower accrued hereunder, shall automatically become due and payable, without presentment, demand, protest or other notice of any kind, all of which are hereby waived by the Borrower, in each case without further action of the Lender. Upon the occurrence and during the continuance of an Event of Default, the Lender may exercise any rights and remedies provided to the Lender under the Loan Documents or at law or equity, including all remedies provided under the UCC.</w:t>
      </w:r>
    </w:p>
    <w:p>
      <w:pPr>
        <w:spacing w:after="0" w:line="193" w:lineRule="exact"/>
        <w:rPr>
          <w:sz w:val="20"/>
          <w:szCs w:val="20"/>
          <w:color w:val="auto"/>
        </w:rPr>
      </w:pPr>
    </w:p>
    <w:p>
      <w:pPr>
        <w:jc w:val="center"/>
        <w:spacing w:after="0"/>
        <w:tabs>
          <w:tab w:leader="none" w:pos="280" w:val="left"/>
        </w:tabs>
        <w:rPr>
          <w:sz w:val="20"/>
          <w:szCs w:val="20"/>
          <w:color w:val="auto"/>
        </w:rPr>
      </w:pPr>
      <w:r>
        <w:rPr>
          <w:rFonts w:ascii="Times New Roman" w:cs="Times New Roman" w:eastAsia="Times New Roman" w:hAnsi="Times New Roman"/>
          <w:sz w:val="20"/>
          <w:szCs w:val="20"/>
          <w:color w:val="auto"/>
        </w:rPr>
        <w:t>ARTICLE 8</w:t>
      </w:r>
      <w:r>
        <w:rPr>
          <w:sz w:val="20"/>
          <w:szCs w:val="20"/>
          <w:color w:val="auto"/>
        </w:rPr>
        <w:tab/>
      </w:r>
      <w:r>
        <w:rPr>
          <w:rFonts w:ascii="Times New Roman" w:cs="Times New Roman" w:eastAsia="Times New Roman" w:hAnsi="Times New Roman"/>
          <w:sz w:val="19"/>
          <w:szCs w:val="19"/>
          <w:color w:val="auto"/>
        </w:rPr>
        <w:t>MISCELLANEOUS</w:t>
      </w:r>
    </w:p>
    <w:p>
      <w:pPr>
        <w:spacing w:after="0" w:line="216" w:lineRule="exact"/>
        <w:rPr>
          <w:sz w:val="20"/>
          <w:szCs w:val="20"/>
          <w:color w:val="auto"/>
        </w:rPr>
      </w:pPr>
    </w:p>
    <w:p>
      <w:pPr>
        <w:ind w:left="980"/>
        <w:spacing w:after="0"/>
        <w:tabs>
          <w:tab w:leader="none" w:pos="2520" w:val="left"/>
        </w:tabs>
        <w:rPr>
          <w:sz w:val="20"/>
          <w:szCs w:val="20"/>
          <w:color w:val="auto"/>
        </w:rPr>
      </w:pPr>
      <w:r>
        <w:rPr>
          <w:rFonts w:ascii="Times New Roman" w:cs="Times New Roman" w:eastAsia="Times New Roman" w:hAnsi="Times New Roman"/>
          <w:sz w:val="20"/>
          <w:szCs w:val="20"/>
          <w:color w:val="auto"/>
        </w:rPr>
        <w:t>SECTION 8.1.</w:t>
      </w:r>
      <w:r>
        <w:rPr>
          <w:sz w:val="20"/>
          <w:szCs w:val="20"/>
          <w:color w:val="auto"/>
        </w:rPr>
        <w:tab/>
      </w:r>
      <w:r>
        <w:rPr>
          <w:rFonts w:ascii="Times New Roman" w:cs="Times New Roman" w:eastAsia="Times New Roman" w:hAnsi="Times New Roman"/>
          <w:sz w:val="19"/>
          <w:szCs w:val="19"/>
          <w:u w:val="single" w:color="auto"/>
          <w:color w:val="auto"/>
        </w:rPr>
        <w:t>Notices</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500" w:firstLine="816"/>
        <w:spacing w:after="0" w:line="254" w:lineRule="auto"/>
        <w:tabs>
          <w:tab w:leader="none" w:pos="1941"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in the case of notices and other communications expressly permitted to be given by telephone (and subject to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below), all notices and other communications provided for herein shall be in writing. Any notice or other communication required to be delivered in writing may be delivered by hand or overnight courier service, mailed by certified or registered mail or sent by facsimile or email (including as a “.pdf” or “.tif” attachment), as follows:</w:t>
      </w:r>
    </w:p>
    <w:p>
      <w:pPr>
        <w:spacing w:after="0" w:line="187" w:lineRule="exact"/>
        <w:rPr>
          <w:rFonts w:ascii="Times New Roman" w:cs="Times New Roman" w:eastAsia="Times New Roman" w:hAnsi="Times New Roman"/>
          <w:sz w:val="20"/>
          <w:szCs w:val="20"/>
          <w:color w:val="auto"/>
        </w:rPr>
      </w:pPr>
    </w:p>
    <w:p>
      <w:pPr>
        <w:ind w:left="2600" w:hanging="648"/>
        <w:spacing w:after="0"/>
        <w:tabs>
          <w:tab w:leader="none" w:pos="26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any Loan Party, to Holdings and the Borrower at: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Bakkt Opco Holdings, LLC</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10000 Avalon Boulevard, Suite 1000</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Alpharetta, GA 30009</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Marc D’Annunzio</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legal-notices@bakkt.com</w:t>
      </w:r>
    </w:p>
    <w:p>
      <w:pPr>
        <w:spacing w:after="0" w:line="241" w:lineRule="exact"/>
        <w:rPr>
          <w:sz w:val="20"/>
          <w:szCs w:val="20"/>
          <w:color w:val="auto"/>
        </w:rPr>
      </w:pPr>
    </w:p>
    <w:p>
      <w:pPr>
        <w:ind w:left="1300" w:right="660"/>
        <w:spacing w:after="0" w:line="269" w:lineRule="auto"/>
        <w:rPr>
          <w:sz w:val="20"/>
          <w:szCs w:val="20"/>
          <w:color w:val="auto"/>
        </w:rPr>
      </w:pPr>
      <w:r>
        <w:rPr>
          <w:rFonts w:ascii="Times New Roman" w:cs="Times New Roman" w:eastAsia="Times New Roman" w:hAnsi="Times New Roman"/>
          <w:sz w:val="20"/>
          <w:szCs w:val="20"/>
          <w:color w:val="auto"/>
        </w:rPr>
        <w:t>With a copy to (in each case, which shall not constitute notice for any purpose hereunder or under any other Loan Document):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Wilson Sonsini Goodrich &amp; Rosati P.C.</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650 Page Mill Road</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Palo Alto, California 94304</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Attn: Dana 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58</w:t>
      </w:r>
    </w:p>
    <w:p>
      <w:pPr>
        <w:sectPr>
          <w:pgSz w:w="11900" w:h="16838" w:orient="portrait"/>
          <w:cols w:equalWidth="0" w:num="1">
            <w:col w:w="11240"/>
          </w:cols>
          <w:pgMar w:left="320" w:top="1413" w:right="339" w:bottom="1440" w:gutter="0" w:footer="0" w:header="0"/>
        </w:sectPr>
      </w:pPr>
    </w:p>
    <w:bookmarkStart w:id="131" w:name="page132"/>
    <w:bookmarkEnd w:id="131"/>
    <w:p>
      <w:pPr>
        <w:spacing w:after="0" w:line="20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Telephone: (650) 849-3053</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djhall@wsgr.com</w:t>
      </w:r>
    </w:p>
    <w:p>
      <w:pPr>
        <w:spacing w:after="0" w:line="200" w:lineRule="exact"/>
        <w:rPr>
          <w:sz w:val="20"/>
          <w:szCs w:val="20"/>
          <w:color w:val="auto"/>
        </w:rPr>
      </w:pPr>
    </w:p>
    <w:p>
      <w:pPr>
        <w:ind w:left="2600" w:hanging="648"/>
        <w:spacing w:after="0"/>
        <w:tabs>
          <w:tab w:leader="none" w:pos="26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Lender, at:</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Intercontinental Exchange Holdings, Inc.</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5660 New Northside Drive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3rd Floor</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Atlanta, GA 30328</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Attention: Legal Department</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Telephone: (770) 738-2106</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Fax: (770) 857-4755</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legal-notices@theice.com</w:t>
      </w:r>
    </w:p>
    <w:p>
      <w:pPr>
        <w:spacing w:after="0" w:line="214" w:lineRule="exact"/>
        <w:rPr>
          <w:sz w:val="20"/>
          <w:szCs w:val="20"/>
          <w:color w:val="auto"/>
        </w:rPr>
      </w:pPr>
    </w:p>
    <w:p>
      <w:pPr>
        <w:ind w:left="1300" w:right="660"/>
        <w:spacing w:after="0" w:line="269" w:lineRule="auto"/>
        <w:rPr>
          <w:sz w:val="20"/>
          <w:szCs w:val="20"/>
          <w:color w:val="auto"/>
        </w:rPr>
      </w:pPr>
      <w:r>
        <w:rPr>
          <w:rFonts w:ascii="Times New Roman" w:cs="Times New Roman" w:eastAsia="Times New Roman" w:hAnsi="Times New Roman"/>
          <w:sz w:val="20"/>
          <w:szCs w:val="20"/>
          <w:color w:val="auto"/>
        </w:rPr>
        <w:t>With a copy to (in each case, which shall not constitute notice for any purpose hereunder or under any other Loan Document):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Allen Overy Shearman Sterling US LLP</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599 Lexington Avenue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New York, New York 10022</w:t>
      </w:r>
    </w:p>
    <w:p>
      <w:pPr>
        <w:spacing w:after="0" w:line="1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Attn: Michael Chernick</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Fax: (646) 848-5281</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Email: michael.chernick@aoshearman.com</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All such notices and other communications (A)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such party as provided in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or in accordance with the latest unrevoked direction from such party given in accordance with this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xml:space="preserve">, (B) sent by facsimile shall be deemed to have been given when sent and when receipt has been confirmed by telephone;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received notices and other communications sent by facsimile shall be deemed to have been given when sent (except that, if not given during normal business hours for the recipient, such notices or other communications shall be deemed to have been given at the opening of business on the next Business Day for the recipient) or (C)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not given during the normal business hours of the recipient, such notice or communication shall be deemed to have been given at the opening of business on the next Business Day for the recipient.</w:t>
      </w:r>
    </w:p>
    <w:p>
      <w:pPr>
        <w:spacing w:after="0" w:line="200" w:lineRule="exact"/>
        <w:rPr>
          <w:sz w:val="20"/>
          <w:szCs w:val="20"/>
          <w:color w:val="auto"/>
        </w:rPr>
      </w:pPr>
    </w:p>
    <w:p>
      <w:pPr>
        <w:ind w:left="500" w:right="20" w:firstLine="816"/>
        <w:spacing w:after="0" w:line="269" w:lineRule="auto"/>
        <w:tabs>
          <w:tab w:leader="none" w:pos="193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Notices and other communications to the Lender hereunder may be delivered or furnished by electronic communications (including e-mail) pursuant to procedures set forth herein or otherwise approved by the Lender.</w:t>
      </w:r>
    </w:p>
    <w:p>
      <w:pPr>
        <w:spacing w:after="0" w:line="172" w:lineRule="exact"/>
        <w:rPr>
          <w:rFonts w:ascii="Times New Roman" w:cs="Times New Roman" w:eastAsia="Times New Roman" w:hAnsi="Times New Roman"/>
          <w:sz w:val="20"/>
          <w:szCs w:val="20"/>
          <w:color w:val="auto"/>
        </w:rPr>
      </w:pPr>
    </w:p>
    <w:p>
      <w:pPr>
        <w:ind w:left="500" w:firstLine="816"/>
        <w:spacing w:after="0" w:line="283" w:lineRule="auto"/>
        <w:tabs>
          <w:tab w:leader="none" w:pos="1941"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party hereto may change its address or facsimile number for notices and other communications hereunder by notice to the other parties hereto.</w:t>
      </w:r>
    </w:p>
    <w:p>
      <w:pPr>
        <w:spacing w:after="0" w:line="146" w:lineRule="exact"/>
        <w:rPr>
          <w:rFonts w:ascii="Times New Roman" w:cs="Times New Roman" w:eastAsia="Times New Roman" w:hAnsi="Times New Roman"/>
          <w:sz w:val="20"/>
          <w:szCs w:val="20"/>
          <w:color w:val="auto"/>
        </w:rPr>
      </w:pPr>
    </w:p>
    <w:p>
      <w:pPr>
        <w:jc w:val="both"/>
        <w:ind w:left="500" w:firstLine="816"/>
        <w:spacing w:after="0" w:line="261" w:lineRule="auto"/>
        <w:tabs>
          <w:tab w:leader="none" w:pos="1938"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its Affiliates and Related Parties shall not be liable to any Person for any damages arising from the use by any Person (other than the Lender or its Affiliates or Related Parties) of information or other materials obtained through electronic, telecommunications or other</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0"/>
          <w:szCs w:val="20"/>
          <w:color w:val="auto"/>
        </w:rPr>
        <w:t>59</w:t>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jc w:val="both"/>
        <w:ind w:left="300"/>
        <w:spacing w:after="0" w:line="261" w:lineRule="auto"/>
        <w:rPr>
          <w:sz w:val="20"/>
          <w:szCs w:val="20"/>
          <w:color w:val="auto"/>
        </w:rPr>
      </w:pPr>
      <w:r>
        <w:rPr>
          <w:rFonts w:ascii="Times New Roman" w:cs="Times New Roman" w:eastAsia="Times New Roman" w:hAnsi="Times New Roman"/>
          <w:sz w:val="20"/>
          <w:szCs w:val="20"/>
          <w:color w:val="auto"/>
        </w:rPr>
        <w:t>information transmission systems, in each case, except to the extent any such damages arise from the gross negligence, bad faith or willful misconduct of, or material breach of the Loan Documents by, the Lender or any of its Affiliates or Related Parties, in each case as determined by a final non-appealable judgment of a court of competent jurisdiction.</w:t>
      </w:r>
    </w:p>
    <w:p>
      <w:pPr>
        <w:spacing w:after="0" w:line="181"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8.2.</w:t>
      </w:r>
      <w:r>
        <w:rPr>
          <w:sz w:val="20"/>
          <w:szCs w:val="20"/>
          <w:color w:val="auto"/>
        </w:rPr>
        <w:tab/>
      </w:r>
      <w:r>
        <w:rPr>
          <w:rFonts w:ascii="Times New Roman" w:cs="Times New Roman" w:eastAsia="Times New Roman" w:hAnsi="Times New Roman"/>
          <w:sz w:val="19"/>
          <w:szCs w:val="19"/>
          <w:u w:val="single" w:color="auto"/>
          <w:color w:val="auto"/>
        </w:rPr>
        <w:t>Waivers; Amendments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firstLine="816"/>
        <w:spacing w:after="0" w:line="253" w:lineRule="auto"/>
        <w:tabs>
          <w:tab w:leader="none" w:pos="1741"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failure or delay by the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Lender hereunder and under any other Loan Document are cumulative and are not exclusive of any rights or remedies that it would otherwise have. No waiver of any provision of any Loan Document or consent to any departure by any Loan Party therefrom shall in any event be effective unless the same shall be permitted by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 8.02</w:t>
      </w:r>
      <w:r>
        <w:rPr>
          <w:rFonts w:ascii="Times New Roman" w:cs="Times New Roman" w:eastAsia="Times New Roman" w:hAnsi="Times New Roman"/>
          <w:sz w:val="20"/>
          <w:szCs w:val="20"/>
          <w:color w:val="auto"/>
        </w:rPr>
        <w:t>, and then such waiver or consent shall be effective only in the specific instance and for the purpose for which given.</w:t>
      </w:r>
    </w:p>
    <w:p>
      <w:pPr>
        <w:spacing w:after="0" w:line="192" w:lineRule="exact"/>
        <w:rPr>
          <w:rFonts w:ascii="Times New Roman" w:cs="Times New Roman" w:eastAsia="Times New Roman" w:hAnsi="Times New Roman"/>
          <w:sz w:val="20"/>
          <w:szCs w:val="20"/>
          <w:color w:val="auto"/>
        </w:rPr>
      </w:pPr>
    </w:p>
    <w:p>
      <w:pPr>
        <w:jc w:val="both"/>
        <w:ind w:left="300" w:firstLine="816"/>
        <w:spacing w:after="0" w:line="253" w:lineRule="auto"/>
        <w:tabs>
          <w:tab w:leader="none" w:pos="173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expressly provided herein or in any Loan Document, neither this Agreement nor any other Loan Document nor any provision hereof or thereof may be waived, amended or modified, except (i) in the case of this Agreement, pursuant to an agreement or agreements in writing entered into by Holdings, the Borrower and the Lender or (ii) in the case of any other Loan Document (other than any waiver, amendment or modification to effectuate any modification thereto expressly contemplated by the terms of such other Loan Documents), pursuant to an agreement or agreements in writing entered into by the Lender and the Loan Party or Loan Parties that are parties thereto.</w:t>
      </w:r>
    </w:p>
    <w:p>
      <w:pPr>
        <w:spacing w:after="0" w:line="179"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8.3.</w:t>
      </w:r>
      <w:r>
        <w:rPr>
          <w:sz w:val="20"/>
          <w:szCs w:val="20"/>
          <w:color w:val="auto"/>
        </w:rPr>
        <w:tab/>
      </w:r>
      <w:r>
        <w:rPr>
          <w:rFonts w:ascii="Times New Roman" w:cs="Times New Roman" w:eastAsia="Times New Roman" w:hAnsi="Times New Roman"/>
          <w:sz w:val="19"/>
          <w:szCs w:val="19"/>
          <w:u w:val="single" w:color="auto"/>
          <w:color w:val="auto"/>
        </w:rPr>
        <w:t>Expenses; Indemnity; Damage Waiver</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300" w:firstLine="816"/>
        <w:spacing w:after="0" w:line="249" w:lineRule="auto"/>
        <w:tabs>
          <w:tab w:leader="none" w:pos="1741"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pay (i) all reasonable and documented out-of-pocket expenses incurred by the Lender and its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jurisdiction to such Persons, taken as a whole) in connection with the preparation, execution, delivery and administration of any Loan Documents and related documentation (but for the avoidance of doubt, only such expenses that are incurred after the Closing Date), including in connection with any amendments, modifications or waivers of the provisions of any Loan Documents (whether or not the transactions contemplated thereby shall be consummated)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Borrower’s reimbursement obligation with respect to such fees and expenses incurred by the Lender prior to the Closing Date shall be limited to $200,000) and (ii) all reasonable and documented out-of-pocket expenses incurred by the Lender and each of its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jurisdiction to such Persons, taken as a whole and, solely in the case of an actual or reasonably perceived conflict of interest and to the extent notice thereof is provided to the Borrower, one additional counsel to all affected Persons taken as a whole and one additional local counsel in each relevant jurisdiction to all affected Persons taken as a whole) in connection with the enforcement, collection or protection of its rights in connection with the Loan Documents, including its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w:t>
      </w:r>
    </w:p>
    <w:p>
      <w:pPr>
        <w:sectPr>
          <w:pgSz w:w="11900" w:h="16838" w:orient="portrait"/>
          <w:cols w:equalWidth="0" w:num="1">
            <w:col w:w="11040"/>
          </w:cols>
          <w:pgMar w:left="520" w:top="1413" w:right="339" w:bottom="1440" w:gutter="0" w:footer="0" w:header="0"/>
        </w:sectPr>
      </w:pPr>
    </w:p>
    <w:bookmarkStart w:id="133" w:name="page134"/>
    <w:bookmarkEnd w:id="133"/>
    <w:p>
      <w:pPr>
        <w:jc w:val="both"/>
        <w:ind w:left="300"/>
        <w:spacing w:after="0" w:line="258" w:lineRule="auto"/>
        <w:rPr>
          <w:sz w:val="20"/>
          <w:szCs w:val="20"/>
          <w:color w:val="auto"/>
        </w:rPr>
      </w:pPr>
      <w:r>
        <w:rPr>
          <w:rFonts w:ascii="Times New Roman" w:cs="Times New Roman" w:eastAsia="Times New Roman" w:hAnsi="Times New Roman"/>
          <w:sz w:val="20"/>
          <w:szCs w:val="20"/>
          <w:color w:val="auto"/>
        </w:rPr>
        <w:t xml:space="preserve">under this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or in connection with the Loan made hereunder. Other than to the extent required to be paid on the Closing Date, all amounts due under this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shall be payable by the Borrower within 30 days of receipt of an invoice relating thereto, setting forth such expenses in reasonable detail and together with reasonable backup documentation supporting such reimbursement requests.</w:t>
      </w:r>
    </w:p>
    <w:p>
      <w:pPr>
        <w:spacing w:after="0" w:line="172" w:lineRule="exact"/>
        <w:rPr>
          <w:sz w:val="20"/>
          <w:szCs w:val="20"/>
          <w:color w:val="auto"/>
        </w:rPr>
      </w:pPr>
    </w:p>
    <w:p>
      <w:pPr>
        <w:jc w:val="both"/>
        <w:ind w:left="300" w:firstLine="816"/>
        <w:spacing w:after="0" w:line="249" w:lineRule="auto"/>
        <w:tabs>
          <w:tab w:leader="none" w:pos="1738"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indemnify the Lender and each of its Related Parties, and their respective successors and assigns (each such Person being called an “</w:t>
      </w:r>
      <w:r>
        <w:rPr>
          <w:rFonts w:ascii="Times New Roman" w:cs="Times New Roman" w:eastAsia="Times New Roman" w:hAnsi="Times New Roman"/>
          <w:sz w:val="20"/>
          <w:szCs w:val="20"/>
          <w:b w:val="1"/>
          <w:bCs w:val="1"/>
          <w:color w:val="auto"/>
        </w:rPr>
        <w:t>Indemnitee</w:t>
      </w:r>
      <w:r>
        <w:rPr>
          <w:rFonts w:ascii="Times New Roman" w:cs="Times New Roman" w:eastAsia="Times New Roman" w:hAnsi="Times New Roman"/>
          <w:sz w:val="20"/>
          <w:szCs w:val="20"/>
          <w:color w:val="auto"/>
        </w:rPr>
        <w:t>”) against, and hold each Indemnitee harmless from, any and all losses, claims, damages, liabilities and related expenses (but limited, in the case of legal fees and expenses, to the actual reasonable and documented out-of-pocket fees, disbursements and other charges of one counsel to all Indemnitees taken as a whole and, solely in the case of an actual or reasonably perceived conflict of interest, one additional counsel to all affected Indemnitees, taken as a whole, and, if reasonably necessary, one local counsel in any relevant jurisdiction to all Indemnitees, taken as a whole and, solely in the case of an actual or reasonably perceived conflict of interest, one additional local counsel to all affected Indemnitees, taken as a whole), incurred by or asserted against any Indemnitee arising out of, in connection with, or as a result of any action, claim, litigation, investigation or proceeding (including any inquiry or investigation of the foregoing) (any of the foregoing,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xml:space="preserve">”) relating to (i) the execution or delivery of the Loan Documents or any agreement or instrument contemplated thereby, the performance by the parties hereto of their respective obligations thereunder or the consummation of any transactions contemplated hereby or thereby (except for any Taxes (which shall be governed by </w:t>
      </w:r>
      <w:r>
        <w:rPr>
          <w:rFonts w:ascii="Times New Roman" w:cs="Times New Roman" w:eastAsia="Times New Roman" w:hAnsi="Times New Roman"/>
          <w:sz w:val="20"/>
          <w:szCs w:val="20"/>
          <w:u w:val="single" w:color="auto"/>
          <w:color w:val="auto"/>
        </w:rPr>
        <w:t>Section 2.14</w:t>
      </w:r>
      <w:r>
        <w:rPr>
          <w:rFonts w:ascii="Times New Roman" w:cs="Times New Roman" w:eastAsia="Times New Roman" w:hAnsi="Times New Roman"/>
          <w:sz w:val="20"/>
          <w:szCs w:val="20"/>
          <w:color w:val="auto"/>
        </w:rPr>
        <w:t xml:space="preserve">), other than any Taxes that represent losses, claims or damages arising from any non-Tax claim) or (ii) any actual or alleged presence or Release or threat of Release of Hazardous Materials on, at, to or from any property currently or formerly owned or operated by any Loan Party or any Subsidiary, or any Environmental Liability;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(x) the gross negligence, bad faith or willful misconduct of such Indemnitee or any Affiliate or Related Party of such Indemnitee or (y) a material breach of the obligations of such Indemnitee any Affiliate or Related Party under the terms of this Agreement or any other Loan Document by such Indemnitee or any of its Affiliates or Related Parties as determined in a final and non-appealable decision of a court of competent jurisdiction. Each Indemnitee shall be obligated to refund or return any and all amounts paid by the Borrower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8.03(b)</w:t>
      </w:r>
      <w:r>
        <w:rPr>
          <w:rFonts w:ascii="Times New Roman" w:cs="Times New Roman" w:eastAsia="Times New Roman" w:hAnsi="Times New Roman"/>
          <w:sz w:val="20"/>
          <w:szCs w:val="20"/>
          <w:color w:val="auto"/>
        </w:rPr>
        <w:t xml:space="preserve"> to such Indemnitee for any fees, expenses, or damages to the extent such Indemnitee is not entitled to payment of such amounts in accordance with the terms hereof. All amounts due under this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shall be payable by the Borrower within 30 days (x) after written demand thereof, in the case of any indemnification obligations and (y) in the case of reimbursement of costs and expenses, after receipt of an invoice relating thereto, setting forth such expenses in reasonable detail and together with reasonable backup documentation supporting such reimbursement requests.</w:t>
      </w:r>
    </w:p>
    <w:p>
      <w:pPr>
        <w:spacing w:after="0" w:line="191"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8.4. </w:t>
      </w:r>
      <w:r>
        <w:rPr>
          <w:rFonts w:ascii="Times New Roman" w:cs="Times New Roman" w:eastAsia="Times New Roman" w:hAnsi="Times New Roman"/>
          <w:sz w:val="20"/>
          <w:szCs w:val="20"/>
          <w:u w:val="single" w:color="auto"/>
          <w:color w:val="auto"/>
        </w:rPr>
        <w:t>Waiver of Claim</w:t>
      </w:r>
      <w:r>
        <w:rPr>
          <w:rFonts w:ascii="Times New Roman" w:cs="Times New Roman" w:eastAsia="Times New Roman" w:hAnsi="Times New Roman"/>
          <w:sz w:val="20"/>
          <w:szCs w:val="20"/>
          <w:color w:val="auto"/>
        </w:rPr>
        <w:t xml:space="preserve">. Notwithstanding anything to the contrary set forth herein, to the extent permitted by applicable law, no party to this Agreement shall assert, and each hereby waives, any claim against any other party hereto or any Related Party thereof, on any theory of liability, for special, indirect, consequential or punitive damages (as opposed to direct or actual damages) arising out of, in connection with, or as a result of, this Agreement or any agreement or instrument contemplated hereby, the Loan or the use of the proceeds thereof, except, in the case of a claim by any Indemnitee against the Borrower or any other Loan Party, to the extent such damages would otherwise be subject to indemnification pursuant to the terms of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w:t>
      </w:r>
    </w:p>
    <w:p>
      <w:pPr>
        <w:sectPr>
          <w:pgSz w:w="11900" w:h="16838" w:orient="portrait"/>
          <w:cols w:equalWidth="0" w:num="1">
            <w:col w:w="11040"/>
          </w:cols>
          <w:pgMar w:left="520" w:top="1413" w:right="339" w:bottom="1440" w:gutter="0" w:footer="0" w:header="0"/>
        </w:sectPr>
      </w:pPr>
    </w:p>
    <w:bookmarkStart w:id="134" w:name="page135"/>
    <w:bookmarkEnd w:id="134"/>
    <w:p>
      <w:pPr>
        <w:jc w:val="both"/>
        <w:ind w:left="200" w:firstLine="583"/>
        <w:spacing w:after="0" w:line="249" w:lineRule="auto"/>
        <w:rPr>
          <w:sz w:val="20"/>
          <w:szCs w:val="20"/>
          <w:color w:val="auto"/>
        </w:rPr>
      </w:pPr>
      <w:r>
        <w:rPr>
          <w:rFonts w:ascii="Times New Roman" w:cs="Times New Roman" w:eastAsia="Times New Roman" w:hAnsi="Times New Roman"/>
          <w:sz w:val="20"/>
          <w:szCs w:val="20"/>
          <w:color w:val="auto"/>
        </w:rPr>
        <w:t xml:space="preserve">SECTION 8.5. </w:t>
      </w: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w:t>
      </w:r>
      <w:r>
        <w:rPr>
          <w:rFonts w:ascii="Times New Roman" w:cs="Times New Roman" w:eastAsia="Times New Roman" w:hAnsi="Times New Roman"/>
          <w:sz w:val="20"/>
          <w:szCs w:val="20"/>
          <w:u w:val="single" w:color="auto"/>
          <w:color w:val="auto"/>
        </w:rPr>
        <w:t>except</w:t>
      </w:r>
      <w:r>
        <w:rPr>
          <w:rFonts w:ascii="Times New Roman" w:cs="Times New Roman" w:eastAsia="Times New Roman" w:hAnsi="Times New Roman"/>
          <w:sz w:val="20"/>
          <w:szCs w:val="20"/>
          <w:color w:val="auto"/>
        </w:rPr>
        <w:t xml:space="preserve"> that (a) none of the Borrower, Holdings or any other Loan Party may assign or otherwise transfer any of its rights or obligations hereunder without the prior written consent of the Lender, which consent may be given or withheld in the Lender’s sole discretion (and any attempted assignment or transfer by the Borrower or Holdings without such consent shall be null and void) and (b) the Lender may not assign or otherwise transfer any of its rights or obligations hereunder (including by way of a participation) without the prior written consent of the Borrower, which consent may be given or withheld in the Borrower’s sole discretion (and any attempted assignment or transfer by the Lender without such consent shall be null and void);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notwithstanding the foregoing, upon the occurrence and during the continuance of a Specified Event of Default, the Lender may assign or transfer its rights or obligations hereunder without the consent of the Borrower to any Person (for the avoidance of doubt, any assignee or transferee shall be subject to the restrictions on assignment and transfer set forth in this </w:t>
      </w:r>
      <w:r>
        <w:rPr>
          <w:rFonts w:ascii="Times New Roman" w:cs="Times New Roman" w:eastAsia="Times New Roman" w:hAnsi="Times New Roman"/>
          <w:sz w:val="20"/>
          <w:szCs w:val="20"/>
          <w:u w:val="single" w:color="auto"/>
          <w:color w:val="auto"/>
        </w:rPr>
        <w:t>Section 8.05</w:t>
      </w:r>
      <w:r>
        <w:rPr>
          <w:rFonts w:ascii="Times New Roman" w:cs="Times New Roman" w:eastAsia="Times New Roman" w:hAnsi="Times New Roman"/>
          <w:sz w:val="20"/>
          <w:szCs w:val="20"/>
          <w:color w:val="auto"/>
        </w:rPr>
        <w:t xml:space="preserve"> that are applicable to the Lender in all respects, and the assigning or transferring Lender shall provide Borrower with written notice of such assignment or transfer). Nothing in this Agreement, expressed or implied, shall be construed to confer upon any Person (other than the parties hereto, their respective successors, assigns and participants permitted hereby), any legal or equitable right, remedy or claim under or by reason of this Agreement. The Borrower shall maintain a register for the recordation of the names and addresses of the Lenders (and any participants), and the Commitments of, and principal amounts (and stated interest) of the Loans owing to, each Lender pursuant to the terms hereof from time to time, as well as the interest of any participants in such amounts (the “</w:t>
      </w:r>
      <w:r>
        <w:rPr>
          <w:rFonts w:ascii="Times New Roman" w:cs="Times New Roman" w:eastAsia="Times New Roman" w:hAnsi="Times New Roman"/>
          <w:sz w:val="20"/>
          <w:szCs w:val="20"/>
          <w:b w:val="1"/>
          <w:b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and the Lenders shall treat each Person whose name is recorded in the Register pursuant to the terms hereof as a Lender (or, as applicable, participant) hereunder for all purposes of this Agreement. The Register shall be available for inspection by the Lender, at any reasonable time and from time to time upon reasonable prior notice.</w:t>
      </w:r>
    </w:p>
    <w:p>
      <w:pPr>
        <w:spacing w:after="0" w:line="196" w:lineRule="exact"/>
        <w:rPr>
          <w:sz w:val="20"/>
          <w:szCs w:val="20"/>
          <w:color w:val="auto"/>
        </w:rPr>
      </w:pPr>
    </w:p>
    <w:p>
      <w:pPr>
        <w:jc w:val="both"/>
        <w:ind w:left="200" w:firstLine="583"/>
        <w:spacing w:after="0" w:line="252" w:lineRule="auto"/>
        <w:rPr>
          <w:sz w:val="20"/>
          <w:szCs w:val="20"/>
          <w:color w:val="auto"/>
        </w:rPr>
      </w:pPr>
      <w:r>
        <w:rPr>
          <w:rFonts w:ascii="Times New Roman" w:cs="Times New Roman" w:eastAsia="Times New Roman" w:hAnsi="Times New Roman"/>
          <w:sz w:val="20"/>
          <w:szCs w:val="20"/>
          <w:color w:val="auto"/>
        </w:rPr>
        <w:t xml:space="preserve">SECTION 8.6. </w:t>
      </w: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the Loan, regardless of any investigation made by any such other party or on its behalf and notwithstanding that the Lender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 w:cs="Times New Roman" w:eastAsia="Times New Roman" w:hAnsi="Times New Roman"/>
          <w:sz w:val="20"/>
          <w:szCs w:val="20"/>
          <w:u w:val="single" w:color="auto"/>
          <w:color w:val="auto"/>
        </w:rPr>
        <w:t>Sections 2.14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8.03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8.13</w:t>
      </w:r>
      <w:r>
        <w:rPr>
          <w:rFonts w:ascii="Times New Roman" w:cs="Times New Roman" w:eastAsia="Times New Roman" w:hAnsi="Times New Roman"/>
          <w:sz w:val="20"/>
          <w:szCs w:val="20"/>
          <w:color w:val="auto"/>
        </w:rPr>
        <w:t xml:space="preserve"> shall survive and remain in full force and effect regardless of the consummation of the transactions contemplated hereby, the repayment of the Loan, the occurrence of the Termination Date or the termination of this Agreement or any provision hereof but in each case, subject to the limitations set forth in this Agreement.</w:t>
      </w:r>
    </w:p>
    <w:p>
      <w:pPr>
        <w:spacing w:after="0" w:line="176"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8.7. </w:t>
      </w:r>
      <w:r>
        <w:rPr>
          <w:rFonts w:ascii="Times New Roman" w:cs="Times New Roman" w:eastAsia="Times New Roman" w:hAnsi="Times New Roman"/>
          <w:sz w:val="20"/>
          <w:szCs w:val="20"/>
          <w:u w:val="single" w:color="auto"/>
          <w:color w:val="auto"/>
        </w:rPr>
        <w:t>Counterparts; Integration; Effectiveness</w:t>
      </w:r>
      <w:r>
        <w:rPr>
          <w:rFonts w:ascii="Times New Roman" w:cs="Times New Roman" w:eastAsia="Times New Roman" w:hAnsi="Times New Roman"/>
          <w:sz w:val="20"/>
          <w:szCs w:val="20"/>
          <w:color w:val="auto"/>
        </w:rPr>
        <w:t>. This Agreement may be manually or electronically executed in counterparts (and by different parties hereto on different counterparts (including by facsimile or electronic transmission (including .pdf file, .jpeg file, Adobe Sign, or DocuSign))), each of which shall constitute an original, but all of which when taken together shall constitute a single contract. This Agreement, the other Loan Documents and any separate letter agreements with respect to fees payable to the Lender constitute the entire agreement among the parties relating to the subject matter hereof and supersede any and all previous agreements and understandings, oral or written, relating to the subject matter hereof. This Agreement shall become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ectPr>
          <w:pgSz w:w="11900" w:h="16838" w:orient="portrait"/>
          <w:cols w:equalWidth="0" w:num="1">
            <w:col w:w="11040"/>
          </w:cols>
          <w:pgMar w:left="520" w:top="1413" w:right="339" w:bottom="1440" w:gutter="0" w:footer="0" w:header="0"/>
        </w:sectPr>
      </w:pPr>
    </w:p>
    <w:bookmarkStart w:id="135" w:name="page136"/>
    <w:bookmarkEnd w:id="135"/>
    <w:p>
      <w:pPr>
        <w:jc w:val="both"/>
        <w:ind w:left="200"/>
        <w:spacing w:after="0" w:line="253" w:lineRule="auto"/>
        <w:rPr>
          <w:sz w:val="20"/>
          <w:szCs w:val="20"/>
          <w:color w:val="auto"/>
        </w:rPr>
      </w:pPr>
      <w:r>
        <w:rPr>
          <w:rFonts w:ascii="Times New Roman" w:cs="Times New Roman" w:eastAsia="Times New Roman" w:hAnsi="Times New Roman"/>
          <w:sz w:val="20"/>
          <w:szCs w:val="20"/>
          <w:color w:val="auto"/>
        </w:rPr>
        <w:t>effective when it shall have been executed by Holdings, the Borrower, the other Subsidiaries of Holdings party hereto and the Lender and when the Lender shall have received counterparts hereof which, when taken together, bear the signatures of each of the other parties hereto, and thereafter shall be binding upon and inure to the benefit of the parties hereto and their respective successors and permitted assigns. Delivery of an executed counterpart of a signature page of this Agreement by facsimile or by email as a “.pdf” or “.tif” attachment shall be effective as delivery of a manually executed counterpart of this Agreement.</w:t>
      </w:r>
    </w:p>
    <w:p>
      <w:pPr>
        <w:spacing w:after="0" w:line="192" w:lineRule="exact"/>
        <w:rPr>
          <w:sz w:val="20"/>
          <w:szCs w:val="20"/>
          <w:color w:val="auto"/>
        </w:rPr>
      </w:pPr>
    </w:p>
    <w:p>
      <w:pPr>
        <w:jc w:val="both"/>
        <w:ind w:left="200" w:firstLine="583"/>
        <w:spacing w:after="0" w:line="258" w:lineRule="auto"/>
        <w:rPr>
          <w:sz w:val="20"/>
          <w:szCs w:val="20"/>
          <w:color w:val="auto"/>
        </w:rPr>
      </w:pPr>
      <w:r>
        <w:rPr>
          <w:rFonts w:ascii="Times New Roman" w:cs="Times New Roman" w:eastAsia="Times New Roman" w:hAnsi="Times New Roman"/>
          <w:sz w:val="20"/>
          <w:szCs w:val="20"/>
          <w:color w:val="auto"/>
        </w:rPr>
        <w:t xml:space="preserve">SECTION 8.8. </w:t>
      </w: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To the extent permitted by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72"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8.9.</w:t>
      </w:r>
      <w:r>
        <w:rPr>
          <w:sz w:val="20"/>
          <w:szCs w:val="20"/>
          <w:color w:val="auto"/>
        </w:rPr>
        <w:tab/>
      </w:r>
      <w:r>
        <w:rPr>
          <w:rFonts w:ascii="Times New Roman" w:cs="Times New Roman" w:eastAsia="Times New Roman" w:hAnsi="Times New Roman"/>
          <w:sz w:val="19"/>
          <w:szCs w:val="19"/>
          <w:u w:val="single" w:color="auto"/>
          <w:color w:val="auto"/>
        </w:rPr>
        <w:t>Right of Setoff; Obligations Absolute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300" w:firstLine="816"/>
        <w:spacing w:after="0" w:line="252" w:lineRule="auto"/>
        <w:tabs>
          <w:tab w:leader="none" w:pos="1741"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an Event of Default shall have occurred and be continuing, each of the Lender and its Affiliates is hereby authorized at any time and from time to time, to the fullest extent permitted by law, to set off and apply any and all deposits (general or special, time or demand, provisional or final) at any time held and other obligations at any time owing by the Lender or any Affiliate thereof to or for the credit or the account of the Borrower or any Loan Guarantor against any of and all the Obligations then due and owing held by the Lender or such Affiliate, irrespective of whether or not the Lender or such Affiliate shall have made any demand under the Loan Documents. The Lender or any applicable Affiliate shall promptly notify the Borrower of such set-off or application;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failure to give or any delay in giving such notice shall not affect the validity of any such set-off or application under this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The rights of the Lender and each Affiliate under this </w:t>
      </w:r>
      <w:r>
        <w:rPr>
          <w:rFonts w:ascii="Times New Roman" w:cs="Times New Roman" w:eastAsia="Times New Roman" w:hAnsi="Times New Roman"/>
          <w:sz w:val="20"/>
          <w:szCs w:val="20"/>
          <w:u w:val="single" w:color="auto"/>
          <w:color w:val="auto"/>
        </w:rPr>
        <w:t>Section 8.09</w:t>
      </w:r>
      <w:r>
        <w:rPr>
          <w:rFonts w:ascii="Times New Roman" w:cs="Times New Roman" w:eastAsia="Times New Roman" w:hAnsi="Times New Roman"/>
          <w:sz w:val="20"/>
          <w:szCs w:val="20"/>
          <w:color w:val="auto"/>
        </w:rPr>
        <w:t xml:space="preserve"> are in addition to other rights and remedies (including other rights of setoff) which the Lender or such Affiliate may have.</w:t>
      </w:r>
    </w:p>
    <w:p>
      <w:pPr>
        <w:spacing w:after="0" w:line="175" w:lineRule="exact"/>
        <w:rPr>
          <w:rFonts w:ascii="Times New Roman" w:cs="Times New Roman" w:eastAsia="Times New Roman" w:hAnsi="Times New Roman"/>
          <w:sz w:val="20"/>
          <w:szCs w:val="20"/>
          <w:color w:val="auto"/>
        </w:rPr>
      </w:pPr>
    </w:p>
    <w:p>
      <w:pPr>
        <w:jc w:val="both"/>
        <w:ind w:left="300" w:firstLine="816"/>
        <w:spacing w:after="0" w:line="258" w:lineRule="auto"/>
        <w:tabs>
          <w:tab w:leader="none" w:pos="1738"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Loan Party acknowledges and agrees that its obligations under this Agreement and the other Loan Documents are irrevocable and absolute and will not be subject to netting, set-off or reduction against, or be otherwise affected by, any action or alleged claim by any Loan Party or any of its Affiliates pursuant to, or any actual or alleged breach by the Lender or any of its Affiliates of, or any actual or alleged invalidity or other defect of, any of any other agreement or arrangement.</w:t>
      </w:r>
    </w:p>
    <w:p>
      <w:pPr>
        <w:spacing w:after="0" w:line="186"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8.10.</w:t>
      </w:r>
      <w:r>
        <w:rPr>
          <w:sz w:val="20"/>
          <w:szCs w:val="20"/>
          <w:color w:val="auto"/>
        </w:rPr>
        <w:tab/>
      </w:r>
      <w:r>
        <w:rPr>
          <w:rFonts w:ascii="Times New Roman" w:cs="Times New Roman" w:eastAsia="Times New Roman" w:hAnsi="Times New Roman"/>
          <w:sz w:val="19"/>
          <w:szCs w:val="19"/>
          <w:u w:val="single" w:color="auto"/>
          <w:color w:val="auto"/>
        </w:rPr>
        <w:t>Governing Law; Jurisdiction; Consent to Service of Process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firstLine="816"/>
        <w:spacing w:after="0" w:line="253" w:lineRule="auto"/>
        <w:tabs>
          <w:tab w:leader="none" w:pos="1741"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(OTHER THAN AS EXPRESSLY SET FORTH IN OTHER LOAN DOCUMENTS) AND ANY CLAIM, CONTROVERSY OR DISPUTE ARISING UNDER OR RELATED TO THIS AGREEMENT AND THE OTHER LOAN DOCUMENTS (OTHER THAN AS EXPRESSLY SET FORTH IN THE OTHER LOAN DOCUMENTS), WHETHER IN TORT, CONTRACT (AT LAW OR IN EQUITY) OR OTHERWISE, SHALL BE GOVERNED BY, AND CONSTRUED AND INTERPRETED IN ACCORDANCE WITH, THE LAWS OF THE STATE OF NEW YORK.</w:t>
      </w:r>
    </w:p>
    <w:p>
      <w:pPr>
        <w:spacing w:after="0" w:line="192" w:lineRule="exact"/>
        <w:rPr>
          <w:rFonts w:ascii="Times New Roman" w:cs="Times New Roman" w:eastAsia="Times New Roman" w:hAnsi="Times New Roman"/>
          <w:sz w:val="20"/>
          <w:szCs w:val="20"/>
          <w:color w:val="auto"/>
        </w:rPr>
      </w:pPr>
    </w:p>
    <w:p>
      <w:pPr>
        <w:ind w:left="300" w:firstLine="816"/>
        <w:spacing w:after="0" w:line="269" w:lineRule="auto"/>
        <w:tabs>
          <w:tab w:leader="none" w:pos="173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PARTY HERETO HEREBY IRREVOCABLY AND UNCONDITIONALLY SUBMITS, FOR ITSELF AND ITS PROPERTY, TO THE EXCLUSIVE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w:t>
      </w:r>
    </w:p>
    <w:p>
      <w:pPr>
        <w:sectPr>
          <w:pgSz w:w="11900" w:h="16838" w:orient="portrait"/>
          <w:cols w:equalWidth="0" w:num="1">
            <w:col w:w="11040"/>
          </w:cols>
          <w:pgMar w:left="520" w:top="1413" w:right="339" w:bottom="1440" w:gutter="0" w:footer="0" w:header="0"/>
        </w:sectPr>
      </w:pPr>
    </w:p>
    <w:bookmarkStart w:id="136" w:name="page137"/>
    <w:bookmarkEnd w:id="136"/>
    <w:p>
      <w:pPr>
        <w:jc w:val="both"/>
        <w:ind w:left="300"/>
        <w:spacing w:after="0" w:line="250" w:lineRule="auto"/>
        <w:rPr>
          <w:sz w:val="20"/>
          <w:szCs w:val="20"/>
          <w:color w:val="auto"/>
        </w:rPr>
      </w:pPr>
      <w:r>
        <w:rPr>
          <w:rFonts w:ascii="Times New Roman" w:cs="Times New Roman" w:eastAsia="Times New Roman" w:hAnsi="Times New Roman"/>
          <w:sz w:val="20"/>
          <w:szCs w:val="20"/>
          <w:color w:val="auto"/>
        </w:rPr>
        <w:t>JURISDICTION OF ANY U.S. FEDERAL OR NEW YORK STATE COURT SITTING IN THE BOROUGH OF MANHATTAN, IN THE CITY OF NEW YORK (OR ANY APPELLATE COURT THEREFROM) OVER ANY SUIT, IN ANY ACTION OR PROCEEDING ARISING OUT OF OR RELATING TO ANY LOAN DOCUMENTS AND AGREES THAT ALL CLAIMS IN RESPECT OF ANY SUCH ACTION OR PROCEEDING SHALL (EXCEPT AS PERMITTED BELOW) BE HEARD AND DETERMINED IN SUCH NEW YORK STATE OR, TO THE EXTENT PERMITTED BY LAW, FEDERAL COURT. THE PARTIES HERETO AGREE THAT SERVICE OF ANY PROCESS, SUMMONS, NOTICE OR DOCUMENT BY REGISTERED MAIL ADDRESSED TO SUCH PERSON SHALL BE EFFECTIVE SERVICE OF PROCESS AGAINST SUCH PERSON FOR ANY SUIT, ACTION OR PROCEEDING BROUGHT IN ANY SUCH COURT. EACH OF THE PARTIES HERETO AGREES THAT A FINAL JUDGMENT IN ANY SUCH ACTION OR PROCEEDING MAY BE ENFORCED IN OTHER JURISDICTIONS BY SUIT ON THE JUDGMENT OR IN ANY OTHER MANNER PROVIDED BY LAW. EACH PARTY HERETO AGREES THAT THE LENDER RETAINS THE RIGHT TO BRING PROCEEDINGS AGAINST ANY LOAN PARTY IN THE COURTS OF ANY OTHER JURISDICTION SOLELY IN CONNECTION WITH THE EXERCISE OF ANY RIGHTS UNDER ANY COLLATERAL DOCUMENT.</w:t>
      </w:r>
    </w:p>
    <w:p>
      <w:pPr>
        <w:spacing w:after="0" w:line="193" w:lineRule="exact"/>
        <w:rPr>
          <w:sz w:val="20"/>
          <w:szCs w:val="20"/>
          <w:color w:val="auto"/>
        </w:rPr>
      </w:pPr>
    </w:p>
    <w:p>
      <w:pPr>
        <w:jc w:val="both"/>
        <w:ind w:left="300" w:firstLine="816"/>
        <w:spacing w:after="0" w:line="251" w:lineRule="auto"/>
        <w:tabs>
          <w:tab w:leader="none" w:pos="1741"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20"/>
          <w:szCs w:val="20"/>
          <w:u w:val="single" w:color="auto"/>
          <w:color w:val="auto"/>
        </w:rPr>
        <w:t>CLAUSE (b)</w:t>
      </w:r>
      <w:r>
        <w:rPr>
          <w:rFonts w:ascii="Times New Roman" w:cs="Times New Roman" w:eastAsia="Times New Roman" w:hAnsi="Times New Roman"/>
          <w:sz w:val="20"/>
          <w:szCs w:val="20"/>
          <w:color w:val="auto"/>
        </w:rPr>
        <w:t xml:space="preserve"> OF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8.10</w:t>
      </w:r>
      <w:r>
        <w:rPr>
          <w:rFonts w:ascii="Times New Roman" w:cs="Times New Roman" w:eastAsia="Times New Roman" w:hAnsi="Times New Roman"/>
          <w:sz w:val="20"/>
          <w:szCs w:val="20"/>
          <w:color w:val="auto"/>
        </w:rPr>
        <w:t>. EACH OF THE PARTIES HERETO HEREBY IRREVOCABLY WAIVES, TO THE FULLEST EXTENT PERMITTED BY LAW, ANY CLAIM OR DEFENSE OF AN INCONVENIENT FORUM TO THE MAINTENANCE OF SUCH ACTION, SUIT OR PROCEEDING IN ANY SUCH COURT.</w:t>
      </w:r>
    </w:p>
    <w:p>
      <w:pPr>
        <w:spacing w:after="0" w:line="192" w:lineRule="exact"/>
        <w:rPr>
          <w:rFonts w:ascii="Times New Roman" w:cs="Times New Roman" w:eastAsia="Times New Roman" w:hAnsi="Times New Roman"/>
          <w:sz w:val="20"/>
          <w:szCs w:val="20"/>
          <w:color w:val="auto"/>
        </w:rPr>
      </w:pPr>
    </w:p>
    <w:p>
      <w:pPr>
        <w:jc w:val="both"/>
        <w:ind w:left="300" w:firstLine="816"/>
        <w:spacing w:after="0" w:line="252" w:lineRule="auto"/>
        <w:tabs>
          <w:tab w:leader="none" w:pos="173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LAW, EACH PARTY TO THIS AGREEMENT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 w:cs="Times New Roman" w:eastAsia="Times New Roman" w:hAnsi="Times New Roman"/>
          <w:sz w:val="20"/>
          <w:szCs w:val="20"/>
          <w:u w:val="single" w:color="auto"/>
          <w:color w:val="auto"/>
        </w:rPr>
        <w:t>SECTION 8.01</w:t>
      </w:r>
      <w:r>
        <w:rPr>
          <w:rFonts w:ascii="Times New Roman" w:cs="Times New Roman" w:eastAsia="Times New Roman" w:hAnsi="Times New Roman"/>
          <w:sz w:val="20"/>
          <w:szCs w:val="20"/>
          <w:color w:val="auto"/>
        </w:rPr>
        <w:t>. EACH PARTY TO THIS AGREEMENT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LAW.</w:t>
      </w:r>
    </w:p>
    <w:p>
      <w:pPr>
        <w:spacing w:after="0" w:line="176"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8.11. </w:t>
      </w:r>
      <w:r>
        <w:rPr>
          <w:rFonts w:ascii="Times New Roman" w:cs="Times New Roman" w:eastAsia="Times New Roman" w:hAnsi="Times New Roman"/>
          <w:sz w:val="20"/>
          <w:szCs w:val="20"/>
          <w:u w:val="single" w:color="auto"/>
          <w:color w:val="auto"/>
        </w:rPr>
        <w:t>Waiver of Jury Trial</w:t>
      </w:r>
      <w:r>
        <w:rPr>
          <w:rFonts w:ascii="Times New Roman" w:cs="Times New Roman" w:eastAsia="Times New Roman" w:hAnsi="Times New Roman"/>
          <w:sz w:val="20"/>
          <w:szCs w:val="20"/>
          <w:color w:val="auto"/>
        </w:rPr>
        <w:t>. EACH PARTY HERETO HEREBY IRREVOCABLY WAIVES, TO THE FULLEST EXTENT PERMITTED BY APPLICABLE LAW, ANY RIGHT IT MAY HAVE TO A TRIAL BY JURY IN ANY SUIT, ACTION, PROCEEDING OR COUNTERCLAIM (WHETHER BASED ON CONTRACT, TORT OR ANY OTHER THEORY) DIRECTLY OR INDIRECTLY ARISING OUT OF OR RELATING TO THIS AGREEMENT, ANY OTHER LOAN DOCUMENT OR THE TRANSACTIONS CONTEMPLATED HEREBY OR THEREBY. EACH PARTY HERETO (a) CERTIFIES THAT NO REPRESENTATIVE, AGENT OR ATTORNEY OF ANY OTHER PARTY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64</w:t>
      </w:r>
    </w:p>
    <w:p>
      <w:pPr>
        <w:sectPr>
          <w:pgSz w:w="11900" w:h="16838" w:orient="portrait"/>
          <w:cols w:equalWidth="0" w:num="1">
            <w:col w:w="11040"/>
          </w:cols>
          <w:pgMar w:left="520" w:top="1413" w:right="339" w:bottom="1440" w:gutter="0" w:footer="0" w:header="0"/>
        </w:sectPr>
      </w:pPr>
    </w:p>
    <w:bookmarkStart w:id="137" w:name="page138"/>
    <w:bookmarkEnd w:id="137"/>
    <w:p>
      <w:pPr>
        <w:jc w:val="both"/>
        <w:ind w:left="200"/>
        <w:spacing w:after="0" w:line="258" w:lineRule="auto"/>
        <w:rPr>
          <w:sz w:val="20"/>
          <w:szCs w:val="20"/>
          <w:color w:val="auto"/>
        </w:rPr>
      </w:pPr>
      <w:r>
        <w:rPr>
          <w:rFonts w:ascii="Times New Roman" w:cs="Times New Roman" w:eastAsia="Times New Roman" w:hAnsi="Times New Roman"/>
          <w:sz w:val="20"/>
          <w:szCs w:val="20"/>
          <w:color w:val="auto"/>
        </w:rPr>
        <w:t xml:space="preserve">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 w:cs="Times New Roman" w:eastAsia="Times New Roman" w:hAnsi="Times New Roman"/>
          <w:sz w:val="20"/>
          <w:szCs w:val="20"/>
          <w:u w:val="single" w:color="auto"/>
          <w:color w:val="auto"/>
        </w:rPr>
        <w:t>SECTION 8.11</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jc w:val="both"/>
        <w:ind w:left="200" w:firstLine="583"/>
        <w:spacing w:after="0" w:line="268" w:lineRule="auto"/>
        <w:rPr>
          <w:sz w:val="20"/>
          <w:szCs w:val="20"/>
          <w:color w:val="auto"/>
        </w:rPr>
      </w:pPr>
      <w:r>
        <w:rPr>
          <w:rFonts w:ascii="Times New Roman" w:cs="Times New Roman" w:eastAsia="Times New Roman" w:hAnsi="Times New Roman"/>
          <w:sz w:val="20"/>
          <w:szCs w:val="20"/>
          <w:color w:val="auto"/>
        </w:rPr>
        <w:t xml:space="preserve">SECTION 8.12. </w:t>
      </w:r>
      <w:r>
        <w:rPr>
          <w:rFonts w:ascii="Times New Roman" w:cs="Times New Roman" w:eastAsia="Times New Roman" w:hAnsi="Times New Roman"/>
          <w:sz w:val="20"/>
          <w:szCs w:val="20"/>
          <w:u w:val="single" w:color="auto"/>
          <w:color w:val="auto"/>
        </w:rPr>
        <w:t>Headings</w:t>
      </w:r>
      <w:r>
        <w:rPr>
          <w:rFonts w:ascii="Times New Roman" w:cs="Times New Roman" w:eastAsia="Times New Roman" w:hAnsi="Times New Roman"/>
          <w:sz w:val="20"/>
          <w:szCs w:val="20"/>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1"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8.13.</w:t>
      </w:r>
      <w:r>
        <w:rPr>
          <w:sz w:val="20"/>
          <w:szCs w:val="20"/>
          <w:color w:val="auto"/>
        </w:rPr>
        <w:tab/>
      </w:r>
      <w:r>
        <w:rPr>
          <w:rFonts w:ascii="Times New Roman" w:cs="Times New Roman" w:eastAsia="Times New Roman" w:hAnsi="Times New Roman"/>
          <w:sz w:val="19"/>
          <w:szCs w:val="19"/>
          <w:u w:val="single" w:color="auto"/>
          <w:color w:val="auto"/>
        </w:rPr>
        <w:t>Confidentiality</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jc w:val="both"/>
        <w:ind w:left="300" w:firstLine="816"/>
        <w:spacing w:after="0" w:line="248" w:lineRule="auto"/>
        <w:tabs>
          <w:tab w:leader="none" w:pos="1741"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Lender agrees to maintain the confidentiality of the Confidential Information (as defined below), except that Confidential Information may be disclosed (i) to its and its Affiliates’ directors (or equivalent managers), officers, employees, independent auditors, or other agents, experts and advisors, including accountants, legal counsel, ratings agencies and other advisors (collectively, the “</w:t>
      </w:r>
      <w:r>
        <w:rPr>
          <w:rFonts w:ascii="Times New Roman" w:cs="Times New Roman" w:eastAsia="Times New Roman" w:hAnsi="Times New Roman"/>
          <w:sz w:val="20"/>
          <w:szCs w:val="20"/>
          <w:b w:val="1"/>
          <w:bCs w:val="1"/>
          <w:color w:val="auto"/>
        </w:rPr>
        <w:t>Representatives</w:t>
      </w:r>
      <w:r>
        <w:rPr>
          <w:rFonts w:ascii="Times New Roman" w:cs="Times New Roman" w:eastAsia="Times New Roman" w:hAnsi="Times New Roman"/>
          <w:sz w:val="20"/>
          <w:szCs w:val="20"/>
          <w:color w:val="auto"/>
        </w:rPr>
        <w:t xml:space="preserve">”) on a “need to know” basis solely in connection with the transactions completed hereby and who are informed of the confidential nature of such Confidential Information and are or have been advised of their obligation to keep such Confidential Information of this type confidential;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Lender shall be responsible for its Affiliates’ and their Representatives’ compliance with this paragraph, (ii) upon the demand or request of any regulatory (including any self-regulatory body) or governmental authority purporting to have jurisdiction over such Person or its Affiliates (in which case such Person shall, except with respect to any audit or examination conducted by bank accountants or any regulatory (including any self-regulatory body) or governmental authority exercising examination or regulatory authority, to the extent practicable and permitted by law, inform the Borrower promptly in advance thereof, (iii) to the extent compelled by legal process in, or reasonably necessary to, the defense of such legal, judicial or administrative proceeding, in any legal, judicial or administrative proceeding or otherwise as required by applicable Requirements of Law, rule or regulation (in which case such Person shall (A) except with respect to any audit or examination conducted by bank accountants or any regulatory (including any self-regulatory body) or governmental authority exercising examination or regulatory authority, to the extent practicable and permitted by law, inform the Borrower promptly in advance thereof and (B) use commercially reasonable efforts to ensure that any such information so disclosed is accorded confidential treatment), (iv) in connection with (x) the exercise of any remedy or the enforcement of any right under this Agreement or any other Loan Document in any litigation or arbitration action or proceeding relating thereto, to the extent such disclosure is reasonably necessary in connection with such litigation or arbitration action or proceeding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given notice thereof and a reasonable opportunity to seek a protective court order with respect to such information prior to such disclosure (it being understood that the refusal by a court to grant such a protective order shall not prevent the disclosure of such information thereafter)) and (y) any foreclosure, sale or other disposition of any Collateral in connection with the exercise of remedies under the Collateral Documents, subject to each potential transferee of such Collateral having entered into customary confidentiality undertakings with respect to such Collateral prior to the disclosure thereof to such Person (which confidentiality obligations will cease to apply to any transferee upon the consummation of its acquisition of such Collateral), (v) subject to an acknowledgment and agreement by such recipient that such information is being disseminated on a confidential basis (on substantially the terms set forth in this paragraph or as is otherwise reasonably acceptable to Holdings), to any assignee of or participant in any of its rights or obligations under this Agreement, (vi) with the prior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w:t>
      </w:r>
    </w:p>
    <w:p>
      <w:pPr>
        <w:sectPr>
          <w:pgSz w:w="11900" w:h="16838" w:orient="portrait"/>
          <w:cols w:equalWidth="0" w:num="1">
            <w:col w:w="11040"/>
          </w:cols>
          <w:pgMar w:left="520" w:top="1413" w:right="339" w:bottom="1440" w:gutter="0" w:footer="0" w:header="0"/>
        </w:sectPr>
      </w:pPr>
    </w:p>
    <w:bookmarkStart w:id="138" w:name="page139"/>
    <w:bookmarkEnd w:id="138"/>
    <w:p>
      <w:pPr>
        <w:ind w:left="300"/>
        <w:spacing w:after="0" w:line="258" w:lineRule="auto"/>
        <w:rPr>
          <w:sz w:val="20"/>
          <w:szCs w:val="20"/>
          <w:color w:val="auto"/>
        </w:rPr>
      </w:pPr>
      <w:r>
        <w:rPr>
          <w:rFonts w:ascii="Times New Roman" w:cs="Times New Roman" w:eastAsia="Times New Roman" w:hAnsi="Times New Roman"/>
          <w:sz w:val="20"/>
          <w:szCs w:val="20"/>
          <w:color w:val="auto"/>
        </w:rPr>
        <w:t>consent of the Borrower, (vii) in connection with the Lender’s (or its applicable Affiliate’s) public filings to the extent required by applicable Requirements of Law or determined by the Lender in good faith to be required to comply with Requirements of Law and</w:t>
      </w:r>
    </w:p>
    <w:p>
      <w:pPr>
        <w:jc w:val="both"/>
        <w:ind w:left="300"/>
        <w:spacing w:after="0" w:line="248" w:lineRule="auto"/>
        <w:tabs>
          <w:tab w:leader="none" w:pos="75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such Confidential Information (A) becomes publicly available other than as a result of a breach of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by such Person, its Affiliates or their respective Representatives or (B) becomes available to the Lender on a non-confidential basis other than as a result of a breach of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xml:space="preserve"> from a source other than a Loan Party that is not to such disclosing Person’s knowledge, after reasonable investigation, subject to confidentiality, fiduciary or other legal obligations to Holdings, the Borrower or any of their respective Affiliates. For the purposes of this </w:t>
      </w:r>
      <w:r>
        <w:rPr>
          <w:rFonts w:ascii="Times New Roman" w:cs="Times New Roman" w:eastAsia="Times New Roman" w:hAnsi="Times New Roman"/>
          <w:sz w:val="20"/>
          <w:szCs w:val="20"/>
          <w:u w:val="single" w:color="auto"/>
          <w:color w:val="auto"/>
        </w:rPr>
        <w:t>Section 8.13</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means all information relating to the Loan Parties and/or any of their subsidiaries and their respective businesses (including any information obtained by the Lender or any of its Affiliates or Representatives, based on a review of the books and records relating to Holdings and/or any of its subsidiaries and their respective Affiliates from time to time, including prior to the date hereof).</w:t>
      </w:r>
    </w:p>
    <w:p>
      <w:pPr>
        <w:spacing w:after="0" w:line="196" w:lineRule="exact"/>
        <w:rPr>
          <w:sz w:val="20"/>
          <w:szCs w:val="20"/>
          <w:color w:val="auto"/>
        </w:rPr>
      </w:pPr>
    </w:p>
    <w:p>
      <w:pPr>
        <w:jc w:val="both"/>
        <w:ind w:left="200" w:firstLine="583"/>
        <w:spacing w:after="0" w:line="263" w:lineRule="auto"/>
        <w:rPr>
          <w:sz w:val="20"/>
          <w:szCs w:val="20"/>
          <w:color w:val="auto"/>
        </w:rPr>
      </w:pPr>
      <w:r>
        <w:rPr>
          <w:rFonts w:ascii="Times New Roman" w:cs="Times New Roman" w:eastAsia="Times New Roman" w:hAnsi="Times New Roman"/>
          <w:sz w:val="19"/>
          <w:szCs w:val="19"/>
          <w:color w:val="auto"/>
        </w:rPr>
        <w:t xml:space="preserve">SECTION 8.14. </w:t>
      </w:r>
      <w:r>
        <w:rPr>
          <w:rFonts w:ascii="Times New Roman" w:cs="Times New Roman" w:eastAsia="Times New Roman" w:hAnsi="Times New Roman"/>
          <w:sz w:val="19"/>
          <w:szCs w:val="19"/>
          <w:u w:val="single" w:color="auto"/>
          <w:color w:val="auto"/>
        </w:rPr>
        <w:t>No Fiduciary Duty</w:t>
      </w:r>
      <w:r>
        <w:rPr>
          <w:rFonts w:ascii="Times New Roman" w:cs="Times New Roman" w:eastAsia="Times New Roman" w:hAnsi="Times New Roman"/>
          <w:sz w:val="19"/>
          <w:szCs w:val="19"/>
          <w:color w:val="auto"/>
        </w:rPr>
        <w:t>. The Lender and its Affiliates (collectively, solely for purposes of this paragraph, the “</w:t>
      </w:r>
      <w:r>
        <w:rPr>
          <w:rFonts w:ascii="Times New Roman" w:cs="Times New Roman" w:eastAsia="Times New Roman" w:hAnsi="Times New Roman"/>
          <w:sz w:val="19"/>
          <w:szCs w:val="19"/>
          <w:b w:val="1"/>
          <w:bCs w:val="1"/>
          <w:color w:val="auto"/>
        </w:rPr>
        <w:t>Lenders</w:t>
      </w:r>
      <w:r>
        <w:rPr>
          <w:rFonts w:ascii="Times New Roman" w:cs="Times New Roman" w:eastAsia="Times New Roman" w:hAnsi="Times New Roman"/>
          <w:sz w:val="19"/>
          <w:szCs w:val="19"/>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the Lender, on the one hand, and any Loan Party, its respective stockholders or its respective Affiliates, on the other. The Loan Parties acknowledge and agree that: (i) the transactions contemplated by the Loan Documents (including the exercise of rights and remedies hereunder and thereunder) are arm’s-length commercial transactions between the Lenders, on the one hand, and each Loan Party, on the other, and (ii) in connection therewith and with the process leading thereto, (x) the Lender has not assumed an advisory or fiduciary responsibility in favor of any Loan Party, its respective stockholders or its respective Affiliates with respect to the transactions contemplated hereby (or the exercise of rights or remedies with respect thereto) or the process leading thereto or any other obligation to any Loan Party except the obligations expressly set forth in the Loan Documents and (y) the Lender is acting solely as principal and not as the agent or fiduciary of such Loan Party, its respective management, stockholders, creditors or any other Person. Each Loan Party acknowledges and agrees that such Loan Party has consulted its own legal and financial advisors to the extent it deemed appropriate and that it is responsible for making its own independent judgment with respect to such transactions and the process leading thereto. Each Loan Party agrees that it will not claim that the Lender (solely in its capacity as such) owes a fiduciary or similar duty to such Loan Party in connection with such transaction or the process leading thereto.</w:t>
      </w:r>
    </w:p>
    <w:p>
      <w:pPr>
        <w:spacing w:after="0" w:line="189"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8.15. </w:t>
      </w:r>
      <w:r>
        <w:rPr>
          <w:rFonts w:ascii="Times New Roman" w:cs="Times New Roman" w:eastAsia="Times New Roman" w:hAnsi="Times New Roman"/>
          <w:sz w:val="20"/>
          <w:szCs w:val="20"/>
          <w:u w:val="single" w:color="auto"/>
          <w:color w:val="auto"/>
        </w:rPr>
        <w:t>USA PATRIOT Act</w:t>
      </w:r>
      <w:r>
        <w:rPr>
          <w:rFonts w:ascii="Times New Roman" w:cs="Times New Roman" w:eastAsia="Times New Roman" w:hAnsi="Times New Roman"/>
          <w:sz w:val="20"/>
          <w:szCs w:val="20"/>
          <w:color w:val="auto"/>
        </w:rPr>
        <w:t>. The Lender that is subject to the requirements of the USA PATRIOT Act hereby notifies the Loan Parties that pursuant to the requirements of the USA PATRIOT Act, it is required to obtain, verify and record information that identifies the Borrower and each Loan Guarantor, which information includes the name and address of each Loan Party and other information that will allow such Lender to identify the Loan Parties in accordance with the USA PATRIOT Act. This notice is given in accordance with the requirements of the USA PATRIOT Act and is effective as to the Lender.</w:t>
      </w:r>
    </w:p>
    <w:p>
      <w:pPr>
        <w:spacing w:after="0" w:line="192" w:lineRule="exact"/>
        <w:rPr>
          <w:sz w:val="20"/>
          <w:szCs w:val="20"/>
          <w:color w:val="auto"/>
        </w:rPr>
      </w:pPr>
    </w:p>
    <w:p>
      <w:pPr>
        <w:jc w:val="both"/>
        <w:ind w:left="200" w:firstLine="583"/>
        <w:spacing w:after="0" w:line="269" w:lineRule="auto"/>
        <w:rPr>
          <w:sz w:val="20"/>
          <w:szCs w:val="20"/>
          <w:color w:val="auto"/>
        </w:rPr>
      </w:pPr>
      <w:r>
        <w:rPr>
          <w:rFonts w:ascii="Times New Roman" w:cs="Times New Roman" w:eastAsia="Times New Roman" w:hAnsi="Times New Roman"/>
          <w:sz w:val="20"/>
          <w:szCs w:val="20"/>
          <w:color w:val="auto"/>
        </w:rPr>
        <w:t xml:space="preserve">SECTION 8.16. </w:t>
      </w:r>
      <w:r>
        <w:rPr>
          <w:rFonts w:ascii="Times New Roman" w:cs="Times New Roman" w:eastAsia="Times New Roman" w:hAnsi="Times New Roman"/>
          <w:sz w:val="20"/>
          <w:szCs w:val="20"/>
          <w:u w:val="single" w:color="auto"/>
          <w:color w:val="auto"/>
        </w:rPr>
        <w:t>Conflicts</w:t>
      </w:r>
      <w:r>
        <w:rPr>
          <w:rFonts w:ascii="Times New Roman" w:cs="Times New Roman" w:eastAsia="Times New Roman" w:hAnsi="Times New Roman"/>
          <w:sz w:val="20"/>
          <w:szCs w:val="20"/>
          <w:color w:val="auto"/>
        </w:rPr>
        <w:t>. Notwithstanding anything to the contrary contained herein, in the event of any conflict or inconsistency between this Agreement and any other Loan Document, the terms of this Agreement shall govern and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w:t>
      </w:r>
    </w:p>
    <w:p>
      <w:pPr>
        <w:sectPr>
          <w:pgSz w:w="11900" w:h="16838" w:orient="portrait"/>
          <w:cols w:equalWidth="0" w:num="1">
            <w:col w:w="11040"/>
          </w:cols>
          <w:pgMar w:left="520" w:top="1413" w:right="339" w:bottom="1440" w:gutter="0" w:footer="0" w:header="0"/>
        </w:sectPr>
      </w:pPr>
    </w:p>
    <w:bookmarkStart w:id="139" w:name="page140"/>
    <w:bookmarkEnd w:id="139"/>
    <w:p>
      <w:pPr>
        <w:jc w:val="center"/>
        <w:ind w:right="200"/>
        <w:spacing w:after="0"/>
        <w:tabs>
          <w:tab w:leader="none" w:pos="300" w:val="left"/>
        </w:tabs>
        <w:rPr>
          <w:sz w:val="20"/>
          <w:szCs w:val="20"/>
          <w:color w:val="auto"/>
        </w:rPr>
      </w:pPr>
      <w:r>
        <w:rPr>
          <w:rFonts w:ascii="Times New Roman" w:cs="Times New Roman" w:eastAsia="Times New Roman" w:hAnsi="Times New Roman"/>
          <w:sz w:val="20"/>
          <w:szCs w:val="20"/>
          <w:color w:val="auto"/>
        </w:rPr>
        <w:t>ARTICLE 9</w:t>
      </w:r>
      <w:r>
        <w:rPr>
          <w:sz w:val="20"/>
          <w:szCs w:val="20"/>
          <w:color w:val="auto"/>
        </w:rPr>
        <w:tab/>
      </w:r>
      <w:r>
        <w:rPr>
          <w:rFonts w:ascii="Times New Roman" w:cs="Times New Roman" w:eastAsia="Times New Roman" w:hAnsi="Times New Roman"/>
          <w:sz w:val="19"/>
          <w:szCs w:val="19"/>
          <w:color w:val="auto"/>
        </w:rPr>
        <w:t>LOAN GUARANTY</w:t>
      </w:r>
    </w:p>
    <w:p>
      <w:pPr>
        <w:spacing w:after="0" w:line="229" w:lineRule="exact"/>
        <w:rPr>
          <w:sz w:val="20"/>
          <w:szCs w:val="20"/>
          <w:color w:val="auto"/>
        </w:rPr>
      </w:pPr>
    </w:p>
    <w:p>
      <w:pPr>
        <w:jc w:val="both"/>
        <w:ind w:left="200" w:firstLine="583"/>
        <w:spacing w:after="0" w:line="249" w:lineRule="auto"/>
        <w:rPr>
          <w:sz w:val="20"/>
          <w:szCs w:val="20"/>
          <w:color w:val="auto"/>
        </w:rPr>
      </w:pPr>
      <w:r>
        <w:rPr>
          <w:rFonts w:ascii="Times New Roman" w:cs="Times New Roman" w:eastAsia="Times New Roman" w:hAnsi="Times New Roman"/>
          <w:sz w:val="20"/>
          <w:szCs w:val="20"/>
          <w:color w:val="auto"/>
        </w:rPr>
        <w:t xml:space="preserve">SECTION 9.1. </w:t>
      </w:r>
      <w:r>
        <w:rPr>
          <w:rFonts w:ascii="Times New Roman" w:cs="Times New Roman" w:eastAsia="Times New Roman" w:hAnsi="Times New Roman"/>
          <w:sz w:val="20"/>
          <w:szCs w:val="20"/>
          <w:u w:val="single" w:color="auto"/>
          <w:color w:val="auto"/>
        </w:rPr>
        <w:t>Guaranty</w:t>
      </w:r>
      <w:r>
        <w:rPr>
          <w:rFonts w:ascii="Times New Roman" w:cs="Times New Roman" w:eastAsia="Times New Roman" w:hAnsi="Times New Roman"/>
          <w:sz w:val="20"/>
          <w:szCs w:val="20"/>
          <w:color w:val="auto"/>
        </w:rPr>
        <w:t xml:space="preserve">. Each Loan Guarantor hereby agrees that it is jointly and severally liable for, and, as primary obligor and not merely as surety, and absolutely and unconditionally and irrevocably guarantees to the Lender the full and prompt payment upon the failure of the Borrower to do so, when and as the same shall become due, whether at stated maturity, upon acceleration or otherwise, and at all times thereafter, of the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it is understood and agreed that each Loan Guarantor also guarantees the Obligations of each other Loan Guarantor (all of the Obligations set forth in this sentence are collectively referred to as the “</w:t>
      </w:r>
      <w:r>
        <w:rPr>
          <w:rFonts w:ascii="Times New Roman" w:cs="Times New Roman" w:eastAsia="Times New Roman" w:hAnsi="Times New Roman"/>
          <w:sz w:val="20"/>
          <w:szCs w:val="20"/>
          <w:b w:val="1"/>
          <w:bCs w:val="1"/>
          <w:color w:val="auto"/>
        </w:rPr>
        <w:t>Guaranteed Obligations</w:t>
      </w:r>
      <w:r>
        <w:rPr>
          <w:rFonts w:ascii="Times New Roman" w:cs="Times New Roman" w:eastAsia="Times New Roman" w:hAnsi="Times New Roman"/>
          <w:sz w:val="20"/>
          <w:szCs w:val="20"/>
          <w:color w:val="auto"/>
        </w:rPr>
        <w:t xml:space="preserve">”). Each Loan Guarantor further agrees that the Guaranteed Obligations may be extended or renewed in whole or in part without notice to or further assent from it, and that it remains bound upon its guarantee notwithstanding any such extension or renewal. If any or all of the Guaranteed Obligations becomes due and payable hereunder, each Loan Guarantor, unconditionally and irrevocably, promises to pay such Guaranteed Obligations to the Lender, on demand, together with any and all expenses which may be incurred by the Lender in collecting any of the Guaranteed Obligations, to the extent reimbursable in accordance with </w:t>
      </w:r>
      <w:r>
        <w:rPr>
          <w:rFonts w:ascii="Times New Roman" w:cs="Times New Roman" w:eastAsia="Times New Roman" w:hAnsi="Times New Roman"/>
          <w:sz w:val="20"/>
          <w:szCs w:val="20"/>
          <w:u w:val="single" w:color="auto"/>
          <w:color w:val="auto"/>
        </w:rPr>
        <w:t>Section 8.03</w:t>
      </w:r>
      <w:r>
        <w:rPr>
          <w:rFonts w:ascii="Times New Roman" w:cs="Times New Roman" w:eastAsia="Times New Roman" w:hAnsi="Times New Roman"/>
          <w:sz w:val="20"/>
          <w:szCs w:val="20"/>
          <w:color w:val="auto"/>
        </w:rPr>
        <w:t xml:space="preserve">. Each Loan Guarantor unconditionally and irrevocably guarantees the payment of any and all of the Guaranteed Obligations to the Lender whether or not due or payable by the Borrower upon the occurrence of any Event of Default specified in </w:t>
      </w:r>
      <w:r>
        <w:rPr>
          <w:rFonts w:ascii="Times New Roman" w:cs="Times New Roman" w:eastAsia="Times New Roman" w:hAnsi="Times New Roman"/>
          <w:sz w:val="20"/>
          <w:szCs w:val="20"/>
          <w:u w:val="single" w:color="auto"/>
          <w:color w:val="auto"/>
        </w:rPr>
        <w:t>Sections 7.01(f)</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7.01(g)</w:t>
      </w:r>
      <w:r>
        <w:rPr>
          <w:rFonts w:ascii="Times New Roman" w:cs="Times New Roman" w:eastAsia="Times New Roman" w:hAnsi="Times New Roman"/>
          <w:sz w:val="20"/>
          <w:szCs w:val="20"/>
          <w:color w:val="auto"/>
        </w:rPr>
        <w:t>, and in such event, irrevocably and unconditionally promises to pay such indebtedness to the Lender, on demand, in Dollars.</w:t>
      </w:r>
    </w:p>
    <w:p>
      <w:pPr>
        <w:spacing w:after="0" w:line="197"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9.2. </w:t>
      </w:r>
      <w:r>
        <w:rPr>
          <w:rFonts w:ascii="Times New Roman" w:cs="Times New Roman" w:eastAsia="Times New Roman" w:hAnsi="Times New Roman"/>
          <w:sz w:val="20"/>
          <w:szCs w:val="20"/>
          <w:u w:val="single" w:color="auto"/>
          <w:color w:val="auto"/>
        </w:rPr>
        <w:t>Guaranty of Payment</w:t>
      </w:r>
      <w:r>
        <w:rPr>
          <w:rFonts w:ascii="Times New Roman" w:cs="Times New Roman" w:eastAsia="Times New Roman" w:hAnsi="Times New Roman"/>
          <w:sz w:val="20"/>
          <w:szCs w:val="20"/>
          <w:color w:val="auto"/>
        </w:rPr>
        <w:t>. This Loan Guaranty is a guaranty of payment and not of collection. Each Loan Guarantor waives any right to require the Lender to sue the Borrower, any other Loan Guarantor, any other guarantor, or any other Person obligated for all or any part of the Guaranteed Obligations (each, an “</w:t>
      </w:r>
      <w:r>
        <w:rPr>
          <w:rFonts w:ascii="Times New Roman" w:cs="Times New Roman" w:eastAsia="Times New Roman" w:hAnsi="Times New Roman"/>
          <w:sz w:val="20"/>
          <w:szCs w:val="20"/>
          <w:b w:val="1"/>
          <w:bCs w:val="1"/>
          <w:color w:val="auto"/>
        </w:rPr>
        <w:t>Obligated Party</w:t>
      </w:r>
      <w:r>
        <w:rPr>
          <w:rFonts w:ascii="Times New Roman" w:cs="Times New Roman" w:eastAsia="Times New Roman" w:hAnsi="Times New Roman"/>
          <w:sz w:val="20"/>
          <w:szCs w:val="20"/>
          <w:color w:val="auto"/>
        </w:rPr>
        <w:t>”), or otherwise to enforce its rights in respect of any Collateral securing all or any part of the Guaranteed Obligations. The Lender may immediately enforce this Loan Guaranty upon the occurrence and during the continuance of an Event of Default.</w:t>
      </w:r>
    </w:p>
    <w:p>
      <w:pPr>
        <w:spacing w:after="0" w:line="192" w:lineRule="exact"/>
        <w:rPr>
          <w:sz w:val="20"/>
          <w:szCs w:val="20"/>
          <w:color w:val="auto"/>
        </w:rPr>
      </w:pPr>
    </w:p>
    <w:p>
      <w:pPr>
        <w:ind w:left="780"/>
        <w:spacing w:after="0"/>
        <w:tabs>
          <w:tab w:leader="none" w:pos="2320" w:val="left"/>
        </w:tabs>
        <w:rPr>
          <w:sz w:val="20"/>
          <w:szCs w:val="20"/>
          <w:color w:val="auto"/>
        </w:rPr>
      </w:pPr>
      <w:r>
        <w:rPr>
          <w:rFonts w:ascii="Times New Roman" w:cs="Times New Roman" w:eastAsia="Times New Roman" w:hAnsi="Times New Roman"/>
          <w:sz w:val="20"/>
          <w:szCs w:val="20"/>
          <w:color w:val="auto"/>
        </w:rPr>
        <w:t>SECTION 9.3.</w:t>
      </w:r>
      <w:r>
        <w:rPr>
          <w:sz w:val="20"/>
          <w:szCs w:val="20"/>
          <w:color w:val="auto"/>
        </w:rPr>
        <w:tab/>
      </w:r>
      <w:r>
        <w:rPr>
          <w:rFonts w:ascii="Times New Roman" w:cs="Times New Roman" w:eastAsia="Times New Roman" w:hAnsi="Times New Roman"/>
          <w:sz w:val="19"/>
          <w:szCs w:val="19"/>
          <w:u w:val="single" w:color="auto"/>
          <w:color w:val="auto"/>
        </w:rPr>
        <w:t>No Discharge or Diminishment of Loan Guaranty</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left="300" w:firstLine="816"/>
        <w:spacing w:after="0" w:line="251" w:lineRule="auto"/>
        <w:tabs>
          <w:tab w:leader="none" w:pos="1741"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provided for herein, the obligations of each Loan Guarantor hereunder are unconditional, irrevocable and absolute and not subject to any reduction, limitation, impairment or termination for any reason (other than as expressly set forth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including: (i) any claim of waiver, release, extension, renewal, settlement, surrender, alteration, or compromise of any of the Guaranteed Obligations, by operation of law or otherwise; (ii) any change in the corporate existence, structure or ownership of the Borrower or any other guarantor of or other Person liable for any of the Guaranteed Obligations; (iii) any insolvency, bankruptcy, reorganization or other similar proceeding affecting any Obligated Party, or their assets or any resulting release or discharge of any obligation of any Obligated Party; (iv) the existence of any claim, setoff or other rights which any Loan Guarantor may have at any time against any Obligated Party, the Lender or any other Person, whether in connection herewith or in any unrelated transactions; (v) any direction as to application of payments by the Borrower or by any other party; (vi) any other continuing or other guaranty, undertaking or maximum liability of a guarantor or of any other party as to the Guaranteed Obligations; (vii) any payment on or in reduction of any such other guaranty or undertaking; (viii) any dissolution, termination or increase, decrease or change in personnel by the Borrower or (ix) any payment made to the Lender on the Guaranteed Obligations which the Lender repays to the Borrower pursuant to court order in any bankruptcy,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67</w:t>
      </w:r>
    </w:p>
    <w:p>
      <w:pPr>
        <w:sectPr>
          <w:pgSz w:w="11900" w:h="16838" w:orient="portrait"/>
          <w:cols w:equalWidth="0" w:num="1">
            <w:col w:w="11040"/>
          </w:cols>
          <w:pgMar w:left="520" w:top="1413" w:right="339" w:bottom="1440" w:gutter="0" w:footer="0" w:header="0"/>
        </w:sectPr>
      </w:pPr>
    </w:p>
    <w:bookmarkStart w:id="140" w:name="page141"/>
    <w:bookmarkEnd w:id="140"/>
    <w:p>
      <w:pPr>
        <w:ind w:left="300"/>
        <w:spacing w:after="0" w:line="283" w:lineRule="auto"/>
        <w:rPr>
          <w:sz w:val="20"/>
          <w:szCs w:val="20"/>
          <w:color w:val="auto"/>
        </w:rPr>
      </w:pPr>
      <w:r>
        <w:rPr>
          <w:rFonts w:ascii="Times New Roman" w:cs="Times New Roman" w:eastAsia="Times New Roman" w:hAnsi="Times New Roman"/>
          <w:sz w:val="20"/>
          <w:szCs w:val="20"/>
          <w:color w:val="auto"/>
        </w:rPr>
        <w:t>arrangement, moratorium or other debtor relief proceeding, and each Loan Guarantor waives any right to the deferral or modification of its obligations hereunder by reason of any such proceeding.</w:t>
      </w:r>
    </w:p>
    <w:p>
      <w:pPr>
        <w:spacing w:after="0" w:line="146" w:lineRule="exact"/>
        <w:rPr>
          <w:sz w:val="20"/>
          <w:szCs w:val="20"/>
          <w:color w:val="auto"/>
        </w:rPr>
      </w:pPr>
    </w:p>
    <w:p>
      <w:pPr>
        <w:jc w:val="both"/>
        <w:ind w:left="300" w:firstLine="816"/>
        <w:spacing w:after="0" w:line="257" w:lineRule="auto"/>
        <w:tabs>
          <w:tab w:leader="none" w:pos="1738"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for termination of a Loan Guarantor’s obligations hereunder or as expressly permitted by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the obligations of each Loan Guarantor hereunder are not subject to any defense or setoff, counterclaim, recoupment, or termination whatsoever by reason of the invalidity, illegality, or unenforceability of any of the Guaranteed Obligations or otherwise, or any provision of applicable law or regulation purporting to prohibit payment by any Obligated Party, of the Guaranteed Obligations or any part thereof.</w:t>
      </w:r>
    </w:p>
    <w:p>
      <w:pPr>
        <w:spacing w:after="0" w:line="172" w:lineRule="exact"/>
        <w:rPr>
          <w:rFonts w:ascii="Times New Roman" w:cs="Times New Roman" w:eastAsia="Times New Roman" w:hAnsi="Times New Roman"/>
          <w:sz w:val="20"/>
          <w:szCs w:val="20"/>
          <w:color w:val="auto"/>
        </w:rPr>
      </w:pPr>
    </w:p>
    <w:p>
      <w:pPr>
        <w:jc w:val="both"/>
        <w:ind w:left="300" w:firstLine="816"/>
        <w:spacing w:after="0" w:line="252" w:lineRule="auto"/>
        <w:tabs>
          <w:tab w:leader="none" w:pos="1741"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Further, the obligations of any Loan Guarantor hereunder are not discharged or impaired or otherwise affected by: (i) the failure of the Lender to assert any claim or demand or to enforce any remedy with respect to all or any part of the Guaranteed Obligations; (ii) any waiver or modification of or supplement to any provision of any agreement relating to the Guaranteed Obligations; (iii) any release, non-perfection, or invalidity of any indirect or direct security for the obligations of the Borrower for all or any part of the Guaranteed Obligations or any obligations of any other guarantor of or other Person liable for any of the Guaranteed Obligations; (iv) any action or failure to act by the Lender with respect to any Collateral securing any part of the Guaranteed Obligations; or (v) any default, failure or delay, willful or otherwise, in the payment or performance of any of the Guaranteed Obligations, or any other circumstance, act, omission or delay that might in any manner or to any extent vary the risk of such Loan Guarantor or that would otherwise operate as a discharge of any Loan Guarantor as a matter of law or equity (other than as set forth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w:t>
      </w:r>
    </w:p>
    <w:p>
      <w:pPr>
        <w:spacing w:after="0" w:line="177" w:lineRule="exact"/>
        <w:rPr>
          <w:sz w:val="20"/>
          <w:szCs w:val="20"/>
          <w:color w:val="auto"/>
        </w:rPr>
      </w:pPr>
    </w:p>
    <w:p>
      <w:pPr>
        <w:jc w:val="both"/>
        <w:ind w:left="200" w:firstLine="583"/>
        <w:spacing w:after="0" w:line="249" w:lineRule="auto"/>
        <w:rPr>
          <w:sz w:val="20"/>
          <w:szCs w:val="20"/>
          <w:color w:val="auto"/>
        </w:rPr>
      </w:pPr>
      <w:r>
        <w:rPr>
          <w:rFonts w:ascii="Times New Roman" w:cs="Times New Roman" w:eastAsia="Times New Roman" w:hAnsi="Times New Roman"/>
          <w:sz w:val="20"/>
          <w:szCs w:val="20"/>
          <w:color w:val="auto"/>
        </w:rPr>
        <w:t xml:space="preserve">SECTION 9.4. </w:t>
      </w:r>
      <w:r>
        <w:rPr>
          <w:rFonts w:ascii="Times New Roman" w:cs="Times New Roman" w:eastAsia="Times New Roman" w:hAnsi="Times New Roman"/>
          <w:sz w:val="20"/>
          <w:szCs w:val="20"/>
          <w:u w:val="single" w:color="auto"/>
          <w:color w:val="auto"/>
        </w:rPr>
        <w:t>Defenses Waived</w:t>
      </w:r>
      <w:r>
        <w:rPr>
          <w:rFonts w:ascii="Times New Roman" w:cs="Times New Roman" w:eastAsia="Times New Roman" w:hAnsi="Times New Roman"/>
          <w:sz w:val="20"/>
          <w:szCs w:val="20"/>
          <w:color w:val="auto"/>
        </w:rPr>
        <w:t xml:space="preserve">. To the fullest extent permitted by applicable Requirements of Law, and except for termination of a Loan Guarantor’s obligations hereunder or as expressly permitted by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each Loan Guarantor hereby waives any defense based on or arising out of any defense of the Borrower or any other Loan Guarantor or arising out of the disability of the Borrower or any other Loan Guarantor or any other party or the unenforceability of all or any part of the Guaranteed Obligations or any part thereof from any cause, or the cessation from any cause of the liability of the Borrower or any other Loan Guarantor. Without limiting the generality of the foregoing, each Loan Guarantor irrevocably waives, to the extent permitted by applicable Requirements of Law, acceptance hereof, presentment, demand, protest and, to the fullest extent permitted by Requirements of Law, any notice not provided for herein, including notices of nonperformance, notices of protest, notices of dishonor, notices of acceptance of this Loan Guaranty, and notices of the existence, creation or incurring of new or additional Guaranteed Obligations, as well as any requirement that at any time any action be taken by any Person against any Obligated Party, or any other Person, including any right (except as shall be required by applicable statute and cannot be waived) to require the Lender to (i) proceed against the Borrower, any other guarantor or any other party, (ii) proceed against or exhaust any security held from the Borrower, any other Loan Guarantor or any other party or (iii) pursue any other remedy in the Lender’s power whatsoever. The Lender may, at its election, foreclose on any Collateral held by it by one or more judicial or nonjudicial sales, whether or not every aspect of any such sale is commercially reasonable (to the extent permitted by applicable Requirements of Law), accept an assignment of any such Collateral in lieu of foreclosure or otherwise act or fail to act with respect to any Collateral securing all or a part of the Guaranteed Obligations, and the Lender may, at its election, compromise or adjust any part of the Guaranteed Obligations, make any other accommodation with any Obligated Party or exercise any other right or remedy available to it against any Obligated Party, or any security, without affecting or impairing in any way the liability of such Loan Guarantor under this Loan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68</w:t>
      </w:r>
    </w:p>
    <w:p>
      <w:pPr>
        <w:sectPr>
          <w:pgSz w:w="11900" w:h="16838" w:orient="portrait"/>
          <w:cols w:equalWidth="0" w:num="1">
            <w:col w:w="11040"/>
          </w:cols>
          <w:pgMar w:left="520" w:top="1413" w:right="339" w:bottom="1440" w:gutter="0" w:footer="0" w:header="0"/>
        </w:sectPr>
      </w:pPr>
    </w:p>
    <w:bookmarkStart w:id="141" w:name="page142"/>
    <w:bookmarkEnd w:id="141"/>
    <w:p>
      <w:pPr>
        <w:jc w:val="both"/>
        <w:ind w:left="200"/>
        <w:spacing w:after="0" w:line="258" w:lineRule="auto"/>
        <w:rPr>
          <w:sz w:val="20"/>
          <w:szCs w:val="20"/>
          <w:color w:val="auto"/>
        </w:rPr>
      </w:pPr>
      <w:r>
        <w:rPr>
          <w:rFonts w:ascii="Times New Roman" w:cs="Times New Roman" w:eastAsia="Times New Roman" w:hAnsi="Times New Roman"/>
          <w:sz w:val="20"/>
          <w:szCs w:val="20"/>
          <w:color w:val="auto"/>
        </w:rPr>
        <w:t xml:space="preserve">except as otherwise provided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To the fullest extent permitted by applicable Requirements of Law, each Loan Guarantor waives any defense arising out of any such election even though that election may operate, pursuant to applicable Requirements of Law, to impair or extinguish any right of reimbursement or subrogation or other right or remedy of any Loan Guarantor against any Obligated Party or any security.</w:t>
      </w:r>
    </w:p>
    <w:p>
      <w:pPr>
        <w:spacing w:after="0" w:line="172" w:lineRule="exact"/>
        <w:rPr>
          <w:sz w:val="20"/>
          <w:szCs w:val="20"/>
          <w:color w:val="auto"/>
        </w:rPr>
      </w:pPr>
    </w:p>
    <w:p>
      <w:pPr>
        <w:jc w:val="both"/>
        <w:ind w:left="200" w:firstLine="583"/>
        <w:spacing w:after="0" w:line="268" w:lineRule="auto"/>
        <w:rPr>
          <w:sz w:val="20"/>
          <w:szCs w:val="20"/>
          <w:color w:val="auto"/>
        </w:rPr>
      </w:pPr>
      <w:r>
        <w:rPr>
          <w:rFonts w:ascii="Times New Roman" w:cs="Times New Roman" w:eastAsia="Times New Roman" w:hAnsi="Times New Roman"/>
          <w:sz w:val="20"/>
          <w:szCs w:val="20"/>
          <w:color w:val="auto"/>
        </w:rPr>
        <w:t xml:space="preserve">SECTION 9.5. </w:t>
      </w:r>
      <w:r>
        <w:rPr>
          <w:rFonts w:ascii="Times New Roman" w:cs="Times New Roman" w:eastAsia="Times New Roman" w:hAnsi="Times New Roman"/>
          <w:sz w:val="20"/>
          <w:szCs w:val="20"/>
          <w:u w:val="single" w:color="auto"/>
          <w:color w:val="auto"/>
        </w:rPr>
        <w:t>Authorization</w:t>
      </w:r>
      <w:r>
        <w:rPr>
          <w:rFonts w:ascii="Times New Roman" w:cs="Times New Roman" w:eastAsia="Times New Roman" w:hAnsi="Times New Roman"/>
          <w:sz w:val="20"/>
          <w:szCs w:val="20"/>
          <w:color w:val="auto"/>
        </w:rPr>
        <w:t xml:space="preserve">. The Loan Guarantors authorize the Lender without notice or demand (except as shall be required by applicable statute and cannot be waived), and without affecting or impairing its liability hereunder (except as set forth in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from time to time to:</w:t>
      </w:r>
    </w:p>
    <w:p>
      <w:pPr>
        <w:spacing w:after="0" w:line="161" w:lineRule="exact"/>
        <w:rPr>
          <w:sz w:val="20"/>
          <w:szCs w:val="20"/>
          <w:color w:val="auto"/>
        </w:rPr>
      </w:pPr>
    </w:p>
    <w:p>
      <w:pPr>
        <w:jc w:val="both"/>
        <w:ind w:left="300" w:firstLine="816"/>
        <w:spacing w:after="0" w:line="258" w:lineRule="auto"/>
        <w:tabs>
          <w:tab w:leader="none" w:pos="174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the manner, place or terms of payment of, and/or change or extend the time of payment of, renew, increase, accelerate or alter, any of the Guaranteed Obligations (including any increase or decrease in the principal amount thereof or the rate of interest or fees thereon), any security therefor, or any liability incurred directly or indirectly in respect thereof, and this Loan Guaranty shall apply to the Guaranteed Obligations as so changed, extended, renewed or altered;</w:t>
      </w:r>
    </w:p>
    <w:p>
      <w:pPr>
        <w:spacing w:after="0" w:line="185" w:lineRule="exact"/>
        <w:rPr>
          <w:rFonts w:ascii="Times New Roman" w:cs="Times New Roman" w:eastAsia="Times New Roman" w:hAnsi="Times New Roman"/>
          <w:sz w:val="20"/>
          <w:szCs w:val="20"/>
          <w:color w:val="auto"/>
        </w:rPr>
      </w:pPr>
    </w:p>
    <w:p>
      <w:pPr>
        <w:jc w:val="both"/>
        <w:ind w:left="300" w:firstLine="816"/>
        <w:spacing w:after="0" w:line="254" w:lineRule="auto"/>
        <w:tabs>
          <w:tab w:leader="none" w:pos="173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and hold security for the payment of the Guaranteed Obligations and sell, exchange, release, impair, surrender, realize upon or otherwise deal with in any manner and in any order any property by whomsoever at any time pledged or mortgaged to secure, or howsoever securing, the Guaranteed Obligations or any liabilities (including any of those hereunder) incurred directly or indirectly in respect thereof or hereof, and/or any offset there against;</w:t>
      </w:r>
    </w:p>
    <w:p>
      <w:pPr>
        <w:spacing w:after="0" w:line="187" w:lineRule="exact"/>
        <w:rPr>
          <w:rFonts w:ascii="Times New Roman" w:cs="Times New Roman" w:eastAsia="Times New Roman" w:hAnsi="Times New Roman"/>
          <w:sz w:val="20"/>
          <w:szCs w:val="20"/>
          <w:color w:val="auto"/>
        </w:rPr>
      </w:pPr>
    </w:p>
    <w:p>
      <w:pPr>
        <w:ind w:left="300" w:right="20" w:firstLine="816"/>
        <w:spacing w:after="0" w:line="283" w:lineRule="auto"/>
        <w:tabs>
          <w:tab w:leader="none" w:pos="174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or refrain from exercising any rights against any of the Borrower, any other Loan Party or others or otherwise act or refrain from acting;</w:t>
      </w:r>
    </w:p>
    <w:p>
      <w:pPr>
        <w:spacing w:after="0" w:line="146" w:lineRule="exact"/>
        <w:rPr>
          <w:rFonts w:ascii="Times New Roman" w:cs="Times New Roman" w:eastAsia="Times New Roman" w:hAnsi="Times New Roman"/>
          <w:sz w:val="20"/>
          <w:szCs w:val="20"/>
          <w:color w:val="auto"/>
        </w:rPr>
      </w:pPr>
    </w:p>
    <w:p>
      <w:pPr>
        <w:ind w:left="1740" w:hanging="624"/>
        <w:spacing w:after="0"/>
        <w:tabs>
          <w:tab w:leader="none" w:pos="174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 or substitute any one or more endorsers, guarantors, the Borrower, other Loan Parties or other obligors;</w:t>
      </w:r>
    </w:p>
    <w:p>
      <w:pPr>
        <w:spacing w:after="0" w:line="229"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4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settle or compromise any of the Guaranteed Obligations, any security therefor or any liability (including any of those hereunder) incurred directly or indirectly in respect thereof or hereof, and may subordinate the payment of all or any part thereof to the payment of any liability (whether due or not) of the Borrower to their creditors other than the Lender;</w:t>
      </w:r>
    </w:p>
    <w:p>
      <w:pPr>
        <w:spacing w:after="0" w:line="167" w:lineRule="exact"/>
        <w:rPr>
          <w:rFonts w:ascii="Times New Roman" w:cs="Times New Roman" w:eastAsia="Times New Roman" w:hAnsi="Times New Roman"/>
          <w:sz w:val="20"/>
          <w:szCs w:val="20"/>
          <w:color w:val="auto"/>
        </w:rPr>
      </w:pPr>
    </w:p>
    <w:p>
      <w:pPr>
        <w:ind w:left="300" w:firstLine="816"/>
        <w:spacing w:after="0" w:line="283" w:lineRule="auto"/>
        <w:tabs>
          <w:tab w:leader="none" w:pos="1746"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apply any sums by whomsoever paid or howsoever realized to any liability or liabilities of the Borrower to the Lender regardless of what liability or liabilities of the Borrower remains unpaid;</w:t>
      </w:r>
    </w:p>
    <w:p>
      <w:pPr>
        <w:spacing w:after="0" w:line="159" w:lineRule="exact"/>
        <w:rPr>
          <w:rFonts w:ascii="Times New Roman" w:cs="Times New Roman" w:eastAsia="Times New Roman" w:hAnsi="Times New Roman"/>
          <w:sz w:val="20"/>
          <w:szCs w:val="20"/>
          <w:color w:val="auto"/>
        </w:rPr>
      </w:pPr>
    </w:p>
    <w:p>
      <w:pPr>
        <w:jc w:val="both"/>
        <w:ind w:left="300" w:firstLine="816"/>
        <w:spacing w:after="0" w:line="261" w:lineRule="auto"/>
        <w:tabs>
          <w:tab w:leader="none" w:pos="173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 to or waive any breach of, or any act, omission or default under, this Agreement, any other Loan Document or any of the instruments or agreements referred to herein or therein, or otherwise amend, modify or supplement this Agreement, any other Loan Document, or any of such other instruments or agreements; and/or</w:t>
      </w:r>
    </w:p>
    <w:p>
      <w:pPr>
        <w:spacing w:after="0" w:line="167" w:lineRule="exact"/>
        <w:rPr>
          <w:rFonts w:ascii="Times New Roman" w:cs="Times New Roman" w:eastAsia="Times New Roman" w:hAnsi="Times New Roman"/>
          <w:sz w:val="20"/>
          <w:szCs w:val="20"/>
          <w:color w:val="auto"/>
        </w:rPr>
      </w:pPr>
    </w:p>
    <w:p>
      <w:pPr>
        <w:ind w:left="300" w:firstLine="816"/>
        <w:spacing w:after="0" w:line="283" w:lineRule="auto"/>
        <w:tabs>
          <w:tab w:leader="none" w:pos="173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which would, under otherwise applicable principles of common law, give rise to a legal or equitable discharge of the Loan Guarantors from their respective liabilities under this Loan Guaranty.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ectPr>
          <w:pgSz w:w="11900" w:h="16838" w:orient="portrait"/>
          <w:cols w:equalWidth="0" w:num="1">
            <w:col w:w="11040"/>
          </w:cols>
          <w:pgMar w:left="520" w:top="1413" w:right="339" w:bottom="1440" w:gutter="0" w:footer="0" w:header="0"/>
        </w:sectPr>
      </w:pPr>
    </w:p>
    <w:bookmarkStart w:id="142" w:name="page143"/>
    <w:bookmarkEnd w:id="142"/>
    <w:p>
      <w:pPr>
        <w:jc w:val="both"/>
        <w:ind w:left="200" w:firstLine="583"/>
        <w:spacing w:after="0" w:line="261" w:lineRule="auto"/>
        <w:rPr>
          <w:sz w:val="20"/>
          <w:szCs w:val="20"/>
          <w:color w:val="auto"/>
        </w:rPr>
      </w:pPr>
      <w:r>
        <w:rPr>
          <w:rFonts w:ascii="Times New Roman" w:cs="Times New Roman" w:eastAsia="Times New Roman" w:hAnsi="Times New Roman"/>
          <w:sz w:val="20"/>
          <w:szCs w:val="20"/>
          <w:color w:val="auto"/>
        </w:rPr>
        <w:t xml:space="preserve">SECTION 9.6. </w:t>
      </w:r>
      <w:r>
        <w:rPr>
          <w:rFonts w:ascii="Times New Roman" w:cs="Times New Roman" w:eastAsia="Times New Roman" w:hAnsi="Times New Roman"/>
          <w:sz w:val="20"/>
          <w:szCs w:val="20"/>
          <w:u w:val="single" w:color="auto"/>
          <w:color w:val="auto"/>
        </w:rPr>
        <w:t>Rights of Subrogation</w:t>
      </w:r>
      <w:r>
        <w:rPr>
          <w:rFonts w:ascii="Times New Roman" w:cs="Times New Roman" w:eastAsia="Times New Roman" w:hAnsi="Times New Roman"/>
          <w:sz w:val="20"/>
          <w:szCs w:val="20"/>
          <w:color w:val="auto"/>
        </w:rPr>
        <w:t>. No Loan Guarantor will assert any right, claim or cause of action, including a claim of subrogation, contribution or indemnification that it has against any Loan Party in respect of this Loan Guaranty until the occurrence of the Termination Date.</w:t>
      </w:r>
    </w:p>
    <w:p>
      <w:pPr>
        <w:spacing w:after="0" w:line="181" w:lineRule="exact"/>
        <w:rPr>
          <w:sz w:val="20"/>
          <w:szCs w:val="20"/>
          <w:color w:val="auto"/>
        </w:rPr>
      </w:pPr>
    </w:p>
    <w:p>
      <w:pPr>
        <w:jc w:val="both"/>
        <w:ind w:left="200" w:firstLine="583"/>
        <w:spacing w:after="0" w:line="251" w:lineRule="auto"/>
        <w:rPr>
          <w:sz w:val="20"/>
          <w:szCs w:val="20"/>
          <w:color w:val="auto"/>
        </w:rPr>
      </w:pPr>
      <w:r>
        <w:rPr>
          <w:rFonts w:ascii="Times New Roman" w:cs="Times New Roman" w:eastAsia="Times New Roman" w:hAnsi="Times New Roman"/>
          <w:sz w:val="20"/>
          <w:szCs w:val="20"/>
          <w:color w:val="auto"/>
        </w:rPr>
        <w:t xml:space="preserve">SECTION 9.7. </w:t>
      </w:r>
      <w:r>
        <w:rPr>
          <w:rFonts w:ascii="Times New Roman" w:cs="Times New Roman" w:eastAsia="Times New Roman" w:hAnsi="Times New Roman"/>
          <w:sz w:val="20"/>
          <w:szCs w:val="20"/>
          <w:u w:val="single" w:color="auto"/>
          <w:color w:val="auto"/>
        </w:rPr>
        <w:t>Reinstatement; Stay of Acceleration</w:t>
      </w:r>
      <w:r>
        <w:rPr>
          <w:rFonts w:ascii="Times New Roman" w:cs="Times New Roman" w:eastAsia="Times New Roman" w:hAnsi="Times New Roman"/>
          <w:sz w:val="20"/>
          <w:szCs w:val="20"/>
          <w:color w:val="auto"/>
        </w:rPr>
        <w:t>. If at any time any payment of any portion of the Guaranteed Obligations is rescinded or must otherwise be restored or returned upon the insolvency, bankruptcy, or reorganization of the Borrower or otherwise, each Loan Guarantor’s obligations under this Loan Guaranty with respect to that payment shall be reinstated at such time as though the payment had not been made. If acceleration of the time for payment of any of the Guaranteed Obligations is stayed upon the insolvency, bankruptcy or reorganization of the Borrower, all such amounts otherwise subject to acceleration under the terms of any agreement relating to the Guaranteed Obligations shall nonetheless be payable by the other Loan Guarantors forthwith on demand by the Lender.</w:t>
      </w:r>
    </w:p>
    <w:p>
      <w:pPr>
        <w:spacing w:after="0" w:line="193" w:lineRule="exact"/>
        <w:rPr>
          <w:sz w:val="20"/>
          <w:szCs w:val="20"/>
          <w:color w:val="auto"/>
        </w:rPr>
      </w:pPr>
    </w:p>
    <w:p>
      <w:pPr>
        <w:jc w:val="both"/>
        <w:ind w:left="200" w:firstLine="583"/>
        <w:spacing w:after="0" w:line="253" w:lineRule="auto"/>
        <w:rPr>
          <w:sz w:val="20"/>
          <w:szCs w:val="20"/>
          <w:color w:val="auto"/>
        </w:rPr>
      </w:pPr>
      <w:r>
        <w:rPr>
          <w:rFonts w:ascii="Times New Roman" w:cs="Times New Roman" w:eastAsia="Times New Roman" w:hAnsi="Times New Roman"/>
          <w:sz w:val="20"/>
          <w:szCs w:val="20"/>
          <w:color w:val="auto"/>
        </w:rPr>
        <w:t xml:space="preserve">SECTION 9.8. </w:t>
      </w:r>
      <w:r>
        <w:rPr>
          <w:rFonts w:ascii="Times New Roman" w:cs="Times New Roman" w:eastAsia="Times New Roman" w:hAnsi="Times New Roman"/>
          <w:sz w:val="20"/>
          <w:szCs w:val="20"/>
          <w:u w:val="single" w:color="auto"/>
          <w:color w:val="auto"/>
        </w:rPr>
        <w:t>Information</w:t>
      </w:r>
      <w:r>
        <w:rPr>
          <w:rFonts w:ascii="Times New Roman" w:cs="Times New Roman" w:eastAsia="Times New Roman" w:hAnsi="Times New Roman"/>
          <w:sz w:val="20"/>
          <w:szCs w:val="20"/>
          <w:color w:val="auto"/>
        </w:rPr>
        <w:t>. Each Loan Guarantor assumes all responsibility for being and keeping itself informed of the Borrower’s financial condition and assets, and of all other circumstances bearing upon the risk of nonpayment of the Guaranteed Obligations and the nature, scope and extent of the risks that each Loan Guarantor assumes and incurs under this Loan Guaranty, and agrees that the Lender shall not have any duty to advise any Loan Guarantor of information known to it regarding those circumstances or risks.</w:t>
      </w:r>
    </w:p>
    <w:p>
      <w:pPr>
        <w:spacing w:after="0" w:line="192" w:lineRule="exact"/>
        <w:rPr>
          <w:sz w:val="20"/>
          <w:szCs w:val="20"/>
          <w:color w:val="auto"/>
        </w:rPr>
      </w:pPr>
    </w:p>
    <w:p>
      <w:pPr>
        <w:jc w:val="both"/>
        <w:ind w:left="200" w:firstLine="583"/>
        <w:spacing w:after="0" w:line="250" w:lineRule="auto"/>
        <w:rPr>
          <w:sz w:val="20"/>
          <w:szCs w:val="20"/>
          <w:color w:val="auto"/>
        </w:rPr>
      </w:pPr>
      <w:r>
        <w:rPr>
          <w:rFonts w:ascii="Times New Roman" w:cs="Times New Roman" w:eastAsia="Times New Roman" w:hAnsi="Times New Roman"/>
          <w:sz w:val="20"/>
          <w:szCs w:val="20"/>
          <w:color w:val="auto"/>
        </w:rPr>
        <w:t xml:space="preserve">SECTION 9.9. </w:t>
      </w:r>
      <w:r>
        <w:rPr>
          <w:rFonts w:ascii="Times New Roman" w:cs="Times New Roman" w:eastAsia="Times New Roman" w:hAnsi="Times New Roman"/>
          <w:sz w:val="20"/>
          <w:szCs w:val="20"/>
          <w:u w:val="single" w:color="auto"/>
          <w:color w:val="auto"/>
        </w:rPr>
        <w:t>Maximum Liability</w:t>
      </w:r>
      <w:r>
        <w:rPr>
          <w:rFonts w:ascii="Times New Roman" w:cs="Times New Roman" w:eastAsia="Times New Roman" w:hAnsi="Times New Roman"/>
          <w:sz w:val="20"/>
          <w:szCs w:val="20"/>
          <w:color w:val="auto"/>
        </w:rPr>
        <w:t>. It is the desire and intent of the Loan Guarantors and the Lender that this Loan Guaranty shall be enforced against the Loan Guarantors to the fullest extent permissible under the laws and public policies applied in each jurisdiction in which enforcement is sought. The provisions of this Loan Guaranty are severable, and in any action or proceeding involving any state or provincial or territorial corporate law, or any state, province, territory, Federal or foreign bankruptcy, insolvency, reorganization or other law affecting the rights of creditors generally, if the obligations of any Loan Guarantor under this Loan Guaranty would otherwise be held or determined to be avoidable, invalid or unenforceable on account of the amount of such Loan Guarantor’s liability under this Loan Guaranty, then, notwithstanding any other provision of this Loan Guaranty to the contrary, the amount of such liability shall, without any further action by the Loan Guarantors or the Lender, be automatically limited and reduced to the highest amount that is valid and enforceable as determined in such action or proceeding (such highest amount determined hereunder being the relevant Loan Guarantor’s “</w:t>
      </w:r>
      <w:r>
        <w:rPr>
          <w:rFonts w:ascii="Times New Roman" w:cs="Times New Roman" w:eastAsia="Times New Roman" w:hAnsi="Times New Roman"/>
          <w:sz w:val="20"/>
          <w:szCs w:val="20"/>
          <w:b w:val="1"/>
          <w:bCs w:val="1"/>
          <w:color w:val="auto"/>
        </w:rPr>
        <w:t>Maximum Liability</w:t>
      </w:r>
      <w:r>
        <w:rPr>
          <w:rFonts w:ascii="Times New Roman" w:cs="Times New Roman" w:eastAsia="Times New Roman" w:hAnsi="Times New Roman"/>
          <w:sz w:val="20"/>
          <w:szCs w:val="20"/>
          <w:color w:val="auto"/>
        </w:rPr>
        <w:t xml:space="preserve">”). Each Loan Guarantor agrees that the Guaranteed Obligations may at any time and from time to time exceed the Maximum Liability of each Loan Guarantor without impairing this Loan Guaranty or affecting the rights and remedies of the Lender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sentence shall be construed to increase any Loan Guarantor’s obligations hereunder beyond its Maximum Liability.</w:t>
      </w:r>
    </w:p>
    <w:p>
      <w:pPr>
        <w:spacing w:after="0" w:line="189" w:lineRule="exact"/>
        <w:rPr>
          <w:sz w:val="20"/>
          <w:szCs w:val="20"/>
          <w:color w:val="auto"/>
        </w:rPr>
      </w:pPr>
    </w:p>
    <w:p>
      <w:pPr>
        <w:jc w:val="both"/>
        <w:ind w:left="200" w:firstLine="583"/>
        <w:spacing w:after="0" w:line="252" w:lineRule="auto"/>
        <w:rPr>
          <w:sz w:val="20"/>
          <w:szCs w:val="20"/>
          <w:color w:val="auto"/>
        </w:rPr>
      </w:pPr>
      <w:r>
        <w:rPr>
          <w:rFonts w:ascii="Times New Roman" w:cs="Times New Roman" w:eastAsia="Times New Roman" w:hAnsi="Times New Roman"/>
          <w:sz w:val="20"/>
          <w:szCs w:val="20"/>
          <w:color w:val="auto"/>
        </w:rPr>
        <w:t xml:space="preserve">SECTION 9.10. </w:t>
      </w:r>
      <w:r>
        <w:rPr>
          <w:rFonts w:ascii="Times New Roman" w:cs="Times New Roman" w:eastAsia="Times New Roman" w:hAnsi="Times New Roman"/>
          <w:sz w:val="20"/>
          <w:szCs w:val="20"/>
          <w:u w:val="single" w:color="auto"/>
          <w:color w:val="auto"/>
        </w:rPr>
        <w:t>Contribution</w:t>
      </w:r>
      <w:r>
        <w:rPr>
          <w:rFonts w:ascii="Times New Roman" w:cs="Times New Roman" w:eastAsia="Times New Roman" w:hAnsi="Times New Roman"/>
          <w:sz w:val="20"/>
          <w:szCs w:val="20"/>
          <w:color w:val="auto"/>
        </w:rPr>
        <w:t>. In the event any Loan Guarantor (a “</w:t>
      </w:r>
      <w:r>
        <w:rPr>
          <w:rFonts w:ascii="Times New Roman" w:cs="Times New Roman" w:eastAsia="Times New Roman" w:hAnsi="Times New Roman"/>
          <w:sz w:val="20"/>
          <w:szCs w:val="20"/>
          <w:b w:val="1"/>
          <w:bCs w:val="1"/>
          <w:color w:val="auto"/>
        </w:rPr>
        <w:t>Paying Guarantor</w:t>
      </w:r>
      <w:r>
        <w:rPr>
          <w:rFonts w:ascii="Times New Roman" w:cs="Times New Roman" w:eastAsia="Times New Roman" w:hAnsi="Times New Roman"/>
          <w:sz w:val="20"/>
          <w:szCs w:val="20"/>
          <w:color w:val="auto"/>
        </w:rPr>
        <w:t>”) shall make any payment or payments under this Loan Guaranty or shall suffer any loss as a result of any realization upon any Collateral granted by it to secure its obligations under this Loan Guaranty, each other Loan Guarantor (each a “</w:t>
      </w:r>
      <w:r>
        <w:rPr>
          <w:rFonts w:ascii="Times New Roman" w:cs="Times New Roman" w:eastAsia="Times New Roman" w:hAnsi="Times New Roman"/>
          <w:sz w:val="20"/>
          <w:szCs w:val="20"/>
          <w:b w:val="1"/>
          <w:bCs w:val="1"/>
          <w:color w:val="auto"/>
        </w:rPr>
        <w:t>Non-Paying Guarantor</w:t>
      </w:r>
      <w:r>
        <w:rPr>
          <w:rFonts w:ascii="Times New Roman" w:cs="Times New Roman" w:eastAsia="Times New Roman" w:hAnsi="Times New Roman"/>
          <w:sz w:val="20"/>
          <w:szCs w:val="20"/>
          <w:color w:val="auto"/>
        </w:rPr>
        <w:t xml:space="preserve">”) shall contribute to such Paying Guarantor an amount equal to such Non-Paying Guarantor’s “Guarantor Percentage” of such payment or payments made, or losses suffered, by such Paying Guarantor. For purposes of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each Non-Paying Guarantor’s “</w:t>
      </w:r>
      <w:r>
        <w:rPr>
          <w:rFonts w:ascii="Times New Roman" w:cs="Times New Roman" w:eastAsia="Times New Roman" w:hAnsi="Times New Roman"/>
          <w:sz w:val="20"/>
          <w:szCs w:val="20"/>
          <w:b w:val="1"/>
          <w:bCs w:val="1"/>
          <w:color w:val="auto"/>
        </w:rPr>
        <w:t>Guarantor Percentage</w:t>
      </w:r>
      <w:r>
        <w:rPr>
          <w:rFonts w:ascii="Times New Roman" w:cs="Times New Roman" w:eastAsia="Times New Roman" w:hAnsi="Times New Roman"/>
          <w:sz w:val="20"/>
          <w:szCs w:val="20"/>
          <w:color w:val="auto"/>
        </w:rPr>
        <w:t>” with respect to any such payment or loss by a Paying Guarantor shall be determined as of the date on which such payment or loss was made by reference to the ratio of (a) such Non-Paying Guarantor’s Maximum Liability as of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ectPr>
          <w:pgSz w:w="11900" w:h="16838" w:orient="portrait"/>
          <w:cols w:equalWidth="0" w:num="1">
            <w:col w:w="11040"/>
          </w:cols>
          <w:pgMar w:left="520" w:top="1413" w:right="339" w:bottom="1440" w:gutter="0" w:footer="0" w:header="0"/>
        </w:sectPr>
      </w:pPr>
    </w:p>
    <w:bookmarkStart w:id="143" w:name="page144"/>
    <w:bookmarkEnd w:id="143"/>
    <w:p>
      <w:pPr>
        <w:jc w:val="both"/>
        <w:ind w:left="200"/>
        <w:spacing w:after="0" w:line="250" w:lineRule="auto"/>
        <w:rPr>
          <w:sz w:val="20"/>
          <w:szCs w:val="20"/>
          <w:color w:val="auto"/>
        </w:rPr>
      </w:pPr>
      <w:r>
        <w:rPr>
          <w:rFonts w:ascii="Times New Roman" w:cs="Times New Roman" w:eastAsia="Times New Roman" w:hAnsi="Times New Roman"/>
          <w:sz w:val="20"/>
          <w:szCs w:val="20"/>
          <w:color w:val="auto"/>
        </w:rPr>
        <w:t>date (without giving effect to any right to receive, or obligation to make, any contribution hereunder) or, if such Non-Paying Guarantor’s Maximum Liability has not been determined, the aggregate amount of all monies received by such Non-Paying Guarantor from the Borrower after the Closing Date (whether by loan, capital infusion or by other means) to (b) the aggregate Maximum Liability of all Loan Guarantors hereunder (including such Paying Guarantor) as of such date (without giving effect to any right to receive, or obligation to make, any contribution hereunder), or to the extent that a Maximum Liability has not been determined for any Loan Guarantor, the aggregate amount of all monies received by such Loan Guarantors from the Borrower after the Closing Date (whether by loan, capital infusion or by other means). Nothing in this provision shall affect any Loan Guarantor’s several liability for the entire amount of the Guaranteed Obligations (up to such Loan Guarantor’s Maximum Liability). Each of the Loan Guarantors covenants and agrees that its right to receive any contribution under this Loan Guaranty from a Non-Paying Guarantor shall be subordinate and junior in right of payment to the Obligations until the Termination Date. This provision is for the benefit of the Lender and may be enforced by the Lender in accordance with the terms hereof.</w:t>
      </w:r>
    </w:p>
    <w:p>
      <w:pPr>
        <w:spacing w:after="0" w:line="227" w:lineRule="exact"/>
        <w:rPr>
          <w:sz w:val="20"/>
          <w:szCs w:val="20"/>
          <w:color w:val="auto"/>
        </w:rPr>
      </w:pPr>
    </w:p>
    <w:p>
      <w:pPr>
        <w:jc w:val="both"/>
        <w:ind w:left="200" w:firstLine="583"/>
        <w:spacing w:after="0" w:line="254" w:lineRule="auto"/>
        <w:rPr>
          <w:sz w:val="20"/>
          <w:szCs w:val="20"/>
          <w:color w:val="auto"/>
        </w:rPr>
      </w:pPr>
      <w:r>
        <w:rPr>
          <w:rFonts w:ascii="Times New Roman" w:cs="Times New Roman" w:eastAsia="Times New Roman" w:hAnsi="Times New Roman"/>
          <w:sz w:val="20"/>
          <w:szCs w:val="20"/>
          <w:color w:val="auto"/>
        </w:rPr>
        <w:t xml:space="preserve">SECTION 9.11. </w:t>
      </w:r>
      <w:r>
        <w:rPr>
          <w:rFonts w:ascii="Times New Roman" w:cs="Times New Roman" w:eastAsia="Times New Roman" w:hAnsi="Times New Roman"/>
          <w:sz w:val="20"/>
          <w:szCs w:val="20"/>
          <w:u w:val="single" w:color="auto"/>
          <w:color w:val="auto"/>
        </w:rPr>
        <w:t>Liability Cumulative</w:t>
      </w:r>
      <w:r>
        <w:rPr>
          <w:rFonts w:ascii="Times New Roman" w:cs="Times New Roman" w:eastAsia="Times New Roman" w:hAnsi="Times New Roman"/>
          <w:sz w:val="20"/>
          <w:szCs w:val="20"/>
          <w:color w:val="auto"/>
        </w:rPr>
        <w:t xml:space="preserve">. The liability of each Loan Guarantor under this </w:t>
      </w:r>
      <w:r>
        <w:rPr>
          <w:rFonts w:ascii="Times New Roman" w:cs="Times New Roman" w:eastAsia="Times New Roman" w:hAnsi="Times New Roman"/>
          <w:sz w:val="20"/>
          <w:szCs w:val="20"/>
          <w:u w:val="single" w:color="auto"/>
          <w:color w:val="auto"/>
        </w:rPr>
        <w:t>Article 9</w:t>
      </w:r>
      <w:r>
        <w:rPr>
          <w:rFonts w:ascii="Times New Roman" w:cs="Times New Roman" w:eastAsia="Times New Roman" w:hAnsi="Times New Roman"/>
          <w:sz w:val="20"/>
          <w:szCs w:val="20"/>
          <w:color w:val="auto"/>
        </w:rPr>
        <w:t xml:space="preserve"> is in addition to and shall be cumulative with all liabilities of such Loan Guarantor to the Lender under this Agreement and the other Loan Documents to which such Loan Guarantor is a party or in respect of any obligations or liabilities of the other Loan Guarantors, without any limitation as to amount, unless the instrument or agreement evidencing or creating such other liability specifically provides to the contrary.</w:t>
      </w:r>
    </w:p>
    <w:p>
      <w:pPr>
        <w:spacing w:after="0" w:line="187" w:lineRule="exact"/>
        <w:rPr>
          <w:sz w:val="20"/>
          <w:szCs w:val="20"/>
          <w:color w:val="auto"/>
        </w:rPr>
      </w:pPr>
    </w:p>
    <w:p>
      <w:pPr>
        <w:jc w:val="both"/>
        <w:ind w:left="200" w:firstLine="583"/>
        <w:spacing w:after="0" w:line="250" w:lineRule="auto"/>
        <w:rPr>
          <w:sz w:val="20"/>
          <w:szCs w:val="20"/>
          <w:color w:val="auto"/>
        </w:rPr>
      </w:pPr>
      <w:r>
        <w:rPr>
          <w:rFonts w:ascii="Times New Roman" w:cs="Times New Roman" w:eastAsia="Times New Roman" w:hAnsi="Times New Roman"/>
          <w:sz w:val="20"/>
          <w:szCs w:val="20"/>
          <w:color w:val="auto"/>
        </w:rPr>
        <w:t xml:space="preserve">SECTION 9.12. </w:t>
      </w:r>
      <w:r>
        <w:rPr>
          <w:rFonts w:ascii="Times New Roman" w:cs="Times New Roman" w:eastAsia="Times New Roman" w:hAnsi="Times New Roman"/>
          <w:sz w:val="20"/>
          <w:szCs w:val="20"/>
          <w:u w:val="single" w:color="auto"/>
          <w:color w:val="auto"/>
        </w:rPr>
        <w:t>Release of Loan Guarantors</w:t>
      </w:r>
      <w:r>
        <w:rPr>
          <w:rFonts w:ascii="Times New Roman" w:cs="Times New Roman" w:eastAsia="Times New Roman" w:hAnsi="Times New Roman"/>
          <w:sz w:val="20"/>
          <w:szCs w:val="20"/>
          <w:color w:val="auto"/>
        </w:rPr>
        <w:t>. Upon the consummation of any transaction or related series of transactions expressly permitted hereunder (as certified in writing by the Borrower to the Lender at least two Business Days prior to the consummation of such transactions) if as a result thereof such Subsidiary Guarantor shall cease to be a Subsidiary (or becomes an Excluded Subsidiary), the applicable Subsidiary Guarantor shall be automatically released from its obligations hereunder and its Loan Guaranty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Subsidiary Guarantor which becomes an Excluded Subsidiary solely as a result of ceasing to be a Wholly-Owned Subsidiary after the Closing Date, shall be released from its obligations hereunder and its Loan Guaranty if there is no bona fide business purpose for the transaction pursuant to which such Subsidiary Guarantor becomes an Excluded Subsidiary which would result in such release). In connection with any such release, the Lender shall promptly execute and deliver to any Loan Guarantor, at such Loan Guarantor’s expense, all documents that such Loan Guarantor shall reasonably request to evidence termination or release. Any execution and delivery of documents pursuant to the preceding sentence of this </w:t>
      </w:r>
      <w:r>
        <w:rPr>
          <w:rFonts w:ascii="Times New Roman" w:cs="Times New Roman" w:eastAsia="Times New Roman" w:hAnsi="Times New Roman"/>
          <w:sz w:val="20"/>
          <w:szCs w:val="20"/>
          <w:u w:val="single" w:color="auto"/>
          <w:color w:val="auto"/>
        </w:rPr>
        <w:t>Section 9.12</w:t>
      </w:r>
      <w:r>
        <w:rPr>
          <w:rFonts w:ascii="Times New Roman" w:cs="Times New Roman" w:eastAsia="Times New Roman" w:hAnsi="Times New Roman"/>
          <w:sz w:val="20"/>
          <w:szCs w:val="20"/>
          <w:color w:val="auto"/>
        </w:rPr>
        <w:t xml:space="preserve"> shall be without recourse to or warranty by the Lender (other than as to the Lender’s authority to execute and deliver such documents).</w:t>
      </w:r>
    </w:p>
    <w:p>
      <w:pPr>
        <w:spacing w:after="0" w:line="18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w:t>
      </w:r>
    </w:p>
    <w:p>
      <w:pPr>
        <w:sectPr>
          <w:pgSz w:w="11900" w:h="16838" w:orient="portrait"/>
          <w:cols w:equalWidth="0" w:num="1">
            <w:col w:w="11040"/>
          </w:cols>
          <w:pgMar w:left="520" w:top="1413" w:right="339" w:bottom="1440" w:gutter="0" w:footer="0" w:header="0"/>
        </w:sectPr>
      </w:pPr>
    </w:p>
    <w:bookmarkStart w:id="144" w:name="page145"/>
    <w:bookmarkEnd w:id="144"/>
    <w:p>
      <w:pPr>
        <w:ind w:firstLine="648"/>
        <w:spacing w:after="0" w:line="287"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the parties hereto have caused this Agreement to be duly executed by their respective authorized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officers as of the day and year first above written.</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BAKKT HOLDINGS, INC., as Holdings</w:t>
      </w:r>
    </w:p>
    <w:p>
      <w:pPr>
        <w:spacing w:after="0" w:line="28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By</w:t>
      </w:r>
    </w:p>
    <w:p>
      <w:pPr>
        <w:spacing w:after="0" w:line="5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22860</wp:posOffset>
            </wp:positionV>
            <wp:extent cx="21170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2117090"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Andrew Main</w:t>
      </w:r>
    </w:p>
    <w:p>
      <w:pPr>
        <w:spacing w:after="0" w:line="40" w:lineRule="exact"/>
        <w:rPr>
          <w:sz w:val="20"/>
          <w:szCs w:val="20"/>
          <w:color w:val="auto"/>
        </w:rPr>
      </w:pPr>
    </w:p>
    <w:p>
      <w:pPr>
        <w:ind w:left="4600"/>
        <w:spacing w:after="0"/>
        <w:tabs>
          <w:tab w:leader="none" w:pos="5160" w:val="left"/>
          <w:tab w:leader="none" w:pos="5760" w:val="left"/>
          <w:tab w:leader="none" w:pos="6720" w:val="left"/>
          <w:tab w:leader="none" w:pos="7460" w:val="left"/>
        </w:tabs>
        <w:rPr>
          <w:sz w:val="20"/>
          <w:szCs w:val="20"/>
          <w:color w:val="auto"/>
        </w:rPr>
      </w:pPr>
      <w:r>
        <w:rPr>
          <w:rFonts w:ascii="Times New Roman" w:cs="Times New Roman" w:eastAsia="Times New Roman" w:hAnsi="Times New Roman"/>
          <w:sz w:val="20"/>
          <w:szCs w:val="20"/>
          <w:color w:val="auto"/>
        </w:rPr>
        <w:t>Title:</w:t>
        <w:tab/>
        <w:t>Chief</w:t>
        <w:tab/>
        <w:t>Executive</w:t>
        <w:tab/>
        <w:t>Officer</w:t>
      </w:r>
      <w:r>
        <w:rPr>
          <w:sz w:val="20"/>
          <w:szCs w:val="20"/>
          <w:color w:val="auto"/>
        </w:rPr>
        <w:tab/>
      </w:r>
      <w:r>
        <w:rPr>
          <w:rFonts w:ascii="Times New Roman" w:cs="Times New Roman" w:eastAsia="Times New Roman" w:hAnsi="Times New Roman"/>
          <w:sz w:val="19"/>
          <w:szCs w:val="19"/>
          <w:color w:val="auto"/>
        </w:rPr>
        <w:t>and</w:t>
      </w:r>
    </w:p>
    <w:p>
      <w:pPr>
        <w:spacing w:after="0" w:line="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920"/>
        <w:spacing w:after="0"/>
        <w:tabs>
          <w:tab w:leader="none" w:pos="4740" w:val="left"/>
          <w:tab w:leader="none" w:pos="5420" w:val="left"/>
          <w:tab w:leader="none" w:pos="6660" w:val="left"/>
          <w:tab w:leader="none" w:pos="7240" w:val="left"/>
          <w:tab w:leader="none" w:pos="7560" w:val="left"/>
        </w:tabs>
        <w:rPr>
          <w:sz w:val="20"/>
          <w:szCs w:val="20"/>
          <w:color w:val="auto"/>
        </w:rPr>
      </w:pPr>
      <w:r>
        <w:rPr>
          <w:rFonts w:ascii="Times New Roman" w:cs="Times New Roman" w:eastAsia="Times New Roman" w:hAnsi="Times New Roman"/>
          <w:sz w:val="20"/>
          <w:szCs w:val="20"/>
          <w:color w:val="auto"/>
        </w:rPr>
        <w:t>BAKKT</w:t>
        <w:tab/>
        <w:t>OPCO</w:t>
        <w:tab/>
        <w:t>HOLDINGS,</w:t>
        <w:tab/>
        <w:t>LLC,</w:t>
        <w:tab/>
        <w:t>as</w:t>
      </w:r>
      <w:r>
        <w:rPr>
          <w:sz w:val="20"/>
          <w:szCs w:val="20"/>
          <w:color w:val="auto"/>
        </w:rPr>
        <w:tab/>
      </w:r>
      <w:r>
        <w:rPr>
          <w:rFonts w:ascii="Times New Roman" w:cs="Times New Roman" w:eastAsia="Times New Roman" w:hAnsi="Times New Roman"/>
          <w:sz w:val="19"/>
          <w:szCs w:val="19"/>
          <w:color w:val="auto"/>
        </w:rPr>
        <w:t>the</w:t>
      </w:r>
    </w:p>
    <w:p>
      <w:pPr>
        <w:ind w:left="3920"/>
        <w:spacing w:after="0"/>
        <w:rPr>
          <w:sz w:val="20"/>
          <w:szCs w:val="20"/>
          <w:color w:val="auto"/>
        </w:rPr>
      </w:pPr>
      <w:r>
        <w:rPr>
          <w:rFonts w:ascii="Times New Roman" w:cs="Times New Roman" w:eastAsia="Times New Roman" w:hAnsi="Times New Roman"/>
          <w:sz w:val="20"/>
          <w:szCs w:val="20"/>
          <w:color w:val="auto"/>
        </w:rPr>
        <w:t>Borrower</w:t>
      </w:r>
    </w:p>
    <w:p>
      <w:pPr>
        <w:spacing w:after="0" w:line="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color w:val="auto"/>
        </w:rPr>
        <w:t>By</w:t>
      </w:r>
    </w:p>
    <w:p>
      <w:pPr>
        <w:spacing w:after="0" w:line="5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22860</wp:posOffset>
            </wp:positionV>
            <wp:extent cx="2108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Andrew Main</w:t>
      </w:r>
    </w:p>
    <w:p>
      <w:pPr>
        <w:spacing w:after="0" w:line="40" w:lineRule="exact"/>
        <w:rPr>
          <w:sz w:val="20"/>
          <w:szCs w:val="20"/>
          <w:color w:val="auto"/>
        </w:rPr>
      </w:pPr>
    </w:p>
    <w:p>
      <w:pPr>
        <w:ind w:left="4600"/>
        <w:spacing w:after="0"/>
        <w:tabs>
          <w:tab w:leader="none" w:pos="5180" w:val="left"/>
          <w:tab w:leader="none" w:pos="5780" w:val="left"/>
          <w:tab w:leader="none" w:pos="6720" w:val="left"/>
          <w:tab w:leader="none" w:pos="7460" w:val="left"/>
        </w:tabs>
        <w:rPr>
          <w:sz w:val="20"/>
          <w:szCs w:val="20"/>
          <w:color w:val="auto"/>
        </w:rPr>
      </w:pPr>
      <w:r>
        <w:rPr>
          <w:rFonts w:ascii="Times New Roman" w:cs="Times New Roman" w:eastAsia="Times New Roman" w:hAnsi="Times New Roman"/>
          <w:sz w:val="20"/>
          <w:szCs w:val="20"/>
          <w:color w:val="auto"/>
        </w:rPr>
        <w:t>Title:</w:t>
        <w:tab/>
        <w:t>Chief</w:t>
        <w:tab/>
        <w:t>Executive</w:t>
        <w:tab/>
        <w:t>Officer</w:t>
      </w:r>
      <w:r>
        <w:rPr>
          <w:sz w:val="20"/>
          <w:szCs w:val="20"/>
          <w:color w:val="auto"/>
        </w:rPr>
        <w:tab/>
      </w:r>
      <w:r>
        <w:rPr>
          <w:rFonts w:ascii="Times New Roman" w:cs="Times New Roman" w:eastAsia="Times New Roman" w:hAnsi="Times New Roman"/>
          <w:sz w:val="19"/>
          <w:szCs w:val="19"/>
          <w:color w:val="auto"/>
        </w:rPr>
        <w:t>and</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President</w:t>
      </w:r>
    </w:p>
    <w:p>
      <w:pPr>
        <w:sectPr>
          <w:pgSz w:w="11900" w:h="16838" w:orient="portrait"/>
          <w:cols w:equalWidth="0" w:num="1">
            <w:col w:w="11220"/>
          </w:cols>
          <w:pgMar w:left="320" w:top="1409" w:right="359" w:bottom="1440" w:gutter="0" w:footer="0" w:header="0"/>
        </w:sectPr>
      </w:pPr>
    </w:p>
    <w:bookmarkStart w:id="145" w:name="page146"/>
    <w:bookmarkEnd w:id="145"/>
    <w:p>
      <w:pPr>
        <w:spacing w:after="0" w:line="27" w:lineRule="exact"/>
        <w:rPr>
          <w:sz w:val="20"/>
          <w:szCs w:val="20"/>
          <w:color w:val="auto"/>
        </w:rPr>
      </w:pPr>
    </w:p>
    <w:p>
      <w:pPr>
        <w:ind w:left="2840"/>
        <w:spacing w:after="0"/>
        <w:tabs>
          <w:tab w:leader="none" w:pos="5540" w:val="left"/>
        </w:tabs>
        <w:rPr>
          <w:sz w:val="20"/>
          <w:szCs w:val="20"/>
          <w:color w:val="auto"/>
        </w:rPr>
      </w:pPr>
      <w:r>
        <w:rPr>
          <w:rFonts w:ascii="Times New Roman" w:cs="Times New Roman" w:eastAsia="Times New Roman" w:hAnsi="Times New Roman"/>
          <w:sz w:val="20"/>
          <w:szCs w:val="20"/>
          <w:color w:val="auto"/>
        </w:rPr>
        <w:t>INTERCONTINENTAL</w:t>
      </w:r>
      <w:r>
        <w:rPr>
          <w:sz w:val="20"/>
          <w:szCs w:val="20"/>
          <w:color w:val="auto"/>
        </w:rPr>
        <w:tab/>
      </w:r>
      <w:r>
        <w:rPr>
          <w:rFonts w:ascii="Times New Roman" w:cs="Times New Roman" w:eastAsia="Times New Roman" w:hAnsi="Times New Roman"/>
          <w:sz w:val="20"/>
          <w:szCs w:val="20"/>
          <w:color w:val="auto"/>
        </w:rPr>
        <w:t>EXCHANGE</w:t>
      </w:r>
    </w:p>
    <w:p>
      <w:pPr>
        <w:spacing w:after="0" w:line="28"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0"/>
          <w:szCs w:val="20"/>
          <w:color w:val="auto"/>
        </w:rPr>
        <w:t>HOLDINGS, INC., as the Lender</w:t>
      </w:r>
    </w:p>
    <w:p>
      <w:pPr>
        <w:spacing w:after="0" w:line="25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By</w:t>
      </w:r>
    </w:p>
    <w:p>
      <w:pPr>
        <w:spacing w:after="0" w:line="5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/s/ A. Warren Gardiner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22860</wp:posOffset>
            </wp:positionV>
            <wp:extent cx="211709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2117090" cy="8890"/>
                    </a:xfrm>
                    <a:prstGeom prst="rect">
                      <a:avLst/>
                    </a:prstGeom>
                    <a:noFill/>
                  </pic:spPr>
                </pic:pic>
              </a:graphicData>
            </a:graphic>
          </wp:anchor>
        </w:drawing>
      </w:r>
    </w:p>
    <w:p>
      <w:pPr>
        <w:spacing w:after="0" w:line="2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Name: A. Warren Gardiner</w:t>
      </w:r>
    </w:p>
    <w:p>
      <w:pPr>
        <w:spacing w:after="0" w:line="4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color w:val="auto"/>
        </w:rPr>
        <w:t>Title: Chief Financial Officer</w:t>
      </w:r>
    </w:p>
    <w:p>
      <w:pPr>
        <w:sectPr>
          <w:pgSz w:w="11900" w:h="16838" w:orient="portrait"/>
          <w:cols w:equalWidth="0" w:num="1">
            <w:col w:w="9019"/>
          </w:cols>
          <w:pgMar w:left="1440" w:top="1440" w:right="1440" w:bottom="1440" w:gutter="0" w:footer="0" w:header="0"/>
        </w:sectPr>
      </w:pPr>
    </w:p>
    <w:bookmarkStart w:id="146" w:name="page147"/>
    <w:bookmarkEnd w:id="14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Main, certify that:</w:t>
      </w:r>
    </w:p>
    <w:p>
      <w:pPr>
        <w:spacing w:after="0" w:line="77" w:lineRule="exact"/>
        <w:rPr>
          <w:sz w:val="20"/>
          <w:szCs w:val="20"/>
          <w:color w:val="auto"/>
        </w:rPr>
      </w:pPr>
    </w:p>
    <w:p>
      <w:pPr>
        <w:ind w:left="440" w:hanging="432"/>
        <w:spacing w:after="0"/>
        <w:tabs>
          <w:tab w:leader="none" w:pos="4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7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0"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Andrew Main</w:t>
      </w:r>
    </w:p>
    <w:p>
      <w:pPr>
        <w:spacing w:after="0" w:line="52"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Executive Officer</w:t>
      </w:r>
    </w:p>
    <w:p>
      <w:pPr>
        <w:ind w:left="734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147" w:name="page148"/>
    <w:bookmarkEnd w:id="14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Karen Alexander, certify that:</w:t>
      </w:r>
    </w:p>
    <w:p>
      <w:pPr>
        <w:spacing w:after="0" w:line="77" w:lineRule="exact"/>
        <w:rPr>
          <w:sz w:val="20"/>
          <w:szCs w:val="20"/>
          <w:color w:val="auto"/>
        </w:rPr>
      </w:pPr>
    </w:p>
    <w:p>
      <w:pPr>
        <w:ind w:left="440" w:hanging="432"/>
        <w:spacing w:after="0"/>
        <w:tabs>
          <w:tab w:leader="none" w:pos="4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Bakkt Holdings, Inc.;</w:t>
      </w:r>
    </w:p>
    <w:p>
      <w:pPr>
        <w:spacing w:after="0" w:line="76"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0" w:lineRule="exact"/>
        <w:rPr>
          <w:rFonts w:ascii="Times New Roman" w:cs="Times New Roman" w:eastAsia="Times New Roman" w:hAnsi="Times New Roman"/>
          <w:sz w:val="18"/>
          <w:szCs w:val="18"/>
          <w:color w:val="auto"/>
        </w:rPr>
      </w:pPr>
    </w:p>
    <w:p>
      <w:pPr>
        <w:ind w:left="440" w:hanging="432"/>
        <w:spacing w:after="0" w:line="250" w:lineRule="auto"/>
        <w:tabs>
          <w:tab w:leader="none" w:pos="43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8"/>
          <w:szCs w:val="18"/>
          <w:color w:val="auto"/>
        </w:rPr>
      </w:pPr>
    </w:p>
    <w:p>
      <w:pPr>
        <w:jc w:val="both"/>
        <w:ind w:left="440" w:hanging="432"/>
        <w:spacing w:after="0" w:line="231" w:lineRule="auto"/>
        <w:tabs>
          <w:tab w:leader="none" w:pos="43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874"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jc w:val="both"/>
        <w:ind w:left="900" w:hanging="451"/>
        <w:spacing w:after="0" w:line="231" w:lineRule="auto"/>
        <w:tabs>
          <w:tab w:leader="none" w:pos="950"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ind w:left="900" w:hanging="451"/>
        <w:spacing w:after="0" w:line="237" w:lineRule="auto"/>
        <w:tabs>
          <w:tab w:leader="none" w:pos="971"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jc w:val="both"/>
        <w:ind w:left="900" w:hanging="451"/>
        <w:spacing w:after="0" w:line="226" w:lineRule="auto"/>
        <w:tabs>
          <w:tab w:leader="none" w:pos="885"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left="440" w:hanging="432"/>
        <w:spacing w:after="0" w:line="237" w:lineRule="auto"/>
        <w:tabs>
          <w:tab w:leader="none" w:pos="43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Times New Roman" w:cs="Times New Roman" w:eastAsia="Times New Roman" w:hAnsi="Times New Roman"/>
          <w:sz w:val="18"/>
          <w:szCs w:val="18"/>
          <w:color w:val="auto"/>
        </w:rPr>
      </w:pPr>
    </w:p>
    <w:p>
      <w:pPr>
        <w:ind w:left="900" w:hanging="451"/>
        <w:spacing w:after="0" w:line="250" w:lineRule="auto"/>
        <w:tabs>
          <w:tab w:leader="none" w:pos="848"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900" w:hanging="451"/>
        <w:spacing w:after="0" w:line="237" w:lineRule="auto"/>
        <w:tabs>
          <w:tab w:leader="none" w:pos="852"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66" w:lineRule="exact"/>
        <w:rPr>
          <w:sz w:val="20"/>
          <w:szCs w:val="20"/>
          <w:color w:val="auto"/>
        </w:rPr>
      </w:pPr>
    </w:p>
    <w:p>
      <w:pPr>
        <w:ind w:left="20"/>
        <w:spacing w:after="0"/>
        <w:tabs>
          <w:tab w:leader="none" w:pos="5240" w:val="left"/>
          <w:tab w:leader="none" w:pos="76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43180</wp:posOffset>
            </wp:positionV>
            <wp:extent cx="36004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70" w:lineRule="exact"/>
        <w:rPr>
          <w:sz w:val="20"/>
          <w:szCs w:val="20"/>
          <w:color w:val="auto"/>
        </w:rPr>
      </w:pPr>
    </w:p>
    <w:p>
      <w:pPr>
        <w:ind w:left="77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5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ind w:left="736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00"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June 30, 2024 as filed with</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Andrew Main, the Chief Executive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620" w:val="left"/>
          <w:tab w:leader="none" w:pos="800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Andrew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3836670</wp:posOffset>
            </wp:positionH>
            <wp:positionV relativeFrom="paragraph">
              <wp:posOffset>43180</wp:posOffset>
            </wp:positionV>
            <wp:extent cx="329184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70"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Andrew Main</w:t>
      </w:r>
    </w:p>
    <w:p>
      <w:pPr>
        <w:spacing w:after="0" w:line="52"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Chief Executive Officer</w:t>
      </w:r>
    </w:p>
    <w:p>
      <w:pPr>
        <w:ind w:left="7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00"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ind w:left="3340"/>
        <w:spacing w:after="0" w:line="210" w:lineRule="auto"/>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Quarterly Report of Bakkt Holdings, Inc. (the “Company”) on Form 10-Q for the period ending June 30, 2024 as filed with</w:t>
      </w:r>
    </w:p>
    <w:p>
      <w:pPr>
        <w:spacing w:after="0" w:line="2" w:lineRule="exact"/>
        <w:rPr>
          <w:sz w:val="20"/>
          <w:szCs w:val="20"/>
          <w:color w:val="auto"/>
        </w:rPr>
      </w:pPr>
    </w:p>
    <w:p>
      <w:pPr>
        <w:spacing w:after="0" w:line="226" w:lineRule="auto"/>
        <w:rPr>
          <w:sz w:val="20"/>
          <w:szCs w:val="20"/>
          <w:color w:val="auto"/>
        </w:rPr>
      </w:pPr>
      <w:r>
        <w:rPr>
          <w:rFonts w:ascii="Times New Roman" w:cs="Times New Roman" w:eastAsia="Times New Roman" w:hAnsi="Times New Roman"/>
          <w:sz w:val="18"/>
          <w:szCs w:val="18"/>
          <w:color w:val="auto"/>
        </w:rPr>
        <w:t>the Securities and Exchange Commission on the date hereof (the “Report”), I, Karen Alexander, the Chief Financial Officer of the Company, hereby certify, pursuant to 18 U.S.C. § 1350, as adopted pursuant to § 906 of the Sarbanes-Oxley Act of 2002, that:</w:t>
      </w:r>
    </w:p>
    <w:p>
      <w:pPr>
        <w:spacing w:after="0" w:line="157" w:lineRule="exact"/>
        <w:rPr>
          <w:sz w:val="20"/>
          <w:szCs w:val="20"/>
          <w:color w:val="auto"/>
        </w:rPr>
      </w:pPr>
    </w:p>
    <w:p>
      <w:pPr>
        <w:ind w:left="840" w:hanging="391"/>
        <w:spacing w:after="0"/>
        <w:tabs>
          <w:tab w:leader="none" w:pos="8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840" w:hanging="391"/>
        <w:spacing w:after="0"/>
        <w:tabs>
          <w:tab w:leader="none" w:pos="8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79" w:lineRule="exact"/>
        <w:rPr>
          <w:sz w:val="20"/>
          <w:szCs w:val="20"/>
          <w:color w:val="auto"/>
        </w:rPr>
      </w:pPr>
    </w:p>
    <w:p>
      <w:pPr>
        <w:ind w:left="20"/>
        <w:spacing w:after="0"/>
        <w:tabs>
          <w:tab w:leader="none" w:pos="5500" w:val="left"/>
          <w:tab w:leader="none" w:pos="7840" w:val="left"/>
        </w:tabs>
        <w:rPr>
          <w:sz w:val="20"/>
          <w:szCs w:val="20"/>
          <w:color w:val="auto"/>
        </w:rPr>
      </w:pPr>
      <w:r>
        <w:rPr>
          <w:rFonts w:ascii="Times New Roman" w:cs="Times New Roman" w:eastAsia="Times New Roman" w:hAnsi="Times New Roman"/>
          <w:sz w:val="18"/>
          <w:szCs w:val="18"/>
          <w:color w:val="auto"/>
        </w:rPr>
        <w:t>Date: August 14,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Karen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43180</wp:posOffset>
            </wp:positionV>
            <wp:extent cx="336867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3368675" cy="8255"/>
                    </a:xfrm>
                    <a:prstGeom prst="rect">
                      <a:avLst/>
                    </a:prstGeom>
                    <a:noFill/>
                  </pic:spPr>
                </pic:pic>
              </a:graphicData>
            </a:graphic>
          </wp:anchor>
        </w:drawing>
      </w:r>
    </w:p>
    <w:p>
      <w:pPr>
        <w:spacing w:after="0" w:line="7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Karen Alexander</w:t>
      </w:r>
    </w:p>
    <w:p>
      <w:pPr>
        <w:spacing w:after="0" w:line="77"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4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1."/>
      <w:numFmt w:val="decimal"/>
      <w:start w:val="2"/>
    </w:lvl>
  </w:abstractNum>
  <w:abstractNum w:abstractNumId="9">
    <w:nsid w:val="61574095"/>
    <w:multiLevelType w:val="hybridMultilevel"/>
    <w:lvl w:ilvl="0">
      <w:lvlJc w:val="left"/>
      <w:lvlText w:val="%1."/>
      <w:numFmt w:val="decimal"/>
      <w:start w:val="3"/>
    </w:lvl>
  </w:abstractNum>
  <w:abstractNum w:abstractNumId="10">
    <w:nsid w:val="7E0C57B1"/>
    <w:multiLevelType w:val="hybridMultilevel"/>
    <w:lvl w:ilvl="0">
      <w:lvlJc w:val="left"/>
      <w:lvlText w:val="%1."/>
      <w:numFmt w:val="decimal"/>
      <w:start w:val="4"/>
    </w:lvl>
  </w:abstractNum>
  <w:abstractNum w:abstractNumId="11">
    <w:nsid w:val="77AE35EB"/>
    <w:multiLevelType w:val="hybridMultilevel"/>
    <w:lvl w:ilvl="0">
      <w:lvlJc w:val="left"/>
      <w:lvlText w:val="%1."/>
      <w:numFmt w:val="decimal"/>
      <w:start w:val="7"/>
    </w:lvl>
  </w:abstractNum>
  <w:abstractNum w:abstractNumId="12">
    <w:nsid w:val="579BE4F1"/>
    <w:multiLevelType w:val="hybridMultilevel"/>
    <w:lvl w:ilvl="0">
      <w:lvlJc w:val="left"/>
      <w:lvlText w:val="%1."/>
      <w:numFmt w:val="decimal"/>
      <w:start w:val="8"/>
    </w:lvl>
  </w:abstractNum>
  <w:abstractNum w:abstractNumId="13">
    <w:nsid w:val="310C50B3"/>
    <w:multiLevelType w:val="hybridMultilevel"/>
    <w:lvl w:ilvl="0">
      <w:lvlJc w:val="left"/>
      <w:lvlText w:val="%1."/>
      <w:numFmt w:val="decimal"/>
      <w:start w:val="9"/>
    </w:lvl>
  </w:abstractNum>
  <w:abstractNum w:abstractNumId="14">
    <w:nsid w:val="5FF87E05"/>
    <w:multiLevelType w:val="hybridMultilevel"/>
    <w:lvl w:ilvl="0">
      <w:lvlJc w:val="left"/>
      <w:lvlText w:val="%1."/>
      <w:numFmt w:val="decimal"/>
      <w:start w:val="1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1."/>
      <w:numFmt w:val="decimal"/>
      <w:start w:val="19"/>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1)"/>
      <w:numFmt w:val="decimal"/>
      <w:start w:val="1"/>
    </w:lvl>
  </w:abstractNum>
  <w:abstractNum w:abstractNumId="23">
    <w:nsid w:val="6590700B"/>
    <w:multiLevelType w:val="hybridMultilevel"/>
    <w:lvl w:ilvl="0">
      <w:lvlJc w:val="left"/>
      <w:lvlText w:val="(%1)"/>
      <w:numFmt w:val="lowerRoman"/>
      <w:start w:val="3"/>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1)"/>
      <w:numFmt w:val="lowerLetter"/>
      <w:start w:val="25"/>
    </w:lvl>
  </w:abstractNum>
  <w:abstractNum w:abstractNumId="26">
    <w:nsid w:val="98A3148"/>
    <w:multiLevelType w:val="hybridMultilevel"/>
    <w:lvl w:ilvl="0">
      <w:lvlJc w:val="left"/>
      <w:lvlText w:val="(%1)"/>
      <w:numFmt w:val="lowerLetter"/>
      <w:start w:val="1"/>
    </w:lvl>
  </w:abstractNum>
  <w:abstractNum w:abstractNumId="27">
    <w:nsid w:val="799D0247"/>
    <w:multiLevelType w:val="hybridMultilevel"/>
    <w:lvl w:ilvl="0">
      <w:lvlJc w:val="left"/>
      <w:lvlText w:val="(%1)"/>
      <w:numFmt w:val="lowerLetter"/>
      <w:start w:val="1"/>
    </w:lvl>
  </w:abstractNum>
  <w:abstractNum w:abstractNumId="28">
    <w:nsid w:val="6B94764"/>
    <w:multiLevelType w:val="hybridMultilevel"/>
    <w:lvl w:ilvl="0">
      <w:lvlJc w:val="left"/>
      <w:lvlText w:val="(%1)"/>
      <w:numFmt w:val="lowerLetter"/>
      <w:start w:val="1"/>
    </w:lvl>
  </w:abstractNum>
  <w:abstractNum w:abstractNumId="29">
    <w:nsid w:val="42C296BD"/>
    <w:multiLevelType w:val="hybridMultilevel"/>
    <w:lvl w:ilvl="0">
      <w:lvlJc w:val="left"/>
      <w:lvlText w:val="(%1)"/>
      <w:numFmt w:val="lowerLetter"/>
      <w:start w:val="2"/>
    </w:lvl>
  </w:abstractNum>
  <w:abstractNum w:abstractNumId="30">
    <w:nsid w:val="168E121F"/>
    <w:multiLevelType w:val="hybridMultilevel"/>
    <w:lvl w:ilvl="0">
      <w:lvlJc w:val="left"/>
      <w:lvlText w:val="(%1)"/>
      <w:numFmt w:val="lowerLetter"/>
      <w:start w:val="1"/>
    </w:lvl>
  </w:abstractNum>
  <w:abstractNum w:abstractNumId="31">
    <w:nsid w:val="1EBA5D23"/>
    <w:multiLevelType w:val="hybridMultilevel"/>
    <w:lvl w:ilvl="0">
      <w:lvlJc w:val="left"/>
      <w:lvlText w:val="(%1)"/>
      <w:numFmt w:val="lowerLetter"/>
      <w:start w:val="3"/>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lowerLetter"/>
      <w:start w:val="4"/>
    </w:lvl>
  </w:abstractNum>
  <w:abstractNum w:abstractNumId="34">
    <w:nsid w:val="540A471C"/>
    <w:multiLevelType w:val="hybridMultilevel"/>
    <w:lvl w:ilvl="0">
      <w:lvlJc w:val="left"/>
      <w:lvlText w:val="(%1)"/>
      <w:numFmt w:val="lowerLetter"/>
      <w:start w:val="3"/>
    </w:lvl>
  </w:abstractNum>
  <w:abstractNum w:abstractNumId="35">
    <w:nsid w:val="7BD3EE7B"/>
    <w:multiLevelType w:val="hybridMultilevel"/>
    <w:lvl w:ilvl="0">
      <w:lvlJc w:val="left"/>
      <w:lvlText w:val="(%1)"/>
      <w:numFmt w:val="lowerLetter"/>
      <w:start w:val="1"/>
    </w:lvl>
    <w:lvl w:ilvl="1">
      <w:lvlJc w:val="left"/>
      <w:lvlText w:val="(%2)"/>
      <w:numFmt w:val="lowerRoman"/>
      <w:start w:val="1"/>
    </w:lvl>
  </w:abstractNum>
  <w:abstractNum w:abstractNumId="36">
    <w:nsid w:val="51D9C564"/>
    <w:multiLevelType w:val="hybridMultilevel"/>
    <w:lvl w:ilvl="0">
      <w:lvlJc w:val="left"/>
      <w:lvlText w:val="(%1)"/>
      <w:numFmt w:val="lowerRoman"/>
      <w:start w:val="3"/>
    </w:lvl>
  </w:abstractNum>
  <w:abstractNum w:abstractNumId="37">
    <w:nsid w:val="613EFDC5"/>
    <w:multiLevelType w:val="hybridMultilevel"/>
    <w:lvl w:ilvl="0">
      <w:lvlJc w:val="left"/>
      <w:lvlText w:val="(%1)"/>
      <w:numFmt w:val="lowerLetter"/>
      <w:start w:val="1"/>
    </w:lvl>
  </w:abstractNum>
  <w:abstractNum w:abstractNumId="38">
    <w:nsid w:val="BF72B14"/>
    <w:multiLevelType w:val="hybridMultilevel"/>
    <w:lvl w:ilvl="0">
      <w:lvlJc w:val="left"/>
      <w:lvlText w:val="(%1)"/>
      <w:numFmt w:val="lowerLetter"/>
      <w:start w:val="3"/>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1)"/>
      <w:numFmt w:val="lowerLetter"/>
      <w:start w:val="1"/>
    </w:lvl>
  </w:abstractNum>
  <w:abstractNum w:abstractNumId="41">
    <w:nsid w:val="A0382C5"/>
    <w:multiLevelType w:val="hybridMultilevel"/>
    <w:lvl w:ilvl="0">
      <w:lvlJc w:val="left"/>
      <w:lvlText w:val="(%1)"/>
      <w:numFmt w:val="lowerLetter"/>
      <w:start w:val="3"/>
    </w:lvl>
  </w:abstractNum>
  <w:abstractNum w:abstractNumId="42">
    <w:nsid w:val="8F2B15E"/>
    <w:multiLevelType w:val="hybridMultilevel"/>
    <w:lvl w:ilvl="0">
      <w:lvlJc w:val="left"/>
      <w:lvlText w:val="(%1)"/>
      <w:numFmt w:val="lowerRoman"/>
      <w:start w:val="1"/>
    </w:lvl>
  </w:abstractNum>
  <w:abstractNum w:abstractNumId="43">
    <w:nsid w:val="1A32234B"/>
    <w:multiLevelType w:val="hybridMultilevel"/>
    <w:lvl w:ilvl="0">
      <w:lvlJc w:val="left"/>
      <w:lvlText w:val="(%1)"/>
      <w:numFmt w:val="lowerRoman"/>
      <w:start w:val="4"/>
    </w:lvl>
  </w:abstractNum>
  <w:abstractNum w:abstractNumId="44">
    <w:nsid w:val="3B0FD379"/>
    <w:multiLevelType w:val="hybridMultilevel"/>
    <w:lvl w:ilvl="0">
      <w:lvlJc w:val="left"/>
      <w:lvlText w:val="(%1)"/>
      <w:numFmt w:val="lowerLetter"/>
      <w:start w:val="1"/>
    </w:lvl>
  </w:abstractNum>
  <w:abstractNum w:abstractNumId="45">
    <w:nsid w:val="68EB2F63"/>
    <w:multiLevelType w:val="hybridMultilevel"/>
    <w:lvl w:ilvl="0">
      <w:lvlJc w:val="left"/>
      <w:lvlText w:val="(%1)"/>
      <w:numFmt w:val="lowerLetter"/>
      <w:start w:val="1"/>
    </w:lvl>
  </w:abstractNum>
  <w:abstractNum w:abstractNumId="46">
    <w:nsid w:val="4962813B"/>
    <w:multiLevelType w:val="hybridMultilevel"/>
    <w:lvl w:ilvl="0">
      <w:lvlJc w:val="left"/>
      <w:lvlText w:val="(%1)"/>
      <w:numFmt w:val="lowerLetter"/>
      <w:start w:val="1"/>
    </w:lvl>
  </w:abstractNum>
  <w:abstractNum w:abstractNumId="47">
    <w:nsid w:val="60B6DF70"/>
    <w:multiLevelType w:val="hybridMultilevel"/>
    <w:lvl w:ilvl="0">
      <w:lvlJc w:val="left"/>
      <w:lvlText w:val="(%1)"/>
      <w:numFmt w:val="lowerLetter"/>
      <w:start w:val="5"/>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lowerLetter"/>
      <w:start w:val="1"/>
    </w:lvl>
  </w:abstractNum>
  <w:abstractNum w:abstractNumId="52">
    <w:nsid w:val="71EA1109"/>
    <w:multiLevelType w:val="hybridMultilevel"/>
    <w:lvl w:ilvl="0">
      <w:lvlJc w:val="left"/>
      <w:lvlText w:val="(%1)"/>
      <w:numFmt w:val="lowerLetter"/>
      <w:start w:val="1"/>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lowerRoman"/>
      <w:start w:val="2"/>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1"/>
    </w:lvl>
  </w:abstractNum>
  <w:abstractNum w:abstractNumId="58">
    <w:nsid w:val="885E1B"/>
    <w:multiLevelType w:val="hybridMultilevel"/>
    <w:lvl w:ilvl="0">
      <w:lvlJc w:val="left"/>
      <w:lvlText w:val="%1"/>
      <w:numFmt w:val="lowerLetter"/>
      <w:start w:val="1"/>
    </w:lvl>
    <w:lvl w:ilvl="1">
      <w:lvlJc w:val="left"/>
      <w:lvlText w:val="(%2)"/>
      <w:numFmt w:val="lowerLetter"/>
      <w:start w:val="1"/>
    </w:lvl>
  </w:abstractNum>
  <w:abstractNum w:abstractNumId="59">
    <w:nsid w:val="76272110"/>
    <w:multiLevelType w:val="hybridMultilevel"/>
    <w:lvl w:ilvl="0">
      <w:lvlJc w:val="left"/>
      <w:lvlText w:val="(%1)"/>
      <w:numFmt w:val="lowerLetter"/>
      <w:start w:val="35"/>
    </w:lvl>
    <w:lvl w:ilvl="1">
      <w:lvlJc w:val="left"/>
      <w:lvlText w:val="%2"/>
      <w:numFmt w:val="lowerLetter"/>
      <w:start w:val="1"/>
    </w:lvl>
  </w:abstractNum>
  <w:abstractNum w:abstractNumId="60">
    <w:nsid w:val="4C04A8AF"/>
    <w:multiLevelType w:val="hybridMultilevel"/>
    <w:lvl w:ilvl="0">
      <w:lvlJc w:val="left"/>
      <w:lvlText w:val="(%1)"/>
      <w:numFmt w:val="lowerLetter"/>
      <w:start w:val="3"/>
    </w:lvl>
  </w:abstractNum>
  <w:abstractNum w:abstractNumId="61">
    <w:nsid w:val="1716703B"/>
    <w:multiLevelType w:val="hybridMultilevel"/>
    <w:lvl w:ilvl="0">
      <w:lvlJc w:val="left"/>
      <w:lvlText w:val="(%1)"/>
      <w:numFmt w:val="lowerLetter"/>
      <w:start w:val="1"/>
    </w:lvl>
  </w:abstractNum>
  <w:abstractNum w:abstractNumId="62">
    <w:nsid w:val="14E17E33"/>
    <w:multiLevelType w:val="hybridMultilevel"/>
    <w:lvl w:ilvl="0">
      <w:lvlJc w:val="left"/>
      <w:lvlText w:val="(%1)"/>
      <w:numFmt w:val="lowerLetter"/>
      <w:start w:val="5"/>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1"/>
    </w:lvl>
  </w:abstractNum>
  <w:abstractNum w:abstractNumId="65">
    <w:nsid w:val="68EBC550"/>
    <w:multiLevelType w:val="hybridMultilevel"/>
    <w:lvl w:ilvl="0">
      <w:lvlJc w:val="left"/>
      <w:lvlText w:val="(%1)"/>
      <w:numFmt w:val="lowerLetter"/>
      <w:start w:val="2"/>
    </w:lvl>
  </w:abstractNum>
  <w:abstractNum w:abstractNumId="66">
    <w:nsid w:val="2DF6D648"/>
    <w:multiLevelType w:val="hybridMultilevel"/>
    <w:lvl w:ilvl="0">
      <w:lvlJc w:val="left"/>
      <w:lvlText w:val="(%1)"/>
      <w:numFmt w:val="lowerLetter"/>
      <w:start w:val="35"/>
    </w:lvl>
    <w:lvl w:ilvl="1">
      <w:lvlJc w:val="left"/>
      <w:lvlText w:val="(%2)"/>
      <w:numFmt w:val="lowerLetter"/>
      <w:start w:val="6"/>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1)"/>
      <w:numFmt w:val="lowerLetter"/>
      <w:start w:val="4"/>
    </w:lvl>
  </w:abstractNum>
  <w:abstractNum w:abstractNumId="71">
    <w:nsid w:val="CC1016F"/>
    <w:multiLevelType w:val="hybridMultilevel"/>
    <w:lvl w:ilvl="0">
      <w:lvlJc w:val="left"/>
      <w:lvlText w:val="(%1)"/>
      <w:numFmt w:val="lowerLetter"/>
      <w:start w:val="1"/>
    </w:lvl>
  </w:abstractNum>
  <w:abstractNum w:abstractNumId="72">
    <w:nsid w:val="43F18422"/>
    <w:multiLevelType w:val="hybridMultilevel"/>
    <w:lvl w:ilvl="0">
      <w:lvlJc w:val="left"/>
      <w:lvlText w:val="(%1)"/>
      <w:numFmt w:val="lowerLetter"/>
      <w:start w:val="5"/>
    </w:lvl>
  </w:abstractNum>
  <w:abstractNum w:abstractNumId="73">
    <w:nsid w:val="60EF0119"/>
    <w:multiLevelType w:val="hybridMultilevel"/>
    <w:lvl w:ilvl="0">
      <w:lvlJc w:val="left"/>
      <w:lvlText w:val="%1"/>
      <w:numFmt w:val="lowerLetter"/>
      <w:start w:val="1"/>
    </w:lvl>
    <w:lvl w:ilvl="1">
      <w:lvlJc w:val="left"/>
      <w:lvlText w:val="(%2)"/>
      <w:numFmt w:val="lowerLetter"/>
      <w:start w:val="1"/>
    </w:lvl>
  </w:abstractNum>
  <w:abstractNum w:abstractNumId="74">
    <w:nsid w:val="26F324BA"/>
    <w:multiLevelType w:val="hybridMultilevel"/>
    <w:lvl w:ilvl="0">
      <w:lvlJc w:val="left"/>
      <w:lvlText w:val="(%1)"/>
      <w:numFmt w:val="lowerLetter"/>
      <w:start w:val="35"/>
    </w:lvl>
    <w:lvl w:ilvl="1">
      <w:lvlJc w:val="left"/>
      <w:lvlText w:val="(%2)"/>
      <w:numFmt w:val="lowerLetter"/>
      <w:start w:val="4"/>
    </w:lvl>
  </w:abstractNum>
  <w:abstractNum w:abstractNumId="75">
    <w:nsid w:val="7F01579B"/>
    <w:multiLevelType w:val="hybridMultilevel"/>
    <w:lvl w:ilvl="0">
      <w:lvlJc w:val="left"/>
      <w:lvlText w:val="(%1)"/>
      <w:numFmt w:val="lowerLetter"/>
      <w:start w:val="35"/>
    </w:lvl>
    <w:lvl w:ilvl="1">
      <w:lvlJc w:val="left"/>
      <w:lvlText w:val="(%2)"/>
      <w:numFmt w:val="lowerLetter"/>
      <w:start w:val="7"/>
    </w:lvl>
  </w:abstractNum>
  <w:abstractNum w:abstractNumId="76">
    <w:nsid w:val="49DA307D"/>
    <w:multiLevelType w:val="hybridMultilevel"/>
    <w:lvl w:ilvl="0">
      <w:lvlJc w:val="left"/>
      <w:lvlText w:val="%1"/>
      <w:numFmt w:val="lowerLetter"/>
      <w:start w:val="1"/>
    </w:lvl>
    <w:lvl w:ilvl="1">
      <w:lvlJc w:val="left"/>
      <w:lvlText w:val="(%2)"/>
      <w:numFmt w:val="lowerLetter"/>
      <w:start w:val="8"/>
    </w:lvl>
  </w:abstractNum>
  <w:abstractNum w:abstractNumId="77">
    <w:nsid w:val="7055A5F5"/>
    <w:multiLevelType w:val="hybridMultilevel"/>
    <w:lvl w:ilvl="0">
      <w:lvlJc w:val="left"/>
      <w:lvlText w:val="(%1)"/>
      <w:numFmt w:val="lowerLetter"/>
      <w:start w:val="9"/>
    </w:lvl>
    <w:lvl w:ilvl="1">
      <w:lvlJc w:val="left"/>
      <w:lvlText w:val="(%2)"/>
      <w:numFmt w:val="lowerLetter"/>
      <w:start w:val="9"/>
    </w:lvl>
  </w:abstractNum>
  <w:abstractNum w:abstractNumId="78">
    <w:nsid w:val="5FB8370B"/>
    <w:multiLevelType w:val="hybridMultilevel"/>
    <w:lvl w:ilvl="0">
      <w:lvlJc w:val="left"/>
      <w:lvlText w:val="(%1)"/>
      <w:numFmt w:val="lowerLetter"/>
      <w:start w:val="1"/>
    </w:lvl>
  </w:abstractNum>
  <w:abstractNum w:abstractNumId="79">
    <w:nsid w:val="50801EE1"/>
    <w:multiLevelType w:val="hybridMultilevel"/>
    <w:lvl w:ilvl="0">
      <w:lvlJc w:val="left"/>
      <w:lvlText w:val="(%1)"/>
      <w:numFmt w:val="lowerLetter"/>
      <w:start w:val="11"/>
    </w:lvl>
  </w:abstractNum>
  <w:abstractNum w:abstractNumId="80">
    <w:nsid w:val="488AC1A"/>
    <w:multiLevelType w:val="hybridMultilevel"/>
    <w:lvl w:ilvl="0">
      <w:lvlJc w:val="left"/>
      <w:lvlText w:val="(%1)"/>
      <w:numFmt w:val="lowerLetter"/>
      <w:start w:val="1"/>
    </w:lvl>
    <w:lvl w:ilvl="1">
      <w:lvlJc w:val="left"/>
      <w:lvlText w:val="(%2)"/>
      <w:numFmt w:val="lowerRoman"/>
      <w:start w:val="1"/>
    </w:lvl>
  </w:abstractNum>
  <w:abstractNum w:abstractNumId="81">
    <w:nsid w:val="5FB8011C"/>
    <w:multiLevelType w:val="hybridMultilevel"/>
    <w:lvl w:ilvl="0">
      <w:lvlJc w:val="left"/>
      <w:lvlText w:val="%1"/>
      <w:numFmt w:val="lowerLetter"/>
      <w:start w:val="1"/>
    </w:lvl>
    <w:lvl w:ilvl="1">
      <w:lvlJc w:val="left"/>
      <w:lvlText w:val="(%2)"/>
      <w:numFmt w:val="lowerRoman"/>
      <w:start w:val="6"/>
    </w:lvl>
  </w:abstractNum>
  <w:abstractNum w:abstractNumId="82">
    <w:nsid w:val="6AA78F7F"/>
    <w:multiLevelType w:val="hybridMultilevel"/>
    <w:lvl w:ilvl="0">
      <w:lvlJc w:val="left"/>
      <w:lvlText w:val="(%1)"/>
      <w:numFmt w:val="lowerLetter"/>
      <w:start w:val="2"/>
    </w:lvl>
    <w:lvl w:ilvl="1">
      <w:lvlJc w:val="left"/>
      <w:lvlText w:val="(%2)"/>
      <w:numFmt w:val="lowerRoman"/>
      <w:start w:val="1"/>
    </w:lvl>
  </w:abstractNum>
  <w:abstractNum w:abstractNumId="83">
    <w:nsid w:val="7672BD23"/>
    <w:multiLevelType w:val="hybridMultilevel"/>
    <w:lvl w:ilvl="0">
      <w:lvlJc w:val="left"/>
      <w:lvlText w:val="(%1)"/>
      <w:numFmt w:val="upperLetter"/>
      <w:start w:val="1"/>
    </w:lvl>
  </w:abstractNum>
  <w:abstractNum w:abstractNumId="84">
    <w:nsid w:val="6FC75AF8"/>
    <w:multiLevelType w:val="hybridMultilevel"/>
    <w:lvl w:ilvl="0">
      <w:lvlJc w:val="left"/>
      <w:lvlText w:val="(%1)"/>
      <w:numFmt w:val="upperLetter"/>
      <w:start w:val="2"/>
    </w:lvl>
  </w:abstractNum>
  <w:abstractNum w:abstractNumId="85">
    <w:nsid w:val="6A5F7029"/>
    <w:multiLevelType w:val="hybridMultilevel"/>
    <w:lvl w:ilvl="0">
      <w:lvlJc w:val="left"/>
      <w:lvlText w:val="(%1)"/>
      <w:numFmt w:val="lowerRoman"/>
      <w:start w:val="4"/>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lowerLetter"/>
      <w:start w:val="10"/>
    </w:lvl>
  </w:abstractNum>
  <w:abstractNum w:abstractNumId="88">
    <w:nsid w:val="73A1821B"/>
    <w:multiLevelType w:val="hybridMultilevel"/>
    <w:lvl w:ilvl="0">
      <w:lvlJc w:val="left"/>
      <w:lvlText w:val="%1"/>
      <w:numFmt w:val="lowerLetter"/>
      <w:start w:val="1"/>
    </w:lvl>
    <w:lvl w:ilvl="1">
      <w:lvlJc w:val="left"/>
      <w:lvlText w:val="(%2)"/>
      <w:numFmt w:val="lowerLetter"/>
      <w:start w:val="1"/>
    </w:lvl>
  </w:abstractNum>
  <w:abstractNum w:abstractNumId="89">
    <w:nsid w:val="7DE67713"/>
    <w:multiLevelType w:val="hybridMultilevel"/>
    <w:lvl w:ilvl="0">
      <w:lvlJc w:val="left"/>
      <w:lvlText w:val="(%1)"/>
      <w:numFmt w:val="lowerLetter"/>
      <w:start w:val="35"/>
    </w:lvl>
    <w:lvl w:ilvl="1">
      <w:lvlJc w:val="left"/>
      <w:lvlText w:val="(%2)"/>
      <w:numFmt w:val="lowerLetter"/>
      <w:start w:val="4"/>
    </w:lvl>
  </w:abstractNum>
  <w:abstractNum w:abstractNumId="90">
    <w:nsid w:val="555C55B5"/>
    <w:multiLevelType w:val="hybridMultilevel"/>
    <w:lvl w:ilvl="0">
      <w:lvlJc w:val="left"/>
      <w:lvlText w:val="(%1)"/>
      <w:numFmt w:val="lowerLetter"/>
      <w:start w:val="7"/>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upperLetter"/>
      <w:start w:val="1"/>
    </w:lvl>
    <w:lvl w:ilvl="1">
      <w:lvlJc w:val="left"/>
      <w:lvlText w:val="(%2)"/>
      <w:numFmt w:val="lowerLetter"/>
      <w:start w:val="3"/>
    </w:lvl>
  </w:abstractNum>
  <w:abstractNum w:abstractNumId="94">
    <w:nsid w:val="71C91298"/>
    <w:multiLevelType w:val="hybridMultilevel"/>
    <w:lvl w:ilvl="0">
      <w:lvlJc w:val="left"/>
      <w:lvlText w:val="%1"/>
      <w:numFmt w:val="lowerLetter"/>
      <w:start w:val="1"/>
    </w:lvl>
    <w:lvl w:ilvl="1">
      <w:lvlJc w:val="left"/>
      <w:lvlText w:val="(%2)"/>
      <w:numFmt w:val="lowerLetter"/>
      <w:start w:val="7"/>
    </w:lvl>
  </w:abstractNum>
  <w:abstractNum w:abstractNumId="95">
    <w:nsid w:val="9DAF632"/>
    <w:multiLevelType w:val="hybridMultilevel"/>
    <w:lvl w:ilvl="0">
      <w:lvlJc w:val="left"/>
      <w:lvlText w:val="(%1)"/>
      <w:numFmt w:val="lowerLetter"/>
      <w:start w:val="9"/>
    </w:lvl>
    <w:lvl w:ilvl="1">
      <w:lvlJc w:val="left"/>
      <w:lvlText w:val="%2"/>
      <w:numFmt w:val="lowerLetter"/>
      <w:start w:val="1"/>
    </w:lvl>
  </w:abstractNum>
  <w:abstractNum w:abstractNumId="96">
    <w:nsid w:val="53299938"/>
    <w:multiLevelType w:val="hybridMultilevel"/>
    <w:lvl w:ilvl="0">
      <w:lvlJc w:val="left"/>
      <w:lvlText w:val="(%1)"/>
      <w:numFmt w:val="lowerLetter"/>
      <w:start w:val="1"/>
    </w:lvl>
    <w:lvl w:ilvl="1">
      <w:lvlJc w:val="left"/>
      <w:lvlText w:val="(%2)"/>
      <w:numFmt w:val="lowerLetter"/>
      <w:start w:val="9"/>
    </w:lvl>
  </w:abstractNum>
  <w:abstractNum w:abstractNumId="97">
    <w:nsid w:val="1FBFE8E0"/>
    <w:multiLevelType w:val="hybridMultilevel"/>
    <w:lvl w:ilvl="0">
      <w:lvlJc w:val="left"/>
      <w:lvlText w:val="(%1)"/>
      <w:numFmt w:val="lowerRoman"/>
      <w:start w:val="2"/>
    </w:lvl>
  </w:abstractNum>
  <w:abstractNum w:abstractNumId="98">
    <w:nsid w:val="5092CA79"/>
    <w:multiLevelType w:val="hybridMultilevel"/>
    <w:lvl w:ilvl="0">
      <w:lvlJc w:val="left"/>
      <w:lvlText w:val="(%1)"/>
      <w:numFmt w:val="lowerLetter"/>
      <w:start w:val="2"/>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1"/>
    </w:lvl>
  </w:abstractNum>
  <w:abstractNum w:abstractNumId="101">
    <w:nsid w:val="288F1A34"/>
    <w:multiLevelType w:val="hybridMultilevel"/>
    <w:lvl w:ilvl="0">
      <w:lvlJc w:val="left"/>
      <w:lvlText w:val="(%1)"/>
      <w:numFmt w:val="lowerLetter"/>
      <w:start w:val="2"/>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1"/>
    </w:lvl>
  </w:abstractNum>
  <w:abstractNum w:abstractNumId="104">
    <w:nsid w:val="97E1B4E"/>
    <w:multiLevelType w:val="hybridMultilevel"/>
    <w:lvl w:ilvl="0">
      <w:lvlJc w:val="left"/>
      <w:lvlText w:val="(%1)"/>
      <w:numFmt w:val="lowerLetter"/>
      <w:start w:val="3"/>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Roman"/>
      <w:start w:val="8"/>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2"/>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87" Type="http://schemas.openxmlformats.org/officeDocument/2006/relationships/hyperlink" Target="https://www.sec.gov/Archives/edgar/data/1820302/000119312523089016/d482123dex22.htm" TargetMode="External"/><Relationship Id="rId88" Type="http://schemas.openxmlformats.org/officeDocument/2006/relationships/hyperlink" Target="https://www.sec.gov/Archives/edgar/data/1820302/000119312524176416/d133420dex41.htm" TargetMode="External"/><Relationship Id="rId89" Type="http://schemas.openxmlformats.org/officeDocument/2006/relationships/hyperlink" Target="https://www.sec.gov/Archives/edgar/data/0001820302/000119312521303985/d219325dex32.htm" TargetMode="External"/><Relationship Id="rId90" Type="http://schemas.openxmlformats.org/officeDocument/2006/relationships/hyperlink" Target="https://www.sec.gov/Archives/edgar/data/1820302/000182030224000080/ex41firstamendmentto3rdame.htm" TargetMode="External"/><Relationship Id="rId91" Type="http://schemas.openxmlformats.org/officeDocument/2006/relationships/hyperlink" Target="https://www.sec.gov/Archives/edgar/data/1820302/000119312524176416/d133420dex4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2024-08-14T06:15:53Z</dcterms:created>
  <dcterms:modified xsi:type="dcterms:W3CDTF">2024-08-14T06:15:53Z</dcterms:modified>
</cp:coreProperties>
</file>