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5"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8"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12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131"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2" w:lineRule="exact"/>
        <w:rPr>
          <w:sz w:val="24"/>
          <w:szCs w:val="24"/>
          <w:color w:val="auto"/>
        </w:rPr>
      </w:pPr>
    </w:p>
    <w:tbl>
      <w:tblPr>
        <w:tblLayout w:type="fixed"/>
        <w:tblInd w:w="120" w:type="dxa"/>
        <w:tblCellMar>
          <w:top w:w="0" w:type="dxa"/>
          <w:left w:w="0" w:type="dxa"/>
          <w:bottom w:w="0" w:type="dxa"/>
          <w:right w:w="0" w:type="dxa"/>
        </w:tblCellMar>
      </w:tblPr>
      <w:tr>
        <w:trPr>
          <w:trHeight w:val="184"/>
        </w:trPr>
        <w:tc>
          <w:tcPr>
            <w:tcW w:w="5660" w:type="dxa"/>
            <w:vAlign w:val="bottom"/>
            <w:gridSpan w:val="6"/>
          </w:tcPr>
          <w:p>
            <w:pPr>
              <w:ind w:left="3520"/>
              <w:spacing w:after="0"/>
              <w:rPr>
                <w:sz w:val="20"/>
                <w:szCs w:val="20"/>
                <w:color w:val="auto"/>
              </w:rPr>
            </w:pPr>
            <w:r>
              <w:rPr>
                <w:rFonts w:ascii="Arial" w:cs="Arial" w:eastAsia="Arial" w:hAnsi="Arial"/>
                <w:sz w:val="16"/>
                <w:szCs w:val="16"/>
                <w:b w:val="1"/>
                <w:bCs w:val="1"/>
                <w:color w:val="auto"/>
                <w:w w:val="94"/>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Arial" w:cs="Arial" w:eastAsia="Arial" w:hAnsi="Arial"/>
                <w:sz w:val="16"/>
                <w:szCs w:val="16"/>
                <w:b w:val="1"/>
                <w:bCs w:val="1"/>
                <w:color w:val="auto"/>
              </w:rPr>
              <w:t>to</w:t>
            </w: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7"/>
          </w:tcPr>
          <w:p>
            <w:pPr>
              <w:jc w:val="center"/>
              <w:ind w:left="68"/>
              <w:spacing w:after="0"/>
              <w:rPr>
                <w:sz w:val="20"/>
                <w:szCs w:val="20"/>
                <w:color w:val="auto"/>
              </w:rPr>
            </w:pPr>
            <w:r>
              <w:rPr>
                <w:rFonts w:ascii="Arial" w:cs="Arial" w:eastAsia="Arial" w:hAnsi="Arial"/>
                <w:sz w:val="16"/>
                <w:szCs w:val="16"/>
                <w:b w:val="1"/>
                <w:bCs w:val="1"/>
                <w:color w:val="auto"/>
                <w:w w:val="91"/>
              </w:rPr>
              <w:t>Commission File Number: 001-39544</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3"/>
        </w:trPr>
        <w:tc>
          <w:tcPr>
            <w:tcW w:w="11020" w:type="dxa"/>
            <w:vAlign w:val="bottom"/>
            <w:gridSpan w:val="15"/>
          </w:tcPr>
          <w:p>
            <w:pPr>
              <w:jc w:val="center"/>
              <w:spacing w:after="0"/>
              <w:rPr>
                <w:sz w:val="20"/>
                <w:szCs w:val="20"/>
                <w:color w:val="auto"/>
              </w:rPr>
            </w:pPr>
            <w:r>
              <w:rPr>
                <w:rFonts w:ascii="Arial" w:cs="Arial" w:eastAsia="Arial" w:hAnsi="Arial"/>
                <w:sz w:val="40"/>
                <w:szCs w:val="40"/>
                <w:b w:val="1"/>
                <w:bCs w:val="1"/>
                <w:color w:val="auto"/>
              </w:rPr>
              <w:t>VPC IMPACT ACQUISITION HOLDINGS</w:t>
            </w:r>
          </w:p>
        </w:tc>
        <w:tc>
          <w:tcPr>
            <w:tcW w:w="0" w:type="dxa"/>
            <w:vAlign w:val="bottom"/>
          </w:tcPr>
          <w:p>
            <w:pPr>
              <w:spacing w:after="0"/>
              <w:rPr>
                <w:sz w:val="1"/>
                <w:szCs w:val="1"/>
                <w:color w:val="auto"/>
              </w:rPr>
            </w:pPr>
          </w:p>
        </w:tc>
      </w:tr>
      <w:tr>
        <w:trPr>
          <w:trHeight w:val="210"/>
        </w:trPr>
        <w:tc>
          <w:tcPr>
            <w:tcW w:w="7440" w:type="dxa"/>
            <w:vAlign w:val="bottom"/>
            <w:gridSpan w:val="12"/>
          </w:tcPr>
          <w:p>
            <w:pPr>
              <w:jc w:val="center"/>
              <w:ind w:left="3502"/>
              <w:spacing w:after="0"/>
              <w:rPr>
                <w:sz w:val="20"/>
                <w:szCs w:val="20"/>
                <w:color w:val="auto"/>
              </w:rPr>
            </w:pPr>
            <w:r>
              <w:rPr>
                <w:rFonts w:ascii="Arial" w:cs="Arial" w:eastAsia="Arial" w:hAnsi="Arial"/>
                <w:sz w:val="16"/>
                <w:szCs w:val="16"/>
                <w:b w:val="1"/>
                <w:bCs w:val="1"/>
                <w:color w:val="auto"/>
                <w:w w:val="92"/>
              </w:rPr>
              <w:t>(Exact Name of Registrant as Specified in Its Charter)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80" w:type="dxa"/>
            <w:vAlign w:val="bottom"/>
            <w:gridSpan w:val="3"/>
            <w:vMerge w:val="restart"/>
          </w:tcPr>
          <w:p>
            <w:pPr>
              <w:jc w:val="center"/>
              <w:ind w:left="1502"/>
              <w:spacing w:after="0"/>
              <w:rPr>
                <w:sz w:val="20"/>
                <w:szCs w:val="20"/>
                <w:color w:val="auto"/>
              </w:rPr>
            </w:pPr>
            <w:r>
              <w:rPr>
                <w:rFonts w:ascii="Arial" w:cs="Arial" w:eastAsia="Arial" w:hAnsi="Arial"/>
                <w:sz w:val="14"/>
                <w:szCs w:val="14"/>
                <w:b w:val="1"/>
                <w:bCs w:val="1"/>
                <w:color w:val="auto"/>
                <w:w w:val="93"/>
              </w:rPr>
              <w:t>Cayman Islands</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80" w:type="dxa"/>
            <w:vAlign w:val="bottom"/>
            <w:gridSpan w:val="3"/>
            <w:vMerge w:val="restart"/>
          </w:tcPr>
          <w:p>
            <w:pPr>
              <w:jc w:val="right"/>
              <w:ind w:right="2273"/>
              <w:spacing w:after="0"/>
              <w:rPr>
                <w:sz w:val="20"/>
                <w:szCs w:val="20"/>
                <w:color w:val="auto"/>
              </w:rPr>
            </w:pPr>
            <w:r>
              <w:rPr>
                <w:rFonts w:ascii="Arial" w:cs="Arial" w:eastAsia="Arial" w:hAnsi="Arial"/>
                <w:sz w:val="14"/>
                <w:szCs w:val="14"/>
                <w:b w:val="1"/>
                <w:bCs w:val="1"/>
                <w:color w:val="auto"/>
              </w:rPr>
              <w:t>98-1550750</w:t>
            </w:r>
          </w:p>
        </w:tc>
        <w:tc>
          <w:tcPr>
            <w:tcW w:w="0" w:type="dxa"/>
            <w:vAlign w:val="bottom"/>
          </w:tcPr>
          <w:p>
            <w:pPr>
              <w:spacing w:after="0"/>
              <w:rPr>
                <w:sz w:val="1"/>
                <w:szCs w:val="1"/>
                <w:color w:val="auto"/>
              </w:rPr>
            </w:pPr>
          </w:p>
        </w:tc>
      </w:tr>
      <w:tr>
        <w:trPr>
          <w:trHeight w:val="272"/>
        </w:trPr>
        <w:tc>
          <w:tcPr>
            <w:tcW w:w="3980" w:type="dxa"/>
            <w:vAlign w:val="bottom"/>
            <w:gridSpan w:val="3"/>
            <w:vMerge w:val="continue"/>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8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980" w:type="dxa"/>
            <w:vAlign w:val="bottom"/>
            <w:gridSpan w:val="3"/>
          </w:tcPr>
          <w:p>
            <w:pPr>
              <w:jc w:val="center"/>
              <w:ind w:left="1502"/>
              <w:spacing w:after="0" w:line="135" w:lineRule="exact"/>
              <w:rPr>
                <w:sz w:val="20"/>
                <w:szCs w:val="20"/>
                <w:color w:val="auto"/>
              </w:rPr>
            </w:pPr>
            <w:r>
              <w:rPr>
                <w:rFonts w:ascii="Arial" w:cs="Arial" w:eastAsia="Arial" w:hAnsi="Arial"/>
                <w:sz w:val="13"/>
                <w:szCs w:val="13"/>
                <w:b w:val="1"/>
                <w:bCs w:val="1"/>
                <w:color w:val="auto"/>
                <w:w w:val="89"/>
              </w:rPr>
              <w:t>(State or Other Jurisdiction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20" w:type="dxa"/>
            <w:vAlign w:val="bottom"/>
          </w:tcPr>
          <w:p>
            <w:pPr>
              <w:jc w:val="center"/>
              <w:ind w:right="1773"/>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3980" w:type="dxa"/>
            <w:vAlign w:val="bottom"/>
            <w:gridSpan w:val="3"/>
          </w:tcPr>
          <w:p>
            <w:pPr>
              <w:jc w:val="center"/>
              <w:ind w:left="1502"/>
              <w:spacing w:after="0"/>
              <w:rPr>
                <w:sz w:val="20"/>
                <w:szCs w:val="20"/>
                <w:color w:val="auto"/>
              </w:rPr>
            </w:pPr>
            <w:r>
              <w:rPr>
                <w:rFonts w:ascii="Arial" w:cs="Arial" w:eastAsia="Arial" w:hAnsi="Arial"/>
                <w:sz w:val="13"/>
                <w:szCs w:val="13"/>
                <w:b w:val="1"/>
                <w:bCs w:val="1"/>
                <w:color w:val="auto"/>
                <w:w w:val="89"/>
              </w:rPr>
              <w:t>Incorporation or Organization</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tcPr>
          <w:p>
            <w:pPr>
              <w:jc w:val="center"/>
              <w:ind w:right="1773"/>
              <w:spacing w:after="0"/>
              <w:rPr>
                <w:sz w:val="20"/>
                <w:szCs w:val="20"/>
                <w:color w:val="auto"/>
              </w:rPr>
            </w:pPr>
            <w:r>
              <w:rPr>
                <w:rFonts w:ascii="Arial" w:cs="Arial" w:eastAsia="Arial" w:hAnsi="Arial"/>
                <w:sz w:val="13"/>
                <w:szCs w:val="13"/>
                <w:b w:val="1"/>
                <w:bCs w:val="1"/>
                <w:color w:val="auto"/>
                <w:w w:val="91"/>
              </w:rPr>
              <w:t>Identification No.)</w:t>
            </w:r>
          </w:p>
        </w:tc>
        <w:tc>
          <w:tcPr>
            <w:tcW w:w="0" w:type="dxa"/>
            <w:vAlign w:val="bottom"/>
          </w:tcPr>
          <w:p>
            <w:pPr>
              <w:spacing w:after="0"/>
              <w:rPr>
                <w:sz w:val="1"/>
                <w:szCs w:val="1"/>
                <w:color w:val="auto"/>
              </w:rPr>
            </w:pPr>
          </w:p>
        </w:tc>
      </w:tr>
      <w:tr>
        <w:trPr>
          <w:trHeight w:val="182"/>
        </w:trPr>
        <w:tc>
          <w:tcPr>
            <w:tcW w:w="3980" w:type="dxa"/>
            <w:vAlign w:val="bottom"/>
            <w:gridSpan w:val="3"/>
          </w:tcPr>
          <w:p>
            <w:pPr>
              <w:jc w:val="center"/>
              <w:ind w:left="1502"/>
              <w:spacing w:after="0"/>
              <w:rPr>
                <w:sz w:val="20"/>
                <w:szCs w:val="20"/>
                <w:color w:val="auto"/>
              </w:rPr>
            </w:pPr>
            <w:r>
              <w:rPr>
                <w:rFonts w:ascii="Arial" w:cs="Arial" w:eastAsia="Arial" w:hAnsi="Arial"/>
                <w:sz w:val="14"/>
                <w:szCs w:val="14"/>
                <w:b w:val="1"/>
                <w:bCs w:val="1"/>
                <w:color w:val="auto"/>
                <w:w w:val="96"/>
              </w:rPr>
              <w:t>Victory Park Capital Advisors, LLC</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980" w:type="dxa"/>
            <w:vAlign w:val="bottom"/>
            <w:gridSpan w:val="3"/>
          </w:tcPr>
          <w:p>
            <w:pPr>
              <w:jc w:val="center"/>
              <w:ind w:left="1502"/>
              <w:spacing w:after="0" w:line="149" w:lineRule="exact"/>
              <w:rPr>
                <w:sz w:val="20"/>
                <w:szCs w:val="20"/>
                <w:color w:val="auto"/>
              </w:rPr>
            </w:pPr>
            <w:r>
              <w:rPr>
                <w:rFonts w:ascii="Arial" w:cs="Arial" w:eastAsia="Arial" w:hAnsi="Arial"/>
                <w:sz w:val="14"/>
                <w:szCs w:val="14"/>
                <w:b w:val="1"/>
                <w:bCs w:val="1"/>
                <w:color w:val="auto"/>
                <w:w w:val="93"/>
              </w:rPr>
              <w:t>150 North Riverside Plaza, Suite 5200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80" w:type="dxa"/>
            <w:vAlign w:val="bottom"/>
            <w:gridSpan w:val="3"/>
          </w:tcPr>
          <w:p>
            <w:pPr>
              <w:jc w:val="center"/>
              <w:ind w:left="1502"/>
              <w:spacing w:after="0"/>
              <w:rPr>
                <w:sz w:val="20"/>
                <w:szCs w:val="20"/>
                <w:color w:val="auto"/>
              </w:rPr>
            </w:pPr>
            <w:r>
              <w:rPr>
                <w:rFonts w:ascii="Arial" w:cs="Arial" w:eastAsia="Arial" w:hAnsi="Arial"/>
                <w:sz w:val="14"/>
                <w:szCs w:val="14"/>
                <w:b w:val="1"/>
                <w:bCs w:val="1"/>
                <w:color w:val="auto"/>
                <w:w w:val="95"/>
              </w:rPr>
              <w:t>Chicago, IL</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580" w:type="dxa"/>
            <w:vAlign w:val="bottom"/>
            <w:gridSpan w:val="3"/>
          </w:tcPr>
          <w:p>
            <w:pPr>
              <w:jc w:val="right"/>
              <w:ind w:right="2433"/>
              <w:spacing w:after="0"/>
              <w:rPr>
                <w:sz w:val="20"/>
                <w:szCs w:val="20"/>
                <w:color w:val="auto"/>
              </w:rPr>
            </w:pPr>
            <w:r>
              <w:rPr>
                <w:rFonts w:ascii="Arial" w:cs="Arial" w:eastAsia="Arial" w:hAnsi="Arial"/>
                <w:sz w:val="14"/>
                <w:szCs w:val="14"/>
                <w:b w:val="1"/>
                <w:bCs w:val="1"/>
                <w:color w:val="auto"/>
              </w:rPr>
              <w:t>60606</w:t>
            </w:r>
          </w:p>
        </w:tc>
        <w:tc>
          <w:tcPr>
            <w:tcW w:w="0" w:type="dxa"/>
            <w:vAlign w:val="bottom"/>
          </w:tcPr>
          <w:p>
            <w:pPr>
              <w:spacing w:after="0"/>
              <w:rPr>
                <w:sz w:val="1"/>
                <w:szCs w:val="1"/>
                <w:color w:val="auto"/>
              </w:rPr>
            </w:pPr>
          </w:p>
        </w:tc>
      </w:tr>
      <w:tr>
        <w:trPr>
          <w:trHeight w:val="164"/>
        </w:trPr>
        <w:tc>
          <w:tcPr>
            <w:tcW w:w="3980" w:type="dxa"/>
            <w:vAlign w:val="bottom"/>
            <w:gridSpan w:val="3"/>
          </w:tcPr>
          <w:p>
            <w:pPr>
              <w:jc w:val="center"/>
              <w:ind w:left="1502"/>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tcPr>
          <w:p>
            <w:pPr>
              <w:jc w:val="center"/>
              <w:ind w:right="1773"/>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r>
        <w:trPr>
          <w:trHeight w:val="227"/>
        </w:trPr>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4"/>
          </w:tcPr>
          <w:p>
            <w:pPr>
              <w:jc w:val="center"/>
              <w:ind w:left="508"/>
              <w:spacing w:after="0"/>
              <w:rPr>
                <w:sz w:val="20"/>
                <w:szCs w:val="20"/>
                <w:color w:val="auto"/>
              </w:rPr>
            </w:pPr>
            <w:r>
              <w:rPr>
                <w:rFonts w:ascii="Arial" w:cs="Arial" w:eastAsia="Arial" w:hAnsi="Arial"/>
                <w:sz w:val="14"/>
                <w:szCs w:val="14"/>
                <w:b w:val="1"/>
                <w:bCs w:val="1"/>
                <w:color w:val="auto"/>
                <w:w w:val="93"/>
              </w:rPr>
              <w:t>(312) 701-1777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9"/>
          </w:tcPr>
          <w:p>
            <w:pPr>
              <w:jc w:val="center"/>
              <w:ind w:right="420"/>
              <w:spacing w:after="0"/>
              <w:rPr>
                <w:sz w:val="20"/>
                <w:szCs w:val="20"/>
                <w:color w:val="auto"/>
              </w:rPr>
            </w:pPr>
            <w:r>
              <w:rPr>
                <w:rFonts w:ascii="Arial" w:cs="Arial" w:eastAsia="Arial" w:hAnsi="Arial"/>
                <w:sz w:val="13"/>
                <w:szCs w:val="13"/>
                <w:b w:val="1"/>
                <w:bCs w:val="1"/>
                <w:color w:val="auto"/>
                <w:w w:val="87"/>
              </w:rPr>
              <w:t>(Registrant’s Telephone Number, Including Area Code)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3740" w:type="dxa"/>
            <w:vAlign w:val="bottom"/>
          </w:tcPr>
          <w:p>
            <w:pPr>
              <w:spacing w:after="0"/>
              <w:rPr>
                <w:sz w:val="22"/>
                <w:szCs w:val="22"/>
                <w:color w:val="auto"/>
              </w:rPr>
            </w:pPr>
          </w:p>
        </w:tc>
        <w:tc>
          <w:tcPr>
            <w:tcW w:w="3700" w:type="dxa"/>
            <w:vAlign w:val="bottom"/>
            <w:gridSpan w:val="11"/>
          </w:tcPr>
          <w:p>
            <w:pPr>
              <w:jc w:val="center"/>
              <w:ind w:right="18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3"/>
                <w:szCs w:val="13"/>
                <w:b w:val="1"/>
                <w:bCs w:val="1"/>
                <w:color w:val="auto"/>
                <w:w w:val="84"/>
              </w:rPr>
              <w:t>Name of each exchange on</w:t>
            </w:r>
          </w:p>
        </w:tc>
        <w:tc>
          <w:tcPr>
            <w:tcW w:w="0" w:type="dxa"/>
            <w:vAlign w:val="bottom"/>
          </w:tcPr>
          <w:p>
            <w:pPr>
              <w:spacing w:after="0"/>
              <w:rPr>
                <w:sz w:val="1"/>
                <w:szCs w:val="1"/>
                <w:color w:val="auto"/>
              </w:rPr>
            </w:pPr>
          </w:p>
        </w:tc>
      </w:tr>
      <w:tr>
        <w:trPr>
          <w:trHeight w:val="164"/>
        </w:trPr>
        <w:tc>
          <w:tcPr>
            <w:tcW w:w="39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3"/>
              </w:rPr>
              <w:t>Title of each class</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2"/>
          </w:tcPr>
          <w:p>
            <w:pPr>
              <w:jc w:val="center"/>
              <w:ind w:left="370"/>
              <w:spacing w:after="0"/>
              <w:rPr>
                <w:sz w:val="20"/>
                <w:szCs w:val="20"/>
                <w:color w:val="auto"/>
              </w:rPr>
            </w:pPr>
            <w:r>
              <w:rPr>
                <w:rFonts w:ascii="Arial" w:cs="Arial" w:eastAsia="Arial" w:hAnsi="Arial"/>
                <w:sz w:val="13"/>
                <w:szCs w:val="13"/>
                <w:b w:val="1"/>
                <w:bCs w:val="1"/>
                <w:color w:val="auto"/>
                <w:w w:val="87"/>
              </w:rPr>
              <w:t>Trading Symbol(s)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3"/>
                <w:szCs w:val="13"/>
                <w:b w:val="1"/>
                <w:bCs w:val="1"/>
                <w:color w:val="auto"/>
                <w:w w:val="87"/>
              </w:rPr>
              <w:t>which registered</w:t>
            </w:r>
          </w:p>
        </w:tc>
        <w:tc>
          <w:tcPr>
            <w:tcW w:w="0" w:type="dxa"/>
            <w:vAlign w:val="bottom"/>
          </w:tcPr>
          <w:p>
            <w:pPr>
              <w:spacing w:after="0"/>
              <w:rPr>
                <w:sz w:val="1"/>
                <w:szCs w:val="1"/>
                <w:color w:val="auto"/>
              </w:rPr>
            </w:pPr>
          </w:p>
        </w:tc>
      </w:tr>
      <w:tr>
        <w:trPr>
          <w:trHeight w:val="122"/>
        </w:trPr>
        <w:tc>
          <w:tcPr>
            <w:tcW w:w="374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90"/>
              </w:rPr>
              <w:t>Units, each consisting of one Class A ordinary share, $0.0001</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120" w:type="dxa"/>
            <w:vAlign w:val="bottom"/>
            <w:tcBorders>
              <w:top w:val="single" w:sz="8" w:color="auto"/>
            </w:tcBorders>
            <w:gridSpan w:val="2"/>
          </w:tcPr>
          <w:p>
            <w:pPr>
              <w:jc w:val="center"/>
              <w:ind w:left="370"/>
              <w:spacing w:after="0" w:line="122" w:lineRule="exact"/>
              <w:rPr>
                <w:sz w:val="20"/>
                <w:szCs w:val="20"/>
                <w:color w:val="auto"/>
              </w:rPr>
            </w:pPr>
            <w:r>
              <w:rPr>
                <w:rFonts w:ascii="Arial" w:cs="Arial" w:eastAsia="Arial" w:hAnsi="Arial"/>
                <w:sz w:val="14"/>
                <w:szCs w:val="14"/>
                <w:b w:val="1"/>
                <w:bCs w:val="1"/>
                <w:color w:val="auto"/>
              </w:rPr>
              <w:t>VIHAU</w:t>
            </w: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52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96"/>
              </w:rPr>
              <w:t>The Nasdaq Stock Market LLC</w:t>
            </w:r>
          </w:p>
        </w:tc>
        <w:tc>
          <w:tcPr>
            <w:tcW w:w="0" w:type="dxa"/>
            <w:vAlign w:val="bottom"/>
          </w:tcPr>
          <w:p>
            <w:pPr>
              <w:spacing w:after="0"/>
              <w:rPr>
                <w:sz w:val="1"/>
                <w:szCs w:val="1"/>
                <w:color w:val="auto"/>
              </w:rPr>
            </w:pPr>
          </w:p>
        </w:tc>
      </w:tr>
      <w:tr>
        <w:trPr>
          <w:trHeight w:val="148"/>
        </w:trPr>
        <w:tc>
          <w:tcPr>
            <w:tcW w:w="3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par value, and one-half of one Warrant to purchase one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Class A ordinary share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gridSpan w:val="2"/>
            <w:vMerge w:val="restart"/>
          </w:tcPr>
          <w:p>
            <w:pPr>
              <w:jc w:val="center"/>
              <w:ind w:left="370"/>
              <w:spacing w:after="0"/>
              <w:rPr>
                <w:sz w:val="20"/>
                <w:szCs w:val="20"/>
                <w:color w:val="auto"/>
              </w:rPr>
            </w:pPr>
            <w:r>
              <w:rPr>
                <w:rFonts w:ascii="Arial" w:cs="Arial" w:eastAsia="Arial" w:hAnsi="Arial"/>
                <w:sz w:val="14"/>
                <w:szCs w:val="14"/>
                <w:b w:val="1"/>
                <w:bCs w:val="1"/>
                <w:color w:val="auto"/>
              </w:rPr>
              <w:t>VIH</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c>
          <w:tcPr>
            <w:tcW w:w="0" w:type="dxa"/>
            <w:vAlign w:val="bottom"/>
          </w:tcPr>
          <w:p>
            <w:pPr>
              <w:spacing w:after="0"/>
              <w:rPr>
                <w:sz w:val="1"/>
                <w:szCs w:val="1"/>
                <w:color w:val="auto"/>
              </w:rPr>
            </w:pPr>
          </w:p>
        </w:tc>
      </w:tr>
      <w:tr>
        <w:trPr>
          <w:trHeight w:val="148"/>
        </w:trPr>
        <w:tc>
          <w:tcPr>
            <w:tcW w:w="3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Class A ordinary shares, $0.0001 par value per share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Warrants to purchase Class A ordinary shares</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2"/>
          </w:tcPr>
          <w:p>
            <w:pPr>
              <w:jc w:val="center"/>
              <w:ind w:left="370"/>
              <w:spacing w:after="0"/>
              <w:rPr>
                <w:sz w:val="20"/>
                <w:szCs w:val="20"/>
                <w:color w:val="auto"/>
              </w:rPr>
            </w:pPr>
            <w:r>
              <w:rPr>
                <w:rFonts w:ascii="Arial" w:cs="Arial" w:eastAsia="Arial" w:hAnsi="Arial"/>
                <w:sz w:val="14"/>
                <w:szCs w:val="14"/>
                <w:b w:val="1"/>
                <w:bCs w:val="1"/>
                <w:color w:val="auto"/>
              </w:rPr>
              <w:t>VIHAW</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2"/>
                <w:szCs w:val="22"/>
                <w:color w:val="auto"/>
              </w:rPr>
            </w:pPr>
          </w:p>
        </w:tc>
        <w:tc>
          <w:tcPr>
            <w:tcW w:w="3700" w:type="dxa"/>
            <w:vAlign w:val="bottom"/>
            <w:gridSpan w:val="11"/>
          </w:tcPr>
          <w:p>
            <w:pPr>
              <w:jc w:val="center"/>
              <w:ind w:right="180"/>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20" w:type="dxa"/>
            <w:vAlign w:val="bottom"/>
            <w:gridSpan w:val="2"/>
          </w:tcPr>
          <w:p>
            <w:pPr>
              <w:jc w:val="center"/>
              <w:ind w:left="130"/>
              <w:spacing w:after="0"/>
              <w:rPr>
                <w:sz w:val="20"/>
                <w:szCs w:val="20"/>
                <w:color w:val="auto"/>
              </w:rPr>
            </w:pPr>
            <w:r>
              <w:rPr>
                <w:rFonts w:ascii="Arial" w:cs="Arial" w:eastAsia="Arial" w:hAnsi="Arial"/>
                <w:sz w:val="14"/>
                <w:szCs w:val="14"/>
                <w:b w:val="1"/>
                <w:bCs w:val="1"/>
                <w:color w:val="auto"/>
                <w:w w:val="91"/>
              </w:rPr>
              <w:t>None</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340" w:type="dxa"/>
            <w:vAlign w:val="bottom"/>
            <w:gridSpan w:val="5"/>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580" w:type="dxa"/>
            <w:vAlign w:val="bottom"/>
            <w:gridSpan w:val="3"/>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95"/>
        </w:trPr>
        <w:tc>
          <w:tcPr>
            <w:tcW w:w="6880" w:type="dxa"/>
            <w:vAlign w:val="bottom"/>
            <w:gridSpan w:val="10"/>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gridSpan w:val="2"/>
            <w:vMerge w:val="continue"/>
          </w:tcPr>
          <w:p>
            <w:pPr>
              <w:spacing w:after="0"/>
              <w:rPr>
                <w:sz w:val="24"/>
                <w:szCs w:val="24"/>
                <w:color w:val="auto"/>
              </w:rPr>
            </w:pPr>
          </w:p>
        </w:tc>
        <w:tc>
          <w:tcPr>
            <w:tcW w:w="35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80" w:type="dxa"/>
            <w:vAlign w:val="bottom"/>
            <w:gridSpan w:val="10"/>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60" w:type="dxa"/>
            <w:vAlign w:val="bottom"/>
            <w:gridSpan w:val="2"/>
          </w:tcPr>
          <w:p>
            <w:pPr>
              <w:ind w:left="120"/>
              <w:spacing w:after="0" w:line="161" w:lineRule="exact"/>
              <w:rPr>
                <w:sz w:val="20"/>
                <w:szCs w:val="20"/>
                <w:color w:val="auto"/>
              </w:rPr>
            </w:pPr>
            <w:r>
              <w:rPr>
                <w:rFonts w:ascii="Arial" w:cs="Arial" w:eastAsia="Arial" w:hAnsi="Arial"/>
                <w:sz w:val="14"/>
                <w:szCs w:val="14"/>
                <w:color w:val="auto"/>
                <w:w w:val="99"/>
              </w:rPr>
              <w:t xml:space="preserve">Yes </w:t>
            </w:r>
            <w:r>
              <w:rPr>
                <w:rFonts w:ascii="MS PGothic" w:cs="MS PGothic" w:eastAsia="MS PGothic" w:hAnsi="MS PGothic"/>
                <w:sz w:val="14"/>
                <w:szCs w:val="14"/>
                <w:color w:val="auto"/>
                <w:w w:val="99"/>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72" w:lineRule="exact"/>
        <w:rPr>
          <w:sz w:val="24"/>
          <w:szCs w:val="24"/>
          <w:color w:val="auto"/>
        </w:rPr>
      </w:pPr>
    </w:p>
    <w:p>
      <w:pPr>
        <w:ind w:left="120" w:right="20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left="120" w:right="2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22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3"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400" w:type="dxa"/>
            <w:vAlign w:val="bottom"/>
          </w:tcPr>
          <w:p>
            <w:pPr>
              <w:ind w:left="368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2" w:lineRule="exact"/>
        <w:rPr>
          <w:sz w:val="24"/>
          <w:szCs w:val="24"/>
          <w:color w:val="auto"/>
        </w:rPr>
      </w:pPr>
    </w:p>
    <w:p>
      <w:pPr>
        <w:ind w:left="120" w:right="3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3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120"/>
        <w:spacing w:after="0" w:line="161" w:lineRule="exact"/>
        <w:tabs>
          <w:tab w:leader="none" w:pos="6760" w:val="left"/>
          <w:tab w:leader="none" w:pos="73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left="120" w:right="20"/>
        <w:spacing w:after="0" w:line="231" w:lineRule="auto"/>
        <w:rPr>
          <w:sz w:val="20"/>
          <w:szCs w:val="20"/>
          <w:color w:val="auto"/>
        </w:rPr>
      </w:pPr>
      <w:r>
        <w:rPr>
          <w:rFonts w:ascii="Arial" w:cs="Arial" w:eastAsia="Arial" w:hAnsi="Arial"/>
          <w:sz w:val="14"/>
          <w:szCs w:val="14"/>
          <w:color w:val="auto"/>
        </w:rPr>
        <w:t>The registrant was not a public company at June 30, 2020, the last business day of the registrant’s most recently completed second fiscal quarter, and therefore it cannot calculate the aggregate market value of its voting and non-voting common equity held by non-affiliates at such date. The registrant’s units began trading on the Nasdaq Capital Market on September 23, 2020 and the registrant’s Class A ordinary shares began separate trading on the Nasdaq on November 13, 2020. The aggregate market value of the registrant’s Class A ordinary shares outstanding, other than shares held by persons who may be deemed affiliates of the registrant, at December 31, 2020, computed by reference to the closing price for the Class A ordinary shares on such date, as reported on the Nasdaq, was $223,907,781.60.</w:t>
      </w:r>
    </w:p>
    <w:p>
      <w:pPr>
        <w:spacing w:after="0" w:line="7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As of March 29, 2021, there were 20,732,202 Class A ordinary shares, par value $0.0001, and 5,184,300 Class B ordinary shares,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64135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60" w:type="dxa"/>
            <w:vAlign w:val="bottom"/>
            <w:gridSpan w:val="8"/>
          </w:tcPr>
          <w:p>
            <w:pPr>
              <w:ind w:left="4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80" w:type="dxa"/>
            <w:vAlign w:val="bottom"/>
            <w:vMerge w:val="restart"/>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50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0"/>
        </w:trPr>
        <w:tc>
          <w:tcPr>
            <w:tcW w:w="580" w:type="dxa"/>
            <w:vAlign w:val="bottom"/>
            <w:tcBorders>
              <w:bottom w:val="single" w:sz="8" w:color="0000EE"/>
            </w:tcBorders>
            <w:vMerge w:val="continue"/>
          </w:tcPr>
          <w:p>
            <w:pPr>
              <w:spacing w:after="0"/>
              <w:rPr>
                <w:sz w:val="13"/>
                <w:szCs w:val="13"/>
                <w:color w:val="auto"/>
              </w:rPr>
            </w:pPr>
          </w:p>
        </w:tc>
        <w:tc>
          <w:tcPr>
            <w:tcW w:w="50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940" w:type="dxa"/>
            <w:vAlign w:val="bottom"/>
            <w:gridSpan w:val="1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58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9580" w:type="dxa"/>
            <w:vAlign w:val="bottom"/>
            <w:gridSpan w:val="2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Unresolved Staff Comments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Properties</w:t>
              </w:r>
            </w:hyperlink>
          </w:p>
        </w:tc>
        <w:tc>
          <w:tcPr>
            <w:tcW w:w="754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Legal Proceedings</w:t>
              </w:r>
            </w:hyperlink>
          </w:p>
        </w:tc>
        <w:tc>
          <w:tcPr>
            <w:tcW w:w="824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580" w:type="dxa"/>
            <w:vAlign w:val="bottom"/>
            <w:gridSpan w:val="2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1080" w:type="dxa"/>
            <w:vAlign w:val="bottom"/>
            <w:gridSpan w:val="5"/>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440" w:type="dxa"/>
            <w:vAlign w:val="bottom"/>
            <w:gridSpan w:val="3"/>
          </w:tcPr>
          <w:p>
            <w:pPr>
              <w:spacing w:after="0"/>
              <w:rPr>
                <w:sz w:val="17"/>
                <w:szCs w:val="17"/>
                <w:color w:val="auto"/>
              </w:rPr>
            </w:pPr>
          </w:p>
        </w:tc>
        <w:tc>
          <w:tcPr>
            <w:tcW w:w="9580" w:type="dxa"/>
            <w:vAlign w:val="bottom"/>
            <w:gridSpan w:val="2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Market for Registrant’s Common Equity, Related Stockholder Matters and Issuer Purchases of Equity Securities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Selected Financial Data</w:t>
              </w:r>
            </w:hyperlink>
          </w:p>
        </w:tc>
        <w:tc>
          <w:tcPr>
            <w:tcW w:w="15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Management’s Discussion and Analysis of Financial Condition and Results of Operations</w:t>
              </w:r>
            </w:hyperlink>
          </w:p>
        </w:tc>
        <w:tc>
          <w:tcPr>
            <w:tcW w:w="312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Quantitative and Qualitative Disclosures About Market Risk</w:t>
              </w:r>
            </w:hyperlink>
          </w:p>
        </w:tc>
        <w:tc>
          <w:tcPr>
            <w:tcW w:w="522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9580" w:type="dxa"/>
            <w:vAlign w:val="bottom"/>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Financial Statements and Supplementary Data</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Changes in and Disagreements with Accountants on Accounting and Financial Disclosure</w:t>
              </w:r>
            </w:hyperlink>
          </w:p>
        </w:tc>
        <w:tc>
          <w:tcPr>
            <w:tcW w:w="31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9580" w:type="dxa"/>
            <w:vAlign w:val="bottom"/>
            <w:gridSpan w:val="2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782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PART III</w:t>
              </w:r>
            </w:hyperlink>
          </w:p>
        </w:tc>
        <w:tc>
          <w:tcPr>
            <w:tcW w:w="3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9580" w:type="dxa"/>
            <w:vAlign w:val="bottom"/>
            <w:gridSpan w:val="2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Directors, Executive Officers and Corporate Governance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50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9580" w:type="dxa"/>
            <w:vAlign w:val="bottom"/>
            <w:gridSpan w:val="20"/>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Security Ownership of Certain Beneficial Owners and Management and Related Stockholder Matters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Certain Relationships and Related Transactions, and Director Independence</w:t>
              </w:r>
            </w:hyperlink>
          </w:p>
        </w:tc>
        <w:tc>
          <w:tcPr>
            <w:tcW w:w="230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Principal Accounting Fees and Services</w:t>
              </w:r>
            </w:hyperlink>
          </w:p>
        </w:tc>
        <w:tc>
          <w:tcPr>
            <w:tcW w:w="41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04"/>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95">
              <w:r>
                <w:rPr>
                  <w:rFonts w:ascii="Arial" w:cs="Arial" w:eastAsia="Arial" w:hAnsi="Arial"/>
                  <w:sz w:val="18"/>
                  <w:szCs w:val="18"/>
                  <w:b w:val="1"/>
                  <w:bCs w:val="1"/>
                  <w:color w:val="0000EE"/>
                  <w:w w:val="98"/>
                </w:rPr>
                <w:t>PART IV</w:t>
              </w:r>
            </w:hyperlink>
          </w:p>
        </w:tc>
        <w:tc>
          <w:tcPr>
            <w:tcW w:w="3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Exhibits, Financial Statement Schedules</w:t>
              </w:r>
            </w:hyperlink>
          </w:p>
        </w:tc>
        <w:tc>
          <w:tcPr>
            <w:tcW w:w="668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gridSpan w:val="15"/>
          </w:tcPr>
          <w:p>
            <w:pPr>
              <w:ind w:left="438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Certain statements in this annual report on Form 10-K (this “Form 10-K”)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Form 10-K may include, for example, statements about:</w:t>
      </w:r>
    </w:p>
    <w:p>
      <w:pPr>
        <w:spacing w:after="0" w:line="83"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with Bakkt Holdings, LLC, or any other initial business combination;</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153" w:lineRule="exact"/>
        <w:rPr>
          <w:rFonts w:ascii="Arial" w:cs="Arial" w:eastAsia="Arial" w:hAnsi="Arial"/>
          <w:sz w:val="16"/>
          <w:szCs w:val="16"/>
          <w:color w:val="auto"/>
        </w:rPr>
      </w:pPr>
    </w:p>
    <w:p>
      <w:pPr>
        <w:ind w:left="540" w:right="2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75" w:lineRule="exact"/>
        <w:rPr>
          <w:rFonts w:ascii="Arial" w:cs="Arial" w:eastAsia="Arial" w:hAnsi="Arial"/>
          <w:sz w:val="18"/>
          <w:szCs w:val="18"/>
          <w:color w:val="auto"/>
        </w:rPr>
      </w:pPr>
    </w:p>
    <w:p>
      <w:pPr>
        <w:ind w:left="540" w:right="26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 including the PIPE Investment (as such term is defined below);</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30" w:lineRule="exact"/>
        <w:rPr>
          <w:rFonts w:ascii="Arial" w:cs="Arial" w:eastAsia="Arial" w:hAnsi="Arial"/>
          <w:sz w:val="18"/>
          <w:szCs w:val="18"/>
          <w:color w:val="auto"/>
        </w:rPr>
      </w:pPr>
    </w:p>
    <w:p>
      <w:pPr>
        <w:ind w:left="540" w:right="460" w:hanging="316"/>
        <w:spacing w:after="0" w:line="34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adverse impacts of the COVID-19 outbreak and other events (such as terrorist attacks, natural disasters or a significant outbreak of other infectious diseases) on our ability to consummate an initial business combination or on the restaurant and hospitality related sectors;</w:t>
      </w:r>
    </w:p>
    <w:p>
      <w:pPr>
        <w:spacing w:after="0" w:line="29" w:lineRule="exact"/>
        <w:rPr>
          <w:rFonts w:ascii="Arial" w:cs="Arial" w:eastAsia="Arial" w:hAnsi="Arial"/>
          <w:sz w:val="16"/>
          <w:szCs w:val="16"/>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acquisition opportunities;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forward-looking statements contained in this Form 10-K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of this Form 10-K entitled “Risk Factors” including in our proxy statement/prospectus to be included in a Registration Statement on Form S-4 that we will file with the SEC relating to our proposed business combination with Bakkt Holdings, LLC (the “Bakkt Disclosure Statement”).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i w:val="1"/>
          <w:iCs w:val="1"/>
          <w:color w:val="auto"/>
        </w:rPr>
        <w:t>References in this report to “we,” “us” or the “Company” refer to VPC Impact Acquisition Holdings. References to our “management” or our “management team” refer to our officers and directors, and references to the “Sponsor” refer to VPC Impact Acquisition Holdings Sponsor, LLC.</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Company’s sponsor is affiliated with Victory Park Capital Advisors, LLC (“VPC”), a registered investment advisor with the SEC founded in 2007. VPC’s institutional investor base is diversified geographically and includes sovereign wealth funds, insurance companies, financial institutions, foundations, endowments and family offices for which it has invested approximately $6.0 billion in over 115 transactions across North America, Europe, Latin America, Africa, Southeast Asia and Oceania. As part of those investments, VPC has provided financing to financial technology or financial services (collectively “Fintech”) businesses backed by some of the world’s leading venture capital firms and has a long track record of executing debt and equity financing transactions with some of the largest global Fintech companies, including with Square (U.S. NYSE:SQ), iZettle (Sweden, acquired by PayPal in 2018), Zip Co (Australia ASX:Z1P), Funding Circle (UK LSE:FCH), Kabbage (US), Dave (US), Avant (US), Fundbox (US), Konfio (Mexico), and WeFox (Germany). VPC’s investments have enabled portfolio companies to scale quickly and capture leading market positions. These representative transactions demonstrate VPC’s ability to identify early-stage Fintech companies with strong long-term growth prospects. VPC’s Fintech investment history and robust network of industry relationships furnish the firm with a detailed understanding of the long-term capital needs of the highest growth Fintech businesses globally.</w:t>
      </w:r>
    </w:p>
    <w:p>
      <w:pPr>
        <w:spacing w:after="0" w:line="18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On September 25, 2020 we consummated a $200,000,000 initial public offering (the “Public Offering”) consisting of $10.00 per unit (“Unit”). Each Unit consists of one Class A ordinary shares, $0.0001 par value (the “Class A ordinary shares”) and one-half of one redeemable warrant (each, a “Public Warrant”). Each whole Public Warrant entitles the holder to purchase one Class A common share at a price of $11.50 per share. Simultaneously, with the closing of the Public Offering, the Company consummated a $6,000,000 private placement (the “Private Placement”) of an aggregate of 6,000,000 warrants (“Sponsor Warrants”) at a price of $1.00 per warrant. The Sponsor Warrants are identical to the Public Warrants sold as part of the Units in the Public Offering except that, so long as they are held by the Sponsor or its permitted transferees, (i) they are not redeemable by us, (ii) they (including the Class A ordinary shares issuable upon exercise of these warrants) may not, subject to certain limited exceptions, be transferred, assigned or sold by the Sponsor until 30 days after the completion of the Company’s initial Business Combination and (iii) they may be exercised by the holders on a cashless basis.</w:t>
      </w:r>
    </w:p>
    <w:p>
      <w:pPr>
        <w:spacing w:after="0" w:line="18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Prior to the Public Offering, on August 3, 2020, the Sponsor paid $25,000, or approximately $0.004 per share, to cover certain of the Company’s offering and formation costs in exchange for 5,750,000 Class B ordinary shares, par value $0.0001 per share (the “founder shares”). In September 2020, the Sponsor transferred an aggregate of 60,000 founder shares to members of the Company’s board of directors, resulting in the Sponsor holding 5,690,000 founder shares. The number of founder shares outstanding was determined based on the expectation that the total size of the Company’s initial public offering would be a maximum of 23,000,000 units if the underwriters’ over-allotment option was exercised in full, and therefore that such founder shares would represent 20% of the outstanding shares after the Public Offering. Up to 750,000 of the founder shares were subject to</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forfeiture for no consideration depending on the extent to which the underwriters’ over-allotment was exercised. 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December 31, 2020.</w:t>
      </w:r>
    </w:p>
    <w:p>
      <w:pPr>
        <w:spacing w:after="0" w:line="187"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Upon the closing of the Public Offering and Private Placement, $200,000,000 from the net proceeds of the sale of the Units in the Public Offering and the Private Placement (including $7,000,000 of deferred underwriting commissions) was placed in a U.S.-based trust account maintained by Continental Stock Transfer &amp; Trust Company, acting as trustee (the “Trust Account”). The Company’s second amended and restated certificate of memorandum and articles of association provide that, other than the withdrawal of interest to pay tax obligations, none of the funds held in the Trust Account will be released until the earliest of: (i) the completion of the Business Combination; (ii) the redemption of any Class A ordinary shares included in the Units being sold in the Public Offering (“Public Shares”) properly submitted in connection with a shareholder vote to amend the Company’s amended and restated memorandum and articles of association to modify the substance or timing of the Company’s obligation to redeem 100% of the Public Shares if the Company does not complete the Business Combination by September 25, 2022 (within 24 months from the closing of the Public Offering); or</w:t>
      </w:r>
    </w:p>
    <w:p>
      <w:pPr>
        <w:spacing w:after="0" w:line="1" w:lineRule="exact"/>
        <w:rPr>
          <w:sz w:val="20"/>
          <w:szCs w:val="20"/>
          <w:color w:val="auto"/>
        </w:rPr>
      </w:pPr>
    </w:p>
    <w:p>
      <w:pPr>
        <w:ind w:left="120" w:right="20" w:hanging="4"/>
        <w:spacing w:after="0" w:line="252" w:lineRule="auto"/>
        <w:tabs>
          <w:tab w:leader="none" w:pos="4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redemption of the Public Shares if the Company is unable to complete the Business Combination by September 25, 2022, subject to applicable law. The proceeds held in the Trust Account can only be invested in permitted United States “government securities” within the meaning of Section 2(a) (16)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As of December 31, 2020, we had a balance in cash and investments held in trust of $207,376,213. As of December 31, 2020, no funds had been withdrawn from the Trust Account.</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remaining $6,000,000 held outside of trust was used to pay underwriting commissions of $4,000,000 loans to the Sponsor, and deferred offering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formation costs. On September 29, 2020, the underwriters notified the Company of their intention to partially exercise their over-allotment option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October 1, 2020. As such, on October 1, 2020, the Company consummated the sale of an additional 737,202 Units, at $10.00 per Unit, and the sale of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147,440 Sponsor Warrants, at $1.00 per Private Warrant, generating total gross proceeds of $7,519,460. Transaction costs amounted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$405,461, consisting of underwriting fees (including $258,021 of deferred fees). A total of $7,372,020 of the net proceeds was deposited into the Trust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 bringing the aggregate proceeds held in the Trust Account to $207,372,020.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Proposed Business Combination</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January 11, 2021, the Company entered into an Agreement and Plan of Merger (the “Merger Agreement”), with Pylon Merger Company LLC, a Delaware limited liability company and a direct wholly-owned subsidiary of VIH (“Merger Sub”), and Bakkt Holdings, LLC, a Delaware limited liability company (“Bakkt”). The Merger Agreement provides that, among other things and upon the terms and subject to the conditions thereof, the following transactions will occur (together with the other agreements and transactions contemplated by the Merger Agreement, the “Proposed Transaction”):</w:t>
      </w:r>
    </w:p>
    <w:p>
      <w:pPr>
        <w:spacing w:after="0" w:line="80" w:lineRule="exact"/>
        <w:rPr>
          <w:sz w:val="20"/>
          <w:szCs w:val="20"/>
          <w:color w:val="auto"/>
        </w:rPr>
      </w:pPr>
    </w:p>
    <w:p>
      <w:pPr>
        <w:jc w:val="both"/>
        <w:ind w:left="560" w:right="200" w:hanging="4"/>
        <w:spacing w:after="0" w:line="311" w:lineRule="auto"/>
        <w:tabs>
          <w:tab w:leader="none" w:pos="775"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the closing of the transactions contemplated by the Merger Agreement (the “Closing”), in accordance with the Delaware Limited Liability Company Act, as amended (“DLLCA”), Merger Sub will merge (the “Merger”) with and into Bakkt, the separate corporate existence of Merger Sub will cease and Bakkt will be the surviving limited liability company, to be renamed Bakkt Opco Holdings, LLC (“Bakkt Opco”);</w:t>
      </w:r>
    </w:p>
    <w:p>
      <w:pPr>
        <w:spacing w:after="0" w:line="40" w:lineRule="exact"/>
        <w:rPr>
          <w:rFonts w:ascii="Arial" w:cs="Arial" w:eastAsia="Arial" w:hAnsi="Arial"/>
          <w:sz w:val="16"/>
          <w:szCs w:val="16"/>
          <w:color w:val="auto"/>
        </w:rPr>
      </w:pPr>
    </w:p>
    <w:p>
      <w:pPr>
        <w:ind w:left="560" w:right="560" w:hanging="4"/>
        <w:spacing w:after="0" w:line="308" w:lineRule="auto"/>
        <w:tabs>
          <w:tab w:leader="none" w:pos="825" w:val="left"/>
        </w:tabs>
        <w:numPr>
          <w:ilvl w:val="0"/>
          <w:numId w:val="5"/>
        </w:numPr>
        <w:rPr>
          <w:rFonts w:ascii="Arial" w:cs="Arial" w:eastAsia="Arial" w:hAnsi="Arial"/>
          <w:sz w:val="17"/>
          <w:szCs w:val="17"/>
          <w:color w:val="auto"/>
        </w:rPr>
      </w:pPr>
      <w:r>
        <w:rPr>
          <w:rFonts w:ascii="Arial" w:cs="Arial" w:eastAsia="Arial" w:hAnsi="Arial"/>
          <w:sz w:val="17"/>
          <w:szCs w:val="17"/>
          <w:color w:val="auto"/>
        </w:rPr>
        <w:t>immediately prior to the closing of the PIPE Investment (as defined below) and the effective time of the Merger, in connection with the Domestication described below, VIH will be renamed “Bakkt Holdings, Inc.” (referred to hereinafter as “Bakkt Pubco”); and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hanging="4"/>
        <w:spacing w:after="0" w:line="263" w:lineRule="auto"/>
        <w:tabs>
          <w:tab w:leader="none" w:pos="8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184"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board of directors of the Company has unanimously (i) approved and declared advisable the Merger Agreement, the Proposed Transaction and the other transactions contemplated thereby and (ii) resolved to recommend approval of the Merger Agreement and related matters by the shareholders of VIH.</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Prior to the Closing, subject to the approval of our shareholders, and in accordance with the DGCL, Cayman Islands Companies Act (as revised) (the “CICA”) and our amended and restated memorandum and articles of association, we will effect a deregistration under the CICA and a domestication under Section 388 of the DGCL (by means of filing a certificate of domestication with the Secretary of State of Delaware), pursuant to which our jurisdiction of incorporation will be changed from the Cayman Islands to the State of Delaware (the “Domestication”) and be renamed “Bakkt Holdings, Inc.”</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Upon the Closing, Bakkt Pubco will be organized in an “Up-C” structure in which substantially all of the assets and the business of Bakkt Pubco will be held by Bakkt Opco and its subsidiaries, and Bakkt Pubco’s only direct assets will consist of Bakkt Opco Units. Assuming no redemptions of public shares in connection with the Proposed Transaction, upon the Closing Bakkt Pubco is expected to own approximately 22% of Bakkt Opco Units and will be the managing member of Bakkt Opco. All remaining Bakkt Opco Units will be owned by the former equity owners of Bakkt (“Bakkt Equity Holders”).</w:t>
      </w:r>
    </w:p>
    <w:p>
      <w:pPr>
        <w:spacing w:after="0" w:line="18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January 11, 2021, concurrently with the execution of the Merger Agreement, we entered into subscription agreements with certain investors (collectively, the “PIPE Investors” which include certain existing equity holders of the Company and Bakkt), pursuant to, and on the terms and subject to the conditions of which, the PIPE Investors have collectively subscribed for 32,500,000 Bakkt Pubco Class A Shares for an aggregate purchase price equal to $325,000,000 (the “PIPE Investment”).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consummation of the proposed business combination described herein is subject to certain conditions as further described in the Merger Agreement.</w:t>
      </w:r>
    </w:p>
    <w:p>
      <w:pPr>
        <w:spacing w:after="0" w:line="24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For more information about the Merger Agreement and the proposed business combination, see our Current Report on Form 8-K filed with the SEC on January 11, 2021 (File No. 001-39544) and the Bakkt Disclosure Statement that we will file with the SEC. Unless specifically stated, this Annual Report does not give effect to the Proposed Transaction and does not contain the risks associated with the Proposed</w:t>
      </w:r>
    </w:p>
    <w:p>
      <w:pPr>
        <w:ind w:left="120"/>
        <w:spacing w:after="0"/>
        <w:rPr>
          <w:sz w:val="20"/>
          <w:szCs w:val="20"/>
          <w:color w:val="auto"/>
        </w:rPr>
      </w:pPr>
      <w:r>
        <w:rPr>
          <w:rFonts w:ascii="Arial" w:cs="Arial" w:eastAsia="Arial" w:hAnsi="Arial"/>
          <w:sz w:val="18"/>
          <w:szCs w:val="18"/>
          <w:color w:val="auto"/>
        </w:rPr>
        <w:t>Transaction. Such risks and effects relating to the Proposed Transaction will be included in the Bakkt Disclosure Statement.</w:t>
      </w:r>
    </w:p>
    <w:p>
      <w:pPr>
        <w:spacing w:after="0" w:line="211"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As a result, our sponsor, officers and directors could have conflicts of interest in determining whether to present business combination opportunities to us or to any other special purpose acquisition company with which they may become involved. In particular, certain of our officers and directors are actively engaged in VPC Acquisition Holdings II (“VPC II”) and VPC Acquisition Holdings III, Inc. (“VPC III”), both special purpose acquisition companies that each completed their initial public offering on March 9, 2021, respectively, and will continue to serve as officers and directors of VPC II and VPC III until their initial business combinations are completed. VPC II and VPC III, like us, may pursue initial business combination targets in any business or industry and is expected to have a similar window as us in which it may complete its initial business combination. Any such companies, businesses or investments, including VPC</w:t>
      </w:r>
    </w:p>
    <w:p>
      <w:pPr>
        <w:spacing w:after="0" w:line="1" w:lineRule="exact"/>
        <w:rPr>
          <w:sz w:val="20"/>
          <w:szCs w:val="20"/>
          <w:color w:val="auto"/>
        </w:rPr>
      </w:pPr>
    </w:p>
    <w:p>
      <w:pPr>
        <w:ind w:left="120" w:right="560" w:hanging="4"/>
        <w:spacing w:after="0" w:line="260" w:lineRule="auto"/>
        <w:tabs>
          <w:tab w:leader="none" w:pos="28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and VPC III, may present additional conflicts of interest in pursuing an initial business combination. However, we do not believe that any such potential conflicts would materially affect our ability to complete our initial business combination.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are not presently engaged in, and we will not engage in, any operations for an indefinite period of time. We intend to effectuate our initial business combination, including the Proposed Transaction, using cash held in the trust account, the proceeds of the sale of our shares in connection with our initial business combination (including pursuant to forward purchase agreements or backstop agreements we may enter into), shares issued to the owners of the target, debt issued to bank or other lenders or the owners of the target, or a combination of the foregoing.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78" w:lineRule="exact"/>
        <w:rPr>
          <w:sz w:val="20"/>
          <w:szCs w:val="20"/>
          <w:color w:val="auto"/>
        </w:rPr>
      </w:pPr>
    </w:p>
    <w:p>
      <w:pPr>
        <w:jc w:val="both"/>
        <w:ind w:left="120" w:right="160"/>
        <w:spacing w:after="0" w:line="275" w:lineRule="auto"/>
        <w:rPr>
          <w:sz w:val="20"/>
          <w:szCs w:val="20"/>
          <w:color w:val="auto"/>
        </w:rPr>
      </w:pPr>
      <w:r>
        <w:rPr>
          <w:rFonts w:ascii="Arial" w:cs="Arial" w:eastAsia="Arial" w:hAnsi="Arial"/>
          <w:sz w:val="17"/>
          <w:szCs w:val="17"/>
          <w:color w:val="auto"/>
        </w:rPr>
        <w:t>If our initial business combination, including the Proposed Transaction, is paid for using equity or debt securities,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Selection of a target business and structuring of our initial business combination</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While we may pursue an initial business combination target in any industry or sector, we intend to focus on high-growth businesses in the Fintech industry with an enterprise value of approximately $800 million to $2.0 billion. Our amended and restated memorandum and articles of association (our “amended and restated memorandum and articles of association”) prohibits us from effectuating a business combination with another blank check company or similar company with nominal operations.</w:t>
      </w:r>
    </w:p>
    <w:p>
      <w:pPr>
        <w:spacing w:after="0" w:line="18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rules of Nasdaq require that we must consummate an initial business combination with one or more operating businesses or assets with a fair market value equal to at least 80% of the value of the assets held in the trust account (excluding the deferred underwriting commissions and taxes payable on the interest earned on the trust account) at the time of our signing a definitive agreement, including the Merger Agreement, in connection with our initial business combination. Our board of directors will make the determination as to the fair market value of our initial business combination and has made such determination in connection with Proposed Transaction. If our board of directors is not able to independently determine the fair market value of our initial business combination (including with the assistance of financial advisors), we will obtain an opinion from an independent investment banking firm which is a member of FINRA or a valuation or appraisal firm with respect to the satisfaction of such criteria. While we consider it likely that our board of directors will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In addition, pursuant to Nasdaq rules, any intial business combination must be approved by a majority of our independent directors.</w:t>
      </w:r>
    </w:p>
    <w:p>
      <w:pPr>
        <w:spacing w:after="0" w:line="18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shareholders own shares will own or acquire 100% of the equity interests or assets of the target business or businesses, as is the case with the Proposed Transaction.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or acquires 50% or more of the voting securities of the target, our shareholders prior to the business combination may collectively own a minority interest in the post-transaction company, as is expected if the Proposed Transaction is consummated,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as we have agreed to do pursuant to the Merger Agreement.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as is expected if the Proposed Transaction is consummated.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16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evaluating prospective business combinations, we expect to conduct a due diligence review process that will encompass, among other things, a review of historical and projected financial and operating data, meetings with management and their advisors (if applicable), on-site inspection of facilities and assets, discussion with customers and suppliers, legal reviews and other reviews as we deem appropriate. We conducted such a review process in connection with the Proposed Transaction.</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total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8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the Sponsor or our officers or directors. In the event we seek to complete our initial business combination with a company that is affiliated with the Sponsor, our officers or directors, we, or a committee of independent directors, will obtain an opinion from an independent investment banking firm that is a member of FINRA or an independent accounting firm that our initial business combination is fair to our company from a financial point of view. We do not anticipate needing to obtain such an opinion in connection with the Proposed Transaction.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rights for holders of public shares upon consummation of the initial business combination</w:t>
      </w:r>
    </w:p>
    <w:p>
      <w:pPr>
        <w:spacing w:after="0" w:line="117"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including the Proposed Transaction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us to pay our franchise and income taxes, divided by the number of then outstanding public shares, subject to the limitations described herein. The amount in the trust account is approximately $10.00 per public share as of December 31, 2020. The per-share amount we will distribute to investors who properly redeem their shares will not be reduced by the deferred underwriting commissions we will pay to the underwriters. The Sponsor, our officers and directors have entered into a letter agreement with us, pursuant to which they have agreed to waive their redemption rights with respect to any founder shares and Class A ordinary shares underlying the private placement warrants (the “private placement shares”) and any public shares held by them in connection with the completion of our initial business combination, including the Proposed Transaction.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Conduct of redemptions pursuant to tender offer rules</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If we conduct redemptions pursuant to the tender offer rules of the U.S. Securities and Exchange Commission (the “SEC”), we will, pursuant to our amended and restated memorandum and articles of association: (a) conduct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redemptions pursuant to Rule 13e-4 and Regulation 14E of the Exchange Act, which regulate issuer tender offers; and (b) 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 We do not currently plan to conduct redemptions for the Proposed Transaction pursuant to tender offer rules.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Submission of our initial business combination to a shareholder vote</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the event that we seek shareholder approval of our initial business combination, as we expect to do in connection with the Proposed Transaction, we will distribute proxy materials and, in connection therewith, provide our public shareholders with the redemption rights described above upon completion of the business combination.</w:t>
      </w:r>
    </w:p>
    <w:p>
      <w:pPr>
        <w:spacing w:after="0" w:line="18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If we seek shareholder approval, as we expect to do in connection with the Proposed Transaction, we will complete our initial business combination only if a majority of the outstanding ordinary shares are voted in favor of such transaction. In such case, our initial shareholders have agreed to vote their founder shares, private placement shares and any public shares purchased during or after the initial public offering, in favor of our initial business combination. Each public shareholder may elect to redeem its public shares irrespective of whether they vote for or against such initial business combination, including the Proposed Transation transaction. In addition, our initial shareholders have agreed to waive their redemption rights with respect to their founder shares, private placement shares and any public shares they may hold in connection with the consummation of the initial business combination.</w:t>
      </w:r>
    </w:p>
    <w:p>
      <w:pPr>
        <w:spacing w:after="0" w:line="195" w:lineRule="exact"/>
        <w:rPr>
          <w:sz w:val="20"/>
          <w:szCs w:val="20"/>
          <w:color w:val="auto"/>
        </w:rPr>
      </w:pPr>
    </w:p>
    <w:p>
      <w:pPr>
        <w:ind w:left="120" w:right="120"/>
        <w:spacing w:after="0" w:line="285" w:lineRule="auto"/>
        <w:rPr>
          <w:sz w:val="20"/>
          <w:szCs w:val="20"/>
          <w:color w:val="auto"/>
        </w:rPr>
      </w:pPr>
      <w:r>
        <w:rPr>
          <w:rFonts w:ascii="Arial" w:cs="Arial" w:eastAsia="Arial" w:hAnsi="Arial"/>
          <w:sz w:val="16"/>
          <w:szCs w:val="16"/>
          <w:color w:val="auto"/>
        </w:rPr>
        <w:t>If we seek shareholder approval of our initial business combination, as we expect to do in connection with the Proposed Transaction, and we do not conduct redemptions in connection with our initial business combination pursuant to the tender offer rules, our Sponsor, initial shareholders, directors, officers, advisors or their affiliates may purchase public shares or public warrants or a combination thereof in privately negotiated transactions or in the open market either prior to or following the completion of our initial business combination, although they are under no obligation to do so. There is no limit on the number of our securities our initial shareholders, directors, officers, advisors or their affiliates may purchase in such transactions, subject to compliance with applicable law and Nasdaq rules. Any such price per share may be different than the amount per share a public shareholder would receive if it elected to redeem its shares in connection with our initial business combination. Additionally, at any time at or prior to our initial business combination, subject to applicable securities laws (including with respect to material non-public information), our initial shareholders, directors,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held in the trust account will be used to purchase shares or public warrants in such transactions. If they engage in any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We expect any such purchases will be reported pursuant to Section 13 and Section 16 of the Exchange Act to the extent such purchasers are subject to such reporting requirements. Our Sponsor, directors, officers, advisors or any of their affiliates will not make any purchases if the purchases would violate Section 9(a)(2) or Rule 10b-5 of the Exchange Act.</w:t>
      </w:r>
    </w:p>
    <w:p>
      <w:pPr>
        <w:spacing w:after="0" w:line="169" w:lineRule="exact"/>
        <w:rPr>
          <w:sz w:val="20"/>
          <w:szCs w:val="20"/>
          <w:color w:val="auto"/>
        </w:rPr>
      </w:pPr>
    </w:p>
    <w:p>
      <w:pPr>
        <w:jc w:val="both"/>
        <w:ind w:left="120" w:right="820"/>
        <w:spacing w:after="0" w:line="263" w:lineRule="auto"/>
        <w:rPr>
          <w:sz w:val="20"/>
          <w:szCs w:val="20"/>
          <w:color w:val="auto"/>
        </w:rPr>
      </w:pPr>
      <w:r>
        <w:rPr>
          <w:rFonts w:ascii="Arial" w:cs="Arial" w:eastAsia="Arial" w:hAnsi="Arial"/>
          <w:sz w:val="18"/>
          <w:szCs w:val="18"/>
          <w:color w:val="auto"/>
        </w:rPr>
        <w:t>The purpose of any such purchases of shares could be to vote such shares in favor of the initial business combination, including the Proposed Transaction, and thereby increase the likelihood of obtaining shareholder approval of the initial business combination, including the Proposed Transaction or to satisfy a closing condition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an agreement with a target that requires us to have a minimum net worth or a certain amount of cash at the closing of our initial business combination, including the Proposed Transaction,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including the Proposed Transaction. Any such purchases of our securities may result in the completion of our initial business combination, including the Proposed Transaction, that may not otherwise have been possible. 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Shareholder Approval</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Notwithstanding the foregoing, 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our initial public offering, which we refer to as the “Excess Shares.” Such restriction shall also be applicable to our affiliates. We believe this restriction will discourage shareholders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Absent this provision, a public shareholder holding more than an aggregate of 15% of the shares sold in our initial public offering could threaten to exercise its redemption rights if such holder’s shares are not purchased by us or our management at a premium to the then-current market price or on other undesirable terms. By limiting our shareholders’ ability to redeem no more than 15% of the shares sold in our initial public offering without our prior consent, we believe we will limit the ability of a small group of shareholders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shareholders’ ability to vote all of their shares (including Excess Shares) for or against our initial business combination.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amended and restated memorandum and articles of association provides that we will have until twenty-four (24) months from the closing of our initial public offering, or September 25, 2022, to complete our initial business combination. If we are unable to complete our initial business combination by September 25, 2022,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by September 25, 2022.</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business combinations. Many of these entities are well established and have extensive experience identifying and effecting business combinations directly or through affiliates. Moreover, many of these competitors possess greater financial, technical, human and other resources than we do. Our ability to acquire larger target businesses will be limited by our available financial resources. This inherent limitation gives others an advantage in pursuing the initial business combination of a target business. Furthermore, our obligation to pay cash in connection with our public shareholders who exercise their redemption rights may reduce the resources available to us for our initial business combination, including the Proposed Transaction,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currently have three officers: John Martin, Gordon Watson and Olibia Stamatoglou. Our officers are appointed by the board of directors and serve at the discretion of the board of directors, rather than for specific terms of office. Our board of directors is authorized to appoint officers as it deems appropriate pursuant to our amended and restated memorandum and articles of association.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as is currently the case, and the stage of the initial business combination process we are in. We do not intend to have any full-time employees prior to the completion of our initial business combination.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required to file Annual Reports on Form 10-K and Quarterly Reports on Form 10-Q with the SEC on a regular basis, and are required to disclose certain material events in a Current Report on Form 8-K. The SEC maintains an Internet website that contains reports, proxy and information statements and other information regarding issuers that file electronically with the SEC. The SEC’s Internet website is located at www.sec.gov. In addition, the Company will provide copies of these documents without charge upon request from us in writing at 150 North Riverside Plaza, Suite 5200, Chicago, IL or by telephone at (312) 701-1777.</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together with the other information contained in this Form 10-K,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 When available, the preliminary proxy statement/prospectus included in the registration statement and the amendments thereto and the definitive proxy statement/prospectus and other documents filed or to be filed by the Company in connection with the Proposed Transaction, will contain risk factors related to Bakkt, VIH and the Proposed Transaction.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 Summary</w:t>
      </w:r>
    </w:p>
    <w:p>
      <w:pPr>
        <w:spacing w:after="0" w:line="135" w:lineRule="exact"/>
        <w:rPr>
          <w:sz w:val="20"/>
          <w:szCs w:val="20"/>
          <w:color w:val="auto"/>
        </w:rPr>
      </w:pPr>
    </w:p>
    <w:p>
      <w:pPr>
        <w:ind w:left="1080" w:right="4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 blank check company with no operating history and no revenues, and you have no basis on which to evaluate our ability to achieve our business objective.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86"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shareholders may not be afforded an opportunity to vote on our proposed initial business combination, and even if we hold a vote, holders of our founder shares will participate in such vote, which means we may complete our initial business combination, including the Proposed Transaction, even though a majority of our public shareholders do not support such a combination.</w:t>
      </w:r>
    </w:p>
    <w:p>
      <w:pPr>
        <w:spacing w:after="0" w:line="70"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Your only opportunity to affect the investment decision regarding a potential business combination, including the Proposed Transsaction, may be limited to the exercise of your right to redeem your shares from us for cash.</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seek shareholder approval of our initial business combination, as we expect to do in connection with the Proposed Transaction, our initial shareholders and management team have agreed to vote in favor of such initial business combination, including the Proposed Transaction, regardless of how our public shareholders vote.</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public shareholders to exercise redemption rights with respect to a large number of our shares may not allow us to complete the most desirable business combination or optimize our capital structure.</w:t>
      </w:r>
    </w:p>
    <w:p>
      <w:pPr>
        <w:spacing w:after="0" w:line="75"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 that we complete our initial business combination by September 25, 2022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92"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search for a business combination, and any target business with which we ultimately consummate a business combination, including Bakkt, may be materially adversely affected by the coronavirus (COVID-19) outbreak and the status of debt and equity markets.</w:t>
      </w:r>
    </w:p>
    <w:p>
      <w:pPr>
        <w:spacing w:after="0" w:line="29"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complete our initial business combination by September 25, 2022, in which case we would cease all operations except for the purpose of winding up and we would redeem our public shares and liquidate.</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seek shareholder approval of our initial business combination, as we expect to do in connection with the Proposed Transaction, our sponsor, initial shareholders, directors, executive officers, advisors and their affiliates may elect to purchase shares or public warrants from public shareholders, which may influence a vote on a proposed business combination, including the Proposed Transaction, and reduce the public “float” of our Class A ordinary shares.</w:t>
      </w:r>
    </w:p>
    <w:p>
      <w:pPr>
        <w:spacing w:after="0" w:line="92" w:lineRule="exact"/>
        <w:rPr>
          <w:rFonts w:ascii="Arial" w:cs="Arial" w:eastAsia="Arial" w:hAnsi="Arial"/>
          <w:sz w:val="18"/>
          <w:szCs w:val="18"/>
          <w:color w:val="auto"/>
        </w:rPr>
      </w:pPr>
    </w:p>
    <w:p>
      <w:pPr>
        <w:ind w:left="1080" w:right="38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a shareholder fails to receive notice of our offer to redeem our public shares in connection with our initial business combination, including the Proposed Transaction, or fails to comply with the procedures for tendering its shares, such shares may not be redeemed.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will not be entitled to protections normally afforded to investors of many other blank check companies.</w:t>
      </w:r>
    </w:p>
    <w:p>
      <w:pPr>
        <w:spacing w:after="0" w:line="130"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Because of our limited resources and the significant competition for business combination opportunities, it may be more difficult for us to complete the Proposed Transaction or another initial business combination. If we are unable to complete the Proposed Transaction or another initial business combination, our public shareholders may receive only their pro rata portion of the funds in the Trust Account that are available for distribution to public shareholders, and our warrants will expire worthless.</w:t>
      </w:r>
    </w:p>
    <w:p>
      <w:pPr>
        <w:spacing w:after="0" w:line="76" w:lineRule="exact"/>
        <w:rPr>
          <w:rFonts w:ascii="Arial" w:cs="Arial" w:eastAsia="Arial" w:hAnsi="Arial"/>
          <w:sz w:val="17"/>
          <w:szCs w:val="17"/>
          <w:color w:val="auto"/>
        </w:rPr>
      </w:pPr>
    </w:p>
    <w:p>
      <w:pPr>
        <w:ind w:left="1080" w:right="2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net proceeds of the initial public offering not being held in the trust account are insufficient to allow us to operate for at least until September 25, 2022, it could limit the amount available to fund our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340"/>
        <w:spacing w:after="0" w:line="263" w:lineRule="auto"/>
        <w:rPr>
          <w:sz w:val="20"/>
          <w:szCs w:val="20"/>
          <w:color w:val="auto"/>
        </w:rPr>
      </w:pPr>
      <w:r>
        <w:rPr>
          <w:rFonts w:ascii="Arial" w:cs="Arial" w:eastAsia="Arial" w:hAnsi="Arial"/>
          <w:sz w:val="18"/>
          <w:szCs w:val="18"/>
          <w:color w:val="auto"/>
        </w:rPr>
        <w:t>search for a target business or businesses and complete the Proposed Transaction or another initial business combination, and we will depend on loans from our sponsor or management team to fund our search and to complete the Proposed Transaction or another initial business combination.</w:t>
      </w:r>
    </w:p>
    <w:p>
      <w:pPr>
        <w:spacing w:after="0" w:line="8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Past performance by our management team and their affiliates may not be indicative of future performance of an investment in us.</w:t>
      </w:r>
    </w:p>
    <w:p>
      <w:pPr>
        <w:spacing w:after="0" w:line="142" w:lineRule="exact"/>
        <w:rPr>
          <w:rFonts w:ascii="Arial" w:cs="Arial" w:eastAsia="Arial" w:hAnsi="Arial"/>
          <w:sz w:val="17"/>
          <w:szCs w:val="17"/>
          <w:color w:val="auto"/>
        </w:rPr>
      </w:pPr>
    </w:p>
    <w:p>
      <w:pPr>
        <w:ind w:left="1080" w:right="5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Nasdaq may delist our securities from trading on its exchange, which could limit investors’ ability to make transactions in our securities and subject us to additional trading restrictions.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Unlike some other similarly structured special purpose acquisition companies, our initial shareholders will receive additional Class A ordinary shares if we issue certain shares to consummate an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Search for, Consummation of, or Inability to Consummate, a Business Combination</w:t>
      </w:r>
    </w:p>
    <w:p>
      <w:pPr>
        <w:spacing w:after="0" w:line="117" w:lineRule="exact"/>
        <w:rPr>
          <w:sz w:val="20"/>
          <w:szCs w:val="20"/>
          <w:color w:val="auto"/>
        </w:rPr>
      </w:pPr>
    </w:p>
    <w:p>
      <w:pPr>
        <w:ind w:left="120" w:right="140"/>
        <w:spacing w:after="0" w:line="266" w:lineRule="auto"/>
        <w:rPr>
          <w:sz w:val="20"/>
          <w:szCs w:val="20"/>
          <w:color w:val="auto"/>
        </w:rPr>
      </w:pPr>
      <w:r>
        <w:rPr>
          <w:rFonts w:ascii="Arial" w:cs="Arial" w:eastAsia="Arial" w:hAnsi="Arial"/>
          <w:sz w:val="18"/>
          <w:szCs w:val="18"/>
          <w:b w:val="1"/>
          <w:bCs w:val="1"/>
          <w:color w:val="auto"/>
        </w:rPr>
        <w:t>Our public shareholders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shareholders do not support such a combination.</w:t>
      </w:r>
    </w:p>
    <w:p>
      <w:pPr>
        <w:spacing w:after="0" w:line="72"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may choose not to hold a shareholder vote to approve our initial business combination unless the business combination would require shareholder approval under applicable law or stock exchange listing requirements. In such case,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Even if we seek shareholder approval, as we currently expect to do in connection with the Proposed Transaction, the holders of our founder shares will participate in the vote on such approval. Accordingly, we may complete our initial business combination, including the Proposed Transaction, even if a majority of our public shareholders do not approve of the business combination we complete.</w:t>
      </w:r>
    </w:p>
    <w:p>
      <w:pPr>
        <w:spacing w:after="0" w:line="270"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auto"/>
        </w:rPr>
        <w:t>Your only opportunity to effect the investment decision regarding a potential business combination, including the Proposed Transaction, may be limited to the exercise of your right to redeem your shares from us for cash.</w:t>
      </w:r>
    </w:p>
    <w:p>
      <w:pPr>
        <w:spacing w:after="0" w:line="58"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as we currently expect to do in connection with the Proposed Transaction. Accordingly, your only opportunity to effect the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282"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color w:val="auto"/>
        </w:rPr>
        <w:t>If we seek shareholder approval of our initial business combination, as we expect to do in connection with the Proposed Transaction, our initial shareholders and management team have agreed to vote in favor of such initial business combination, including the Proposed Transaction, regardless of how our public shareholders vote.</w:t>
      </w:r>
    </w:p>
    <w:p>
      <w:pPr>
        <w:spacing w:after="0" w:line="7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initial shareholders currently own 20% of our issued and outstanding ordinary shares. Our initial shareholders and management team also may from time to time purchase Class A ordinary shares prior to our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initial business combination, including the Proposed Transaction. Our amended and restated memorandum and articles of association provides that, if we seek shareholder approval of an initial business combination, as we expect to do in connection with the Proposed Transaction, such initial business combination, including the Proposed Transaction, will be approved if we receive an ordinary resolution under Cayman Islands law, which requires the affirmative vote of a majority of the shareholders who attend and vote at a general meeting of the Company, including the founder shares. As a result, in addition to our initial shareholders’ founder shares, we would need 7,773,952, or 37.5%, of the public shares sold in the initial public offering to be voted in favor of an initial business combination, including the Proposed Transaction, in order to have such initial business combination approved (assuming all outstanding shares are voted). Accordingly, if we seek shareholder approval of our initial business combination, as we expect to do in connection with the Proposed Transaction, the agreement by our initial shareholders and management team to vote in favor of such initial business combination will increase the likelihood that we will receive an ordinary rsolution, being the requisite shareholder approval for such initial business combination, including the Proposed Transaction.</w:t>
      </w:r>
    </w:p>
    <w:p>
      <w:pPr>
        <w:spacing w:after="0" w:line="289" w:lineRule="exact"/>
        <w:rPr>
          <w:sz w:val="20"/>
          <w:szCs w:val="20"/>
          <w:color w:val="auto"/>
        </w:rPr>
      </w:pPr>
    </w:p>
    <w:p>
      <w:pPr>
        <w:ind w:left="120" w:right="460"/>
        <w:spacing w:after="0" w:line="312" w:lineRule="auto"/>
        <w:rPr>
          <w:sz w:val="20"/>
          <w:szCs w:val="20"/>
          <w:color w:val="auto"/>
        </w:rPr>
      </w:pPr>
      <w:r>
        <w:rPr>
          <w:rFonts w:ascii="Arial" w:cs="Arial" w:eastAsia="Arial" w:hAnsi="Arial"/>
          <w:sz w:val="17"/>
          <w:szCs w:val="17"/>
          <w:b w:val="1"/>
          <w:b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3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may seek to enter into a business combination transaction agreement with a minimum cash requirement for (i) cash consideration to be paid to the target or its owners, (ii) cash for working capital or other general corporate purposes or (iii) the retention of cash to satisfy other conditions. The Proposed Transaction is conditioned on the post-business combination entity have at least $425,000,000 of available cash after deducting the amount required to satisfy redemptions of our Class A ordinary shares, if any (but prior to payment of (a) deferred underwriting commissions and (b) our or our affiliates’ transaction expenses), (y) outside of the Trust Account, and (z) from the gross proceeds of the PIPE Investment.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minimum cash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286"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58"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At the time we enter into an agreement for our initial business combination, we will not, and at the time we entered into the Merger Agreement, we did not, know how many shareholders may exercise their redemption rights, and therefore will need to, and did, structure the transaction based on our expectations as to the number of shares that will be submitted for redemption. If our initial business combination agreement requires us to use a portion of the cash in the trust account to pay the purchase price, or, like the Merger Agreement,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third-party financing. Raising additional third-party financing, including the PIPE Investment, may involve dilutive equity issuances, such as the PIPE Investment, or the incurrence of indebtedness at higher than desirable levels. Furthermore, this dilution would increase to the extent that the anti-dilution provision of the Class B ordinary shares results in the issuance of Class A ordinary shares on a greater than one-to-one basis upon conversion of the Class B ordinary shares at the time of our initial business combination. In addition, the amount of the deferred underwriting commissions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payable to the underwriters will not be adjusted for any shares that are redeemed in connection with an initial business combination, including the Proposed Transaction. The per 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292" w:lineRule="exact"/>
        <w:rPr>
          <w:sz w:val="20"/>
          <w:szCs w:val="20"/>
          <w:color w:val="auto"/>
        </w:rPr>
      </w:pPr>
    </w:p>
    <w:p>
      <w:pPr>
        <w:ind w:left="120" w:right="80"/>
        <w:spacing w:after="0" w:line="347" w:lineRule="auto"/>
        <w:rPr>
          <w:sz w:val="20"/>
          <w:szCs w:val="20"/>
          <w:color w:val="auto"/>
        </w:rPr>
      </w:pPr>
      <w:r>
        <w:rPr>
          <w:rFonts w:ascii="Arial" w:cs="Arial" w:eastAsia="Arial" w:hAnsi="Arial"/>
          <w:sz w:val="16"/>
          <w:szCs w:val="16"/>
          <w:b w:val="1"/>
          <w:b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like the Merger Agreement, requires us to have a minimum amount of cash at closing, the probability that our initial business combination, including the Proposed Transaction, would be unsuccessful is increased. If the Proposed Transaction or another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281"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The requirement that we complete our initial business combination by September 25, 2022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76"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by September 25, 2022.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296"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auto"/>
        </w:rPr>
        <w:t>Our search for a business combination, and any target business, including Bakkt, with which we ultimately consummate a business combination, may be materially adversely affected by the coronavirus (COVID-19) outbreak and the status of debt and equity markets, as well as protectionist legislation in our target markets.</w:t>
      </w:r>
    </w:p>
    <w:p>
      <w:pPr>
        <w:spacing w:after="0" w:line="72"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Bakkt, or any other potential target business with which we consummate a business combination could be materially and adversely affected. Furthermore, we may be unable to complete a business combination, including the Proposed Transaction, if continued concerns relating to COVID-19 continues to restrict travel, limit the ability to have meetings with potential investors or the target company’s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personnel, vendors and services providers are unavailable to negotiate and consummate a transaction, including the Proposed Transaction, in a timely manner. In addition, countries or supranational organizations in our target markets may develop and implement legislation that makes it more difficult or impossible for entities outside such countries or target markets to acquire or otherwise invest in companies or businesses deemed essential or otherwise vital. The extent to which COVID-19 impacts our search and ability to consummate a business combination, including the Proposed Transaction,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and result in protectionist sentiments and legislation in our target markets, our ability to consummate a business combination, including the Proposed Transaction, or the operations of Bakkt or another target business with which we ultimately consummate a business combination, may be materially adversely affected.</w:t>
      </w:r>
    </w:p>
    <w:p>
      <w:pPr>
        <w:spacing w:after="0" w:line="181"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In addition, our ability to consummate a transaction, including the Proposed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w:t>
      </w:r>
    </w:p>
    <w:p>
      <w:pPr>
        <w:spacing w:after="0" w:line="288"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We may not be able to complete our initial business combination by September 25, 2022, in which case we would cease all operations except for the purpose of winding up and we would redeem our public shares and liquidate.</w:t>
      </w:r>
    </w:p>
    <w:p>
      <w:pPr>
        <w:spacing w:after="0" w:line="58" w:lineRule="exact"/>
        <w:rPr>
          <w:sz w:val="20"/>
          <w:szCs w:val="20"/>
          <w:color w:val="auto"/>
        </w:rPr>
      </w:pPr>
    </w:p>
    <w:p>
      <w:pPr>
        <w:ind w:left="120" w:right="20"/>
        <w:spacing w:after="0" w:line="283" w:lineRule="auto"/>
        <w:rPr>
          <w:sz w:val="20"/>
          <w:szCs w:val="20"/>
          <w:color w:val="auto"/>
        </w:rPr>
      </w:pPr>
      <w:r>
        <w:rPr>
          <w:rFonts w:ascii="Arial" w:cs="Arial" w:eastAsia="Arial" w:hAnsi="Arial"/>
          <w:sz w:val="16"/>
          <w:szCs w:val="16"/>
          <w:color w:val="auto"/>
        </w:rPr>
        <w:t>We may not be able to find a suitable target business and complete our initial business combination by September 25, 2022. Our ability to complete the Proposed Transaction or another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the Proposed Transaction or another initial business combination, including as a result of increased market volatility, decreased market liquidity and third-party financing being unavailable on terms acceptable to us or at all. Furthermore, we may be unable to complete the Proposed Transaction or another initial business combination if continued concerns relating to COVID-19 restrict travel, limit the ability to have meetings with potential investors or the target company’s, including Bakkt’s, personnel, vendors and servicing providers are unavailable to negotiate and consummate a transaction, including the Proposed Transaction, in a timely manner. Additionally, the outbreak of COVID-19 may negatively impact businesses we may seek to acquire.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taxed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ethe case of clauses</w:t>
      </w:r>
    </w:p>
    <w:p>
      <w:pPr>
        <w:ind w:left="120" w:right="700" w:hanging="4"/>
        <w:spacing w:after="0" w:line="260" w:lineRule="auto"/>
        <w:tabs>
          <w:tab w:leader="none" w:pos="3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and (iii), to our obligations under Cayman Islands law to provide for claims of creditors and in all cases subject to the other requirements of applicable law.</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420"/>
        <w:spacing w:after="0" w:line="261" w:lineRule="auto"/>
        <w:rPr>
          <w:sz w:val="20"/>
          <w:szCs w:val="20"/>
          <w:color w:val="auto"/>
        </w:rPr>
      </w:pPr>
      <w:r>
        <w:rPr>
          <w:rFonts w:ascii="Arial" w:cs="Arial" w:eastAsia="Arial" w:hAnsi="Arial"/>
          <w:sz w:val="18"/>
          <w:szCs w:val="18"/>
          <w:b w:val="1"/>
          <w:bCs w:val="1"/>
          <w:color w:val="auto"/>
        </w:rPr>
        <w:t>If we seek shareholder approval of our initial business combination, as we expect to do in connection with the Proposed Transaction, our sponsor, initial shareholders, directors, officers, advisors and their affiliates may elect to purchase shares or public warrants from public shareholders, which may influence a vote on a proposed business combination, including the Proposed Transaction, and reduce the public “float” of our Class A ordinary shares.</w:t>
      </w:r>
    </w:p>
    <w:p>
      <w:pPr>
        <w:spacing w:after="0" w:line="76"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If we seek shareholder approval of our initial business combination, as we expect to do in connection with the Proposed Transaction, and we do not conduct redemptions in connection with our initial business combination pursuant to the tender offer rules, our sponsor, initial shareholders, directors, officers, advisors or their affiliates may purchase shares or public warrants in privately negotiated transactions or in the open market either prior to or following the completion of such initial business combination, although they are under no obligation to do so. There is no limit on the number of shares our initial shareholders, directors, officers, advisors or their affiliates may purchase in such transactions, subject to compliance with applicable law and the Nasdaq rules. However, other than as expressly stated herein, they have no current commitments, plans or intentions to engage in such transactions and have not formulated any terms or conditions for any such transactions. None of the funds in the trust account will be used to purchase shares or public warrants in such transactions. Such purchases may include a contractual acknowledgment that such shareholder, although still the record holder of our shares, is no longer the beneficial owner thereof and therefore agrees not to exercise its redemption rights.</w:t>
      </w:r>
    </w:p>
    <w:p>
      <w:pPr>
        <w:spacing w:after="0" w:line="16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the event that our sponsor, initial shareholders,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Proposed Transaction or such other business combination, and thereby increase the likelihood of obtaining shareholder approval of the Proposed Transaction or such other business combination or to satisfy a closing condition in an agreement with a target, such as Bakkt,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the Proposed Transaction or such other initial business combination. Any such purchases of our securities may result in the completion of the Proposed Transaction or such other initial business combination that may not otherwise have been possible. We expect any such purchases will be reported pursuant to Section 13 and Section 16 of the Exchange Act to the extent such purchasers are subject to such reporting requirements.</w:t>
      </w:r>
    </w:p>
    <w:p>
      <w:pPr>
        <w:spacing w:after="0" w:line="18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and the number of beneficial holders of our securities may be reduced, possibly making it difficult to obtain or maintain the quotation, listing or trading of our securities on a national securities exchange.</w:t>
      </w:r>
    </w:p>
    <w:p>
      <w:pPr>
        <w:spacing w:after="0" w:line="288" w:lineRule="exact"/>
        <w:rPr>
          <w:sz w:val="20"/>
          <w:szCs w:val="20"/>
          <w:color w:val="auto"/>
        </w:rPr>
      </w:pPr>
    </w:p>
    <w:p>
      <w:pPr>
        <w:ind w:left="120" w:right="220"/>
        <w:spacing w:after="0" w:line="347" w:lineRule="auto"/>
        <w:rPr>
          <w:sz w:val="20"/>
          <w:szCs w:val="20"/>
          <w:color w:val="auto"/>
        </w:rPr>
      </w:pPr>
      <w:r>
        <w:rPr>
          <w:rFonts w:ascii="Arial" w:cs="Arial" w:eastAsia="Arial" w:hAnsi="Arial"/>
          <w:sz w:val="16"/>
          <w:szCs w:val="16"/>
          <w:b w:val="1"/>
          <w:bCs w:val="1"/>
          <w:color w:val="auto"/>
        </w:rPr>
        <w:t>If a shareholder fails to receive notice of our offer to redeem our public shares in connection with our initial business combination, including the Proposed Transaction, or fails to comply with the procedures for submitting or tendering its shares, such shares may not be redeemed.</w:t>
      </w:r>
    </w:p>
    <w:p>
      <w:pPr>
        <w:spacing w:after="0" w:line="1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will comply with the proxy rules or tender offer rules, as applicable, when conducting redemptions in connection with our initial business combination, including the Proposed Transaction. Despite our compliance with these rules, if a shareholder fails to receive our proxy materials or tender offer documents, as applicable, such shareholder may not become aware of the opportunity to redeem its shares. In addition, proxy materials or tender offer documents, as applicable, that we will furnish to holders of our public shares in connection with the Proposed Transaction or another initial business combination will describe the various procedures that must be complied with in order to validly tender or submit public shares for redemption. For example, we intend to require our public shareholders seeking to exercise their redemption rights, whether they are record holders or hold their shares in “street name,” to, at the holder’s option, either deliver their share certificates to our transfer agent, or to deliver their shares to our transfer agent electronically prior to the date set forth in the proxy</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materials or tender offer documents, as applicable. In the case of proxy materials, as we expect to distribute in connection with the Proposed Transaction, this date may be up to two business days prior to the scheduled vote on the proposal to approve the initial business combination. In addition, if we conduct redemptions in connection with a shareholder vote, as we expect to do in connection with the Proposed Transaction, we intend to require a public shareholder seeking redemption of its public shares to also submit a written request for redemption to our transfer agent two business days prior to the scheduled vote in which the name of the beneficial owner of such shares is included. In the event that a shareholder fails to comply with these or any other procedures disclosed in the proxy or tender offer materials, as applicable, its shares may not be redeemed.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121"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Since the net proceeds of the initial public offering and the sale of the private placement warrants are intended to be used to complete an initial business combination with a target business that has not been selected, we may be deemed to be a “blank check” company under the United States securities laws. However, because we have net tangible assets in excess of $5,000,000 and have filed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the initial public offering were subject to Rule 419, that rule would prohibit the release of any interest earned on funds held in the trust account to us unless and until the funds in the trust account were released to us in connection with our completion of an initial business combination.</w:t>
      </w:r>
    </w:p>
    <w:p>
      <w:pPr>
        <w:spacing w:after="0" w:line="269" w:lineRule="exact"/>
        <w:rPr>
          <w:sz w:val="20"/>
          <w:szCs w:val="20"/>
          <w:color w:val="auto"/>
        </w:rPr>
      </w:pPr>
    </w:p>
    <w:p>
      <w:pPr>
        <w:ind w:left="120" w:right="20"/>
        <w:spacing w:after="0" w:line="281" w:lineRule="auto"/>
        <w:rPr>
          <w:sz w:val="20"/>
          <w:szCs w:val="20"/>
          <w:color w:val="auto"/>
        </w:rPr>
      </w:pPr>
      <w:r>
        <w:rPr>
          <w:rFonts w:ascii="Arial" w:cs="Arial" w:eastAsia="Arial" w:hAnsi="Arial"/>
          <w:sz w:val="17"/>
          <w:szCs w:val="17"/>
          <w:b w:val="1"/>
          <w:bCs w:val="1"/>
          <w:color w:val="auto"/>
        </w:rPr>
        <w:t>Because of our limited resources and the significant competition for business combination opportunities, it may be more difficult for us to complete the Proposed Transaction or another initial business combination. If we are unable to complete the Proposed Transaction or another initial business combination, our public shareholders may receive only their pro rata portion of the funds in the trust account that are available for distribution to public shareholders, and our warrants will expire worthless.</w:t>
      </w:r>
    </w:p>
    <w:p>
      <w:pPr>
        <w:spacing w:after="0" w:line="61"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including Bakkt, we could potentially acquire with the net proceeds of the initial public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including the Proposed Transaction, in conjunction with a shareholder vote or via a tender offer. Target companies, such as Bakkt, will be aware that this may reduce the resources available to us for our initial business combination. Any of these obligations may place us at a competitive disadvantage in successfully negotiating a business combination. If we are unable to complete the Proposed Transaction or another initial business combination, our public shareholders may receive only their pro rata portion of the funds in the trust account that are available for distribution to public shareholders, and our warrants will expire worthless.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80"/>
        <w:spacing w:after="0" w:line="261" w:lineRule="auto"/>
        <w:rPr>
          <w:sz w:val="20"/>
          <w:szCs w:val="20"/>
          <w:color w:val="auto"/>
        </w:rPr>
      </w:pPr>
      <w:r>
        <w:rPr>
          <w:rFonts w:ascii="Arial" w:cs="Arial" w:eastAsia="Arial" w:hAnsi="Arial"/>
          <w:sz w:val="18"/>
          <w:szCs w:val="18"/>
          <w:b w:val="1"/>
          <w:bCs w:val="1"/>
          <w:color w:val="auto"/>
        </w:rPr>
        <w:t>If the net proceeds of the initial public offering not being held in the trust account are insufficient to allow us to operate for at least until September 25, 2022, it could limit the amount available to fund our search for a target business or businesses and complete the Proposed Transaction or another initial business combination, and we will depend on loans from our sponsor or management team to fund our search and to complete our initial business combination.</w:t>
      </w:r>
    </w:p>
    <w:p>
      <w:pPr>
        <w:spacing w:after="0" w:line="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Of the net proceeds of the initial public offering, only approximately $1,000,000 were available to us initially outside the trust account to fund our working capital requirements. We believe that the funds available to us outside of the trust account are sufficient to allow us to operate for at least until September 25, 2022;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and have not done so in connection with the Proposed Transaction.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8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Prior to the completion of our initial business combination, including the Proposed Transaction,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the Proposed Transaction or another initial business combination 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spacing w:after="0" w:line="296"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shareholders may be less than $10.00 per share.</w:t>
      </w:r>
    </w:p>
    <w:p>
      <w:pPr>
        <w:spacing w:after="0" w:line="58"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seek to have all vendors, service providers, prospective target businesses and other entities (except for our Independent Registered Public Accounting Firm)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WithumSmith+Brown, PC, our independent registered independent public accounting firm, and the underwriters of our initial public offering will not execute agreements with us waiving such claims to the monies held in the Trust Account.</w:t>
      </w:r>
    </w:p>
    <w:p>
      <w:pPr>
        <w:spacing w:after="0" w:line="182"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negotiations, contracts or agreements with us and will not seek recourse against the Trust Account for any reason. Upon redemption of our public shares, if we are unable to complete the Proposed Transaction or another initial business combination within the prescribed timeframe, or upon the exercise of a redemption right in connection with such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Annual Report on Form 10-K forms a part,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the initial public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the Proposed Transaction or another initial business combination and redemptions could be reduced to less than $10.00 per public share. In such event, we may not be able to complete the Proposed Transaction or another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86"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5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event that the proceeds in the Trust Account are reduced below the lesser of (i) $10.00 per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shareholders may be reduced below $10.00 per share.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81" w:lineRule="auto"/>
        <w:rPr>
          <w:sz w:val="20"/>
          <w:szCs w:val="20"/>
          <w:color w:val="auto"/>
        </w:rPr>
      </w:pPr>
      <w:r>
        <w:rPr>
          <w:rFonts w:ascii="Arial" w:cs="Arial" w:eastAsia="Arial" w:hAnsi="Arial"/>
          <w:sz w:val="17"/>
          <w:szCs w:val="17"/>
          <w:b w:val="1"/>
          <w:bCs w:val="1"/>
          <w:color w:val="auto"/>
        </w:rPr>
        <w:t>If, after we distribute the proceeds in the Trust Account to our public shareholders, we file a bankruptcy or insolvency petition or an involuntary bankruptcy or insolvency petition is filed against us that is not dismissed, a bankruptcy or insolvency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61"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If, after we distribute the proceeds in the Trust Account to our public shareholders, we file a bankruptcy or insolvency petition or an involuntary bankruptcy or insolvency petition is filed against us that is not dismissed, any distributions received by shareholders could be viewed under applicable debtor/creditor and/or bankruptcy laws as either a “preferential transfer” or a “fraudulent conveyance.” As a result, a bankruptcy or insolvency court could seek to recover some or all amounts received by our shareholders. In addition, our board of directors may be viewed as having breached its fiduciary duty to our creditors and/or having acted in bad faith, by paying public shareholders from the Trust Account prior to addressing the claims of creditors, thereby exposing itself and us to claims of punitive damages.</w:t>
      </w:r>
    </w:p>
    <w:p>
      <w:pPr>
        <w:spacing w:after="0" w:line="282"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If, before distributing the proceeds in the Trust Account to our public shareholders, we file a bankruptcy petition or insolvency or an involuntary bankruptcy or insolvency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7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before distributing the proceeds in the Trust Account to our public shareholders, we file a bankruptcy or insolvency petition or an involuntary bankruptcy or insolvency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292" w:lineRule="exact"/>
        <w:rPr>
          <w:sz w:val="20"/>
          <w:szCs w:val="20"/>
          <w:color w:val="auto"/>
        </w:rPr>
      </w:pPr>
    </w:p>
    <w:p>
      <w:pPr>
        <w:ind w:left="120" w:right="180"/>
        <w:spacing w:after="0" w:line="347" w:lineRule="auto"/>
        <w:rPr>
          <w:sz w:val="20"/>
          <w:szCs w:val="20"/>
          <w:color w:val="auto"/>
        </w:rPr>
      </w:pPr>
      <w:r>
        <w:rPr>
          <w:rFonts w:ascii="Arial" w:cs="Arial" w:eastAsia="Arial" w:hAnsi="Arial"/>
          <w:sz w:val="16"/>
          <w:szCs w:val="16"/>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31"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restrictions on the issuance of securities, each of which may make it difficult for us to complete our initial business combination, including the Proposed Transaction. In addition, we may have imposed upon us burdensome requirements, including:</w:t>
      </w:r>
    </w:p>
    <w:p>
      <w:pPr>
        <w:spacing w:after="0" w:line="51" w:lineRule="exact"/>
        <w:rPr>
          <w:rFonts w:ascii="Arial" w:cs="Arial" w:eastAsia="Arial" w:hAnsi="Arial"/>
          <w:sz w:val="17"/>
          <w:szCs w:val="17"/>
          <w:color w:val="auto"/>
        </w:rPr>
      </w:pPr>
    </w:p>
    <w:p>
      <w:pPr>
        <w:ind w:left="1540" w:hanging="331"/>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not subject to.</w:t>
      </w:r>
    </w:p>
    <w:p>
      <w:pPr>
        <w:spacing w:after="0" w:line="23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Our securities are not intended for persons who are seeking a return on investments in government securities or investment securities. The Trust Account is intended as a holding place for funds pending the earliest to occur of either: (i) the completion of our initial business combination, including the Proposed Transaction;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by September 25, 2022; or (B) with respect to any other material provisions relating to shareholders’ rights or pre-initial business combination activity, or (iii) absent an initial business combination by September 25, 2022,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the Proposed Transaction or another initial business combination, our public shareholders may only receive their pro rata portion of the funds in the Trust Account that are available for distribution to public shareholders, and our warrants will expire worthless.</w:t>
      </w:r>
    </w:p>
    <w:p>
      <w:pPr>
        <w:spacing w:after="0" w:line="292" w:lineRule="exact"/>
        <w:rPr>
          <w:sz w:val="20"/>
          <w:szCs w:val="20"/>
          <w:color w:val="auto"/>
        </w:rPr>
      </w:pPr>
    </w:p>
    <w:p>
      <w:pPr>
        <w:ind w:left="120" w:right="40"/>
        <w:spacing w:after="0" w:line="312" w:lineRule="auto"/>
        <w:rPr>
          <w:sz w:val="20"/>
          <w:szCs w:val="20"/>
          <w:color w:val="auto"/>
        </w:rPr>
      </w:pPr>
      <w:r>
        <w:rPr>
          <w:rFonts w:ascii="Arial" w:cs="Arial" w:eastAsia="Arial" w:hAnsi="Arial"/>
          <w:sz w:val="17"/>
          <w:szCs w:val="17"/>
          <w:b w:val="1"/>
          <w:bCs w:val="1"/>
          <w:color w:val="auto"/>
        </w:rPr>
        <w:t>Changes in laws or regulations, or a failure to comply with any laws and regulations, may adversely affect our business, including our ability to negotiate and complete the Proposed Transaction or another initial business combination, and results of operations.</w:t>
      </w:r>
    </w:p>
    <w:p>
      <w:pPr>
        <w:spacing w:after="0" w:line="3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the Proposed Transaction or another initial business combination, and results of operations.</w:t>
      </w:r>
    </w:p>
    <w:p>
      <w:pPr>
        <w:spacing w:after="0" w:line="296" w:lineRule="exact"/>
        <w:rPr>
          <w:sz w:val="20"/>
          <w:szCs w:val="20"/>
          <w:color w:val="auto"/>
        </w:rPr>
      </w:pPr>
    </w:p>
    <w:p>
      <w:pPr>
        <w:ind w:left="120" w:right="220"/>
        <w:spacing w:after="0" w:line="282" w:lineRule="auto"/>
        <w:rPr>
          <w:sz w:val="20"/>
          <w:szCs w:val="20"/>
          <w:color w:val="auto"/>
        </w:rPr>
      </w:pPr>
      <w:r>
        <w:rPr>
          <w:rFonts w:ascii="Arial" w:cs="Arial" w:eastAsia="Arial" w:hAnsi="Arial"/>
          <w:sz w:val="18"/>
          <w:szCs w:val="18"/>
          <w:b w:val="1"/>
          <w:bCs w:val="1"/>
          <w:color w:val="auto"/>
        </w:rPr>
        <w:t>Our shareholders may be held liable for claims by third parties against us to the extent of distributions received by them upon redemption of their shares.</w:t>
      </w:r>
    </w:p>
    <w:p>
      <w:pPr>
        <w:spacing w:after="0" w:line="58"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$18,293 and to imprisonment for five years in the Cayman Islands.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900"/>
        <w:spacing w:after="0" w:line="282" w:lineRule="auto"/>
        <w:rPr>
          <w:sz w:val="20"/>
          <w:szCs w:val="20"/>
          <w:color w:val="auto"/>
        </w:rPr>
      </w:pPr>
      <w:r>
        <w:rPr>
          <w:rFonts w:ascii="Arial" w:cs="Arial" w:eastAsia="Arial" w:hAnsi="Arial"/>
          <w:sz w:val="18"/>
          <w:szCs w:val="18"/>
          <w:b w:val="1"/>
          <w:bCs w:val="1"/>
          <w:color w:val="auto"/>
        </w:rPr>
        <w:t>We may not hold an annual general meeting until after the consummation of our initial business combination, which could delay the opportunity for our shareholders to appoint directors.</w:t>
      </w:r>
    </w:p>
    <w:p>
      <w:pPr>
        <w:spacing w:after="0" w:line="58"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general meeting until no later than one year after our first fiscal year end following our listing on Nasdaq. There is no requirement under the Companies Law for us to hold annual or extraordinary general meetings to appoint directors. Until we hold an annual general meeting, public shareholders may not be afforded the opportunity to appoint directors and to discuss company affairs with management. Our board of directors is divided into three classes with only one class of directors being appointed in each year and each class (except for those directors appointed prior to our first annual general meeting) serving a three-year term. In addition, as holders of our Class A ordinary shares, our public shareholders will not have the right to vote on the appointment of directors until after the consummation of our initial business combination, including the Proposed Transaction.</w:t>
      </w:r>
    </w:p>
    <w:p>
      <w:pPr>
        <w:spacing w:after="0" w:line="281"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auto"/>
        </w:rPr>
        <w:t>Because we are not limited to evaluating a target business in a particular industry sector, you will be unable to ascertain the merits or risks of any particular target business’s operations.</w:t>
      </w:r>
    </w:p>
    <w:p>
      <w:pPr>
        <w:spacing w:after="0" w:line="5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Our efforts to identify a prospective initial business combination target will not be limited to a particular industry, sector or geographic region. While we may pursue an initial business combination opportunity in any industry or sector, we intend to capitalize on the ability of our management team to identify and acquire a business or businesses that can benefit from our management team’s established global relationships and operating experience. In particular, we currently expect to complete the Proposed Transaction with Bakkt. Our management team has extensive experience in identifying and executing strategic investments globally and has done so successfully in a number of sectors, including the consumer brands sectors. Our amended and restated memorandum and articles of association prohibits us from effectuating a business combination with another blank check company or similar company with nominal operations. To the extent we complete the Proposed Transaction or another initial business combination, we may be affected by numerous risks inherent in the business operations or Bakkt or another target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and have done so in connection with the Proposed Transaction, we cannot assure you that we have or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Bakkt or another target business. We also cannot assure you that an investment in our units will ultimately prove to be more favorable to investors than a direct investment, if such opportunity were available, in Bakkt or another business combination target. Accordingly, any shareholders who choose to remain shareholders following the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We may seek business combination opportunities in industries or sectors that may be outside of our management’s areas of expertise.</w:t>
      </w:r>
    </w:p>
    <w:p>
      <w:pPr>
        <w:spacing w:after="0" w:line="13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and will consider business combinations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and it has endeavored to do so in connection with the Proposed Transaction, we cannot assure you that we have or will adequately ascertain or assess all of the significant risk factors. We also cannot assure you that an investment in our securities will not ultimately prove to be less favorable to investors in our securities than a direct investment, if an opportunity were available, in Baakt or another business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combination candidate. In the event we elect to pursue a business combination outside of the areas of our management’s expertise, our management’s expertise may not be directly applicable to its evaluation or operation, and the information contained herein regarding the areas of our management’s expertise would not be relevant to an understanding of the business that we elect to acquire. As a result, our management may not be able to ascertain or assess adequately all of the relevant risk factors. Accordingly, any shareholders who choose to remain shareholders following the Proposed Transaction or another initial business combination could suffer a reduction in the value of their shares. Such shareholders are unlikely to have a remedy for such reduction in value.</w:t>
      </w:r>
    </w:p>
    <w:p>
      <w:pPr>
        <w:spacing w:after="0" w:line="296" w:lineRule="exact"/>
        <w:rPr>
          <w:sz w:val="20"/>
          <w:szCs w:val="20"/>
          <w:color w:val="auto"/>
        </w:rPr>
      </w:pPr>
    </w:p>
    <w:p>
      <w:pPr>
        <w:ind w:left="120"/>
        <w:spacing w:after="0" w:line="314" w:lineRule="auto"/>
        <w:rPr>
          <w:sz w:val="20"/>
          <w:szCs w:val="20"/>
          <w:color w:val="auto"/>
        </w:rPr>
      </w:pPr>
      <w:r>
        <w:rPr>
          <w:rFonts w:ascii="Arial" w:cs="Arial" w:eastAsia="Arial" w:hAnsi="Arial"/>
          <w:sz w:val="16"/>
          <w:szCs w:val="16"/>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3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we decide to obtain shareholder approval for business or other legal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289" w:lineRule="exact"/>
        <w:rPr>
          <w:sz w:val="20"/>
          <w:szCs w:val="20"/>
          <w:color w:val="auto"/>
        </w:rPr>
      </w:pPr>
    </w:p>
    <w:p>
      <w:pPr>
        <w:ind w:left="120" w:right="160"/>
        <w:spacing w:after="0" w:line="266" w:lineRule="auto"/>
        <w:rPr>
          <w:sz w:val="20"/>
          <w:szCs w:val="20"/>
          <w:color w:val="auto"/>
        </w:rPr>
      </w:pPr>
      <w:r>
        <w:rPr>
          <w:rFonts w:ascii="Arial" w:cs="Arial" w:eastAsia="Arial" w:hAnsi="Arial"/>
          <w:sz w:val="18"/>
          <w:szCs w:val="18"/>
          <w:b w:val="1"/>
          <w:b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shareholders from a financial point of view.</w:t>
      </w:r>
    </w:p>
    <w:p>
      <w:pPr>
        <w:spacing w:after="0" w:line="72"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shareholders from a financial point of view. We do not expect to obtain such an opinion in connection with the Proposed Transaction. If no opinion is obtained, our shareholders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the Proposed Transaction or any other initial business combination.</w:t>
      </w:r>
    </w:p>
    <w:p>
      <w:pPr>
        <w:spacing w:after="0" w:line="281" w:lineRule="exact"/>
        <w:rPr>
          <w:sz w:val="20"/>
          <w:szCs w:val="20"/>
          <w:color w:val="auto"/>
        </w:rPr>
      </w:pPr>
    </w:p>
    <w:p>
      <w:pPr>
        <w:ind w:left="120" w:right="180"/>
        <w:spacing w:after="0" w:line="258" w:lineRule="auto"/>
        <w:rPr>
          <w:sz w:val="20"/>
          <w:szCs w:val="20"/>
          <w:color w:val="auto"/>
        </w:rPr>
      </w:pPr>
      <w:r>
        <w:rPr>
          <w:rFonts w:ascii="Arial" w:cs="Arial" w:eastAsia="Arial" w:hAnsi="Arial"/>
          <w:sz w:val="18"/>
          <w:szCs w:val="18"/>
          <w:b w:val="1"/>
          <w:bCs w:val="1"/>
          <w:color w:val="auto"/>
        </w:rPr>
        <w:t>We may issue additional Class A ordinary shares or shares of preferred shares to complete our initial business combination, including the Proposed Transaction or under an employee incentive plan after completion of our initial business combination. We may also issue Class A ordinary shares upon the conversion of the founder shares at a ratio greater than one-to-one at the time of the Proposed Transaction or other initial business combination as a result of the anti-dilution provisions contained therein. Any such issuances would dilute the interest of our shareholders and likely present other risks.</w:t>
      </w:r>
    </w:p>
    <w:p>
      <w:pPr>
        <w:spacing w:after="0" w:line="79" w:lineRule="exact"/>
        <w:rPr>
          <w:sz w:val="20"/>
          <w:szCs w:val="20"/>
          <w:color w:val="auto"/>
        </w:rPr>
      </w:pPr>
    </w:p>
    <w:p>
      <w:pPr>
        <w:ind w:left="120" w:right="400"/>
        <w:spacing w:after="0" w:line="258" w:lineRule="auto"/>
        <w:rPr>
          <w:sz w:val="20"/>
          <w:szCs w:val="20"/>
          <w:color w:val="auto"/>
        </w:rPr>
      </w:pPr>
      <w:r>
        <w:rPr>
          <w:rFonts w:ascii="Arial" w:cs="Arial" w:eastAsia="Arial" w:hAnsi="Arial"/>
          <w:sz w:val="18"/>
          <w:szCs w:val="18"/>
          <w:color w:val="auto"/>
        </w:rPr>
        <w:t>Our amended and restated memorandum and articles of association authorizes the issuance of up to 200,000,000 Class A ordinary shares, par value $0.0001 per share, 20,000,000 Class B ordinary shares, par value $0.0001 per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 and 1,000,000 preferred shares, par value $0.0001 per share. As of March 29, 2021 there are 179,267,798</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and 14,815,700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The Class B ordinary shares are automatically convertible into Class A ordinary shares concurrently with or immediately following the consummation of the Proposed Transaction or another initial business combination, initially at a one-for-one ratio but subject to adjustment as set forth herein and in our amended and restated memorandum and articles of association, including in certain circumstances in which we issue Class A ordinary shares or equity-linked securities related to such initial business combination. Currently, there are no preferred shares issued and outstanding.</w:t>
      </w:r>
    </w:p>
    <w:p>
      <w:pPr>
        <w:spacing w:after="0" w:line="164"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We may issue a substantial number of additional Class A ordinary shares or preferred shares to complete the Proposed Transaction or another initial business combination or under an employee incentive plan after completion of the Proposed Transaction or such other initial business combination. We may also issue Class A ordinary shares upon conversion of the Class B ordinary shares at a ratio greater than one-to-one at the time of the Proposed Transaction or other initial business combination as a result of the anti-dilution provisions as set forth therein. However, our amended and restated memorandum and articles of association provides, among other things, that prior to our initial business combination, we may not issue additional shares that would entitle the holders thereof to (i) receive funds from the trust account or (ii) vote on any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preferred shares:</w:t>
      </w:r>
    </w:p>
    <w:p>
      <w:pPr>
        <w:spacing w:after="0" w:line="71"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the initial public offering;</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w:t>
      </w:r>
    </w:p>
    <w:p>
      <w:pPr>
        <w:spacing w:after="0" w:line="329" w:lineRule="exact"/>
        <w:rPr>
          <w:sz w:val="20"/>
          <w:szCs w:val="20"/>
          <w:color w:val="auto"/>
        </w:rPr>
      </w:pPr>
    </w:p>
    <w:p>
      <w:pPr>
        <w:ind w:left="120" w:right="180"/>
        <w:spacing w:after="0" w:line="303" w:lineRule="auto"/>
        <w:rPr>
          <w:sz w:val="20"/>
          <w:szCs w:val="20"/>
          <w:color w:val="auto"/>
        </w:rPr>
      </w:pPr>
      <w:r>
        <w:rPr>
          <w:rFonts w:ascii="Arial" w:cs="Arial" w:eastAsia="Arial" w:hAnsi="Arial"/>
          <w:sz w:val="16"/>
          <w:szCs w:val="16"/>
          <w:b w:val="1"/>
          <w:bCs w:val="1"/>
          <w:color w:val="auto"/>
        </w:rPr>
        <w:t>Resources could be wasted in researching business combinations, such as the Proposed Transaction, that are not completed, which could materially adversely affect subsequent attempts to locate and acquire or merge with another business. If we are unable to complete the Proposed Transaction or another initial business combination, our public shareholders may only receive their pro rata portion of the funds in the Trust Account that are available for distribution to public shareholders, and our warrants will expire worthless.</w:t>
      </w:r>
    </w:p>
    <w:p>
      <w:pPr>
        <w:spacing w:after="0" w:line="4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the Proposed Transaction or another specific initial business combination, the costs incurred up to that point for such transaction likely would not be recoverable. We may fail to complete the Proposed Transaction for any number of reasons including those beyond our control. Furthermore, if we reach an agreement relating to a different specific target business, we may fail to complete our initial business combination with that businessfor any number of reasons including those beyond our control. Any such event will result in a loss to us of the related costs incurred which could materially adversely affect subsequent attempts to locate and acquire or merge with another business. If we are unable to complete the Proposed Transaction or another initial business combination, our public shareholders may only receive their pro rata portion of the funds in the Trust Account that are available for distribution to public shareholders, and our warrants will expire worthless.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auto"/>
        </w:rPr>
        <w:t>We may be a passive foreign investment company, or “PFIC,” which could result in adverse United States federal income tax consequences to U.S. investors.</w:t>
      </w:r>
    </w:p>
    <w:p>
      <w:pPr>
        <w:spacing w:after="0" w:line="58"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If we are a PFIC for any taxable year (or portion thereof) that is included in the holding period of a U.S. Holder (as defined in the section of this prospectus captioned “Taxation—United States Federal Income Tax Considerations—U.S. Holders”)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report captioned “</w:t>
      </w:r>
      <w:r>
        <w:rPr>
          <w:rFonts w:ascii="Arial" w:cs="Arial" w:eastAsia="Arial" w:hAnsi="Arial"/>
          <w:sz w:val="16"/>
          <w:szCs w:val="16"/>
          <w:i w:val="1"/>
          <w:iCs w:val="1"/>
          <w:color w:val="auto"/>
        </w:rPr>
        <w:t>Taxation—United States Federal Income Tax Considerations—U.S. Holders—Passive Foreign Investment Company Rules”).</w:t>
      </w:r>
      <w:r>
        <w:rPr>
          <w:rFonts w:ascii="Arial" w:cs="Arial" w:eastAsia="Arial" w:hAnsi="Arial"/>
          <w:sz w:val="16"/>
          <w:szCs w:val="16"/>
          <w:color w:val="auto"/>
        </w:rPr>
        <w:t xml:space="preserve">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own tax advisors regarding the possible application of the PFIC rules. For a more detailed explanation of the tax consequences of PFIC classification to U.S. Holders, see the section of this report captioned </w:t>
      </w:r>
      <w:r>
        <w:rPr>
          <w:rFonts w:ascii="Arial" w:cs="Arial" w:eastAsia="Arial" w:hAnsi="Arial"/>
          <w:sz w:val="16"/>
          <w:szCs w:val="16"/>
          <w:i w:val="1"/>
          <w:iCs w:val="1"/>
          <w:color w:val="auto"/>
        </w:rPr>
        <w:t>“Taxation—United States Federal Income Tax Considerations—U.S. Holders—Passive Foreign Investment Company Rules.”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 investment in our securities may result in uncertain U.S. federal income tax consequences.</w:t>
      </w:r>
    </w:p>
    <w:p>
      <w:pPr>
        <w:spacing w:after="0" w:line="12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An investment in our securities may result in uncertain U.S. federal income tax consequences. For instance, because there are no authorities that directly address instruments similar to our units, the allocation an investor makes with respect to the purchase price of a unit between the Class A ordinary shares and the one-half of a warrant to purchase one Class A ordinary share included in each unit could be challenged by the IRS or courts. In addition, the U.S. federal income tax consequences of a cashless exercise of warrants included in our units is unclear under current law. Finally, it is unclear whether the redemption rights with respect to our ordinary shares suspend the running of a U.S. Holder’s (as defined in section titled “Taxation—United States Federal Income Tax Consideration—U.S. Holders”) holding period for purposes of determining whether any gain or loss realized by such holder on the sale or exchange of Class A ordinary shares is long-term capital gain or loss and for determining whether any dividend we pay would be considered “qualified dividend income” for U.S. federal income tax purposes. See the section titled “Taxation—United States Federal Income Tax Considerations” for a summary of the U.S. federal income tax considerations of an investment in our securities. Prospective investors are urged to consult their tax advisors with respect to these and other tax consequences when acquiring, owning or disposing of our securities.</w:t>
      </w:r>
    </w:p>
    <w:p>
      <w:pPr>
        <w:spacing w:after="0" w:line="272"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We may reincorporate in another jurisdiction, as we plan to do in connection with the Proposed Transaction, which may result in taxes imposed on shareholders.</w:t>
      </w:r>
    </w:p>
    <w:p>
      <w:pPr>
        <w:spacing w:after="0" w:line="58"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We may, in connection with our initial business combination or otherwise and subject to requisite shareholder approval by special resolution under the Companies Law, reincorporate in the jurisdiction in which the target company or business is located or in another jurisdiction. We plan to reincorporate in Delaware in connection with the Proposed Transaction.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66" w:lineRule="auto"/>
        <w:rPr>
          <w:sz w:val="20"/>
          <w:szCs w:val="20"/>
          <w:color w:val="auto"/>
        </w:rPr>
      </w:pPr>
      <w:r>
        <w:rPr>
          <w:rFonts w:ascii="Arial" w:cs="Arial" w:eastAsia="Arial" w:hAnsi="Arial"/>
          <w:sz w:val="18"/>
          <w:szCs w:val="18"/>
          <w:b w:val="1"/>
          <w:bCs w:val="1"/>
          <w:color w:val="auto"/>
        </w:rPr>
        <w:t>After the Proposed Transaction or another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72"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It is possible that after the Proposed Transaction or another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275" w:lineRule="exact"/>
        <w:rPr>
          <w:sz w:val="20"/>
          <w:szCs w:val="20"/>
          <w:color w:val="auto"/>
        </w:rPr>
      </w:pPr>
    </w:p>
    <w:p>
      <w:pPr>
        <w:ind w:left="120" w:right="160"/>
        <w:spacing w:after="0" w:line="266" w:lineRule="auto"/>
        <w:rPr>
          <w:sz w:val="20"/>
          <w:szCs w:val="20"/>
          <w:color w:val="auto"/>
        </w:rPr>
      </w:pPr>
      <w:r>
        <w:rPr>
          <w:rFonts w:ascii="Arial" w:cs="Arial" w:eastAsia="Arial" w:hAnsi="Arial"/>
          <w:sz w:val="18"/>
          <w:szCs w:val="18"/>
          <w:b w:val="1"/>
          <w:b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result in our inability to consummate an initial business combination.</w:t>
      </w:r>
    </w:p>
    <w:p>
      <w:pPr>
        <w:spacing w:after="0" w:line="72"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In recent years, the number of special purpose acquisition companies has increased substantially. A number of potential targets for special purpose acquisition companies have already been acquired, and there are still many special purpose acquisition companies pursuing an initial business combination. As a result, fewer attractive targets may be available to consummate an initial business combination. In addition, because there are more special purpose acquisition companies seeking to enter into an initial business combination with available targets, the competition for targets may increase and, as a result, the terms of business combination transactions with available targets could become less favorable to us. Attractive transactions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us.</w:t>
      </w:r>
    </w:p>
    <w:p>
      <w:pPr>
        <w:spacing w:after="0" w:line="285"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officers, directors or existing holders which may raise potential conflicts of interest.</w:t>
      </w:r>
    </w:p>
    <w:p>
      <w:pPr>
        <w:spacing w:after="0" w:line="58"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light of the involvement of our sponsor, officers and directors with other entities, we may decide to acquire one or more businesses affiliated with our sponsor, officers, directors or existing holders. Bakkt is not affiliated with our sponsor, officers, directors or existing holders. Our directors also serve as officers and board members for other entities.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Furthermore, we currently intend to complete the Proposed Transaction with Bakkt. Although we will not be specifically focusing on, or targeting, any transaction with any affiliated entities, we would pursue such a transaction if we determined that such affiliated entity met our criteria for a business combination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officers, directors or existing holders, potential conflicts of interest still may exist and, as a result, the terms of the business combination may not be as advantageous to our public shareholders as they would be absent any conflicts of interest.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61" w:lineRule="auto"/>
        <w:rPr>
          <w:sz w:val="20"/>
          <w:szCs w:val="20"/>
          <w:color w:val="auto"/>
        </w:rPr>
      </w:pPr>
      <w:r>
        <w:rPr>
          <w:rFonts w:ascii="Arial" w:cs="Arial" w:eastAsia="Arial" w:hAnsi="Arial"/>
          <w:sz w:val="18"/>
          <w:szCs w:val="18"/>
          <w:b w:val="1"/>
          <w:bCs w:val="1"/>
          <w:color w:val="auto"/>
        </w:rPr>
        <w:t>Since our sponsor, officers and directors will lose their entire investment in us if the Proposed Transaction or another initial business combination is not completed (other than with respect to public shares they may acquire during or after the initial public offering), a conflict of interest may arise in determining whether a particular business combination target, including Bakkt, is appropriate for our initial business combination.</w:t>
      </w:r>
    </w:p>
    <w:p>
      <w:pPr>
        <w:spacing w:after="0" w:line="76"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On August 3, 2020, our Sponsor paid $25,000, or approximately $0.004 per share, to cover certain of our offering and formation costs in exchange for 5,750,000 founder shares. In September 2020, our sponsor transferred an aggregate of 60,000 founder shares to members of our board of directors, resulting in our sponsor holding 5,690,000 founder shares.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issued was determined based on the expectation that the total size of our initial public offering would be a maximum of 23,000,000 units if the underwriters’ over-allotment option was exercised in full, and therefore that such founder shares would represent 20% of the outstanding shares after our initial public offering. Up to 750,000 of the founder shares were subject to surrender for no consideration depending on the extent to which the underwriters’ over-allotment was exercised. As a result of the underwriters’ election to partially exercise their over-allotment option and the forfeiture of the remaining over-allotment option, 565,700 founder shares were forfeited and 184,300 founder shares are no longer subject to forfeiture resulting in an aggregate of 5,184,300 founder shares outstanding at March 29, 2021. The founder shares will be worthless if we do not complete the Proposed Transaction or another initial business combination. In addition, our Sponsor purchased an aggregate of 6,147,550 private placement warrants, each exercisable for one Class A ordinary share at $11.50 per share, subject to adjustment as described herein, for an aggregate purchase price of $6,147,550, or $1.00 per warrant, that will also be worthless if we do not complete the Proposed Transaction or another initial business combination within the allocated time period. The personal and financial interests of our officers and directors may have influenced or may influence their motivation in identifying and selecting Bakkt, or another target business combination, completing the Proposed Transaction or another initial business combination and influencing the operation of the business following the initial business combination. This risk may become more acute as the 24-month anniversary of the closing of the initial public offering nears, which is the deadline for our completion of an initial business combination.</w:t>
      </w:r>
    </w:p>
    <w:p>
      <w:pPr>
        <w:spacing w:after="0" w:line="200" w:lineRule="exact"/>
        <w:rPr>
          <w:sz w:val="20"/>
          <w:szCs w:val="20"/>
          <w:color w:val="auto"/>
        </w:rPr>
      </w:pPr>
    </w:p>
    <w:p>
      <w:pPr>
        <w:spacing w:after="0" w:line="294" w:lineRule="exact"/>
        <w:rPr>
          <w:sz w:val="20"/>
          <w:szCs w:val="20"/>
          <w:color w:val="auto"/>
        </w:rPr>
      </w:pPr>
    </w:p>
    <w:p>
      <w:pPr>
        <w:ind w:left="120" w:right="400"/>
        <w:spacing w:after="0" w:line="266"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the Proposed Transaction or another business combination, which may adversely affect our leverage and financial condition and thus negatively impact the value of our shareholders’ investment in us.</w:t>
      </w:r>
    </w:p>
    <w:p>
      <w:pPr>
        <w:spacing w:after="0" w:line="72"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Although we have no commitments as of the date of this Annual Report on Form 10-K to issue any notes or other debt securities, or to otherwise incur outstanding debt, we may choose to incur substantial debt to complete the Proposed Transaction or another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82" w:lineRule="exact"/>
        <w:rPr>
          <w:sz w:val="20"/>
          <w:szCs w:val="20"/>
          <w:color w:val="auto"/>
        </w:rPr>
      </w:pPr>
    </w:p>
    <w:p>
      <w:pPr>
        <w:ind w:left="1080" w:right="3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the Proposed Transaction or other initial business combination are insufficient to repay our debt obligations;</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5" w:lineRule="exact"/>
        <w:rPr>
          <w:rFonts w:ascii="Arial" w:cs="Arial" w:eastAsia="Arial" w:hAnsi="Arial"/>
          <w:sz w:val="18"/>
          <w:szCs w:val="18"/>
          <w:color w:val="auto"/>
        </w:rPr>
      </w:pPr>
    </w:p>
    <w:p>
      <w:pPr>
        <w:ind w:left="1080" w:right="660" w:hanging="424"/>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28" w:lineRule="exact"/>
        <w:rPr>
          <w:sz w:val="20"/>
          <w:szCs w:val="20"/>
          <w:color w:val="auto"/>
        </w:rPr>
      </w:pPr>
    </w:p>
    <w:p>
      <w:pPr>
        <w:jc w:val="both"/>
        <w:ind w:left="120" w:right="40"/>
        <w:spacing w:after="0" w:line="266"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the initial public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72"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net proceeds from the initial public offering and the private placement provided us with $200,113,999.30 that we may use to complete the Proposed Transaction or another initial business combination (after taking into account the $7,258,020.70 of deferred underwriting commissions being held in the trust account).</w:t>
      </w:r>
    </w:p>
    <w:p>
      <w:pPr>
        <w:spacing w:after="0" w:line="184"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Although the Merger Agreement contemplates an initial business combination with a single target business, Bakkt, we may effectuate another initial business combination with a single target business or multiple target businesses simultaneously or within a short period of time. However, we may not be able to effectuate such other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the Proposed Transaction or another initial business combination with only Bakkt or another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8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This lack of diversification may subject us to numerous economic, competitive and regulatory risks, any or all of which may have a substantial adverse impact upon the particular industry in which we may operate subsequent to the Proposed Transaction or other initial business combination.</w:t>
      </w:r>
    </w:p>
    <w:p>
      <w:pPr>
        <w:spacing w:after="0" w:line="228" w:lineRule="exact"/>
        <w:rPr>
          <w:sz w:val="20"/>
          <w:szCs w:val="20"/>
          <w:color w:val="auto"/>
        </w:rPr>
      </w:pPr>
    </w:p>
    <w:p>
      <w:pPr>
        <w:ind w:left="120" w:right="20"/>
        <w:spacing w:after="0" w:line="347" w:lineRule="auto"/>
        <w:rPr>
          <w:sz w:val="20"/>
          <w:szCs w:val="20"/>
          <w:color w:val="auto"/>
        </w:rPr>
      </w:pPr>
      <w:r>
        <w:rPr>
          <w:rFonts w:ascii="Arial" w:cs="Arial" w:eastAsia="Arial" w:hAnsi="Arial"/>
          <w:sz w:val="16"/>
          <w:szCs w:val="16"/>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253" w:lineRule="exact"/>
        <w:rPr>
          <w:sz w:val="20"/>
          <w:szCs w:val="20"/>
          <w:color w:val="auto"/>
        </w:rPr>
      </w:pPr>
    </w:p>
    <w:p>
      <w:pPr>
        <w:jc w:val="both"/>
        <w:ind w:left="120" w:right="100"/>
        <w:spacing w:after="0" w:line="289" w:lineRule="auto"/>
        <w:rPr>
          <w:sz w:val="20"/>
          <w:szCs w:val="20"/>
          <w:color w:val="auto"/>
        </w:rPr>
      </w:pPr>
      <w:r>
        <w:rPr>
          <w:rFonts w:ascii="Arial" w:cs="Arial" w:eastAsia="Arial" w:hAnsi="Arial"/>
          <w:sz w:val="17"/>
          <w:szCs w:val="17"/>
          <w:b w:val="1"/>
          <w:bCs w:val="1"/>
          <w:color w:val="auto"/>
        </w:rPr>
        <w:t>We are attempting to complete the Proposed Transaction with Bakkt, aprivate company, and if we do not complete the Proposed Transaction we may attempt to complete another initial business with a private company, about which little information is available, which may result in a business combination with Bakkt or another company that is not as profitable as we suspected, if at all.</w:t>
      </w:r>
    </w:p>
    <w:p>
      <w:pPr>
        <w:spacing w:after="0" w:line="5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attempting to complete the Proposed Transaction with Bakkt, a privately held company. In pursuing our business combination strategy if we do not completed the Proposed Transaction, we may seek to effectuate another initial business combination with a different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Bakkt or another company that is not as profitable as we suspected, if at all.</w:t>
      </w:r>
    </w:p>
    <w:p>
      <w:pPr>
        <w:spacing w:after="0" w:line="292" w:lineRule="exact"/>
        <w:rPr>
          <w:sz w:val="20"/>
          <w:szCs w:val="20"/>
          <w:color w:val="auto"/>
        </w:rPr>
      </w:pPr>
    </w:p>
    <w:p>
      <w:pPr>
        <w:ind w:left="120" w:right="600"/>
        <w:spacing w:after="0" w:line="312" w:lineRule="auto"/>
        <w:rPr>
          <w:sz w:val="20"/>
          <w:szCs w:val="20"/>
          <w:color w:val="auto"/>
        </w:rPr>
      </w:pPr>
      <w:r>
        <w:rPr>
          <w:rFonts w:ascii="Arial" w:cs="Arial" w:eastAsia="Arial" w:hAnsi="Arial"/>
          <w:sz w:val="17"/>
          <w:szCs w:val="17"/>
          <w:b w:val="1"/>
          <w:b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3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Our amended and restated memorandum and articles of association provide that in no event will we redeem our public shares in an amount that would cause our net tangible assets to be less than $5,000,001. In addition, the Proposed Transaction does, and any other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 complete the Proposed Transaction or another initial business combination even though a substantial majority of our public shareholders do not agree with the transaction and have redeemed their shares or, if we seek shareholder approval of the Proposed Transaction (as we expect to do) or another initial business combination and do not conduct redemptions in connection with the Proposed Transaction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Transaction or such other proposed business combination exceed the aggregate amount of cash available to us, we will not complete the Proposed Transaction or other business combination or redeem any shares, all Class A ordinary shares submitted for redemption will be returned to the holders thereof, and we instead may search for an alternate business combination.</w:t>
      </w:r>
    </w:p>
    <w:p>
      <w:pPr>
        <w:spacing w:after="0" w:line="272" w:lineRule="exact"/>
        <w:rPr>
          <w:sz w:val="20"/>
          <w:szCs w:val="20"/>
          <w:color w:val="auto"/>
        </w:rPr>
      </w:pPr>
    </w:p>
    <w:p>
      <w:pPr>
        <w:ind w:left="120"/>
        <w:spacing w:after="0" w:line="303" w:lineRule="auto"/>
        <w:rPr>
          <w:sz w:val="20"/>
          <w:szCs w:val="20"/>
          <w:color w:val="auto"/>
        </w:rPr>
      </w:pPr>
      <w:r>
        <w:rPr>
          <w:rFonts w:ascii="Arial" w:cs="Arial" w:eastAsia="Arial" w:hAnsi="Arial"/>
          <w:sz w:val="16"/>
          <w:szCs w:val="16"/>
          <w:b w:val="1"/>
          <w:b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the Proposed Transaction or another initial business combination that our shareholders may not support.</w:t>
      </w:r>
    </w:p>
    <w:p>
      <w:pPr>
        <w:spacing w:after="0" w:line="47"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securities. Amending our amended and restated memorandum and articles of association will require a special resolution under Cayman Islands law, being the affirmative vote of a majority of at least two-thirds of the shareholders who attend and vote at a general meeting of the Company,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then outstanding private placement warrants. In addition, our amended and restated memorandum and articles of association requires us to provide our public shareholders with the opportunity to redeem their public shares for cash if we propose an amendment to our amended and restated memorandum and articles of association (A) to modify the substance or timing of our obligation to allow redemption in connection with our initial business combination or to redeem 100% of our public shares if we do not complete an initial business combination by September 25, 2022 or (B) with respect to any other material provisions relating to shareholders’ rights or pre-initial business combination activity. To the extent any of such amendments would be deemed to fundamentally change the nature of the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27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b w:val="1"/>
          <w:b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not less than two-third of our ordinary shares who attend and vote at a general meeting of the Company (or 65% of our ordinary shares with respect to amendments to the trust agreement governing the release of funds from our Trust Account), which is a lower amendment threshold than that of some other special purpose acquisition companies. It may be easier for us, therefore, to amend our amended and restated memorandum and articles of association to facilitate the completion of an initial business combination that some of our shareholders may not support.</w:t>
      </w:r>
    </w:p>
    <w:p>
      <w:pPr>
        <w:spacing w:after="0" w:line="85"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Our amended and restated memorandum and articles of association provides that any of its provisions related to pre-business combination activity (including the requirement to deposit proceeds of the initial public offering and the private placement of warrants into the trust account and not release such amounts except in specified circumstances, and to provide redemption rights to public shareholders as described herein) may be amended if approved by special resolution, under Cayman Islands law being the affirmative vote of a majority of at least two-thirds of the shareholders who attend and vote at a general meeting of the Company and corresponding provisions of the trust agreement governing the release of funds from our trust account may be amended if approved by special resolution, under Cayman Islands law being the affirmative vote of a majority of at least two-thirds of the shareholders who attend and vote at a general meeting of the Company, and corresponding provisions of the trust agreement governing the release of funds from our Trust Account may be amended if approved by holders of 65% of our ordinary shares. Our initial shareholders, who collectively beneficially own 20% of our outstanding ordinary shares, may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special purpose acquisition companies, and this may increase our ability to complete the Proposed Transaction or another business combination with which you do not agree. Our shareholders may pursue remedies against us for any breach of our amended and restated memorandum and articles of association.</w:t>
      </w:r>
    </w:p>
    <w:p>
      <w:pPr>
        <w:spacing w:after="0" w:line="184"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Our sponsor, officers and directors have agreed, pursuant to written agreements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by September 25,</w:t>
      </w:r>
    </w:p>
    <w:p>
      <w:pPr>
        <w:spacing w:after="0" w:line="2"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2022 or (B) with respect to any other material provisions relating to shareholders’ rights or pre-initial business combination activity, unless we provide our public shareholders with the opportunity to redeem their Class A</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ordinary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shareholders are not parties to, or third-party beneficiaries of, these agreements and, as a result, will not have the ability to pursue remedies against our sponsor, officers, directors or director nominees for any breach of these agreements. As a result, in the event of a breach, our shareholders would need to pursue a shareholder derivative action, subject to applicable law.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letter agreement with our sponsor, officers and directors may be amended without shareholder approval.</w:t>
      </w:r>
    </w:p>
    <w:p>
      <w:pPr>
        <w:spacing w:after="0" w:line="121"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color w:val="auto"/>
        </w:rPr>
        <w:t>Our letter agreement with our Sponsor, officers and directors contain provisions relating to transfer restrictions of our founder shares and private placement warrants, indemnification of the Trust Account, waiver of redemption rights and participation in liquidating distributions from the trust account. The letter agreement may be amended without shareholder approval (although releasing the parties from the restriction not to transfer the founder shares for 185 days following the date of our initial public offering will require the prior written consent of the underwriters). While we do not expect our board to approve any amendment to the letter agreement prior to the completion of the Proposed Transaction or another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282" w:lineRule="exact"/>
        <w:rPr>
          <w:sz w:val="20"/>
          <w:szCs w:val="20"/>
          <w:color w:val="auto"/>
        </w:rPr>
      </w:pPr>
    </w:p>
    <w:p>
      <w:pPr>
        <w:ind w:left="120" w:right="200"/>
        <w:spacing w:after="0" w:line="347" w:lineRule="auto"/>
        <w:rPr>
          <w:sz w:val="20"/>
          <w:szCs w:val="20"/>
          <w:color w:val="auto"/>
        </w:rPr>
      </w:pPr>
      <w:r>
        <w:rPr>
          <w:rFonts w:ascii="Arial" w:cs="Arial" w:eastAsia="Arial" w:hAnsi="Arial"/>
          <w:sz w:val="16"/>
          <w:szCs w:val="16"/>
          <w:b w:val="1"/>
          <w:bCs w:val="1"/>
          <w:color w:val="auto"/>
        </w:rPr>
        <w:t>We may be unable to obtain additional financing to complete the Proposed Transaction or another initial business combination or to fund the operations and growth of a target business, which could compel us to restructure or abandon a particular business combination.</w:t>
      </w:r>
    </w:p>
    <w:p>
      <w:pPr>
        <w:spacing w:after="0" w:line="12"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If the cash portion of the purchase price exceeds the amount available from the trust account, net of amounts needed to satisfy any redemption by public shareholders and the funds provided by the PIPE Investment,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the Proposed Transaction or another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the Proposed Transaction or another initial business combination for general corporate purposes, including for maintenance or expansion of operations of the post-transaction businesses, the payment of principal or interest due on indebtedness incurred in completing the Proposed Transaction or such other initial business combination, or to fund the purchase of other companies. If we are unable to complete the Proposed Transaction or another initial business combination, our public shareholders may only receive their pro rata portion of the funds in the trust account that are available for distribution to public shareholders, and our warrants will expire worthless. In addition, even if we do not need additional financing to complete the Proposed Transaction or another initial business combination, we may require such financing to fund the operations or growth of the target business. The failure to secure additional financing could have a material adverse effect on the continued development or growth of Bakkt or such other target business. None of our officers, directors or shareholders is required to provide any financing to us in connection with or after the Proposed Transaction or another initial business combination.</w:t>
      </w:r>
    </w:p>
    <w:p>
      <w:pPr>
        <w:spacing w:after="0" w:line="275" w:lineRule="exact"/>
        <w:rPr>
          <w:sz w:val="20"/>
          <w:szCs w:val="20"/>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Our initial shareholders control a substantial interest in us and thus may exert a substantial influence on actions requiring a shareholder vote, potentially in a manner that you do not support.</w:t>
      </w:r>
    </w:p>
    <w:p>
      <w:pPr>
        <w:spacing w:after="0" w:line="5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initial shareholders own 20% of our issued and outstanding ordinary shares. Accordingly, they may exert a substantial influence on actions requiring a shareholder vote, potentially in a manner that you do not support,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including amendments to our amended and restated memorandum and articles of association. If our initial shareholders purchase any units or additional Class A ordinary shares in the aftermarket or in privately negotiated transactions, this would increase their control. Neither our initial shareholders nor, to our knowledge, any of our officers or directors, have any current intention to purchase additional securities, other than as disclosed in this Annual Report on Form 10-K. Factors that would be considered in making such additional purchases would include consideration of the current trading price of our Class A ordinary shares. In addition, our board of directors, whose members were appointed by our sponsor, is and will be divided into three classes, each of which will generally serve for a term for three years with only one class of directors being appointed in each year. We may not hold an annual or extraordinary general meeting to appoint new directors prior to the completion of the Proposed Transaction or another initial business combination, in which case all of the current directors will continue in office until at least the completion of the Proposed Transaction or other business combination. If there is an annual meeting, as a consequence of our “staggered” board of directors, only a minority of the board of directors will be considered for election and our initial shareholders, because of their ownership position, will have considerable influence regarding the outcome. . . . In addition, the founder shares, all of which are held by our initial shareholders, will, in a vote to continue the Company in a jurisdiction outside the Cayman Islands (which requires the approval of at least two thirds of the votes of all ordinary shares), including as required in connection with the Proposed Transaction, entitle the holders to ten votes for every founder share. This provision of our amended and restated memorandum and articles of association may only be amended by a special resolution passed by a majority of at least two-thirds of our ordinary shares voting in a general meeting. As a result, you will not have any influence over our continuation in a jurisdiction outside the Cayman Islands prior to the completion of the Proposed Transaction or another initial business combination. Accordingly, our initial shareholders will continue to exert control at least until the completion of the Proposed Transaction or another initial business combination.</w:t>
      </w:r>
    </w:p>
    <w:p>
      <w:pPr>
        <w:spacing w:after="0" w:line="278" w:lineRule="exact"/>
        <w:rPr>
          <w:sz w:val="20"/>
          <w:szCs w:val="20"/>
          <w:color w:val="auto"/>
        </w:rPr>
      </w:pPr>
    </w:p>
    <w:p>
      <w:pPr>
        <w:ind w:left="120" w:right="820"/>
        <w:spacing w:after="0" w:line="282" w:lineRule="auto"/>
        <w:rPr>
          <w:sz w:val="20"/>
          <w:szCs w:val="20"/>
          <w:color w:val="auto"/>
        </w:rPr>
      </w:pPr>
      <w:r>
        <w:rPr>
          <w:rFonts w:ascii="Arial" w:cs="Arial" w:eastAsia="Arial" w:hAnsi="Arial"/>
          <w:sz w:val="18"/>
          <w:szCs w:val="18"/>
          <w:b w:val="1"/>
          <w:b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58"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300" w:lineRule="exact"/>
        <w:rPr>
          <w:sz w:val="20"/>
          <w:szCs w:val="20"/>
          <w:color w:val="auto"/>
        </w:rPr>
      </w:pPr>
    </w:p>
    <w:p>
      <w:pPr>
        <w:ind w:left="120" w:right="400"/>
        <w:spacing w:after="0" w:line="266" w:lineRule="auto"/>
        <w:rPr>
          <w:sz w:val="20"/>
          <w:szCs w:val="20"/>
          <w:color w:val="auto"/>
        </w:rPr>
      </w:pPr>
      <w:r>
        <w:rPr>
          <w:rFonts w:ascii="Arial" w:cs="Arial" w:eastAsia="Arial" w:hAnsi="Arial"/>
          <w:sz w:val="18"/>
          <w:szCs w:val="18"/>
          <w:b w:val="1"/>
          <w:bCs w:val="1"/>
          <w:color w:val="auto"/>
        </w:rPr>
        <w:t>Compliance obligations under the Sarbanes-Oxley Act may make it more difficult for us to effectuate the Proposed Transaction or another initial business combination, require substantial financial and management resources, and increase the time and costs of completing the Proposed Transaction or another initial business combination.</w:t>
      </w:r>
    </w:p>
    <w:p>
      <w:pPr>
        <w:spacing w:after="0" w:line="7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such as Bakkt with which we seek to complete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Proposed Transaction, or another target business with which we seek to complete another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 including the Proposed Transaction.</w:t>
      </w:r>
    </w:p>
    <w:p>
      <w:pPr>
        <w:spacing w:after="0" w:line="291"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The Proposed Transaction or another initial business combination and our structure thereafter may not be tax-efficient to our shareholders and warrant holders. As a result of the Proposed Transaction or such other business combination, our tax obligations may be more complex, burdensome and uncertain.</w:t>
      </w:r>
    </w:p>
    <w:p>
      <w:pPr>
        <w:spacing w:after="0" w:line="72"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Although we have attempted to structure the Proposed Transaction, and would attempt to structure another initial business combination in a tax-efficient manner, tax structuring considerations are complex, the relevant facts and law are uncertain and may change, and we may prioritize commercial and other considerations over tax considerations. For example, in connection with our initial business combination and subject to any requisite shareholder approval, we may structure our business combination in a manner that requires shareholders and/or warrant holders to recognize gain or income for tax purposes, effect a business combination with a target company in another jurisdiction, or reincorporate in a different jurisdiction (including, but not limited to, the jurisdiction in which the target company or business is located). We do not intend to make any cash distributions to shareholders or warrant holders to pay taxes in connection with the Proposed Transaction, another business combination or thereafter. Accordingly, a shareholder or a warrant holder may need to satisfy any liability resulting from the Proposed Transaction or such other initial business combination with cash from its own funds or by selling all or a portion of the shares received. In addition, shareholders and warrant holders may also be subject to additional income, withholding or other taxes with respect to their ownership of us after our initial business combination.</w:t>
      </w:r>
    </w:p>
    <w:p>
      <w:pPr>
        <w:spacing w:after="0" w:line="168"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In addition, we may effect a business combination with a target company that has business operations outside of the United States, and possibly, business operations in multiple jurisdictions. If we effect such a business combination, we could be subject to significant income, withholding and other tax obligations in a number of jurisdictions with respect to income, operations and subsidiaries related to those jurisdictions. Due to the complexity of tax obligations and filings in other jurisdictions, we may have a heightened risk related to audits or examinations by U.S. federal, state, local and non-U.S. taxing authorities. This additional complexity and risk could have an adverse effect on our after-tax profitability and financial condition.</w:t>
      </w:r>
    </w:p>
    <w:p>
      <w:pPr>
        <w:spacing w:after="0" w:line="265" w:lineRule="exact"/>
        <w:rPr>
          <w:sz w:val="20"/>
          <w:szCs w:val="20"/>
          <w:color w:val="auto"/>
        </w:rPr>
      </w:pPr>
    </w:p>
    <w:p>
      <w:pPr>
        <w:ind w:left="120" w:right="40"/>
        <w:spacing w:after="0" w:line="274" w:lineRule="auto"/>
        <w:rPr>
          <w:sz w:val="20"/>
          <w:szCs w:val="20"/>
          <w:color w:val="auto"/>
        </w:rPr>
      </w:pPr>
      <w:r>
        <w:rPr>
          <w:rFonts w:ascii="Arial" w:cs="Arial" w:eastAsia="Arial" w:hAnsi="Arial"/>
          <w:sz w:val="17"/>
          <w:szCs w:val="17"/>
          <w:b w:val="1"/>
          <w:bCs w:val="1"/>
          <w:color w:val="auto"/>
        </w:rPr>
        <w:t>We may engage one or more of our underwriters or one of their respective affiliates to provide additional services to us, which may include acting as financial advisor in connection with the Proposed Transaction or another initial business combination or as placement agent in connection with a related financing transaction. Our underwriters are entitled to receive deferred commissions that will released from the trust only on a completion of the Proposed Transaction or another initial business combination. These financial incentives may cause them to have potential conflicts of interest in rendering any such additional services to us, including, for example, in connection with the sourcing and consummation of the Proposed Transaction or another initial business combination.</w:t>
      </w:r>
    </w:p>
    <w:p>
      <w:pPr>
        <w:spacing w:after="0" w:line="6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We may engage one or more of our underwriters or one of their respective affiliates to provide additional services to us, including, for example, identifying potential targets, providing financial advisory services, acting as a placement agent in a private offering or arranging debt financing. We may pay such underwriter or its affiliate fair and reasonable fees or other compensation that would be determined at that time in an arm’s length negotiation. The underwriters are also entitled to receive deferred commissions that are conditioned on the completion of the Proposed Transaction or another initial business combination. The underwriters’ or their respective affiliates’ financial interests tied to the consummation of a business combination transaction may give rise to potential conflicts of interest in providing any such additional services to us, including potential conflicts of interest in connection with the sourcing and consummation of the Proposed Transaction or another initial business combination.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Post Business Combination Company</w:t>
      </w:r>
    </w:p>
    <w:p>
      <w:pPr>
        <w:spacing w:after="0" w:line="117" w:lineRule="exact"/>
        <w:rPr>
          <w:sz w:val="20"/>
          <w:szCs w:val="20"/>
          <w:color w:val="auto"/>
        </w:rPr>
      </w:pPr>
    </w:p>
    <w:p>
      <w:pPr>
        <w:ind w:left="120" w:right="80"/>
        <w:spacing w:after="0" w:line="289" w:lineRule="auto"/>
        <w:rPr>
          <w:sz w:val="20"/>
          <w:szCs w:val="20"/>
          <w:color w:val="auto"/>
        </w:rPr>
      </w:pPr>
      <w:r>
        <w:rPr>
          <w:rFonts w:ascii="Arial" w:cs="Arial" w:eastAsia="Arial" w:hAnsi="Arial"/>
          <w:sz w:val="17"/>
          <w:szCs w:val="17"/>
          <w:b w:val="1"/>
          <w:bCs w:val="1"/>
          <w:color w:val="auto"/>
        </w:rPr>
        <w:t>Subsequent to our completion of the Proposed Transaction or another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5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Even if we conduct due diligence on a target business with which we combine, as we have done on Bakkt in connection with the Proposed Transaction, we cannot assure you that this diligence will identify all material issues that may be present with a Bakkt or another target business, that it would be possible to uncover all material issues through a customary amount of due diligence, or that factors outside of Bakkt or another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Proposed Transaction or other initial business combination or thereafter. Accordingly, any shareholders who choose to remain shareholders or following the Proposed Transaction or other business combination could suffer a reduction in the value of their securities. Such shareholders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or tender offer documents, as applicable, relating to the Proposed Transaction or other business combination contained an actionable material misstatement or material omission.</w:t>
      </w:r>
    </w:p>
    <w:p>
      <w:pPr>
        <w:spacing w:after="0" w:line="271"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8"/>
          <w:szCs w:val="18"/>
          <w:b w:val="1"/>
          <w:bCs w:val="1"/>
          <w:color w:val="auto"/>
        </w:rPr>
        <w:t>The officers and directors of Bakkt, or another acquisition candidate, may resign upon completion of our the Proposed Transaction or another initial business combination. The loss of Bakkt’s or another business combination target’s key personnel could negatively impact the operations and profitability of our post-combination business.</w:t>
      </w:r>
    </w:p>
    <w:p>
      <w:pPr>
        <w:spacing w:after="0" w:line="72"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The role of Bakkt’s or another acquisition candidate’s key personnel upon the completion of the Proposed Transaction or another initial business combination cannot be ascertained at this time. Although we contemplate that certain members of Bakkt’s or another acquisition candidate’s management team will remain associated with Bakkt or such other acquisition candidate following the Proposed Transaction or other initial business combination, it is possible that members of the management of Bakkt or such other acquisition candidate will not wish to remain in place.</w:t>
      </w:r>
    </w:p>
    <w:p>
      <w:pPr>
        <w:spacing w:after="0" w:line="261" w:lineRule="exact"/>
        <w:rPr>
          <w:sz w:val="20"/>
          <w:szCs w:val="20"/>
          <w:color w:val="auto"/>
        </w:rPr>
      </w:pPr>
    </w:p>
    <w:p>
      <w:pPr>
        <w:ind w:left="120" w:right="380"/>
        <w:spacing w:after="0" w:line="266" w:lineRule="auto"/>
        <w:rPr>
          <w:sz w:val="20"/>
          <w:szCs w:val="20"/>
          <w:color w:val="auto"/>
        </w:rPr>
      </w:pPr>
      <w:r>
        <w:rPr>
          <w:rFonts w:ascii="Arial" w:cs="Arial" w:eastAsia="Arial" w:hAnsi="Arial"/>
          <w:sz w:val="18"/>
          <w:szCs w:val="18"/>
          <w:b w:val="1"/>
          <w:bCs w:val="1"/>
          <w:color w:val="auto"/>
        </w:rPr>
        <w:t>Our management may not maintain control of Bakkt after the Proposed Transaction or a different target business following another initial business combination. We cannot provide assurance that, upon loss of control of Bakkt or another target business, new management will possess the skills, qualifications or abilities necessary to profitably operate such business.</w:t>
      </w:r>
    </w:p>
    <w:p>
      <w:pPr>
        <w:spacing w:after="0" w:line="72"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Although the Proposed Transaction is structured so that the post-transaction company in which our public shareholders own shares will own 100% of the equity interests of the target, if we do not complete the Proposed Transactionwe may structure another initial business combination so that the post-transaction company in which our public shareholders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50% or more of the voting securities of the target, our shareholders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Class A ordinary shares in exchange for all of the outstanding capital stock of a target. In this case, we would acquire a 100% interest in the target. However, as a result of the issuance of a substantial number of new Class A ordinary 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maintain control of the target business. If the Proposed Transaction is completed, our shareholders immediately prior to such transaction will own less than a majority of the post-business combination enity’s outstanding shares subsequent to such transaction.</w:t>
      </w:r>
    </w:p>
    <w:p>
      <w:pPr>
        <w:spacing w:after="0" w:line="285"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auto"/>
        </w:rPr>
        <w:t>We may have a limited ability to assess the management of Bakkt or another prospective target business and, as a result, may effect the Proposed Transaction or another initial business combination with a target business whose management may not have the skills, qualifications or abilities to manage a public company.</w:t>
      </w:r>
    </w:p>
    <w:p>
      <w:pPr>
        <w:spacing w:after="0" w:line="7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When evaluating the desirability of effecting the Proposed Transaction or anotherinitial business combination with a prospective target business, our ability to assess Bakkt’s or such othertarget business’s management may be limited due to a lack of time, resources or information. Our assessment of the capabilities of Bakkt’s or such othertarget business’s management, therefore, may prove to be incorrect and such management may lack the skills, qualifications or abilities we suspected. Should Bakkt’s or such othertarget business’s management not possess the skills, qualifications or abilities necessary to manage a public company, the operations and profitability of the post-combination business may be negatively impacted. Accordingly, any shareholders who choose to remain shareholders following the Proposed Transaction or other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Proposed Transaction or other initial business combination contained an actionable material misstatement or material omission.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Being an Entity Formed in a Foreign Country and Acquiring and Operating a Business in Foreign Countries</w:t>
      </w:r>
    </w:p>
    <w:p>
      <w:pPr>
        <w:spacing w:after="0" w:line="117"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Because we are incorporated under the laws of the Cayman Islands, you may face difficulties in protecting your interests, and your ability to protect your rights through the U.S. Federal courts may be limited.</w:t>
      </w:r>
    </w:p>
    <w:p>
      <w:pPr>
        <w:spacing w:after="0" w:line="58" w:lineRule="exact"/>
        <w:rPr>
          <w:sz w:val="20"/>
          <w:szCs w:val="20"/>
          <w:color w:val="auto"/>
        </w:rPr>
      </w:pPr>
    </w:p>
    <w:p>
      <w:pPr>
        <w:jc w:val="both"/>
        <w:ind w:left="120" w:right="540"/>
        <w:spacing w:after="0" w:line="263" w:lineRule="auto"/>
        <w:rPr>
          <w:sz w:val="20"/>
          <w:szCs w:val="20"/>
          <w:color w:val="auto"/>
        </w:rPr>
      </w:pPr>
      <w:r>
        <w:rPr>
          <w:rFonts w:ascii="Arial" w:cs="Arial" w:eastAsia="Arial" w:hAnsi="Arial"/>
          <w:sz w:val="18"/>
          <w:szCs w:val="18"/>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184"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Our corporate affairs will be governed by our amended and restated memorandum and articles of association, the Companies Law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have been advised by Maples and Calder (Cayman) LLP,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68"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228"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auto"/>
        </w:rPr>
        <w:t>Although Bakkt is located in the United States, if we do not complete the Proposed Transaction and instead effect our initial business combination with a company located outside of the United States, we would be subject to a variety of additional risks that may adversely affect us.</w:t>
      </w:r>
    </w:p>
    <w:p>
      <w:pPr>
        <w:spacing w:after="0" w:line="7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Although Bakkt is located in the United States, if we do not complete the Proposed Transaction and instead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87"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76"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30" w:lineRule="exact"/>
        <w:rPr>
          <w:rFonts w:ascii="Arial" w:cs="Arial" w:eastAsia="Arial" w:hAnsi="Arial"/>
          <w:sz w:val="18"/>
          <w:szCs w:val="18"/>
          <w:color w:val="auto"/>
        </w:rPr>
      </w:pPr>
    </w:p>
    <w:p>
      <w:pPr>
        <w:ind w:left="5540" w:right="4020" w:hanging="4884"/>
        <w:spacing w:after="0" w:line="449" w:lineRule="auto"/>
        <w:tabs>
          <w:tab w:leader="none" w:pos="10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 37</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corruption;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25"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288" w:lineRule="exact"/>
        <w:rPr>
          <w:sz w:val="20"/>
          <w:szCs w:val="20"/>
          <w:color w:val="auto"/>
        </w:rPr>
      </w:pPr>
    </w:p>
    <w:p>
      <w:pPr>
        <w:ind w:left="120" w:right="220"/>
        <w:spacing w:after="0" w:line="282" w:lineRule="auto"/>
        <w:rPr>
          <w:sz w:val="20"/>
          <w:szCs w:val="20"/>
          <w:color w:val="auto"/>
        </w:rPr>
      </w:pPr>
      <w:r>
        <w:rPr>
          <w:rFonts w:ascii="Arial" w:cs="Arial" w:eastAsia="Arial" w:hAnsi="Arial"/>
          <w:sz w:val="18"/>
          <w:szCs w:val="18"/>
          <w:b w:val="1"/>
          <w:b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5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Following the Proposed Transaction or another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292"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If we do not completed the Proposed Transaction, and instead complete another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76"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Exchange rate fluctuations and currency policies may cause a target business’ ability to succeed in the international markets to be diminished.</w:t>
      </w:r>
    </w:p>
    <w:p>
      <w:pPr>
        <w:spacing w:after="0" w:line="144"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299"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58"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261"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We are subject to changing law and regulations regarding regulatory matters, corporate governance and public disclosure that have increased both our costs and the risk of non-compliance.</w:t>
      </w:r>
    </w:p>
    <w:p>
      <w:pPr>
        <w:spacing w:after="0" w:line="5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subject to rules and regulations by various governing bodies, including, for example, the Securities and Exchange Commission,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8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employ a mail forwarding service, which may delay or disrupt our ability to receive mail in a timely manner</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Mail addressed to the Company and received at its registered office will be forwarded unopened to the forwarding address supplied by Company to be dealt with. None of the Company, its directors, officers, advisors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or service providers (including the organization which provides registered office services in the Cayman Islands) will bear any responsibility for any delay howsoever caused in mail reaching the forwarding address, which may impair your ability to communicate with 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Sponsor and Management Team</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dependent upon our officers and directors and their loss could adversely affect our ability to operate.</w:t>
      </w:r>
    </w:p>
    <w:p>
      <w:pPr>
        <w:spacing w:after="0" w:line="121"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Our operations are dependent upon a relatively small group of individuals and, in particular, our officers and directors. We believe that our success depends on the continued service of our officers and directors, at least until we have completed The Proposed Transaction or another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eofficers could have a detrimental effect on us.</w:t>
      </w:r>
    </w:p>
    <w:p>
      <w:pPr>
        <w:spacing w:after="0" w:line="268" w:lineRule="exact"/>
        <w:rPr>
          <w:sz w:val="20"/>
          <w:szCs w:val="20"/>
          <w:color w:val="auto"/>
        </w:rPr>
      </w:pPr>
    </w:p>
    <w:p>
      <w:pPr>
        <w:ind w:left="120" w:right="160"/>
        <w:spacing w:after="0" w:line="314" w:lineRule="auto"/>
        <w:rPr>
          <w:sz w:val="20"/>
          <w:szCs w:val="20"/>
          <w:color w:val="auto"/>
        </w:rPr>
      </w:pPr>
      <w:r>
        <w:rPr>
          <w:rFonts w:ascii="Arial" w:cs="Arial" w:eastAsia="Arial" w:hAnsi="Arial"/>
          <w:sz w:val="16"/>
          <w:szCs w:val="16"/>
          <w:b w:val="1"/>
          <w:bCs w:val="1"/>
          <w:color w:val="auto"/>
        </w:rPr>
        <w:t>Our ability to successfully effect the Proposed Transaction or another initial business combination and to be successful thereafter will be dependent upon the efforts of our key personnel, some of whom may join us following the Proposed Transaction or such other initial business combination. The loss of key personnel could negatively impact the operations and profitability of our post-combination business.</w:t>
      </w:r>
    </w:p>
    <w:p>
      <w:pPr>
        <w:spacing w:after="0" w:line="3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Our ability to successfully effect the Proposed Transaction or another initial business combination is dependent upon the efforts of our key personnel. The role of our key personnel in, Bakkt or such other the target business, however, cannot presently be ascertained. Although some of our key personnel may remain with Bakkt or such other target business in senior management or advisory positions following the Proposed Transaction or such other initial business combination, it is likely that some or all of the management of Bakkt or such other the target business will remain in place. While we intend to closely scrutinize any individuals we engage after the Proposed Transaction or such other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270"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the Proposed Transaction or another initial business combination.</w:t>
      </w:r>
    </w:p>
    <w:p>
      <w:pPr>
        <w:spacing w:after="0" w:line="7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including the Proposed Transaction, and their other businesses. We do not intend to have any full-time employees prior to the completion of the Proposed Transaction or another initial business combination. Each of our officers is engaged in several other business endeavors for which he may be entitled to substantial compensation, and our executive officers are not obligated to contribute any specific number of hours per week to our affairs. Our independent directors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the Proposed Transaction or another initial business combination.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347" w:lineRule="auto"/>
        <w:rPr>
          <w:sz w:val="20"/>
          <w:szCs w:val="20"/>
          <w:color w:val="auto"/>
        </w:rPr>
      </w:pPr>
      <w:r>
        <w:rPr>
          <w:rFonts w:ascii="Arial" w:cs="Arial" w:eastAsia="Arial" w:hAnsi="Arial"/>
          <w:sz w:val="16"/>
          <w:szCs w:val="16"/>
          <w:b w:val="1"/>
          <w:b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12"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Until we consummate the Proposed Transaction or another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entities.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 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such potential conflicts would materially affect our ability to complete the Proposed Transaction or another initial business combination.</w:t>
      </w:r>
    </w:p>
    <w:p>
      <w:pPr>
        <w:spacing w:after="0" w:line="16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Our officers, directors, security holders and their respective affiliates may have competitive pecuniary interests that conflict with our interests.</w:t>
      </w:r>
    </w:p>
    <w:p>
      <w:pPr>
        <w:spacing w:after="0" w:line="14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officers, although we do not intend to do so, Bakkt is not affiliated with our sponsor, our directors or officers.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92"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including Bakkt, may have or may in the future, result in a conflict of interest when determining whether the terms, conditions and timing of a particular business combination, including the Proposed Transaction,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However, we might not ultimately be successful in any claim we may make against them for such reason.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not have sufficient funds to satisfy indemnification claims of our directors and officers.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indemnification provided will be able to be satisfied by us only if (i) we have sufficient funds outside of the trust Account or (ii) we consummate the Proposed Transaction or another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Securities</w:t>
      </w:r>
    </w:p>
    <w:p>
      <w:pPr>
        <w:spacing w:after="0" w:line="117" w:lineRule="exact"/>
        <w:rPr>
          <w:sz w:val="20"/>
          <w:szCs w:val="20"/>
          <w:color w:val="auto"/>
        </w:rPr>
      </w:pPr>
    </w:p>
    <w:p>
      <w:pPr>
        <w:ind w:left="120" w:right="320"/>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58" w:lineRule="exact"/>
        <w:rPr>
          <w:sz w:val="20"/>
          <w:szCs w:val="20"/>
          <w:color w:val="auto"/>
        </w:rPr>
      </w:pPr>
    </w:p>
    <w:p>
      <w:pPr>
        <w:ind w:left="120" w:right="100"/>
        <w:spacing w:after="0" w:line="284"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earliest to occur of: (i) our completion of an initial business combination, and then only in connection with those Class A ordinary shares that such shareholder properly elected to redeem, subject to the limitations and on the conditions described herein,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by September 25, 2022 or (B) with respect to any other material provisions relating to shareholders’ rights or pre-initial business combination activity, and</w:t>
      </w:r>
    </w:p>
    <w:p>
      <w:pPr>
        <w:spacing w:after="0" w:line="4" w:lineRule="exact"/>
        <w:rPr>
          <w:sz w:val="20"/>
          <w:szCs w:val="20"/>
          <w:color w:val="auto"/>
        </w:rPr>
      </w:pPr>
    </w:p>
    <w:p>
      <w:pPr>
        <w:ind w:left="120" w:right="20" w:hanging="4"/>
        <w:spacing w:after="0" w:line="251" w:lineRule="auto"/>
        <w:tabs>
          <w:tab w:leader="none" w:pos="4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redemption of our public shares if we are unable to complete an initial business combination by September 25, 2022, subject to applicable law and as further described herein. In addition, if our plan to redeem our public shares if we are unable to complete an initial business combination by September 25, 2022 is not completed for any reason, compliance with Cayman Islands law may require that we submit a plan of dissolution to our then-existing shareholders for approval prior to the distribution of the proceeds held in our trust account. In that case, public shareholders may be forced to wait beyond 24 months from the closing of the initial public offering before they receive funds from our trust account.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302" w:lineRule="exact"/>
        <w:rPr>
          <w:sz w:val="20"/>
          <w:szCs w:val="20"/>
          <w:color w:val="auto"/>
        </w:rPr>
      </w:pPr>
    </w:p>
    <w:p>
      <w:pPr>
        <w:ind w:left="120" w:right="240"/>
        <w:spacing w:after="0" w:line="266" w:lineRule="auto"/>
        <w:rPr>
          <w:sz w:val="20"/>
          <w:szCs w:val="20"/>
          <w:color w:val="auto"/>
        </w:rPr>
      </w:pPr>
      <w:r>
        <w:rPr>
          <w:rFonts w:ascii="Arial" w:cs="Arial" w:eastAsia="Arial" w:hAnsi="Arial"/>
          <w:sz w:val="18"/>
          <w:szCs w:val="18"/>
          <w:b w:val="1"/>
          <w:bCs w:val="1"/>
          <w:color w:val="auto"/>
        </w:rPr>
        <w:t>The securities in which we invest the proceeds held in the trust account could bear a negative rate of interest, which could reduce the interest income available for payment of taxes or reduce the value of the assets held in trust such that the per share redemption amount received by shareholders may be less than $10.00 per share.</w:t>
      </w:r>
    </w:p>
    <w:p>
      <w:pPr>
        <w:spacing w:after="0" w:line="7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net proceeds of the initial public offering and certain proceeds from the sale of the private placement warrants, in the amount of $207,372,020, are held in an interest-bearing trust account. The proceeds held in the trust account may only be invested in direct U.S. Treasury obligations having a maturity of 185 days or less, or in certain money market funds which invest only in direct U.S. Treasury obligations. While short-term U.S.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of very low or negative yields, the amount of interest income (which we may withdraw to pay income taxes, if any) would be reduced. In the event that we are unable to complete our initial business combination, our public shareholders are entitled to receive their pro-rata share of the proceeds held in the trust account, plus any interest income. If the balance of the trust account is reduced below $207,372,020 as a result of negative interest rates, the amount of funds in the trust account available for distribution to our public shareholders may be reduced below $10.00 per share.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b w:val="1"/>
          <w:bCs w:val="1"/>
          <w:color w:val="auto"/>
        </w:rPr>
        <w:t>Nasdaq may delist our securities from trading on its exchange, which could limit investors’ ability to make transactions in our securities and subject us to additional trading restrictions.</w:t>
      </w:r>
    </w:p>
    <w:p>
      <w:pPr>
        <w:spacing w:after="0" w:line="58"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cannot assure you that our securities will be, or will continue to be, listed on the Nasdaq in the future or prior to our initial business combination. In order to continue listing our securities on the Nasdaq prior to our initial business combination, we must maintain certain financial, distribution and share price levels. Generally, we must maintain a minimum amount in Shareholders’ equity (generally $2,500,000) and a minimum number of holders of our securities (generally 300 public holders). Additionally, in connection with our initial business combination, we will be required to demonstrate compliance with the Nasdaq’s initial listing requirements, which are more rigorous than the Nasdaq’s continued listing requirements, in order to continue to maintain the listing of our securities on the Nasdaq. For instance, our share price would generally be required to be at least $4.00 per share and our Shareholders’ equity would generally be required to be at least $5.0 million. We cannot assure you that we will be able to meet those initial listing requirements at that time.</w:t>
      </w:r>
    </w:p>
    <w:p>
      <w:pPr>
        <w:spacing w:after="0" w:line="192"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If the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jc w:val="both"/>
        <w:ind w:left="1080" w:right="20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the Nasdaq, our units, Class A ordinary shares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Nasdaq, our securities would not qualify as covered securities under the statute and we would be subject to regulation in each state in which we offer our securities.</w:t>
      </w:r>
    </w:p>
    <w:p>
      <w:pPr>
        <w:spacing w:after="0" w:line="270" w:lineRule="exact"/>
        <w:rPr>
          <w:sz w:val="20"/>
          <w:szCs w:val="20"/>
          <w:color w:val="auto"/>
        </w:rPr>
      </w:pPr>
    </w:p>
    <w:p>
      <w:pPr>
        <w:ind w:left="120" w:right="100"/>
        <w:spacing w:after="0" w:line="282" w:lineRule="auto"/>
        <w:rPr>
          <w:sz w:val="20"/>
          <w:szCs w:val="20"/>
          <w:color w:val="auto"/>
        </w:rPr>
      </w:pPr>
      <w:r>
        <w:rPr>
          <w:rFonts w:ascii="Arial" w:cs="Arial" w:eastAsia="Arial" w:hAnsi="Arial"/>
          <w:sz w:val="18"/>
          <w:szCs w:val="18"/>
          <w:b w:val="1"/>
          <w:bCs w:val="1"/>
          <w:color w:val="auto"/>
        </w:rPr>
        <w:t>Unlike some other similarly structured special purpose acquisition companies, our initial shareholders will receive additional Class A ordinary shares if we issue certain shares to consummate an initial business combination.</w:t>
      </w:r>
    </w:p>
    <w:p>
      <w:pPr>
        <w:spacing w:after="0" w:line="58"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on an as-converted basis, 20% of the total number of Class A ordinary shares outstanding after such conversion (after giving effect to any redemptions of Class A ordinary shares by public shareholders), including the total number of Class A ordinary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or rights exercisable for or convertible into Class A ordinary shares issued, or to be issued, to any seller in the initial business combination and any private placement warrants issued to our sponsor, officers or directors upon conversion of working capital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conversion of founder shares will never occur on a less than one-for-one basis. This is different than some other similarly structured special purpose acquisition companies in which the initial shareholders will only be issued an aggregate of 20% of the total number of shares to be outstanding prior to our initial business combination.</w:t>
      </w:r>
    </w:p>
    <w:p>
      <w:pPr>
        <w:spacing w:after="0" w:line="299" w:lineRule="exact"/>
        <w:rPr>
          <w:sz w:val="20"/>
          <w:szCs w:val="20"/>
          <w:color w:val="auto"/>
        </w:rPr>
      </w:pPr>
    </w:p>
    <w:p>
      <w:pPr>
        <w:ind w:left="120" w:right="100"/>
        <w:spacing w:after="0" w:line="266" w:lineRule="auto"/>
        <w:rPr>
          <w:sz w:val="20"/>
          <w:szCs w:val="20"/>
          <w:color w:val="auto"/>
        </w:rPr>
      </w:pPr>
      <w:r>
        <w:rPr>
          <w:rFonts w:ascii="Arial" w:cs="Arial" w:eastAsia="Arial" w:hAnsi="Arial"/>
          <w:sz w:val="18"/>
          <w:szCs w:val="18"/>
          <w:b w:val="1"/>
          <w:b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72"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the initial public offering without our prior consent, which we refer to as the “Excess Shares.”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272" w:lineRule="exact"/>
        <w:rPr>
          <w:sz w:val="20"/>
          <w:szCs w:val="20"/>
          <w:color w:val="auto"/>
        </w:rPr>
      </w:pPr>
    </w:p>
    <w:p>
      <w:pPr>
        <w:jc w:val="both"/>
        <w:ind w:left="120" w:right="80"/>
        <w:spacing w:after="0" w:line="347" w:lineRule="auto"/>
        <w:rPr>
          <w:sz w:val="20"/>
          <w:szCs w:val="20"/>
          <w:color w:val="auto"/>
        </w:rPr>
      </w:pPr>
      <w:r>
        <w:rPr>
          <w:rFonts w:ascii="Arial" w:cs="Arial" w:eastAsia="Arial" w:hAnsi="Arial"/>
          <w:sz w:val="16"/>
          <w:szCs w:val="16"/>
          <w:b w:val="1"/>
          <w:bCs w:val="1"/>
          <w:color w:val="auto"/>
        </w:rPr>
        <w:t>Provisions in our amended and restated certificate memorandum and articles of association and Cayman Islands law may inhibit a takeover of us, which could limit the price investors might be willing to pay in the future for our Class A ordinary shares and could entrench management.</w:t>
      </w:r>
    </w:p>
    <w:p>
      <w:pPr>
        <w:spacing w:after="0" w:line="12"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Our amended and restated memorandum and articles of association contains provisions that may discourage unsolicited takeover proposals that shareholders may consider to be in their best interests. These provisions include a staggered board of directors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275" w:lineRule="exact"/>
        <w:rPr>
          <w:sz w:val="20"/>
          <w:szCs w:val="20"/>
          <w:color w:val="auto"/>
        </w:rPr>
      </w:pPr>
    </w:p>
    <w:p>
      <w:pPr>
        <w:jc w:val="both"/>
        <w:ind w:left="120" w:right="20"/>
        <w:spacing w:after="0" w:line="314" w:lineRule="auto"/>
        <w:rPr>
          <w:sz w:val="20"/>
          <w:szCs w:val="20"/>
          <w:color w:val="auto"/>
        </w:rPr>
      </w:pPr>
      <w:r>
        <w:rPr>
          <w:rFonts w:ascii="Arial" w:cs="Arial" w:eastAsia="Arial" w:hAnsi="Arial"/>
          <w:sz w:val="16"/>
          <w:szCs w:val="16"/>
          <w:b w:val="1"/>
          <w:b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Class A ordinary shares purchasable upon exercise of a warrant could be decreased, all without your approval.</w:t>
      </w:r>
    </w:p>
    <w:p>
      <w:pPr>
        <w:spacing w:after="0" w:line="3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warrants will be issued in registered form under a warrant agreement between Continental Stock Transfer &amp; Trust Company, as warrant agent, and us. The warrant agreement provides that (a) the terms of the warrants may be amended without the consent of any holder for the purpose of curing any ambiguity, to correct any defective provision or mistake, including to conform the provisions of the warrant agreement to the description of the terms of the warrants and the warrant agreement set forth in the prospects for the Company’s initial public offering, (ii) adjusting the provisions relating to cash dividends on ordinary shares as contemplated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 xml:space="preserve">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w:t>
      </w:r>
      <w:r>
        <w:rPr>
          <w:rFonts w:ascii="Arial" w:cs="Arial" w:eastAsia="Arial" w:hAnsi="Arial"/>
          <w:sz w:val="16"/>
          <w:szCs w:val="16"/>
          <w:i w:val="1"/>
          <w:iCs w:val="1"/>
          <w:color w:val="auto"/>
        </w:rPr>
        <w:t>provided that</w:t>
      </w:r>
      <w:r>
        <w:rPr>
          <w:rFonts w:ascii="Arial" w:cs="Arial" w:eastAsia="Arial" w:hAnsi="Arial"/>
          <w:sz w:val="16"/>
          <w:szCs w:val="16"/>
          <w:color w:val="auto"/>
        </w:rPr>
        <w:t>, the approval of the holders of at least 50% of the then-outstanding public warrants is required to make any change that adversely affects</w:t>
      </w:r>
      <w:r>
        <w:rPr>
          <w:rFonts w:ascii="Arial" w:cs="Arial" w:eastAsia="Arial" w:hAnsi="Arial"/>
          <w:sz w:val="16"/>
          <w:szCs w:val="16"/>
          <w:i w:val="1"/>
          <w:iCs w:val="1"/>
          <w:color w:val="auto"/>
        </w:rPr>
        <w:t xml:space="preserve"> </w:t>
      </w:r>
      <w:r>
        <w:rPr>
          <w:rFonts w:ascii="Arial" w:cs="Arial" w:eastAsia="Arial" w:hAnsi="Arial"/>
          <w:sz w:val="16"/>
          <w:szCs w:val="16"/>
          <w:color w:val="auto"/>
        </w:rPr>
        <w:t>the interests of the registered holders of public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Class A ordinary shares purchasable upon exercise of a warrant.</w:t>
      </w:r>
    </w:p>
    <w:p>
      <w:pPr>
        <w:spacing w:after="0" w:line="269" w:lineRule="exact"/>
        <w:rPr>
          <w:sz w:val="20"/>
          <w:szCs w:val="20"/>
          <w:color w:val="auto"/>
        </w:rPr>
      </w:pPr>
    </w:p>
    <w:p>
      <w:pPr>
        <w:ind w:left="120" w:right="40"/>
        <w:spacing w:after="0" w:line="289" w:lineRule="auto"/>
        <w:rPr>
          <w:sz w:val="20"/>
          <w:szCs w:val="20"/>
          <w:color w:val="auto"/>
        </w:rPr>
      </w:pPr>
      <w:r>
        <w:rPr>
          <w:rFonts w:ascii="Arial" w:cs="Arial" w:eastAsia="Arial" w:hAnsi="Arial"/>
          <w:sz w:val="17"/>
          <w:szCs w:val="17"/>
          <w:b w:val="1"/>
          <w:bCs w:val="1"/>
          <w:color w:val="auto"/>
        </w:rPr>
        <w:t>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54" w:lineRule="exact"/>
        <w:rPr>
          <w:sz w:val="20"/>
          <w:szCs w:val="20"/>
          <w:color w:val="auto"/>
        </w:rPr>
      </w:pPr>
    </w:p>
    <w:p>
      <w:pPr>
        <w:jc w:val="both"/>
        <w:ind w:left="120" w:right="60"/>
        <w:spacing w:after="0" w:line="301" w:lineRule="auto"/>
        <w:rPr>
          <w:sz w:val="20"/>
          <w:szCs w:val="20"/>
          <w:color w:val="auto"/>
        </w:rPr>
      </w:pPr>
      <w:r>
        <w:rPr>
          <w:rFonts w:ascii="Arial" w:cs="Arial" w:eastAsia="Arial" w:hAnsi="Arial"/>
          <w:sz w:val="16"/>
          <w:szCs w:val="16"/>
          <w:color w:val="auto"/>
        </w:rPr>
        <w:t>Our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5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8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A provision of our warrant agreement may make it more difficult for us to consummate the Proposed Transaction or another business combination.</w:t>
      </w:r>
    </w:p>
    <w:p>
      <w:pPr>
        <w:spacing w:after="0" w:line="152"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If (i) we issue additional ordinary shares or equity-linked securities for capital raising purposes in connection with the closing of our initial business combination at a Newly Issued Price of less than $9.20 per Class A ordinary share, (ii) the aggregate gross proceeds from such issuances represent more than 60% of the total equity proceeds, and interest thereon, available for the funding of our initial business combination, and (iii) the Market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Value of our Class A ordinary shares is below $9.20 per share, then the exercise price of the warrants will be adjusted (to the nearest cent) to be equal to 115% of the higher of the Market Value and the Newly Issued Price, and the $18.00 per share redemption trigger prices described below under “Description of Securities—Warrants—Public Warrants—Redemption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described below under “Description of Securities—Warrants—Public Warrants—Redemption of warrants when the price per Class A ordinary share equals or exceeds $10.00” will be adjusted (to the nearest cent) to be equal to the higher of the Market Value and the Newly Issued Price. This may make it more difficult for us to consummate an initial business combination with a target business.</w:t>
      </w:r>
    </w:p>
    <w:p>
      <w:pPr>
        <w:spacing w:after="0" w:line="282" w:lineRule="exact"/>
        <w:rPr>
          <w:sz w:val="20"/>
          <w:szCs w:val="20"/>
          <w:color w:val="auto"/>
        </w:rPr>
      </w:pPr>
    </w:p>
    <w:p>
      <w:pPr>
        <w:ind w:left="120" w:right="580"/>
        <w:spacing w:after="0" w:line="282"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58"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 xml:space="preserve">We have the ability to redeem outstanding warrants at any time after they become exercisable and prior to their expiration, at a price of $0.01 per warrant,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closing price of our Class A ordinary shares equals or exceeds $18.00 per share (as adjusted for share sub-divisions, share capitalizations, reorganizations, recapitalizations and the like) for any 20 trading days within a 30 trading-day period ending on the third trading day prior to the date on which we give proper notice of such redemption to the warrant holders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certain other conditions are met. We will not redeem the warrants unless an effective registration statement under the Securities Act covering the Class A ordinary shares issuable upon exercise of the warrants is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w:t>
      </w:r>
    </w:p>
    <w:p>
      <w:pPr>
        <w:spacing w:after="0" w:line="17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In addition, we have the ability to redeem the outstanding public warrants at any time after they become exercisable and prior to their expiration, at a price of $0.10 per warrant upon a minimum of 30 days’ prior written notice of redemption;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closing price of our Class A ordinary shares equals or exceeds $10.00 per share (as adjusted for adjustments to the number of shares issuable upon exercise or the exercise price of a warrant as described under the heading “—Warrants—Public Warrants—Redemption Procedures—Anti-dilution Adjustments” in Exhibit 4.5 filed herewith for any 20 trading days within a 30 trading-day period ending on the third trading day prior to proper notice of such redemption and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certain other conditions are met, including that holders will be able to exercise their warrants prior to redemption for a number of Class A ordinary shares determined based on the redemption date and the fair market value of our Class A ordinary shares. The value received upon exercise of the warrants (1) may be less than the value the holders would have received if they had been able to exercise their warrants at a later time at which the underlying share price is higher and (2) may not compensate the holders for the value of the warrants, including because the number of ordinary shares received is capped at 0.361 Class A ordinary shares per warrant (subject to adjustment) irrespective of the remaining life of the warrants. None of the private placement warrants will be redeemable by us so long as they are held by our sponsor or its permitted transferees.</w:t>
      </w:r>
    </w:p>
    <w:p>
      <w:pPr>
        <w:spacing w:after="0" w:line="276" w:lineRule="exact"/>
        <w:rPr>
          <w:sz w:val="20"/>
          <w:szCs w:val="20"/>
          <w:color w:val="auto"/>
        </w:rPr>
      </w:pPr>
    </w:p>
    <w:p>
      <w:pPr>
        <w:ind w:left="120" w:right="900"/>
        <w:spacing w:after="0" w:line="282" w:lineRule="auto"/>
        <w:rPr>
          <w:sz w:val="20"/>
          <w:szCs w:val="20"/>
          <w:color w:val="auto"/>
        </w:rPr>
      </w:pPr>
      <w:r>
        <w:rPr>
          <w:rFonts w:ascii="Arial" w:cs="Arial" w:eastAsia="Arial" w:hAnsi="Arial"/>
          <w:sz w:val="18"/>
          <w:szCs w:val="18"/>
          <w:b w:val="1"/>
          <w:bCs w:val="1"/>
          <w:color w:val="auto"/>
        </w:rPr>
        <w:t>You will not be permitted to exercise your warrants unless we register and qualify the underlying Class A ordinary shares or certain exemptions are available.</w:t>
      </w:r>
    </w:p>
    <w:p>
      <w:pPr>
        <w:spacing w:after="0" w:line="5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If the issuance of the Class A ordinary shares upon exercise of the warrants is not registered, qualified or exempt from registration or qualification under the Securities Act and applicable state securities laws, holders of warrants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will not be entitled to exercise such warrants and such warrants may have no value and expire worthless. In such event, holders who acquired their warrants as part of a purchase of units will have paid the full unit purchase price solely for the Class A ordinary shares included in the units.</w:t>
      </w:r>
    </w:p>
    <w:p>
      <w:pPr>
        <w:spacing w:after="0" w:line="124" w:lineRule="exact"/>
        <w:rPr>
          <w:sz w:val="20"/>
          <w:szCs w:val="20"/>
          <w:color w:val="auto"/>
        </w:rPr>
      </w:pPr>
    </w:p>
    <w:p>
      <w:pPr>
        <w:ind w:left="120" w:right="140"/>
        <w:spacing w:after="0" w:line="289" w:lineRule="auto"/>
        <w:rPr>
          <w:sz w:val="20"/>
          <w:szCs w:val="20"/>
          <w:color w:val="auto"/>
        </w:rPr>
      </w:pPr>
      <w:r>
        <w:rPr>
          <w:rFonts w:ascii="Arial" w:cs="Arial" w:eastAsia="Arial" w:hAnsi="Arial"/>
          <w:sz w:val="16"/>
          <w:szCs w:val="16"/>
          <w:color w:val="auto"/>
        </w:rPr>
        <w:t>We are not registering the Class A ordinary shares issuable upon exercise of the warrants under the Securities Act or any state securities laws at this time. However, under the terms of the warrant agreement, we have agreed that, as soon as practicable, but in no event later than 15 business days, after the closing the Proposed Transaction or another initial business combination, we will use our best efforts to file with the SEC a registration statement covering the registration under the Securities Act of the Class A ordinary shares issuable upon exercise of the warrants and thereafter will use our best efforts to cause the same to become effective within 60 business days following the Proposed Transaction or other initial business combination and to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166"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If the Class A ordinary shares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If our Class A ordinary shares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17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288"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b w:val="1"/>
          <w:bCs w:val="1"/>
          <w:color w:val="auto"/>
        </w:rPr>
        <w:t>You may only be able to exercise your public warrants on a “cashless basis” under certain circumstances, and if you do so, you will receive fewer Class A ordinary shares from such exercise than if you were to exercise such warrants for cash.</w:t>
      </w:r>
    </w:p>
    <w:p>
      <w:pPr>
        <w:spacing w:after="0" w:line="5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Class A ordinary shares issuable upon exercise of the warrants are not registered under the Securities Act in accordance with the terms of the warrant agreement; (ii) if we have so elected and the Class A ordinary shares are at the time of any exercise of a warrant not listed on a national securities exchange such that they satisfy the definition of “covered securities” under Section 18(b)(1) of the Securities Act and (iii) if we have so elected and we call the public warrants for redemption. If you</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exercise your public warrants on a cashless basis under the circumstances described in clauses (i) and (ii) in the preceding sentence, you would pay the warrant exercise price by surrendering the warrants for that number of Class A ordinary shares equal to the quotient obtained by dividing (x) the product of the number of Class A ordinary shares underlying the warrants, multiplied by the excess of the “fair market value” of our Class A ordinary shares (as defined in the next sentence) over the exercise price of the warrants by (y) the fair market value. The “fair market value” is the average reported closing price of the Class A ordinary shares for the 10 trading days ending on the third trading day prior to the date on which the notice of exercise is received by the warrant agent or on which the notice of redemption is sent to the holders of warrants, as applicable. As a result, you would receive fewer Class A ordinary shares from such exercise than if you were to exercise such warrants for cash.</w:t>
      </w:r>
    </w:p>
    <w:p>
      <w:pPr>
        <w:spacing w:after="0" w:line="281"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auto"/>
        </w:rPr>
        <w:t>The grant of registration rights to our initial shareholders and holders of our private placement warrants may make it more difficult to complete our initial business combination, and the future exercise of such rights may adversely affect the market price of our Class A ordinary shares.</w:t>
      </w:r>
    </w:p>
    <w:p>
      <w:pPr>
        <w:spacing w:after="0" w:line="7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and upon conversion of the founder shares) are entitled to registration rights pursuant to a registration rights agreement requiring us to register such securities and any other securities of the company acquired by them prior to the consummation of our initial business combination for resale.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ordinary shares owned by our initial shareholders, holders of our private placement warrants or holders of our working capital loans or their respective permitted transferees are registered.</w:t>
      </w:r>
    </w:p>
    <w:p>
      <w:pPr>
        <w:spacing w:after="0" w:line="168"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In addition, the Merger Agreement contemplates that, at the Closing, the Sponsor, the Company, Bakkt equity holders and certain of their respective affiliates will enter into the Registration Rights Agreement, pursuant to which the Company will agree to register for resale, pursuant to Rule 415 under the Securities Act, certain of the Company’s shares of Class A common stock and warrants that are held by the parties thereto from time to time. This Registration Rights Agreement will terminate and replace the existing registration rights agreement currently in place between the Company, the Sponsor and certain of their respective affiliates. Each of the Stockholders (as defined in the Registration Rights Agreement) and their respective transferees will be entitled to request to sell all or a portion of their registrable securities in underwritten shelf takedown offerings, in each case subject to certain offering thresholds, applicable lock-up restrictions, issuer suspension periods and certain other conditions. Demanding Holders (as defined in the Registration Rights Agreement) are limited to three demand underwritten offerings for the term of the Registration Rights Agreement. In addition, the Stockholders (as defined in the Registration Rights Agreement) have certain “piggy-back” registration rights, subject to customary underwriter cutbacks, issuer suspension periods and certain other conditions. The Registration Rights Agreement includes customary indemnification provisions. The Company will bear the expenses incurred in connection with the filing of any registration statements filed pursuant to the terms of the Registration Rights Agreement, including the fees of one legal counsel to each of the Stockholders (as defined in the Registration Rights Agreement).</w:t>
      </w:r>
    </w:p>
    <w:p>
      <w:pPr>
        <w:spacing w:after="0" w:line="272"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Our warrants may have an adverse effect on the market price of our Class A ordinary shares and make it more difficult to effectuate our initial business combination.</w:t>
      </w:r>
    </w:p>
    <w:p>
      <w:pPr>
        <w:spacing w:after="0" w:line="5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issued warrants to purchase 10,368,601 of our Class A ordinary shares as part of the units sold in the initial public offering and, simultaneously with the closing of the initial public offering, we issued in a private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placement an aggregate of 6,147,440 private placement warrants, each exercisable to purchase one Class A ordinary share at $11.50 per share, subject to adjustment as described herein. In addition, if our sponsor makes any working capital loans it may convert those loans into up to an additional 1,500,000 private placement warrants, at the price of $1.00 per warrant. To the extent we issue ordinary shares to effectuate a business transaction,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281"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Because each unit contains one-half of one warrant and only a whole warrant may be exercised, the units may be worth less than units of other special purpose acquisition companies.</w:t>
      </w:r>
    </w:p>
    <w:p>
      <w:pPr>
        <w:spacing w:after="0" w:line="5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Each unit contains one-half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warrant to purchase one whole share. We have established the components of the units in this way in order to reduce the dilutive effect of the warrants upon completion of a business combination since the warrants will be exercisable in the aggregate for one-half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17"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b w:val="1"/>
          <w:bCs w:val="1"/>
          <w:color w:val="auto"/>
        </w:rPr>
        <w:t>We are a blank check company with no operating history and no revenues, and you have no basis on which to evaluate our ability to achieve our business objective.</w:t>
      </w:r>
    </w:p>
    <w:p>
      <w:pPr>
        <w:spacing w:after="0" w:line="58"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are a blank check company incorporated as a Cayman Islands exempted company with no operating results, and we will not commence operations until obtaining funding through the initial public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280" w:lineRule="exact"/>
        <w:rPr>
          <w:sz w:val="20"/>
          <w:szCs w:val="20"/>
          <w:color w:val="auto"/>
        </w:rPr>
      </w:pPr>
    </w:p>
    <w:p>
      <w:pPr>
        <w:ind w:left="120" w:right="280"/>
        <w:spacing w:after="0" w:line="347" w:lineRule="auto"/>
        <w:rPr>
          <w:sz w:val="20"/>
          <w:szCs w:val="20"/>
          <w:color w:val="auto"/>
        </w:rPr>
      </w:pPr>
      <w:r>
        <w:rPr>
          <w:rFonts w:ascii="Arial" w:cs="Arial" w:eastAsia="Arial" w:hAnsi="Arial"/>
          <w:sz w:val="16"/>
          <w:szCs w:val="16"/>
          <w:b w:val="1"/>
          <w:bCs w:val="1"/>
          <w:color w:val="auto"/>
        </w:rPr>
        <w:t>Past performance by our management team and their affiliates, including investments and transactions in which they have participated and businesses with which they have been associated, may not be indicative of future performance of an investment in the Company.</w:t>
      </w:r>
    </w:p>
    <w:p>
      <w:pPr>
        <w:spacing w:after="0" w:line="12"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Information regarding our management team and their affiliates, including investments and transactions in which they have participated and businesses with which they have been associated, is presented for informational purposes only. Any past experience and performance by our management team and their affiliates and the businesses with which they have been associated, is not a guarantee that we have or will be able to successfully identify a suitable candidate for our initial business combination, that we will be able to provide positive returns to our shareholders, or of any results with respect to the Proposed Transaction or any other initial business combination we may consummate. You should not rely on the historical experiences of our management team and their affiliates, including investments and transactions in which they have participated and businesses with which they have been associated, as indicative of the future performance of an investment in us or as indicative of every prior investment by each of the members of our management team or their affiliates. The market price of our securities may be influenced by numerous factors, many of which are beyond our control, and our securityholders may experience losses on their investment in our securities.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Cyber incidents or attacks directed at us could result in information theft, data corruption, operational disruption and/or financial loss.</w:t>
      </w:r>
    </w:p>
    <w:p>
      <w:pPr>
        <w:spacing w:after="0" w:line="133"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268" w:lineRule="exact"/>
        <w:rPr>
          <w:sz w:val="20"/>
          <w:szCs w:val="20"/>
          <w:color w:val="auto"/>
        </w:rPr>
      </w:pPr>
    </w:p>
    <w:p>
      <w:pPr>
        <w:ind w:left="120" w:right="40"/>
        <w:spacing w:after="0" w:line="314" w:lineRule="auto"/>
        <w:rPr>
          <w:sz w:val="20"/>
          <w:szCs w:val="20"/>
          <w:color w:val="auto"/>
        </w:rPr>
      </w:pPr>
      <w:r>
        <w:rPr>
          <w:rFonts w:ascii="Arial" w:cs="Arial" w:eastAsia="Arial" w:hAnsi="Arial"/>
          <w:sz w:val="16"/>
          <w:szCs w:val="16"/>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38"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executive offices are located at 150 North Riverside Plaza, Suite 5200, Chicago, IL. Our executive offices are provided to us by an affiliate of the Sponsor and we have agreed to pay such affiliate of the Sponsor a total of $10,000 per month for office space, utilities and secretarial and administrative support. We consider our current office space adequate for our current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are not currently subject to any material legal proceedings, nor, to our knowledge, is any material legal proceeding threatened against us or any of our officers or directors in their corporate capacity.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right="17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 Market Information</w:t>
      </w:r>
    </w:p>
    <w:p>
      <w:pPr>
        <w:ind w:left="120" w:right="880"/>
        <w:spacing w:after="0" w:line="277" w:lineRule="auto"/>
        <w:rPr>
          <w:sz w:val="20"/>
          <w:szCs w:val="20"/>
          <w:color w:val="auto"/>
        </w:rPr>
      </w:pPr>
      <w:r>
        <w:rPr>
          <w:rFonts w:ascii="Arial" w:cs="Arial" w:eastAsia="Arial" w:hAnsi="Arial"/>
          <w:sz w:val="18"/>
          <w:szCs w:val="18"/>
          <w:color w:val="auto"/>
        </w:rPr>
        <w:t>Our units, Class A ordinary shares and warrants are traded on the Nasdaq Stock Market under the symbols “VIHAU,” “VIH” and “VIHAW,”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As of March 19, 2021, there was 1 holder of record of our units, 1 holder of record of our Class A ordinary shares and 2 holders of record of our warrants.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have not paid any cash dividends on our ordinary shares to date and do not intend to pay cash dividends prior to the completion of an initial business combination. The payment of cash dividends in the future will be dependent upon our revenues and earnings, if any, capital requirements and general financial conditions subsequent to completion of an initial business combination. The payment of any cash dividends subsequent to an initial business combination will be within the discretion of our board of directors at such time. If we incur any indebtedness, our ability to declare dividends may be limited by restrictive covenants we may agree to in connection therewith.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Sales of Unregistered Securities; Use of Proceeds from Registered Offerings</w:t>
      </w:r>
    </w:p>
    <w:p>
      <w:pPr>
        <w:spacing w:after="0" w:line="121"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On August 3, 2020, our Sponsor, paid $25,000, or approximately $0.004 per share, to cover certain of our offering costs in exchange for 5,750,000 Class B ordinary shares. In September 2020, our Sponsor transferred an aggregate of 60,000 Class B ordinary shares to member of our board of directors, resulting in our Sponsor holding 5,690,000 Class B ordinary shares. Such securities were issued in connection with our organization pursuant to the exemption from registration contained in Section 4(a)(2) of the Securities Act. The number of founder shares issued was determined based on the expectation that the total size of our initial public offering would be a maximum of 23,000,000 units if the underwriters’ over-allotment option was exercised in full and therefore that such founder shares would represent 20% of the outstanding shares after our initial public offering. Up to 750,000 of the founder shares were subject to forfeiture for no consideration depending on the extent to which the underwriters’ over-allotment was exercised. 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December 31, 2020.</w:t>
      </w:r>
    </w:p>
    <w:p>
      <w:pPr>
        <w:spacing w:after="0" w:line="185"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On September 25, 2020, we consummated our Initial Public Offering of 20,000,000 Units. On October 1, 2020, in connection with underwriters’ election to partially exercise their option to purchase additional Units, we sold an additional 737,202 Units., at a price of $10.00 per Unit, generating total gross proceeds of $207,372,020. Jefferies LLC acted as the sole book-running manager. The securities sold in the offering were registered under the Securities Act on registration statements on Form S-1 (No. 333-248619). The registration statements became effective on September 22, 2020.</w:t>
      </w:r>
    </w:p>
    <w:p>
      <w:pPr>
        <w:spacing w:after="0" w:line="15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Simultaneously with the consummation of the Initial Public Offering, and the exercise of the over-allotment option in part and the sale of the Private Placement Warrants, we consummated a private placement of 6,147,440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Private Placement Warrants to our Sponsor at a price of $1.00 per Private Placement Warrant, generating total proceeds of $6,147,440. Such securities were issued pursuant to the exemption from registration contained in Section 4(a)(2) of the Securities Act.</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are not transferable, assignable or salable until 30 days after the completion of a Business Combination, subject to certain limited exceptions.</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Of the gross proceeds received from the Initial Public Offering including the partial exercise of the option to purchase additional Units, and the sale of the Private Placement Warrants, $207,372,020 was placed in the Trust Account.</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paid a total of $4,147,440 in underwriting discounts and commissions and $501,146 for other offering costs related to the Initial Public Offering. In addition, the underwriters agreed to defer $7,258,021 in underwriting discounts and commissions.</w:t>
      </w:r>
    </w:p>
    <w:p>
      <w:pPr>
        <w:spacing w:after="0" w:line="170"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There has been no material change in the planned use of proceeds from the public offering as described in the prospectus filed by the Company on September 24, 2020.</w:t>
      </w:r>
    </w:p>
    <w:p>
      <w:pPr>
        <w:spacing w:after="0" w:line="17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January 11, 2021, concurrently with the execution of the Merger Agreement, we entered into the Subscription Agreements with the PIPE Investors, pursuant to, and on the terms and subject to the conditions of which, the PIPE Investors have collectively subscribed for 32,500,000 the Company’s shares of Class A common stock. The PIPE Investment will be consummated immediately prior to the Closing.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 Such securities have not been registered under the Securities Act in reliance upon the exemption from registration contained in Section 4(a)(2) of the Securities Act. The Subscription Agreements provide for certain customary registration rights for the PIPE Investors.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References to “we”, “us”, “our” or the “Company” are to VPC Impact Acquisition Holdings, except where the context requires otherwise. The following discussion should be read in conjunction with our financial statements and related notes thereto included elsewhere in this Annual Report on Form 10-K.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i w:val="1"/>
          <w:iCs w:val="1"/>
          <w:color w:val="auto"/>
        </w:rPr>
        <w:t>This Annual Report on Form 10-K includes forward-looking statements within the meaning of Section 27A of the Securities Act, and Section 21E of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 filings.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We are a blank check company incorporated on July 31, 2020 as a Cayman Islands exempted company for the purpose of effecting a Business Combination. We intend to effectuate our initial Business Combination using cash from the proceeds of our Initial Public Offering and the sale of the private placement warrants, our shares, debt or a combination of cash, equity and debt.</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 for Business Combination</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January 11, 2021, the Company entered into the Merger Agreement, with the Merger Sub, and Bakkt. The Merger Agreement provides that, among other things and upon the terms and subject to the conditions thereof, the following Proposed Transaction:</w:t>
      </w:r>
    </w:p>
    <w:p>
      <w:pPr>
        <w:spacing w:after="0" w:line="62" w:lineRule="exact"/>
        <w:rPr>
          <w:sz w:val="20"/>
          <w:szCs w:val="20"/>
          <w:color w:val="auto"/>
        </w:rPr>
      </w:pPr>
    </w:p>
    <w:p>
      <w:pPr>
        <w:ind w:left="560" w:right="80" w:hanging="4"/>
        <w:spacing w:after="0" w:line="277" w:lineRule="auto"/>
        <w:tabs>
          <w:tab w:leader="none" w:pos="7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the Closing, in accordance with the DLLCA, the Merger with and into Bakkt will occur, the separate corporate existence of Merger Sub will cease and Bakkt will be the surviving limited liability company, to be renamed Bakkt Opco Holdings, LLC;</w:t>
      </w:r>
    </w:p>
    <w:p>
      <w:pPr>
        <w:spacing w:after="0" w:line="62" w:lineRule="exact"/>
        <w:rPr>
          <w:rFonts w:ascii="Arial" w:cs="Arial" w:eastAsia="Arial" w:hAnsi="Arial"/>
          <w:sz w:val="18"/>
          <w:szCs w:val="18"/>
          <w:color w:val="auto"/>
        </w:rPr>
      </w:pPr>
    </w:p>
    <w:p>
      <w:pPr>
        <w:ind w:left="560" w:right="560" w:hanging="4"/>
        <w:spacing w:after="0" w:line="277" w:lineRule="auto"/>
        <w:tabs>
          <w:tab w:leader="none" w:pos="8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prior to the closing of the PIPE Investment (as defined below) and the effective time of the Merger, in connection with the Domestication described below, VIH will be renamed “Bakkt Holdings, Inc.”; and</w:t>
      </w:r>
    </w:p>
    <w:p>
      <w:pPr>
        <w:spacing w:after="0" w:line="62" w:lineRule="exact"/>
        <w:rPr>
          <w:rFonts w:ascii="Arial" w:cs="Arial" w:eastAsia="Arial" w:hAnsi="Arial"/>
          <w:sz w:val="18"/>
          <w:szCs w:val="18"/>
          <w:color w:val="auto"/>
        </w:rPr>
      </w:pPr>
    </w:p>
    <w:p>
      <w:pPr>
        <w:jc w:val="both"/>
        <w:ind w:left="560" w:right="320" w:hanging="4"/>
        <w:spacing w:after="0" w:line="263" w:lineRule="auto"/>
        <w:tabs>
          <w:tab w:leader="none" w:pos="8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a result of the Merger, the aggregate consideration to be received in respect of the Merger by all of the Bakkt interest holders will be an aggregate of 208,200,000 Bakkt Opco Units and 208,200,000 shares of class V common stock of Bakkt PubCo, which will be non-economic, voting shares of Bakkt Pubco.</w:t>
      </w:r>
    </w:p>
    <w:p>
      <w:pPr>
        <w:spacing w:after="0" w:line="184"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board of directors of the Company has unanimously (i) approved and declared advisable the Merger Agreement, the Proposed Transaction and the other transactions contemplated thereby and (ii) resolved to recommend approval of the Merger Agreement and related matters by the shareholders of VIH.</w:t>
      </w:r>
    </w:p>
    <w:p>
      <w:pPr>
        <w:spacing w:after="0" w:line="184" w:lineRule="exact"/>
        <w:rPr>
          <w:sz w:val="20"/>
          <w:szCs w:val="20"/>
          <w:color w:val="auto"/>
        </w:rPr>
      </w:pPr>
    </w:p>
    <w:p>
      <w:pPr>
        <w:ind w:left="120" w:right="900"/>
        <w:spacing w:after="0" w:line="308" w:lineRule="auto"/>
        <w:rPr>
          <w:sz w:val="20"/>
          <w:szCs w:val="20"/>
          <w:color w:val="auto"/>
        </w:rPr>
      </w:pPr>
      <w:r>
        <w:rPr>
          <w:rFonts w:ascii="Arial" w:cs="Arial" w:eastAsia="Arial" w:hAnsi="Arial"/>
          <w:sz w:val="17"/>
          <w:szCs w:val="17"/>
          <w:color w:val="auto"/>
        </w:rPr>
        <w:t>Prior to the Closing, subject to the approval of our shareholders, and in accordance with the DGCL, the CICA and our amended and restated memorandum and articles of association, we will effect a Domestication and be renamed “Bakkt Holdings, Inc.”</w:t>
      </w:r>
    </w:p>
    <w:p>
      <w:pPr>
        <w:spacing w:after="0" w:line="14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Upon the Closing, Bakkt Pubco will be organized in an “Up-C” structure in which substantially all of the assets and the business of Bakkt Pubco will be held by Bakkt Opco and its subsidiaries, and Bakkt Pubco’s only direct assets will consist of Bakkt Opco Units. Assuming no redemptions of public shares in connection with the Proposed Transaction, upon the Closing Bakkt Pubco is expected to own approximately 22% of Bakkt Opco Units and will be the managing member of Bakkt Opco. All remaining Bakkt Opco Units will be owned by the Bakkt Equity Holders.</w:t>
      </w:r>
    </w:p>
    <w:p>
      <w:pPr>
        <w:spacing w:after="0" w:line="17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On January 11, 2021, concurrently with the execution of the Merger Agreement, we entered into subscription agreements with the PIPE Investors, which include certain existing equity holders of the Company and Bakkt, pursuant to, and on the terms and subject to the conditions of which, the PIPE Investors, which include certain existing equity holders of the Company and Bakkt, have collectively subscribed for the PIPE Investment.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consummation of the proposed business combination described herein is subject to certain conditions as further described in the Merger Agreement.</w:t>
      </w:r>
    </w:p>
    <w:p>
      <w:pPr>
        <w:spacing w:after="0" w:line="24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For more information about the Merger Agreement and the proposed business combination, see our Current Report on Form 8-K filed with the SEC on January 11, 2021 (File No. 001-39544) and the Bakkt Disclosure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Statement that we will file with the SEC. Unless specifically stated, this Annual Report does not give effect to the Proposed Transaction and does not contain the risks associated with the Proposed Transaction. Such risks and effects relating to the Proposed Transaction will be included in the Bakkt Disclosure Statement.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have neither engaged in any operations (other than searching for a Business Combination after our Initial Public Offering) nor generated any revenues to date. Our only activities from inception to December 31, 2020 were organizational activities, those necessary to prepare for the Initial Public Offering, described below, and, after the Initial Public Offering, identifying a target company for a Business Combination. We do not expect to generate any operating revenues until after the completion of our Business Combination, at the earliest. We generate non-operating income in the form of interest income on marketable securities held in a trust account (the “Trust Account”). We incur expenses as a result of being a public company (for legal, financial reporting, accounting and auditing compliance), as well as for due diligence expenses in connection with completing a Business Combination.</w:t>
      </w:r>
    </w:p>
    <w:p>
      <w:pPr>
        <w:spacing w:after="0" w:line="16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For the period from July 31, 2020 (inception) through December 31, 2020, we had a net loss of $1,002,669, which consisted of formation and operating expenses of $1,006,862, offset by interest earned on marketable securities held in the Trust Account of $4,193.</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Until the consummation of the Initial Public Offering, our only source of liquidity was an initial purchase of ordinary shares by the Sponsor and loans from our Sponsor.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September 25, 2020, we consummated the Initial Public Offering of the Units, at a price of $10.00 per Unit, generating gross proceeds of</w:t>
      </w:r>
    </w:p>
    <w:p>
      <w:pPr>
        <w:spacing w:after="0" w:line="35"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$200,000,000. Simultaneously with the closing of the Initial Public Offering, we consummated the sale the Private Placement Warrants to the Sponsor at a price of $1.00 per Private Placement Warrant generating gross proceeds of $6,000,000.</w:t>
      </w:r>
    </w:p>
    <w:p>
      <w:pPr>
        <w:spacing w:after="0" w:line="18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Following the Initial Public Offering and the sale of the Private Placement Warrants, a total of $200,000,000 was placed in the Trust Account, and we had $1,205,178 of cash held outside of the Trust Account, after payment of costs related to the Initial Public Offering, and available for working capital purposes. We incurred $11,501,146 in transaction costs, including $4,000,000 of underwriting fees, $7,000,000 of deferred underwriting fees and $501,146 of other offering costs.</w:t>
      </w:r>
    </w:p>
    <w:p>
      <w:pPr>
        <w:spacing w:after="0" w:line="187" w:lineRule="exact"/>
        <w:rPr>
          <w:sz w:val="20"/>
          <w:szCs w:val="20"/>
          <w:color w:val="auto"/>
        </w:rPr>
      </w:pPr>
    </w:p>
    <w:p>
      <w:pPr>
        <w:jc w:val="both"/>
        <w:ind w:left="120" w:right="220"/>
        <w:spacing w:after="0" w:line="257" w:lineRule="auto"/>
        <w:rPr>
          <w:sz w:val="20"/>
          <w:szCs w:val="20"/>
          <w:color w:val="auto"/>
        </w:rPr>
      </w:pPr>
      <w:r>
        <w:rPr>
          <w:rFonts w:ascii="Arial" w:cs="Arial" w:eastAsia="Arial" w:hAnsi="Arial"/>
          <w:sz w:val="18"/>
          <w:szCs w:val="18"/>
          <w:color w:val="auto"/>
        </w:rPr>
        <w:t>On October 1, 2020, in connection with the underwriters’ election to partially exercise of their over-allotment option, we consummated the sale of an additional 737,202 Units and the sale of an additional 147,440 Private Placement Warrants, generating total gross proceeds of $7,519,460. A total of $7,372,020 of the net proceeds was deposited into the Trust Account, bringing the aggregate proceeds held in the Trust Account to $207,372,020. We incurred $11,906,606 in transaction costs, including $4,147,440 of underwriting fees, $7,258,021 of deferred underwriting fees and $501,146 of other offering costs.</w:t>
      </w:r>
    </w:p>
    <w:p>
      <w:pPr>
        <w:spacing w:after="0" w:line="18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For the period from July 31, 2020 (inception) through December 31, 2020, net cash used in operating activities was $341,800, which consisted of our net loss of $1,002,669, interest earned on investments of $4,193, formation expenses paid by the Sponsor of $6,606 and changes in operating assets and liabilities, which used $658,456 of cash from operating activities.</w:t>
      </w:r>
    </w:p>
    <w:p>
      <w:pPr>
        <w:spacing w:after="0" w:line="184"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At December 31, 2020, we had investments held in the Trust Account of $207,376,213. We intend to use substantially all of the funds held in the Trust Account, including any amounts representing interest earned on the Trust Account, which interest shall be net of taxes payable and excluding deferred underwriting commissions, to complete our Business Combination. We may withdraw interest from the Trust Account to pay taxes, if any. To the extent that our share capital or debt is used, in whole or in part, as consideration to complete a Business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Combination, the remaining proceeds held in the Trust Account will be used as working capital to finance the operations of the target business or businesses, make other acquisitions and pursue our growth strategies.</w:t>
      </w:r>
    </w:p>
    <w:p>
      <w:pPr>
        <w:spacing w:after="0" w:line="170"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At December 31, 2020, we had cash of $1,177,678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17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may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w:t>
      </w:r>
    </w:p>
    <w:p>
      <w:pPr>
        <w:spacing w:after="0" w:line="178"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initial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We do not have any long-term debt obligations, capital lease obligations, operating lease obligations, purchase obligations or long-term liabilities, other than an agreement to pay our Sponsor a monthly fee of $10,000 for office space, secretarial and administrative services. We began incurring these fees on September 25, 2020 and will continue to incur these fees monthly until the earlier of the completion of a Business Combination and the Company’s liquidation.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underwriters were paid a cash underwriting discount of $0.20 per Unit, or $4,147,440.40 in the aggregate. In addition, $0.35 per Public Share, or approximately $7,258,021 in the aggregate will be payable to the underwriters for deferred underwriting commissions. The deferred fee will become payable to the underwriters from the amounts held in the Trust Account solely in the event that we complete a Business Combination, subject to the terms of the underwriting agreement.</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requires management to make estimates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assumptions that affect the reported amounts of assets and liabilities, disclosure of contingent assets and liabilities at the date of the condensed financial statements, and income and expenses during the period reported. Actual results could materially differ from those estimates. We have identified the following critical accounting policies: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account for our Class A ordinary shares subject to possible redemption in accordance with the guidance in Accounting Standards Codification (“ASC”) Topic 480 “Distinguishing Liabilities from Equity.” Class A ordinary shares subject to mandatory redemption is classified as a liability instrument and is measured at fair value. Conditionally redeemable ordinary shares (including ordinary shares that features redemption rights that is either within the control of the holder or subject to redemption upon the occurrence of uncertain events not solely within our control) is classified as temporary equity. At all other times, ordinary shares are classified as shareholders’ equity. Our ordinary shares feature certain redemption rights that are considered to be outside of our control and subject to occurrence of uncertain future events. Accordingly, Class A ordinary shares subject to possible redemption is presented as temporary equity, outside of the shareholders’ equity section of our condensed balance sheet.</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17" w:lineRule="exact"/>
        <w:rPr>
          <w:sz w:val="20"/>
          <w:szCs w:val="20"/>
          <w:color w:val="auto"/>
        </w:rPr>
      </w:pPr>
    </w:p>
    <w:p>
      <w:pPr>
        <w:ind w:left="120" w:right="460" w:firstLine="440"/>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ordinary share, basic and diluted for Class A redeemable ordinary shares is calculated by dividing the interest income earned on the Trust Account by the weighted average number of Class A redeemable ordinary shares outstanding since original issuance. Net loss per common share, basic and diluted for Class B non-redeemable ordinary shares is calculated by dividing the net income (loss), less income attributable to Class A redeemable ordinary shares, by the weighted average number of Class B non-redeemable ordinary shares outstanding for the periods presented.</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60"/>
          </w:cols>
          <w:pgMar w:left="320" w:top="459" w:right="5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management does not believe there are any other recently issued, but not yet effective, accounting pronouncements, if currently adopted, that would have a material effect on our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40"/>
          </w:cols>
          <w:pgMar w:left="320" w:top="459" w:right="5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8900" w:type="dxa"/>
            <w:vAlign w:val="bottom"/>
            <w:gridSpan w:val="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14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6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rPr>
              <w:t>VPC IMPACT ACQUISITION HOLDINGS</w:t>
            </w:r>
          </w:p>
        </w:tc>
        <w:tc>
          <w:tcPr>
            <w:tcW w:w="214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6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rPr>
              <w:t>INDEX TO FINANCIAL STATEMENTS</w:t>
            </w:r>
          </w:p>
        </w:tc>
        <w:tc>
          <w:tcPr>
            <w:tcW w:w="214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42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Report of Independent Registered Public Accounting Firm</w:t>
              </w:r>
            </w:hyperlink>
          </w:p>
        </w:tc>
        <w:tc>
          <w:tcPr>
            <w:tcW w:w="4560" w:type="dxa"/>
            <w:vAlign w:val="bottom"/>
          </w:tcPr>
          <w:p>
            <w:pPr>
              <w:spacing w:after="0"/>
              <w:rPr>
                <w:sz w:val="24"/>
                <w:szCs w:val="24"/>
                <w:color w:val="auto"/>
              </w:rPr>
            </w:pPr>
          </w:p>
        </w:tc>
        <w:tc>
          <w:tcPr>
            <w:tcW w:w="2140" w:type="dxa"/>
            <w:vAlign w:val="bottom"/>
          </w:tcPr>
          <w:p>
            <w:pPr>
              <w:jc w:val="center"/>
              <w:ind w:left="1470"/>
              <w:spacing w:after="0"/>
              <w:rPr>
                <w:sz w:val="20"/>
                <w:szCs w:val="20"/>
                <w:color w:val="auto"/>
              </w:rPr>
            </w:pPr>
            <w:r>
              <w:rPr>
                <w:rFonts w:ascii="Arial" w:cs="Arial" w:eastAsia="Arial" w:hAnsi="Arial"/>
                <w:sz w:val="18"/>
                <w:szCs w:val="18"/>
                <w:color w:val="auto"/>
                <w:w w:val="89"/>
              </w:rPr>
              <w:t>60</w:t>
            </w:r>
          </w:p>
        </w:tc>
      </w:tr>
      <w:tr>
        <w:trPr>
          <w:trHeight w:val="222"/>
        </w:trPr>
        <w:tc>
          <w:tcPr>
            <w:tcW w:w="120" w:type="dxa"/>
            <w:vAlign w:val="bottom"/>
          </w:tcPr>
          <w:p>
            <w:pPr>
              <w:spacing w:after="0"/>
              <w:rPr>
                <w:sz w:val="19"/>
                <w:szCs w:val="19"/>
                <w:color w:val="auto"/>
              </w:rPr>
            </w:pPr>
          </w:p>
        </w:tc>
        <w:tc>
          <w:tcPr>
            <w:tcW w:w="878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214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8780" w:type="dxa"/>
            <w:vAlign w:val="bottom"/>
            <w:gridSpan w:val="8"/>
          </w:tcPr>
          <w:p>
            <w:pPr>
              <w:spacing w:after="0" w:line="190" w:lineRule="exact"/>
              <w:rPr>
                <w:rFonts w:ascii="Arial" w:cs="Arial" w:eastAsia="Arial" w:hAnsi="Arial"/>
                <w:sz w:val="18"/>
                <w:szCs w:val="18"/>
                <w:color w:val="0000EE"/>
              </w:rPr>
            </w:pPr>
            <w:hyperlink w:anchor="page61">
              <w:r>
                <w:rPr>
                  <w:rFonts w:ascii="Arial" w:cs="Arial" w:eastAsia="Arial" w:hAnsi="Arial"/>
                  <w:sz w:val="18"/>
                  <w:szCs w:val="18"/>
                  <w:color w:val="0000EE"/>
                </w:rPr>
                <w:t>Balance Sheet</w:t>
              </w:r>
            </w:hyperlink>
          </w:p>
        </w:tc>
        <w:tc>
          <w:tcPr>
            <w:tcW w:w="2140" w:type="dxa"/>
            <w:vAlign w:val="bottom"/>
          </w:tcPr>
          <w:p>
            <w:pPr>
              <w:jc w:val="center"/>
              <w:ind w:left="1470"/>
              <w:spacing w:after="0" w:line="190" w:lineRule="exact"/>
              <w:rPr>
                <w:sz w:val="20"/>
                <w:szCs w:val="20"/>
                <w:color w:val="auto"/>
              </w:rPr>
            </w:pPr>
            <w:r>
              <w:rPr>
                <w:rFonts w:ascii="Arial" w:cs="Arial" w:eastAsia="Arial" w:hAnsi="Arial"/>
                <w:sz w:val="18"/>
                <w:szCs w:val="18"/>
                <w:color w:val="auto"/>
                <w:w w:val="89"/>
              </w:rPr>
              <w:t>61</w:t>
            </w:r>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780" w:type="dxa"/>
            <w:vAlign w:val="bottom"/>
            <w:gridSpan w:val="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Statement of Operations</w:t>
              </w:r>
            </w:hyperlink>
          </w:p>
        </w:tc>
        <w:tc>
          <w:tcPr>
            <w:tcW w:w="2140" w:type="dxa"/>
            <w:vAlign w:val="bottom"/>
          </w:tcPr>
          <w:p>
            <w:pPr>
              <w:jc w:val="center"/>
              <w:ind w:left="1470"/>
              <w:spacing w:after="0" w:line="196" w:lineRule="exact"/>
              <w:rPr>
                <w:sz w:val="20"/>
                <w:szCs w:val="20"/>
                <w:color w:val="auto"/>
              </w:rPr>
            </w:pPr>
            <w:r>
              <w:rPr>
                <w:rFonts w:ascii="Arial" w:cs="Arial" w:eastAsia="Arial" w:hAnsi="Arial"/>
                <w:sz w:val="18"/>
                <w:szCs w:val="18"/>
                <w:color w:val="auto"/>
                <w:w w:val="89"/>
              </w:rPr>
              <w:t>62</w:t>
            </w:r>
          </w:p>
        </w:tc>
      </w:tr>
      <w:tr>
        <w:trPr>
          <w:trHeight w:val="20"/>
        </w:trPr>
        <w:tc>
          <w:tcPr>
            <w:tcW w:w="12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780" w:type="dxa"/>
            <w:vAlign w:val="bottom"/>
            <w:gridSpan w:val="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Statement of Changes in Shareholders’ Equity</w:t>
              </w:r>
            </w:hyperlink>
          </w:p>
        </w:tc>
        <w:tc>
          <w:tcPr>
            <w:tcW w:w="2140" w:type="dxa"/>
            <w:vAlign w:val="bottom"/>
          </w:tcPr>
          <w:p>
            <w:pPr>
              <w:jc w:val="center"/>
              <w:ind w:left="1470"/>
              <w:spacing w:after="0" w:line="196" w:lineRule="exact"/>
              <w:rPr>
                <w:sz w:val="20"/>
                <w:szCs w:val="20"/>
                <w:color w:val="auto"/>
              </w:rPr>
            </w:pPr>
            <w:r>
              <w:rPr>
                <w:rFonts w:ascii="Arial" w:cs="Arial" w:eastAsia="Arial" w:hAnsi="Arial"/>
                <w:sz w:val="18"/>
                <w:szCs w:val="18"/>
                <w:color w:val="auto"/>
                <w:w w:val="89"/>
              </w:rPr>
              <w:t>63</w:t>
            </w:r>
          </w:p>
        </w:tc>
      </w:tr>
      <w:tr>
        <w:trPr>
          <w:trHeight w:val="196"/>
        </w:trPr>
        <w:tc>
          <w:tcPr>
            <w:tcW w:w="120" w:type="dxa"/>
            <w:vAlign w:val="bottom"/>
          </w:tcPr>
          <w:p>
            <w:pPr>
              <w:spacing w:after="0"/>
              <w:rPr>
                <w:sz w:val="17"/>
                <w:szCs w:val="17"/>
                <w:color w:val="auto"/>
              </w:rPr>
            </w:pPr>
          </w:p>
        </w:tc>
        <w:tc>
          <w:tcPr>
            <w:tcW w:w="33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Statement of Cash Flows</w:t>
              </w:r>
            </w:hyperlink>
          </w:p>
        </w:tc>
        <w:tc>
          <w:tcPr>
            <w:tcW w:w="5460" w:type="dxa"/>
            <w:vAlign w:val="bottom"/>
            <w:gridSpan w:val="2"/>
          </w:tcPr>
          <w:p>
            <w:pPr>
              <w:spacing w:after="0"/>
              <w:rPr>
                <w:sz w:val="17"/>
                <w:szCs w:val="17"/>
                <w:color w:val="auto"/>
              </w:rPr>
            </w:pPr>
          </w:p>
        </w:tc>
        <w:tc>
          <w:tcPr>
            <w:tcW w:w="2140" w:type="dxa"/>
            <w:vAlign w:val="bottom"/>
          </w:tcPr>
          <w:p>
            <w:pPr>
              <w:jc w:val="center"/>
              <w:ind w:left="1470"/>
              <w:spacing w:after="0" w:line="196" w:lineRule="exact"/>
              <w:rPr>
                <w:sz w:val="20"/>
                <w:szCs w:val="20"/>
                <w:color w:val="auto"/>
              </w:rPr>
            </w:pPr>
            <w:r>
              <w:rPr>
                <w:rFonts w:ascii="Arial" w:cs="Arial" w:eastAsia="Arial" w:hAnsi="Arial"/>
                <w:sz w:val="18"/>
                <w:szCs w:val="18"/>
                <w:color w:val="auto"/>
                <w:w w:val="89"/>
              </w:rPr>
              <w:t>64</w:t>
            </w:r>
          </w:p>
        </w:tc>
      </w:tr>
      <w:tr>
        <w:trPr>
          <w:trHeight w:val="20"/>
        </w:trPr>
        <w:tc>
          <w:tcPr>
            <w:tcW w:w="12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780" w:type="dxa"/>
            <w:vAlign w:val="bottom"/>
            <w:gridSpan w:val="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Notes to Financial Statements</w:t>
              </w:r>
            </w:hyperlink>
          </w:p>
        </w:tc>
        <w:tc>
          <w:tcPr>
            <w:tcW w:w="2140" w:type="dxa"/>
            <w:vAlign w:val="bottom"/>
          </w:tcPr>
          <w:p>
            <w:pPr>
              <w:jc w:val="center"/>
              <w:ind w:left="1450"/>
              <w:spacing w:after="0" w:line="196" w:lineRule="exact"/>
              <w:rPr>
                <w:sz w:val="20"/>
                <w:szCs w:val="20"/>
                <w:color w:val="auto"/>
              </w:rPr>
            </w:pPr>
            <w:r>
              <w:rPr>
                <w:rFonts w:ascii="Arial" w:cs="Arial" w:eastAsia="Arial" w:hAnsi="Arial"/>
                <w:sz w:val="18"/>
                <w:szCs w:val="18"/>
                <w:color w:val="auto"/>
                <w:w w:val="92"/>
              </w:rPr>
              <w:t>65 to 78</w:t>
            </w:r>
          </w:p>
        </w:tc>
      </w:tr>
      <w:tr>
        <w:trPr>
          <w:trHeight w:val="385"/>
        </w:trPr>
        <w:tc>
          <w:tcPr>
            <w:tcW w:w="120" w:type="dxa"/>
            <w:vAlign w:val="bottom"/>
          </w:tcPr>
          <w:p>
            <w:pPr>
              <w:spacing w:after="0"/>
              <w:rPr>
                <w:sz w:val="24"/>
                <w:szCs w:val="24"/>
                <w:color w:val="auto"/>
              </w:rPr>
            </w:pPr>
          </w:p>
        </w:tc>
        <w:tc>
          <w:tcPr>
            <w:tcW w:w="2140" w:type="dxa"/>
            <w:vAlign w:val="bottom"/>
            <w:tcBorders>
              <w:top w:val="single" w:sz="8" w:color="0000EE"/>
            </w:tcBorders>
            <w:gridSpan w:val="5"/>
          </w:tcPr>
          <w:p>
            <w:pPr>
              <w:spacing w:after="0"/>
              <w:rPr>
                <w:sz w:val="24"/>
                <w:szCs w:val="24"/>
                <w:color w:val="auto"/>
              </w:rPr>
            </w:pPr>
          </w:p>
        </w:tc>
        <w:tc>
          <w:tcPr>
            <w:tcW w:w="664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59</w:t>
            </w:r>
          </w:p>
        </w:tc>
        <w:tc>
          <w:tcPr>
            <w:tcW w:w="21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320" w:top="446" w:right="5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VPC Impact Acquisition Holdings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have audited the accompanying balance sheet of VPC Impact Acquisition Holdings (the “Company”) as of December 31, 2020, the related statement of operations, changes in shareholders’ equity and cash flows for the period from July 31,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July 31, 2020 (inception) through December 31, 2020, in conformity with accounting principles generally accepted in the United States of America.</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30,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99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560" w:type="dxa"/>
            <w:vAlign w:val="bottom"/>
          </w:tcPr>
          <w:p>
            <w:pPr>
              <w:jc w:val="center"/>
              <w:spacing w:after="0"/>
              <w:rPr>
                <w:sz w:val="20"/>
                <w:szCs w:val="20"/>
                <w:color w:val="auto"/>
              </w:rPr>
            </w:pPr>
            <w:r>
              <w:rPr>
                <w:rFonts w:ascii="Arial" w:cs="Arial" w:eastAsia="Arial" w:hAnsi="Arial"/>
                <w:sz w:val="18"/>
                <w:szCs w:val="18"/>
                <w:b w:val="1"/>
                <w:bCs w:val="1"/>
                <w:color w:val="auto"/>
              </w:rPr>
              <w:t>VPC IMPACT ACQUISITION HOLDINGS</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560" w:type="dxa"/>
            <w:vAlign w:val="bottom"/>
          </w:tcPr>
          <w:p>
            <w:pPr>
              <w:jc w:val="center"/>
              <w:spacing w:after="0"/>
              <w:rPr>
                <w:sz w:val="20"/>
                <w:szCs w:val="20"/>
                <w:color w:val="auto"/>
              </w:rPr>
            </w:pPr>
            <w:r>
              <w:rPr>
                <w:rFonts w:ascii="Arial" w:cs="Arial" w:eastAsia="Arial" w:hAnsi="Arial"/>
                <w:sz w:val="18"/>
                <w:szCs w:val="18"/>
                <w:b w:val="1"/>
                <w:bCs w:val="1"/>
                <w:color w:val="auto"/>
                <w:w w:val="99"/>
              </w:rPr>
              <w:t>BALANCE SHEET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560" w:type="dxa"/>
            <w:vAlign w:val="bottom"/>
          </w:tcPr>
          <w:p>
            <w:pPr>
              <w:jc w:val="center"/>
              <w:spacing w:after="0"/>
              <w:rPr>
                <w:sz w:val="20"/>
                <w:szCs w:val="20"/>
                <w:color w:val="auto"/>
              </w:rPr>
            </w:pPr>
            <w:r>
              <w:rPr>
                <w:rFonts w:ascii="Arial" w:cs="Arial" w:eastAsia="Arial" w:hAnsi="Arial"/>
                <w:sz w:val="18"/>
                <w:szCs w:val="18"/>
                <w:b w:val="1"/>
                <w:bCs w:val="1"/>
                <w:color w:val="auto"/>
                <w:w w:val="96"/>
              </w:rPr>
              <w:t>DECEMBER 31, 2020</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1,177,678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0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1,412,637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207,376,213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208,788,850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0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893,415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00" w:type="dxa"/>
            <w:vAlign w:val="bottom"/>
            <w:gridSpan w:val="2"/>
          </w:tcPr>
          <w:p>
            <w:pPr>
              <w:ind w:left="360"/>
              <w:spacing w:after="0"/>
              <w:rPr>
                <w:sz w:val="20"/>
                <w:szCs w:val="20"/>
                <w:color w:val="auto"/>
              </w:rPr>
            </w:pPr>
            <w:r>
              <w:rPr>
                <w:rFonts w:ascii="Arial" w:cs="Arial" w:eastAsia="Arial" w:hAnsi="Arial"/>
                <w:sz w:val="18"/>
                <w:szCs w:val="18"/>
                <w:color w:val="auto"/>
              </w:rPr>
              <w:t>Accrued offering costs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895,645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Deferred underwriting fee payable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8,153,666</w:t>
            </w:r>
          </w:p>
        </w:tc>
        <w:tc>
          <w:tcPr>
            <w:tcW w:w="0" w:type="dxa"/>
            <w:vAlign w:val="bottom"/>
          </w:tcPr>
          <w:p>
            <w:pPr>
              <w:spacing w:after="0"/>
              <w:rPr>
                <w:sz w:val="1"/>
                <w:szCs w:val="1"/>
                <w:color w:val="auto"/>
              </w:rPr>
            </w:pPr>
          </w:p>
        </w:tc>
      </w:tr>
      <w:tr>
        <w:trPr>
          <w:trHeight w:val="331"/>
        </w:trPr>
        <w:tc>
          <w:tcPr>
            <w:tcW w:w="12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10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 19,563,518 shares at $10.00 per share</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195,635,180</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Preference shares, $0.0001 par value; 1,000,000 shares authorized; no shares issued and outstanding</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800" w:type="dxa"/>
            <w:vAlign w:val="bottom"/>
            <w:gridSpan w:val="2"/>
          </w:tcPr>
          <w:p>
            <w:pPr>
              <w:spacing w:after="0" w:line="201" w:lineRule="exact"/>
              <w:rPr>
                <w:sz w:val="20"/>
                <w:szCs w:val="20"/>
                <w:color w:val="auto"/>
              </w:rPr>
            </w:pPr>
            <w:r>
              <w:rPr>
                <w:rFonts w:ascii="Arial" w:cs="Arial" w:eastAsia="Arial" w:hAnsi="Arial"/>
                <w:sz w:val="18"/>
                <w:szCs w:val="18"/>
                <w:color w:val="auto"/>
                <w:w w:val="94"/>
              </w:rPr>
              <w:t>Class A ordinary shares, $0.0001 par value; 200,000,000 shares authorized; 1,173,684 shares issued and outstanding (excluding</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00" w:type="dxa"/>
            <w:vAlign w:val="bottom"/>
            <w:gridSpan w:val="2"/>
          </w:tcPr>
          <w:p>
            <w:pPr>
              <w:ind w:left="180"/>
              <w:spacing w:after="0"/>
              <w:rPr>
                <w:sz w:val="20"/>
                <w:szCs w:val="20"/>
                <w:color w:val="auto"/>
              </w:rPr>
            </w:pPr>
            <w:r>
              <w:rPr>
                <w:rFonts w:ascii="Arial" w:cs="Arial" w:eastAsia="Arial" w:hAnsi="Arial"/>
                <w:sz w:val="18"/>
                <w:szCs w:val="18"/>
                <w:color w:val="auto"/>
              </w:rPr>
              <w:t>19,563,518 shares subject to possible redemption)</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ordinary shares, $0.0001 par value; 20,000,000 shares authorized; 5,184,300 shares issued and outstanding</w:t>
            </w:r>
            <w:r>
              <w:rPr>
                <w:rFonts w:ascii="Arial" w:cs="Arial" w:eastAsia="Arial" w:hAnsi="Arial"/>
                <w:sz w:val="15"/>
                <w:szCs w:val="15"/>
                <w:color w:val="auto"/>
              </w:rPr>
              <w:t>(1)</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6,002,037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(1,002,669)</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208,788,850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0" w:right="140" w:hanging="424"/>
        <w:spacing w:after="0" w:line="263"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December 31, 2020.</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46" w:right="4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0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60" w:type="dxa"/>
            <w:vAlign w:val="bottom"/>
          </w:tcPr>
          <w:p>
            <w:pPr>
              <w:jc w:val="center"/>
              <w:ind w:right="30"/>
              <w:spacing w:after="0"/>
              <w:rPr>
                <w:sz w:val="20"/>
                <w:szCs w:val="20"/>
                <w:color w:val="auto"/>
              </w:rPr>
            </w:pPr>
            <w:r>
              <w:rPr>
                <w:rFonts w:ascii="Arial" w:cs="Arial" w:eastAsia="Arial" w:hAnsi="Arial"/>
                <w:sz w:val="18"/>
                <w:szCs w:val="18"/>
                <w:b w:val="1"/>
                <w:bCs w:val="1"/>
                <w:color w:val="auto"/>
              </w:rPr>
              <w:t>VPC IMPACT ACQUISITION HOLDINGS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STATEMENT OF OPERATIONS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FOR THE PERIOD FROM JULY 31, 2020 (INCEPTION) THROUGH DECEMBER 31, 2020</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1,006,862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Loss from operations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(1,006,862)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(1,002,669)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redeemable ordinary shares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20,737,202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income per share, Class A</w:t>
            </w: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non-redeemable ordinary shares</w:t>
            </w:r>
            <w:r>
              <w:rPr>
                <w:rFonts w:ascii="Arial" w:cs="Arial" w:eastAsia="Arial" w:hAnsi="Arial"/>
                <w:sz w:val="15"/>
                <w:szCs w:val="15"/>
                <w:color w:val="auto"/>
              </w:rPr>
              <w:t>(1)</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B</w:t>
            </w: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0" w:right="140" w:hanging="424"/>
        <w:spacing w:after="0" w:line="263"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December 31, 2020.</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46"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PERIOD FROM JULY 31, 2020 (INCEPTION) THROUGH DECEMBER 31,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left="415"/>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3800" w:type="dxa"/>
            <w:vAlign w:val="bottom"/>
          </w:tcPr>
          <w:p>
            <w:pPr>
              <w:spacing w:after="0"/>
              <w:rPr>
                <w:sz w:val="14"/>
                <w:szCs w:val="14"/>
                <w:color w:val="auto"/>
              </w:rPr>
            </w:pPr>
          </w:p>
        </w:tc>
        <w:tc>
          <w:tcPr>
            <w:tcW w:w="19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Ordinary Shares</w:t>
            </w:r>
          </w:p>
        </w:tc>
        <w:tc>
          <w:tcPr>
            <w:tcW w:w="17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Ordinary Shares</w:t>
            </w: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Paid in</w:t>
            </w:r>
          </w:p>
        </w:tc>
        <w:tc>
          <w:tcPr>
            <w:tcW w:w="100" w:type="dxa"/>
            <w:vAlign w:val="bottom"/>
          </w:tcPr>
          <w:p>
            <w:pPr>
              <w:spacing w:after="0"/>
              <w:rPr>
                <w:sz w:val="14"/>
                <w:szCs w:val="14"/>
                <w:color w:val="auto"/>
              </w:rPr>
            </w:pPr>
          </w:p>
        </w:tc>
        <w:tc>
          <w:tcPr>
            <w:tcW w:w="100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r>
      <w:tr>
        <w:trPr>
          <w:trHeight w:val="171"/>
        </w:trPr>
        <w:tc>
          <w:tcPr>
            <w:tcW w:w="3800" w:type="dxa"/>
            <w:vAlign w:val="bottom"/>
          </w:tcPr>
          <w:p>
            <w:pPr>
              <w:spacing w:after="0"/>
              <w:rPr>
                <w:sz w:val="14"/>
                <w:szCs w:val="14"/>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00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Balance—July 31, 2020 (inception)</w:t>
            </w:r>
          </w:p>
        </w:tc>
        <w:tc>
          <w:tcPr>
            <w:tcW w:w="9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94"/>
              </w:rPr>
              <w:t>Issuance of Class B ordinary shares to Sponsor</w:t>
            </w:r>
            <w:r>
              <w:rPr>
                <w:rFonts w:ascii="Arial" w:cs="Arial" w:eastAsia="Arial" w:hAnsi="Arial"/>
                <w:sz w:val="15"/>
                <w:szCs w:val="15"/>
                <w:color w:val="auto"/>
                <w:w w:val="94"/>
              </w:rPr>
              <w:t>(1)</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5,750,000</w:t>
            </w:r>
          </w:p>
        </w:tc>
        <w:tc>
          <w:tcPr>
            <w:tcW w:w="16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24,425</w:t>
            </w:r>
          </w:p>
        </w:tc>
        <w:tc>
          <w:tcPr>
            <w:tcW w:w="100" w:type="dxa"/>
            <w:vAlign w:val="bottom"/>
          </w:tcPr>
          <w:p>
            <w:pPr>
              <w:spacing w:after="0"/>
              <w:rPr>
                <w:sz w:val="18"/>
                <w:szCs w:val="18"/>
                <w:color w:val="auto"/>
              </w:rPr>
            </w:pPr>
          </w:p>
        </w:tc>
        <w:tc>
          <w:tcPr>
            <w:tcW w:w="100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Forfeiture of 565,700 Sponsor shares</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(565,700)</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3800" w:type="dxa"/>
            <w:vAlign w:val="bottom"/>
          </w:tcPr>
          <w:p>
            <w:pPr>
              <w:spacing w:after="0" w:line="201" w:lineRule="exact"/>
              <w:rPr>
                <w:sz w:val="20"/>
                <w:szCs w:val="20"/>
                <w:color w:val="auto"/>
              </w:rPr>
            </w:pPr>
            <w:r>
              <w:rPr>
                <w:rFonts w:ascii="Arial" w:cs="Arial" w:eastAsia="Arial" w:hAnsi="Arial"/>
                <w:sz w:val="18"/>
                <w:szCs w:val="18"/>
                <w:color w:val="auto"/>
              </w:rPr>
              <w:t>Sale of 20,737,202 Units, net of underwriting</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18"/>
                <w:szCs w:val="18"/>
                <w:color w:val="auto"/>
              </w:rPr>
              <w:t>discounts and offering costs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20,737,202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2,074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195,463,339</w:t>
            </w:r>
          </w:p>
        </w:tc>
        <w:tc>
          <w:tcPr>
            <w:tcW w:w="100" w:type="dxa"/>
            <w:vAlign w:val="bottom"/>
          </w:tcPr>
          <w:p>
            <w:pPr>
              <w:spacing w:after="0"/>
              <w:rPr>
                <w:sz w:val="20"/>
                <w:szCs w:val="20"/>
                <w:color w:val="auto"/>
              </w:rPr>
            </w:pPr>
          </w:p>
        </w:tc>
        <w:tc>
          <w:tcPr>
            <w:tcW w:w="100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195,465,413</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Sale of 6,147,440 Private Placement Warrants</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6,147,440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6,147,440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Ordinary shares subject to possible redemption</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(19,563,518)</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(1,956)</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(195,633,224)</w:t>
            </w:r>
          </w:p>
        </w:tc>
        <w:tc>
          <w:tcPr>
            <w:tcW w:w="100" w:type="dxa"/>
            <w:vAlign w:val="bottom"/>
          </w:tcPr>
          <w:p>
            <w:pPr>
              <w:spacing w:after="0"/>
              <w:rPr>
                <w:sz w:val="18"/>
                <w:szCs w:val="18"/>
                <w:color w:val="auto"/>
              </w:rPr>
            </w:pPr>
          </w:p>
        </w:tc>
        <w:tc>
          <w:tcPr>
            <w:tcW w:w="100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(195,635,180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89"/>
              </w:rPr>
              <w:t>(1,002,669)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(1,002,669)</w:t>
            </w: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rPr>
              <w:t>Balance—December 31,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1,173,684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5,184,300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518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6,002,037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(1,002,669</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5,000,004</w:t>
            </w:r>
          </w:p>
        </w:tc>
        <w:tc>
          <w:tcPr>
            <w:tcW w:w="12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40" w:hanging="424"/>
        <w:spacing w:after="0" w:line="263"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December 31, 2020.</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95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220" w:type="dxa"/>
            <w:vAlign w:val="bottom"/>
          </w:tcPr>
          <w:p>
            <w:pPr>
              <w:jc w:val="center"/>
              <w:ind w:left="230"/>
              <w:spacing w:after="0"/>
              <w:rPr>
                <w:sz w:val="20"/>
                <w:szCs w:val="20"/>
                <w:color w:val="auto"/>
              </w:rPr>
            </w:pPr>
            <w:r>
              <w:rPr>
                <w:rFonts w:ascii="Arial" w:cs="Arial" w:eastAsia="Arial" w:hAnsi="Arial"/>
                <w:sz w:val="18"/>
                <w:szCs w:val="18"/>
                <w:b w:val="1"/>
                <w:bCs w:val="1"/>
                <w:color w:val="auto"/>
              </w:rPr>
              <w:t>VPC IMPACT ACQUISITION HOLDINGS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2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STATEMENT OF CASH FLOWS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2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FOR THE PERIOD FROM JULY 31, 2020 (INCEPTION) THROUGH DECEMBER 31, 2020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(1,002,669)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Formation costs paid by Sponsor in exchange for Founder shares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(234,959)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60" w:type="dxa"/>
            <w:vAlign w:val="bottom"/>
            <w:gridSpan w:val="2"/>
          </w:tcPr>
          <w:p>
            <w:pPr>
              <w:ind w:left="72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893,415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(341,800)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Investment of cash in Trust Account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(207,372,020)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(207,372,020)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203,224,580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Private Placements Warrants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6,147,440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Repayment of promissory note—related party</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(82,729)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(397,793)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6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208,891,498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1,177,678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Cash—Beginning</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Cash—Ending</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1,177,678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94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classification of Class A ordinary shares subject to possible redemption</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196,631,240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60" w:type="dxa"/>
            <w:vAlign w:val="bottom"/>
            <w:gridSpan w:val="2"/>
            <w:vMerge w:val="restart"/>
          </w:tcPr>
          <w:p>
            <w:pPr>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7,258,021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60" w:type="dxa"/>
            <w:vAlign w:val="bottom"/>
            <w:gridSpan w:val="2"/>
            <w:vMerge w:val="restart"/>
          </w:tcPr>
          <w:p>
            <w:pPr>
              <w:spacing w:after="0"/>
              <w:rPr>
                <w:sz w:val="20"/>
                <w:szCs w:val="20"/>
                <w:color w:val="auto"/>
              </w:rPr>
            </w:pPr>
            <w:r>
              <w:rPr>
                <w:rFonts w:ascii="Arial" w:cs="Arial" w:eastAsia="Arial" w:hAnsi="Arial"/>
                <w:sz w:val="18"/>
                <w:szCs w:val="18"/>
                <w:color w:val="auto"/>
              </w:rPr>
              <w:t>Payment of offering costs through promissory note</w:t>
            </w: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costs paid by Sponsor in exchange for issuance of Founder shares</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60" w:type="dxa"/>
            <w:vAlign w:val="bottom"/>
            <w:gridSpan w:val="2"/>
            <w:vMerge w:val="restart"/>
          </w:tcPr>
          <w:p>
            <w:pPr>
              <w:spacing w:after="0"/>
              <w:rPr>
                <w:sz w:val="20"/>
                <w:szCs w:val="20"/>
                <w:color w:val="auto"/>
              </w:rPr>
            </w:pPr>
            <w:r>
              <w:rPr>
                <w:rFonts w:ascii="Arial" w:cs="Arial" w:eastAsia="Arial" w:hAnsi="Arial"/>
                <w:sz w:val="18"/>
                <w:szCs w:val="18"/>
                <w:color w:val="auto"/>
              </w:rPr>
              <w:t>Offering costs included in accrued offering costs</w:t>
            </w: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Forfeiture of Founder Shares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46"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1—DESCRIPTION OF ORGANIZATION AND BUSINESS OPERATIONS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As of December 31, 2020, the Company had not commenced any operations. All activity for the period from July 31, 2020 (inception) through December 31, 2020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8"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3.</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4.</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29, 2020, the underwriters notified the Company of their intention to partially exercise their over-allotment option on October 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As such, on October 1, 2020, the Company consummated the sale of an additional 737,202 Units, at $10.00 per Unit, and the sale of an additional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147,440 Private Placement Warrants, at $1.00 per Private Warrant, generating total gross proceeds of $7,519,460.</w:t>
      </w:r>
    </w:p>
    <w:p>
      <w:pPr>
        <w:spacing w:after="0" w:line="21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Transaction costs charged to equity amounted to $11,906,606, consisting of $4,147,440 of underwriting fees, $7,258,021 of deferred underwriting fees and $501,145 of other offering costs. In addition, at September 25, 2020 cash of $1,205,178 was held outside of the Trust Account (as defined below) and is available for working capital purposes.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Following the closing of the Initial Public Offering on September 25, 2020 and the partial exercise of the underwriter’s over-allotment 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October 1, 2020, an amount of $207,372,020 ($10.00 per Unit) from the net proceeds of the sale of the Units in the Initial Public Offering and the sale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Private Placement Warrants was placed in a trust account (the “Trust Account”) and invested in U.S. government securities, within the meaning set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forth in Section 2(a)(16) of the Investment Company Act of 1940, as amended (the “Investment Company Act”), with a maturity of 185 days or less,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any open-ended investment company that holds itself out as a money market fund investing solely in U.S. Treasuries and meeting certain conditions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Rule 2a-7 of the Investment Company Act, as determined by the Company, until the earliest of: (i) the completion of a Business Combination and</w:t>
      </w:r>
    </w:p>
    <w:p>
      <w:pPr>
        <w:spacing w:after="0" w:line="32" w:lineRule="exact"/>
        <w:rPr>
          <w:sz w:val="20"/>
          <w:szCs w:val="20"/>
          <w:color w:val="auto"/>
        </w:rPr>
      </w:pPr>
    </w:p>
    <w:p>
      <w:pPr>
        <w:ind w:left="5540" w:right="3460" w:hanging="5424"/>
        <w:spacing w:after="0" w:line="433" w:lineRule="auto"/>
        <w:tabs>
          <w:tab w:leader="none" w:pos="3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distribution of the funds in the Trust Account to the Company’s shareholders, as described below. 65</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7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$10.00 per Public Share), including interest (which interest shall be net of taxes payable), divided by the number of then issued and outstanding public shares, subject to certain limitations as described in the prospectus. The per-share amount to be distributed to the Public Shareholders who properly redeem their shares will not be reduced by the deferred underwriting commissions the Company will pay to the underwriters (as discussed in Note 6). There will be no redemption rights upon the completion of a Business Combination with respect to the Company’s warrants.</w:t>
      </w:r>
    </w:p>
    <w:p>
      <w:pPr>
        <w:spacing w:after="0" w:line="166"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and any Public Shares purchased during or after the Initial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6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8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Sponsor has agreed (a) to waive its redemption rights with respect to any Founder Shares and Public Shares held by it in connection with the completion of a Business Combination and (b) not to propose 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amendment to the Amended and Restated Memorandum and Articles of Association (i) 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95"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Company will have until September 25, 2022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the Company to pay its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will seek to reduce the possibility that the Sponsor will have to indemnify the Trust Account due to claims of creditors by endeavoring to have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vendors, service providers (other than the Company’s independent registered public accounting firm), prospective target businesses or other entities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which the Company does business, execute agreements with the Company waiving any right, title, interest or claim of any kind in or to monies held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Trust Account.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Francis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As of December 31, 2020, the Company had approximately $1.2 million in its operating bank accounts and working capital of approximately $0.5 million.</w:t>
      </w:r>
    </w:p>
    <w:p>
      <w:pPr>
        <w:spacing w:after="0" w:line="170"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Prior to the completion of the Initial Public Offering, the Company’s liquidity needs had been satisfied through a contribution of $25,000 from Sponsor to cover for certain formation and offering costs in exchange for the issuance of the Founder Shares, the loan of up to $300,000 from the Sponsor pursuant to the Note (see Note 5), and the proceeds from the consummation of the Private Placement not held in the Trust Account. The Note was repaid on September 25, 2020. In addition, in order to finance transaction costs in connection with a Business Combination, the Sponsor or an affiliate of the Sponsor, or certain of the Company’s officers and directors may, but are not obligated to, provide the Company Working Capital Loans (see Note 5). As of December 31, 2020, there were no amounts outstanding under any Working Capital Loan.</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 and pursuant to the rules and regulations of the SEC.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Company’s portfolio of investments held in trust is comprised solely of U.S. Treasury money market funds, within the meaning set forth in Section 2(a)(16) 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investments are included in interest earned on marketable securities held in Trust Account in the accompanying statement of operations. The estimated fair values of investments held in the Trust Account are determined using available market information.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1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Accounting Standards Codification (“ASC”) Topic 480 “Distinguishing Liabilities from Equity.”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classified as shareholders’ equity. The Company’s ordinary shares feature certain redemption rights that are considered to be outside of the Company’s control and subject to occurrence of uncertain future events. Accordingly, at December 31, 2020, 19,563,518 Class A ordinary shares subject to possible redemption are presented as temporary equity, outside of the shareholders’ equity section of the Company’s balance sheet.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Offering costs consist of legal, accounting, underwriting fees and other costs incurred through the Initial Public Offering that are directly related to the Initial Public Offering. Offering costs amounting to $11,906,606 were charged to shareholders’ equity upon the completion of the Initial Public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9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 Company does not expect that the total amount of unrecognized tax benefits will materially change over the next twelve months.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Ordinary Share</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Net income (loss) per share is computed by dividing net income (loss) by the weighted average number of ordinary shares outstanding for the period. The calculation of diluted income (loss) per share does not consider the effect of the warrants issued in connection with the (i) Initial Public Offering, and (ii) Private Placement Warrants since the exercise of the warrants are contingent upon the occurrence of future events and the inclusion of such warrants would be anti-dilutive. The warrants are exercisable to purchase 16,516,041 shares of Class A ordinary shares in the aggregate.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Company’s statement of operations includes a presentation of income (loss) per share for ordinary shares subject to possible redemption in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manner similar to the two-class method of income (loss) per share. Net income per share, basic and diluted, for Class A redeemable ordinary shares 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calculated by dividing the interest income earned on the Trust Account of $4,193 for the period from July 31, 2020 (inception) through December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2020 by the weighted average number of Class A redeemable ordinary shares outstanding for the period. Net loss per share, basic and diluted, for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B non-redeemable ordinary shares is calculated by dividing the net loss, adjusted for income attributable to Class A redeemable ordinary shares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$4,193 by the weighted average number of Class B non-redeemable ordinary shares outstanding for the period. Class B non-redeemable ordinary shares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includes the Founder Shares as these shares do not have any redemption features and do not participate in the income earned on the Trust Account.</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reflects the calculation of basic and diluted net income (loss) per ordinary share (in dollars, except per share amounts):</w:t>
      </w:r>
    </w:p>
    <w:p>
      <w:pPr>
        <w:spacing w:after="0" w:line="25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For the Period</w:t>
            </w:r>
          </w:p>
        </w:tc>
      </w:tr>
      <w:tr>
        <w:trPr>
          <w:trHeight w:val="148"/>
        </w:trPr>
        <w:tc>
          <w:tcPr>
            <w:tcW w:w="6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from</w:t>
            </w:r>
          </w:p>
        </w:tc>
      </w:tr>
      <w:tr>
        <w:trPr>
          <w:trHeight w:val="148"/>
        </w:trPr>
        <w:tc>
          <w:tcPr>
            <w:tcW w:w="6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July 31, 2020</w:t>
            </w:r>
          </w:p>
        </w:tc>
      </w:tr>
      <w:tr>
        <w:trPr>
          <w:trHeight w:val="148"/>
        </w:trPr>
        <w:tc>
          <w:tcPr>
            <w:tcW w:w="6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(inception)</w:t>
            </w:r>
          </w:p>
        </w:tc>
      </w:tr>
      <w:tr>
        <w:trPr>
          <w:trHeight w:val="148"/>
        </w:trPr>
        <w:tc>
          <w:tcPr>
            <w:tcW w:w="6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Through</w:t>
            </w:r>
          </w:p>
        </w:tc>
      </w:tr>
      <w:tr>
        <w:trPr>
          <w:trHeight w:val="149"/>
        </w:trPr>
        <w:tc>
          <w:tcPr>
            <w:tcW w:w="6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64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89"/>
              </w:rPr>
              <w:t>2020</w:t>
            </w:r>
          </w:p>
        </w:tc>
        <w:tc>
          <w:tcPr>
            <w:tcW w:w="120" w:type="dxa"/>
            <w:vAlign w:val="bottom"/>
            <w:tcBorders>
              <w:bottom w:val="single" w:sz="8" w:color="CCEEFF"/>
            </w:tcBorders>
          </w:tcPr>
          <w:p>
            <w:pPr>
              <w:spacing w:after="0"/>
              <w:rPr>
                <w:sz w:val="14"/>
                <w:szCs w:val="14"/>
                <w:color w:val="auto"/>
              </w:rPr>
            </w:pPr>
          </w:p>
        </w:tc>
      </w:tr>
      <w:tr>
        <w:trPr>
          <w:trHeight w:val="183"/>
        </w:trPr>
        <w:tc>
          <w:tcPr>
            <w:tcW w:w="6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Redeemable Class A Ordinary Shares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460" w:type="dxa"/>
            <w:vAlign w:val="bottom"/>
          </w:tcPr>
          <w:p>
            <w:pPr>
              <w:ind w:left="340"/>
              <w:spacing w:after="0"/>
              <w:rPr>
                <w:sz w:val="20"/>
                <w:szCs w:val="20"/>
                <w:color w:val="auto"/>
              </w:rPr>
            </w:pPr>
            <w:r>
              <w:rPr>
                <w:rFonts w:ascii="Arial" w:cs="Arial" w:eastAsia="Arial" w:hAnsi="Arial"/>
                <w:sz w:val="17"/>
                <w:szCs w:val="17"/>
                <w:color w:val="auto"/>
              </w:rPr>
              <w:t>Numerator: Earnings allocable to Redeemable Class A Ordinary Shares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4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Interest Income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4,193</w:t>
            </w:r>
          </w:p>
        </w:tc>
      </w:tr>
      <w:tr>
        <w:trPr>
          <w:trHeight w:val="209"/>
        </w:trPr>
        <w:tc>
          <w:tcPr>
            <w:tcW w:w="6460" w:type="dxa"/>
            <w:vAlign w:val="bottom"/>
          </w:tcPr>
          <w:p>
            <w:pPr>
              <w:ind w:left="1020"/>
              <w:spacing w:after="0"/>
              <w:rPr>
                <w:sz w:val="20"/>
                <w:szCs w:val="20"/>
                <w:color w:val="auto"/>
              </w:rPr>
            </w:pPr>
            <w:r>
              <w:rPr>
                <w:rFonts w:ascii="Arial" w:cs="Arial" w:eastAsia="Arial" w:hAnsi="Arial"/>
                <w:sz w:val="17"/>
                <w:szCs w:val="17"/>
                <w:color w:val="auto"/>
              </w:rPr>
              <w:t>Redeemable Net Earnings</w:t>
            </w:r>
          </w:p>
        </w:tc>
        <w:tc>
          <w:tcPr>
            <w:tcW w:w="9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4,193</w:t>
            </w:r>
          </w:p>
        </w:tc>
        <w:tc>
          <w:tcPr>
            <w:tcW w:w="120" w:type="dxa"/>
            <w:vAlign w:val="bottom"/>
          </w:tcPr>
          <w:p>
            <w:pPr>
              <w:spacing w:after="0"/>
              <w:rPr>
                <w:sz w:val="18"/>
                <w:szCs w:val="18"/>
                <w:color w:val="auto"/>
              </w:rPr>
            </w:pPr>
          </w:p>
        </w:tc>
      </w:tr>
      <w:tr>
        <w:trPr>
          <w:trHeight w:val="203"/>
        </w:trPr>
        <w:tc>
          <w:tcPr>
            <w:tcW w:w="6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Denominator: Weighted Average Redeemable Class A Ordinary Shares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460" w:type="dxa"/>
            <w:vAlign w:val="bottom"/>
          </w:tcPr>
          <w:p>
            <w:pPr>
              <w:ind w:left="680"/>
              <w:spacing w:after="0"/>
              <w:rPr>
                <w:sz w:val="20"/>
                <w:szCs w:val="20"/>
                <w:color w:val="auto"/>
              </w:rPr>
            </w:pPr>
            <w:r>
              <w:rPr>
                <w:rFonts w:ascii="Arial" w:cs="Arial" w:eastAsia="Arial" w:hAnsi="Arial"/>
                <w:sz w:val="17"/>
                <w:szCs w:val="17"/>
                <w:color w:val="auto"/>
              </w:rPr>
              <w:t>Redeemable Class A Ordinary Shares, Basic and Diluted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20,737,202</w:t>
            </w:r>
          </w:p>
        </w:tc>
      </w:tr>
      <w:tr>
        <w:trPr>
          <w:trHeight w:val="203"/>
        </w:trPr>
        <w:tc>
          <w:tcPr>
            <w:tcW w:w="6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Earnings/Basic and Diluted Redeemable Class A Ordinary Shares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308"/>
        </w:trPr>
        <w:tc>
          <w:tcPr>
            <w:tcW w:w="6460" w:type="dxa"/>
            <w:vAlign w:val="bottom"/>
          </w:tcPr>
          <w:p>
            <w:pPr>
              <w:spacing w:after="0"/>
              <w:rPr>
                <w:sz w:val="20"/>
                <w:szCs w:val="20"/>
                <w:color w:val="auto"/>
              </w:rPr>
            </w:pPr>
            <w:r>
              <w:rPr>
                <w:rFonts w:ascii="Arial" w:cs="Arial" w:eastAsia="Arial" w:hAnsi="Arial"/>
                <w:sz w:val="17"/>
                <w:szCs w:val="17"/>
                <w:color w:val="auto"/>
              </w:rPr>
              <w:t>Non-Redeemable Class B Ordinary Shares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5"/>
        </w:trPr>
        <w:tc>
          <w:tcPr>
            <w:tcW w:w="6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Numerator: Net Income (Loss) minus Redeemable Net Earnings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460" w:type="dxa"/>
            <w:vAlign w:val="bottom"/>
          </w:tcPr>
          <w:p>
            <w:pPr>
              <w:ind w:left="680"/>
              <w:spacing w:after="0"/>
              <w:rPr>
                <w:sz w:val="20"/>
                <w:szCs w:val="20"/>
                <w:color w:val="auto"/>
              </w:rPr>
            </w:pPr>
            <w:r>
              <w:rPr>
                <w:rFonts w:ascii="Arial" w:cs="Arial" w:eastAsia="Arial" w:hAnsi="Arial"/>
                <w:sz w:val="17"/>
                <w:szCs w:val="17"/>
                <w:color w:val="auto"/>
              </w:rPr>
              <w:t>Net Income (Loss)</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(1,002,669)</w:t>
            </w:r>
          </w:p>
        </w:tc>
      </w:tr>
      <w:tr>
        <w:trPr>
          <w:trHeight w:val="203"/>
        </w:trPr>
        <w:tc>
          <w:tcPr>
            <w:tcW w:w="64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Redeemable Net Earnings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(4,193)</w:t>
            </w:r>
          </w:p>
        </w:tc>
      </w:tr>
      <w:tr>
        <w:trPr>
          <w:trHeight w:val="209"/>
        </w:trPr>
        <w:tc>
          <w:tcPr>
            <w:tcW w:w="6460" w:type="dxa"/>
            <w:vAlign w:val="bottom"/>
          </w:tcPr>
          <w:p>
            <w:pPr>
              <w:ind w:left="1020"/>
              <w:spacing w:after="0"/>
              <w:rPr>
                <w:sz w:val="20"/>
                <w:szCs w:val="20"/>
                <w:color w:val="auto"/>
              </w:rPr>
            </w:pPr>
            <w:r>
              <w:rPr>
                <w:rFonts w:ascii="Arial" w:cs="Arial" w:eastAsia="Arial" w:hAnsi="Arial"/>
                <w:sz w:val="17"/>
                <w:szCs w:val="17"/>
                <w:color w:val="auto"/>
              </w:rPr>
              <w:t>Non-Redeemable Net Loss</w:t>
            </w:r>
          </w:p>
        </w:tc>
        <w:tc>
          <w:tcPr>
            <w:tcW w:w="9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(1,006,862)</w:t>
            </w:r>
          </w:p>
        </w:tc>
        <w:tc>
          <w:tcPr>
            <w:tcW w:w="120" w:type="dxa"/>
            <w:vAlign w:val="bottom"/>
          </w:tcPr>
          <w:p>
            <w:pPr>
              <w:spacing w:after="0"/>
              <w:rPr>
                <w:sz w:val="18"/>
                <w:szCs w:val="18"/>
                <w:color w:val="auto"/>
              </w:rPr>
            </w:pPr>
          </w:p>
        </w:tc>
      </w:tr>
      <w:tr>
        <w:trPr>
          <w:trHeight w:val="203"/>
        </w:trPr>
        <w:tc>
          <w:tcPr>
            <w:tcW w:w="6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Denominator: Weighted Average Non-Redeemable Class B Ordinary Shares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460" w:type="dxa"/>
            <w:vAlign w:val="bottom"/>
          </w:tcPr>
          <w:p>
            <w:pPr>
              <w:ind w:left="680"/>
              <w:spacing w:after="0"/>
              <w:rPr>
                <w:sz w:val="20"/>
                <w:szCs w:val="20"/>
                <w:color w:val="auto"/>
              </w:rPr>
            </w:pPr>
            <w:r>
              <w:rPr>
                <w:rFonts w:ascii="Arial" w:cs="Arial" w:eastAsia="Arial" w:hAnsi="Arial"/>
                <w:sz w:val="17"/>
                <w:szCs w:val="17"/>
                <w:color w:val="auto"/>
              </w:rPr>
              <w:t>Non-Redeemable Class B Ordinary Shares, Basic and Diluted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5,184,300</w:t>
            </w:r>
          </w:p>
        </w:tc>
      </w:tr>
      <w:tr>
        <w:trPr>
          <w:trHeight w:val="203"/>
        </w:trPr>
        <w:tc>
          <w:tcPr>
            <w:tcW w:w="6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Loss/Basic and Diluted Non-Redeemable Class B Ordinary Shares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(0.19)</w:t>
            </w:r>
          </w:p>
        </w:tc>
      </w:tr>
    </w:tbl>
    <w:p>
      <w:pPr>
        <w:spacing w:after="0" w:line="20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As of December 31, 2020, basic and diluted shares are the same as there are no non-redeemable securities that are dilutive to the Company’s ordinary shareholders.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Corporation coverage limits of $250,000. The Company has not experienced losses on this account and management believes the Company is not exposed to significant risks on such account.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Company’s balance sheet, primarily due to their short-term nature.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00"/>
          </w:cols>
          <w:pgMar w:left="320" w:top="459" w:right="6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3—INITIAL PUBLIC OFFERING</w:t>
      </w:r>
    </w:p>
    <w:p>
      <w:pPr>
        <w:spacing w:after="0" w:line="121"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7).</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4—PRIVATE PLACEMENT</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Each Private Placement Warrant is exercisable to purchase one Class A ordinary share at a price of $11.50 per share, subject to adjustment (see Note 7).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 underwriters’ partial exercise of the over-allotment option and the forfeiture of the remaining over-allotment option, 565,700 Founder Shares were forfeited and 184,300 Founder Shares are no longer subject to forfeiture resulting in an aggregate of 5,184,300 Founder Shares outstanding at October 1, 2020.</w:t>
      </w:r>
    </w:p>
    <w:p>
      <w:pPr>
        <w:spacing w:after="0" w:line="192"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Note—Related Party</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On August 3, 2020, the Company issued an unsecured promissory note (the “Promissory Note”) to the Sponsor, pursuant to which the Company may borrow up to an aggregate principal amount of $300,000.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Promissory Note was non-interest bearing and payable on the earlier of (i) December 31, 2020 and (ii) the completion of the Initial Public Offering. The outstanding balance under the Promissory Note of $82,729 was repaid at the closing of the Initial Public Offering on September 25, 2020.</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 As of December 31, 2020, $30,000 were earned and remained unpaid in the accrued expenses line item on the balance sheet.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order to finance transaction costs in connection with a Business Combination, the Sponsor or an affiliate of the Sponsor, or certain of the Company’s officers and directors will loan, and have the means to provide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 Company had no outstanding borrowings under the Working Capital Loans.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Management continues to evaluate the impact of the COVID-19 global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Shareholders Rights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are entitled to registration rights requiring the Company to register a sale of any of its securities held by them.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underwriters are entitled to a deferred fee of $0.35 per Unit, or $7,258,021 in the aggregate. The deferred fee will become payable to the underwriters from the amounts held in the Trust Account solely in the event that the Company completes a Business Combination, subject to the terms of the underwriting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7—SHAREHOLDERS’ EQUITY</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b w:val="1"/>
          <w:bCs w:val="1"/>
          <w:i w:val="1"/>
          <w:iCs w:val="1"/>
          <w:color w:val="auto"/>
        </w:rPr>
        <w:t>Preference Shares</w:t>
      </w:r>
      <w:r>
        <w:rPr>
          <w:rFonts w:ascii="Arial" w:cs="Arial" w:eastAsia="Arial" w:hAnsi="Arial"/>
          <w:sz w:val="18"/>
          <w:szCs w:val="18"/>
          <w:color w:val="auto"/>
        </w:rPr>
        <w:t>—The Company is authorized to issue 1,000,000 preference shares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December 31, 2020, there were no preference shares issued or outstanding.</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b w:val="1"/>
          <w:bCs w:val="1"/>
          <w:i w:val="1"/>
          <w:iCs w:val="1"/>
          <w:color w:val="auto"/>
        </w:rPr>
        <w:t>Class A Ordinary Shares</w:t>
      </w:r>
      <w:r>
        <w:rPr>
          <w:rFonts w:ascii="Arial" w:cs="Arial" w:eastAsia="Arial" w:hAnsi="Arial"/>
          <w:sz w:val="17"/>
          <w:szCs w:val="17"/>
          <w:color w:val="auto"/>
        </w:rPr>
        <w:t>—The Company is authorized to issue 200,000,000 Class A ordinary shares,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ordinary shares are entitled to one vote for each share. At December 31, 2020, there were 1,173,684 Class A ordinary shares issued and outstanding, excluding 19,563,518 Class A ordinary shares subject to possible redemption.</w:t>
      </w:r>
    </w:p>
    <w:p>
      <w:pPr>
        <w:spacing w:after="0" w:line="165"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b w:val="1"/>
          <w:bCs w:val="1"/>
          <w:i w:val="1"/>
          <w:iCs w:val="1"/>
          <w:color w:val="auto"/>
        </w:rPr>
        <w:t>Class B Ordinary Shares</w:t>
      </w:r>
      <w:r>
        <w:rPr>
          <w:rFonts w:ascii="Arial" w:cs="Arial" w:eastAsia="Arial" w:hAnsi="Arial"/>
          <w:sz w:val="18"/>
          <w:szCs w:val="18"/>
          <w:color w:val="auto"/>
        </w:rPr>
        <w:t>—The Company is authorized to issue 20,000,000 Class B ordinary shares,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Class B ordinary shares are entitled to one vote for each share. At December 31, 2020, there were 5,184,300 Class B ordinary shares issued and outstanding.</w:t>
      </w:r>
    </w:p>
    <w:p>
      <w:pPr>
        <w:spacing w:after="0" w:line="18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7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—Public Warrants may only be exercised for a whole number of shares. No fractional shares will be issued upon exercise of the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The Public Warrants will become exercisable on the later of (a) 30 days after the completion of a Business Combination and (b) one year from the closing of the Initial Public Offering. The Public Warrants will expire five years from the completion of a Business Combination or earlier upon redemption or liquidation.</w:t>
      </w:r>
    </w:p>
    <w:p>
      <w:pPr>
        <w:spacing w:after="0" w:line="18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Company will not be obligated to deliver any Class A ordinary shares pursuant to the exercise of a warrant and will have no obligation to settle such warrant exercise unless a registration statement under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7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Redemption of warrants when the price per Class A ordinary share equals or exceeds $18.00</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warrants (except as described with respect to the Private Placement Warrants):</w:t>
      </w:r>
    </w:p>
    <w:p>
      <w:pPr>
        <w:spacing w:after="0" w:line="116"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30"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and only if, the reported closing price of the Company’s Class A ordinary shares equals or exceeds $18.00 per share (as adjusted) for any 20 trading days within a 30-trading day period ending three trading days prior to the date on which the Company sends the notice of redemption to the warrant holders.</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Redemption of warrants when the price per Class A ordinary share equals or exceeds $10.00</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warrants (except as described with respect to the Private Placement Warrants):</w:t>
      </w:r>
    </w:p>
    <w:p>
      <w:pPr>
        <w:spacing w:after="0" w:line="11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number of shares based on the redemption date and the “fair market value” of the Company’s Class A ordinary shares;</w:t>
      </w:r>
    </w:p>
    <w:p>
      <w:pPr>
        <w:spacing w:after="0" w:line="131" w:lineRule="exact"/>
        <w:rPr>
          <w:sz w:val="20"/>
          <w:szCs w:val="20"/>
          <w:color w:val="auto"/>
        </w:rPr>
      </w:pPr>
    </w:p>
    <w:p>
      <w:pPr>
        <w:ind w:left="1080" w:right="22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and only if, the last reported sale price (the “closing price”) of the Company’s Class A ordinary shares equals or exceeds $10.00 per Public Share (as adjusted) for any 20 trading days within the 30-trading day period ending three trading days before the Company sends the notice of redemption to the warrant holders; and</w:t>
      </w:r>
    </w:p>
    <w:p>
      <w:pPr>
        <w:spacing w:after="0" w:line="89" w:lineRule="exact"/>
        <w:rPr>
          <w:rFonts w:ascii="Arial" w:cs="Arial" w:eastAsia="Arial" w:hAnsi="Arial"/>
          <w:sz w:val="18"/>
          <w:szCs w:val="18"/>
          <w:color w:val="auto"/>
        </w:rPr>
      </w:pPr>
    </w:p>
    <w:p>
      <w:pPr>
        <w:jc w:val="both"/>
        <w:ind w:left="1080" w:right="200" w:hanging="424"/>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7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8—FAIR VALUE MEASUREMENTS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05" w:lineRule="exact"/>
        <w:rPr>
          <w:sz w:val="20"/>
          <w:szCs w:val="20"/>
          <w:color w:val="auto"/>
        </w:rPr>
      </w:pPr>
    </w:p>
    <w:p>
      <w:pPr>
        <w:ind w:left="1120" w:hanging="998"/>
        <w:spacing w:after="0" w:line="308" w:lineRule="auto"/>
        <w:tabs>
          <w:tab w:leader="none" w:pos="11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1120" w:right="440" w:hanging="998"/>
        <w:spacing w:after="0" w:line="277" w:lineRule="auto"/>
        <w:tabs>
          <w:tab w:leader="none" w:pos="11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At December 31, 2020, assets held in the Trust Account were comprised of $207,376,213 in money market funds which are invested primarily in U.S. Treasury Securities. During the year ended December 31, 2020, the Company did not withdraw any interest income from the Trust Account.</w:t>
      </w:r>
    </w:p>
    <w:p>
      <w:pPr>
        <w:spacing w:after="0" w:line="12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2020 and indicates the fair value hierarchy of the valuation inputs the Company utilized to determine such fair value:</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640" w:type="dxa"/>
            <w:vAlign w:val="bottom"/>
            <w:vMerge w:val="restart"/>
          </w:tcPr>
          <w:p>
            <w:pPr>
              <w:spacing w:after="0"/>
              <w:rPr>
                <w:sz w:val="14"/>
                <w:szCs w:val="14"/>
                <w:color w:val="auto"/>
              </w:rPr>
            </w:pPr>
          </w:p>
        </w:tc>
        <w:tc>
          <w:tcPr>
            <w:tcW w:w="9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9"/>
              </w:rPr>
              <w:t>Level</w:t>
            </w: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564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0" w:type="dxa"/>
            <w:vAlign w:val="bottom"/>
          </w:tcPr>
          <w:p>
            <w:pPr>
              <w:jc w:val="right"/>
              <w:ind w:right="282"/>
              <w:spacing w:after="0" w:line="158"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360" w:type="dxa"/>
            <w:vAlign w:val="bottom"/>
            <w:gridSpan w:val="2"/>
          </w:tcPr>
          <w:p>
            <w:pPr>
              <w:spacing w:after="0" w:line="201" w:lineRule="exact"/>
              <w:rPr>
                <w:sz w:val="20"/>
                <w:szCs w:val="20"/>
                <w:color w:val="auto"/>
              </w:rPr>
            </w:pPr>
            <w:r>
              <w:rPr>
                <w:rFonts w:ascii="Arial" w:cs="Arial" w:eastAsia="Arial" w:hAnsi="Arial"/>
                <w:sz w:val="18"/>
                <w:szCs w:val="18"/>
                <w:color w:val="auto"/>
              </w:rPr>
              <w:t>Investments held in Trust Account—U.S. Treasury Securities Money Market</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Fund</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$207,376,213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Transfers to and from Levels 1, 2 and 3 are recognized at the end of the reporting period. There were no transfers between levels for the period from July 31, 2020 (inception) through December 31,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9—SUBSEQUENT EVENTS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 with the exception of the following matters: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January 11, 2021, the Company entered into an Agreement and Plan of Merger (the “Merger Agreement”), with Pylon Merger Company LLC, a Delaware limited liability company and a direct wholly-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owned subsidiary of the Company (“Merger Sub”), and Bakkt Holdings, LLC, a Delaware limited liability company (“Bakkt”), a transformative digital asset marketplace launched in 2018 by Intercontinental Exchange, Inc. (“ICE”) and a group of investors and strategic partners.</w:t>
      </w:r>
    </w:p>
    <w:p>
      <w:pPr>
        <w:spacing w:after="0" w:line="14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Merger Agreement provides that, among other things and upon the terms and subject to the conditions thereof, the following transactions will occur (together with the other agreements and transactions contemplated by the Merger Agreement, the “Proposed Transaction”): (i) at the closing of the transactions contemplated by the Merger Agreement, Merger Sub will merge (the “Merger”) with and into Bakkt, the separate corporate existence of Merger Sub will cease and Bakkt will be the surviving limited liability company, to be renamed Bakkt Opco Holdings, LLC (“Bakkt Opco”); (ii) immediately prior to the closing of the PIPE Investment and the effective time of the Merger, the Company will be renamed “Bakkt Holdings, Inc.” (referred to hereinafter as “Bakkt Pubco”); and (iii) 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On January 11, 2021, concurrently with the execution of the Merger Agreement, the Company entered into subscription agreements (the “Subscription Agreements”) with certain investors (collectively, the “PIPE Investors” which include certain existing equityholders of the Company and Bakkt), pursuant to, and on the terms and subject to the conditions of which, the PIPE Investors have collectively subscribed for 32,500,000 Bakkt Pubco Class A Shares for an aggregate purchase price equal to $325,000,000 (the “PIPE Investment”). The PIPE Investment will be consummated immediately prior to the closing of the Merger Agreement.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principal executive officer and principal financial and accounting officer (our “Certifying Officers”), the effectiveness of our disclosure controls and procedures as of December 31, 2020, pursuant to Rule 13a-15(b) under the Exchange Act. Based upon that evaluation, our Certifying Officers concluded that, as of December 31, 2020, our disclosure controls and procedures were effective.</w:t>
      </w:r>
    </w:p>
    <w:p>
      <w:pPr>
        <w:spacing w:after="0" w:line="16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We do not expect that our disclosure controls and procedures will prevent all errors and all instances of fraud. Disclosure controls and procedures, no matter how well conceived and operated, can provide only reasonable,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121"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This Annual Report on Form 10-K does not include a report of management’s assessment regarding internal control over financial reporting or an attestation report of our registered public accounting firm due to a transition period established by rules of the SEC for newly public companies.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officers and directors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34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AGE</w:t>
            </w:r>
          </w:p>
        </w:tc>
        <w:tc>
          <w:tcPr>
            <w:tcW w:w="6780" w:type="dxa"/>
            <w:vAlign w:val="bottom"/>
            <w:gridSpan w:val="3"/>
          </w:tcPr>
          <w:p>
            <w:pPr>
              <w:ind w:left="31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r>
      <w:tr>
        <w:trPr>
          <w:trHeight w:val="203"/>
        </w:trPr>
        <w:tc>
          <w:tcPr>
            <w:tcW w:w="3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John Martin</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7"/>
                <w:szCs w:val="17"/>
                <w:color w:val="auto"/>
              </w:rPr>
            </w:pPr>
          </w:p>
        </w:tc>
        <w:tc>
          <w:tcPr>
            <w:tcW w:w="6780" w:type="dxa"/>
            <w:vAlign w:val="bottom"/>
            <w:gridSpan w:val="3"/>
            <w:shd w:val="clear" w:color="auto" w:fill="CCEEFF"/>
          </w:tcPr>
          <w:p>
            <w:pPr>
              <w:ind w:left="140"/>
              <w:spacing w:after="0" w:line="203" w:lineRule="exact"/>
              <w:rPr>
                <w:sz w:val="20"/>
                <w:szCs w:val="20"/>
                <w:color w:val="auto"/>
              </w:rPr>
            </w:pPr>
            <w:r>
              <w:rPr>
                <w:rFonts w:ascii="Arial" w:cs="Arial" w:eastAsia="Arial" w:hAnsi="Arial"/>
                <w:sz w:val="18"/>
                <w:szCs w:val="18"/>
                <w:color w:val="auto"/>
              </w:rPr>
              <w:t>Chairman and Chief Executive Officer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Gordon Watson</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President, Chief Operating Officer and Director</w:t>
            </w: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Olibia Stamatoglou</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6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Chief Financial Officer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Adrienne Harris</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Kai Schmitz</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6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Kurt Summers</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b w:val="1"/>
          <w:bCs w:val="1"/>
          <w:i w:val="1"/>
          <w:iCs w:val="1"/>
          <w:color w:val="auto"/>
        </w:rPr>
        <w:t>John Martin</w:t>
      </w:r>
      <w:r>
        <w:rPr>
          <w:rFonts w:ascii="Arial" w:cs="Arial" w:eastAsia="Arial" w:hAnsi="Arial"/>
          <w:sz w:val="16"/>
          <w:szCs w:val="16"/>
          <w:color w:val="auto"/>
        </w:rPr>
        <w:t>, our Chairman and Chief Executive Officer, maintains over thirty years of investment experience and is a Senior Partner at VPC.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Martin served as managing partner and co-CEO of Antares Capital, LP, a private debt credit manager, until May 2019. He was a founding partner of the original Antares Capital in 1996, a startup business that provided acquisition financing capital to the portfolio companies of private equity firms across North America. Over the course of nine years, Antares grew to become one of the largest providers of acquisition capital to private equity sponsors in the middle market. Following the firm’s acquisition by GE Capital in 2005, Martin became President and CEO of the newly branded GE Antares Capital and helped to direct the strategic vision of the business. In addition, he presided over numerous acquisitions and divestitures, including the sale of the firm to The Canada Pension Plan Investment Board (“CPPIB”) for $12 billion in August 2015. Subsequently, Antares went on to raise more than</w:t>
      </w:r>
    </w:p>
    <w:p>
      <w:pPr>
        <w:spacing w:after="0" w:line="2" w:lineRule="exact"/>
        <w:rPr>
          <w:sz w:val="20"/>
          <w:szCs w:val="20"/>
          <w:color w:val="auto"/>
        </w:rPr>
      </w:pPr>
    </w:p>
    <w:p>
      <w:pPr>
        <w:ind w:left="120" w:right="120"/>
        <w:spacing w:after="0" w:line="277" w:lineRule="auto"/>
        <w:rPr>
          <w:sz w:val="20"/>
          <w:szCs w:val="20"/>
          <w:color w:val="auto"/>
        </w:rPr>
      </w:pPr>
      <w:r>
        <w:rPr>
          <w:rFonts w:ascii="Arial" w:cs="Arial" w:eastAsia="Arial" w:hAnsi="Arial"/>
          <w:sz w:val="17"/>
          <w:szCs w:val="17"/>
          <w:color w:val="auto"/>
        </w:rPr>
        <w:t>$6.5 billion in the CLO market from a global investor base comprised of banks, pension funds, insurance companies and asset managers. Following the acquisition by CPPIB, Martin sat on the Antares Investment Committee throughout his tenure at the company and was a member of the board of directors. At the time of his retirement, the firm’s assets under management totaled more than $24 billion.</w:t>
      </w:r>
    </w:p>
    <w:p>
      <w:pPr>
        <w:spacing w:after="0" w:line="173"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b w:val="1"/>
          <w:bCs w:val="1"/>
          <w:i w:val="1"/>
          <w:iCs w:val="1"/>
          <w:color w:val="auto"/>
        </w:rPr>
        <w:t>Gordon Watson</w:t>
      </w:r>
      <w:r>
        <w:rPr>
          <w:rFonts w:ascii="Arial" w:cs="Arial" w:eastAsia="Arial" w:hAnsi="Arial"/>
          <w:sz w:val="17"/>
          <w:szCs w:val="17"/>
          <w:color w:val="auto"/>
        </w:rPr>
        <w:t>, our President and Chief Operating Officer, joined VPC in 2014 and is currently a Partner. Gordon is a member of VPC’s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committee and helps lead our Fintech investing team. Gordon is the Investment Manager for VPC Specialty Lending Investments PLC (LSE: VSL), a VPC managed UK publicly listed investment trust focused on opportunities in the Fintech market. Previously, Gordon was a portfolio manager focused on distressed debt at GLG Partners, a London-based 31 billion multi-strategy hedge fund that concentrates on a diverse range of alternative investments. He joined GLG when it purchased Ore Hill Partners, a credit focused hedge fund where Gordon was a partner.</w:t>
      </w:r>
    </w:p>
    <w:p>
      <w:pPr>
        <w:spacing w:after="0" w:line="176"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b w:val="1"/>
          <w:bCs w:val="1"/>
          <w:i w:val="1"/>
          <w:iCs w:val="1"/>
          <w:color w:val="auto"/>
        </w:rPr>
        <w:t>Olibia Stamatoglou</w:t>
      </w:r>
      <w:r>
        <w:rPr>
          <w:rFonts w:ascii="Arial" w:cs="Arial" w:eastAsia="Arial" w:hAnsi="Arial"/>
          <w:sz w:val="17"/>
          <w:szCs w:val="17"/>
          <w:color w:val="auto"/>
        </w:rPr>
        <w:t>, our Chief Financial Officer, is the Chief Financial Officer and Chief Compliance Officer of VPC. Previously, Olibia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vice president of finance at Valor Equity Partners where she managed firm and fund finance activities. Prior to Valor, she served as chief operating officer and chief financial officer of First National Assets, a specialty finance private equity group specializing in tax lien purchases and real estate owned ventures. She joined First National Assets from Aurora Investment Management where she progressed through several accounting roles. Mrs. Stamatoglou was recognized as one of Crain’s Notable Women in Finance for 2019.</w:t>
      </w:r>
    </w:p>
    <w:p>
      <w:pPr>
        <w:spacing w:after="0" w:line="17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b w:val="1"/>
          <w:bCs w:val="1"/>
          <w:i w:val="1"/>
          <w:iCs w:val="1"/>
          <w:color w:val="auto"/>
        </w:rPr>
        <w:t>Adrienne Harris</w:t>
      </w:r>
      <w:r>
        <w:rPr>
          <w:rFonts w:ascii="Arial" w:cs="Arial" w:eastAsia="Arial" w:hAnsi="Arial"/>
          <w:sz w:val="17"/>
          <w:szCs w:val="17"/>
          <w:color w:val="auto"/>
        </w:rPr>
        <w:t>, a director, is currently a Professor of the Practice and a Gates Foundation Senior Research Fellow with the Center for Finance,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Law and Policy at the University of Michigan. Ms. Harris advises fintech companies, incumbent financial institutions and large venture capital firms, and currently serves on the Board of Directors of Financial Health Network, Beneficial State Bank, and Homie, Inc. From 2017 to 2019, Ms. Harris served as Chief Business Officer and General Counsel at States Title, Inc., where she currently serves as Advisor. From 2015 to 2017, Ms. Harris served as Special Assistant to the President for Economic Policy at the National</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Economic Council, where she spearheaded the development of the administration’s fintech strategy, chairing both the Interagency Fintech Working Group and the Administration’s Distributed Ledger Technology Task Force. From 2013 to 2015, Ms. Harris served as Senior Advisor to the Deputy Secretary at the U.S. Department of the Treasury. From 2008 to 2013, Ms. Harris was an Associate at Sullivan &amp; Cromwell LLP. Ms. Harris received an M.B.A. from NYU Stern School of Business, a J.D. from Columbia University Law School, where she was a member of the Columbia Law Review, and a B.A. from Georgetown University, where she was a John Carrol Scholar and graduated with honors.</w:t>
      </w:r>
    </w:p>
    <w:p>
      <w:pPr>
        <w:spacing w:after="0" w:line="176"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6"/>
          <w:szCs w:val="16"/>
          <w:b w:val="1"/>
          <w:bCs w:val="1"/>
          <w:i w:val="1"/>
          <w:iCs w:val="1"/>
          <w:color w:val="auto"/>
        </w:rPr>
        <w:t>Kai Schmitz</w:t>
      </w:r>
      <w:r>
        <w:rPr>
          <w:rFonts w:ascii="Arial" w:cs="Arial" w:eastAsia="Arial" w:hAnsi="Arial"/>
          <w:sz w:val="16"/>
          <w:szCs w:val="16"/>
          <w:color w:val="auto"/>
        </w:rPr>
        <w:t>, a director is currently a Partner at Amadeus Capital, where he focuses on growth stage investments in Emerging Markets,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secondaries and Fintech investments. Mr. Schmitz currently serves on the Board of Directors of Koin (online point of sale financing), Minka (financial services cloud), Movii (digital bank), and RS2 (SaaS payment platform). From 2012 to 2019, Mr. Schmitz was Investment Lead Fintech and Regional Head Latin America at IFC, the World Bank’s private sector investment bank, where he was instrumental in building the Fintech portfolio to</w:t>
      </w:r>
    </w:p>
    <w:p>
      <w:pPr>
        <w:spacing w:after="0" w:line="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$600 million. From 2010 to 2012, Mr. Schmitz was a Senior Advisor at the World Bank’s Payment Systems Development Group, where he advised Central Banks and other government agencies on payment market infrastructure and regulation. Previously, Mr. Schmitz co-founded two companies, a remittance company in London and a financial services business with operations in the U.S. and Latin America. Mr. Schmitz has also worked at law firms in Hamburg and London. Mr. Schmitz received a J.D. equivalent from University of Hamburg and an MBA from Henley Management College in the UK.</w:t>
      </w:r>
    </w:p>
    <w:p>
      <w:pPr>
        <w:spacing w:after="0" w:line="191"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b w:val="1"/>
          <w:bCs w:val="1"/>
          <w:i w:val="1"/>
          <w:iCs w:val="1"/>
          <w:color w:val="auto"/>
        </w:rPr>
        <w:t>Kurt Summers</w:t>
      </w:r>
      <w:r>
        <w:rPr>
          <w:rFonts w:ascii="Arial" w:cs="Arial" w:eastAsia="Arial" w:hAnsi="Arial"/>
          <w:sz w:val="16"/>
          <w:szCs w:val="16"/>
          <w:color w:val="auto"/>
        </w:rPr>
        <w:t>, a director, has twenty years of experience in both private and public sector finance. Mr. Summers is currently a Senior Advisor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both Blackstone and Ullico, where he provides insight and strategic direction around various investment opportunities and existing holdings. From 2014 to 2019, Mr. Summers served as Treasurer of the City of Chicago, where he managed the city’s more than $8 billion investment portfolio and served as a trustee or fiduciary of five local pension boards with nearly $25 billion under management. As Treasurer of Chicago, Mr. Summers and his team more than tripled the returns on the city’s portfolio, which now generates more than $100 million of incremental revenue to Chicago’s taxpayers, bondholders and other stakeholders each year. From 2012 to 2014, Mr. Summers served as Senior Vice President at Grosvenor Capital Management where he helped lead the firm’s strategy and business development efforts and served as a member of the Office of the Chairman. From 2010 to 2012, Mr. Summers served as Chief of Staff to the Cook County Board President where he was the architect of a turnaround of the second largest county in the country. From 2009 to 2010, Mr. Summers served as Managing Director at Ryan Specialty Group, an international specialty insurance organization.</w:t>
      </w:r>
    </w:p>
    <w:p>
      <w:pPr>
        <w:spacing w:after="0" w:line="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Mr. Summers began his career at McKinsey &amp; Company, a preeminent global strategy-consulting firm, and also worked as an investment banker at Goldman Sachs. Mr. Summers received a BSBA in Finance and International Business with high honors from Washington University and an MBA from Harvard Business School.</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Our board of directors consists of five members and is divided into three classes with only one class of directors being appointed in each year, and with each class (except for those directors appointed prior to our first annual general meeting) serving a three-year term. In accordance with Nasdaq corporate governance requirements, we are not required to hold an annual general meeting until one year after our first fiscal year end following our listing on Nasdaq. The term of office of the first class of directors, consisting of Kai Schmitz, will expire at our first annual general meeting. The term of office of the second class of directors, consisting of Adrienne Harris and Kurt Summers, will expire at the second annual general meeting. The term of office of the third class of directors, consisting of John Martin and Gordon Watson, will expire at the third annual general meeting.</w:t>
      </w:r>
    </w:p>
    <w:p>
      <w:pPr>
        <w:spacing w:after="0" w:line="164"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memorandum and articles of association.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rules of Nasdaq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have three “independent directors” as defined in the Nasdaq rules and applicable SEC rules. Our board of directors has determined that Adrienne Harris, Kai Schmitz and Kurt Summers are “independent directors” as defined in the Nasdaq listing standards and applicable SEC rules. Our independent directors have regularly scheduled meetings at which only independent directors are present.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board of directors has three standing committees: an audit committee, a compensation committee and a nominating and corporate governance committee. Both our audit committee and our compensation committee are composed solely of independent directors. Subject to phase-in rules, the rules of Nasdaq and Rule 10A-3 of the Exchange Act require that the audit committee of a listed company be comprised solely of independent directors, and the rules of Nasdaq require that the compensation committee and the nominating and corporate governance committee of a listed company be comprised solely of independent directors. Each committee operates under a charter approved by our board and has the composition and responsibilities described below. The charter of each committee is available on our website following.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340"/>
        <w:spacing w:after="0" w:line="279" w:lineRule="auto"/>
        <w:rPr>
          <w:sz w:val="20"/>
          <w:szCs w:val="20"/>
          <w:color w:val="auto"/>
        </w:rPr>
      </w:pPr>
      <w:r>
        <w:rPr>
          <w:rFonts w:ascii="Arial" w:cs="Arial" w:eastAsia="Arial" w:hAnsi="Arial"/>
          <w:sz w:val="17"/>
          <w:szCs w:val="17"/>
          <w:color w:val="auto"/>
        </w:rPr>
        <w:t>We established an audit committee of the board of directors. Adrienne Harris, Kai Schmitz and Kurt Summers serve as the members of the audit committee, and Kai Schmitz will chair the audit committee. Under the Nasdaq listing standards and applicable SEC rules, we are required to have at least three members of the audit committee, all of whom must be independent. Each of Adrienne Harris, Kai Schmitz and Kurt Summers meet the independent director standard under Nasdaq listing standards and under Rule 10-A-3(b)(1) of the Exchange Act.</w:t>
      </w:r>
    </w:p>
    <w:p>
      <w:pPr>
        <w:spacing w:after="0" w:line="171" w:lineRule="exact"/>
        <w:rPr>
          <w:sz w:val="20"/>
          <w:szCs w:val="20"/>
          <w:color w:val="auto"/>
        </w:rPr>
      </w:pPr>
    </w:p>
    <w:p>
      <w:pPr>
        <w:ind w:left="120" w:right="800"/>
        <w:spacing w:after="0" w:line="308" w:lineRule="auto"/>
        <w:rPr>
          <w:sz w:val="20"/>
          <w:szCs w:val="20"/>
          <w:color w:val="auto"/>
        </w:rPr>
      </w:pPr>
      <w:r>
        <w:rPr>
          <w:rFonts w:ascii="Arial" w:cs="Arial" w:eastAsia="Arial" w:hAnsi="Arial"/>
          <w:sz w:val="17"/>
          <w:szCs w:val="17"/>
          <w:color w:val="auto"/>
        </w:rPr>
        <w:t>Each member of the audit committee is financially literate and our board of directors has determined that Kurt Summers qualifies as an “audit committee financial expert” as defined in applicable SEC rules and has accounting or related financial management expertise.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adopted an audit committee charter, which details the principal functions of the audit committee, including:</w:t>
      </w:r>
    </w:p>
    <w:p>
      <w:pPr>
        <w:spacing w:after="0" w:line="131" w:lineRule="exact"/>
        <w:rPr>
          <w:sz w:val="20"/>
          <w:szCs w:val="20"/>
          <w:color w:val="auto"/>
        </w:rPr>
      </w:pPr>
    </w:p>
    <w:p>
      <w:pPr>
        <w:ind w:left="1080" w:right="40" w:hanging="424"/>
        <w:spacing w:after="0" w:line="301"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registered public accounting firm and any other independent registered public accounting firm engaged by us;</w:t>
      </w:r>
    </w:p>
    <w:p>
      <w:pPr>
        <w:spacing w:after="0" w:line="62" w:lineRule="exact"/>
        <w:rPr>
          <w:rFonts w:ascii="Arial" w:cs="Arial" w:eastAsia="Arial" w:hAnsi="Arial"/>
          <w:sz w:val="16"/>
          <w:szCs w:val="16"/>
          <w:color w:val="auto"/>
        </w:rPr>
      </w:pPr>
    </w:p>
    <w:p>
      <w:pPr>
        <w:ind w:left="1080" w:right="120" w:hanging="424"/>
        <w:spacing w:after="0" w:line="311"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pre-approving all audit and non-audit services to be provided by the independent registered public accounting firm or any other registered public accounting firm engaged by us, and establishing pre-approval policies and procedures; reviewing and discussing with the independent registered public accounting firm all relationships the firm has with us in order to evaluate their continued independence;</w:t>
      </w:r>
    </w:p>
    <w:p>
      <w:pPr>
        <w:spacing w:after="0" w:line="54" w:lineRule="exact"/>
        <w:rPr>
          <w:rFonts w:ascii="Arial" w:cs="Arial" w:eastAsia="Arial" w:hAnsi="Arial"/>
          <w:sz w:val="16"/>
          <w:szCs w:val="16"/>
          <w:color w:val="auto"/>
        </w:rPr>
      </w:pPr>
    </w:p>
    <w:p>
      <w:pPr>
        <w:ind w:left="1080" w:right="40" w:hanging="424"/>
        <w:spacing w:after="0" w:line="275"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setting clear policies for audit partner rotation in compliance with applicable laws and regulations; obtaining and reviewing a report, at least annually, from the independent registered public accounting firm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92" w:lineRule="exact"/>
        <w:rPr>
          <w:rFonts w:ascii="Arial" w:cs="Arial" w:eastAsia="Arial" w:hAnsi="Arial"/>
          <w:sz w:val="18"/>
          <w:szCs w:val="18"/>
          <w:color w:val="auto"/>
        </w:rPr>
      </w:pPr>
    </w:p>
    <w:p>
      <w:pPr>
        <w:ind w:left="1080" w:right="120" w:hanging="424"/>
        <w:spacing w:after="0" w:line="301"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established a compensation committee of the board of directors. Adrienne Harris and Kurt Summers serve as the members of the compensation committee, and Kurt Summers will chair the compensation committee. Under the Nasdaq listing standards and applicable SEC rules, we are required to have at least two members of the compensation committee, all of whom must be independent. All members of our compensation committee are independent of and unaffiliated with our sponsor and our underwriters.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adopted a compensation committee charter, which will detail the principal functions of the compensation committee, including:</w:t>
      </w:r>
    </w:p>
    <w:p>
      <w:pPr>
        <w:spacing w:after="0" w:line="131" w:lineRule="exact"/>
        <w:rPr>
          <w:sz w:val="20"/>
          <w:szCs w:val="20"/>
          <w:color w:val="auto"/>
        </w:rPr>
      </w:pPr>
    </w:p>
    <w:p>
      <w:pPr>
        <w:ind w:left="1080" w:right="6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 compensation and equity based plans that are subject to board approval of all of our other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Notwithstanding the foregoing, as indicated above, other than the payment of customary fees we may elect to make to members of our board of directors for director service and payment to an affiliate of our sponsor of $10,000 per month, for up to 24 months, for office space, utilities and secretarial and administrative support and reimbursement of expenses, no compensation of any kind, including finders, consulting or other similar fees, will be paid to any of our existing shareholders,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95"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independent legal counsel or other adviser and will be directly responsible for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established a nominating and corporate governance committee of the board of directors. The initial members of our nominating and corporate governance are Adrienne Harris, Kai Schmitz and Kurt Summers. Adrienne Harris serves as chair of the nominating and corporate governance committee. Under the Nasdaq listing standards and applicable SEC rules, each member of the nominating and corporate governance committee must be independent. All members of our nominating and corporate governance committee are independent of and unaffiliated with our sponsor and our underwriters.</w:t>
      </w:r>
    </w:p>
    <w:p>
      <w:pPr>
        <w:spacing w:after="0" w:line="18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adopted a nominating and corporate governance committee charter, which details the purpose and responsibilities of the nominating and corporate governance committee, including:</w:t>
      </w:r>
    </w:p>
    <w:p>
      <w:pPr>
        <w:spacing w:after="0" w:line="76" w:lineRule="exact"/>
        <w:rPr>
          <w:sz w:val="20"/>
          <w:szCs w:val="20"/>
          <w:color w:val="auto"/>
        </w:rPr>
      </w:pPr>
    </w:p>
    <w:p>
      <w:pPr>
        <w:ind w:left="1080" w:right="28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identifying, screening and reviewing individuals qualified to serve as directors, consistent with criteria approved by the board, and recommending to the board of directors candidates for nomination for election at the annual general meeting or to fill vacancies on the board of directors;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and overseeing implementation of our corporate governance guidelines;</w:t>
      </w:r>
    </w:p>
    <w:p>
      <w:pPr>
        <w:spacing w:after="0" w:line="142"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25"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The charter also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8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will not have the right to recommend director candidates for nomination to our board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None of our officers currently serves, or in the past year has served, as a member of the compensation committee of any entity that has one or more officers serving on our board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We adopted a Code of Business Conduct and Ethics applicable to our directors, officers and employees. We will file a copy of our Code of Business Conduct and Ethics as an exhibit to the registration statement of which this prospectus is a part. You will be able to review this document by accessing our public filings at the SEC’s web site at </w:t>
      </w:r>
      <w:r>
        <w:rPr>
          <w:rFonts w:ascii="Arial" w:cs="Arial" w:eastAsia="Arial" w:hAnsi="Arial"/>
          <w:sz w:val="18"/>
          <w:szCs w:val="18"/>
          <w:i w:val="1"/>
          <w:iCs w:val="1"/>
          <w:color w:val="auto"/>
        </w:rPr>
        <w:t>www.sec.gov</w:t>
      </w:r>
      <w:r>
        <w:rPr>
          <w:rFonts w:ascii="Arial" w:cs="Arial" w:eastAsia="Arial" w:hAnsi="Arial"/>
          <w:sz w:val="18"/>
          <w:szCs w:val="18"/>
          <w:color w:val="auto"/>
        </w:rPr>
        <w:t>. In addition, a copy of the Code of Business Conduct and Ethics and the charters of the committees of our board of directors will be provided without charge upon request from us. See the section of this report entitled “Where You Can Find Additional Information.” If we make any amendments to our Code of Business Conduct and Ethics other than technical, administrative or other non-substantive amendments, or grant</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40"/>
          </w:cols>
          <w:pgMar w:left="320" w:top="459" w:right="5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on our website. The information included on our website is not incorporated by reference into this report or in any other report or document we file with the SEC, and any references to our website are intended to be inactive textual references only.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131"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directors should not improperly fetter the exercise of future discretion;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duty to exercise powers fairly as between different sections of shareholders;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duty not to put themselves in a position in which there is a conflict between their duty to the company and their personal interests; and</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225"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65"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there is full disclosure by the directors. This can be done by way of permission granted in the memorandum and articles of association or alternatively by shareholder approval at general meetings.</w:t>
      </w:r>
    </w:p>
    <w:p>
      <w:pPr>
        <w:spacing w:after="0" w:line="171"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at least one 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entity,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w:t>
      </w:r>
    </w:p>
    <w:p>
      <w:pPr>
        <w:spacing w:after="0" w:line="18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Our officers and directors are not required to, and will not, commit their full time to our affairs, which may result in a conflict of interest in allocating their time between our operations and our search for an initial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In particular, certain of our officers and directors are employed by Victory Park Capital which make investments in securities or other interests of or relating to companies in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industries we may target for our initial business combination. Our directors and officers may also serve as officers or board members for other entities. Specifically, certain of our officers and directors are actively engaged in VPC II and VPC III, both which are special purpose acquisition companies that each completed their initial public offering on March 9, 2021, and will continue to serve as officers and directors of VPC II and VPC III until their initial business combinations are completed. VPC II and VPC III, like us, may pursue initial business combination targets in any business or industry and is expected to have a similar window as us in which it may complete its initial business combination. Any such companies, businesses or investments, including VPC II and VPC III, may present additional conflicts of interest in pursuing an initial business combination. However, we do not believe that any such potential conflicts would materially affect our ability to complete our initial business combination.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a table summarizing the entities to which our officers and directors currently have fiduciary duties or contractual obligations: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4100" w:type="dxa"/>
            <w:vAlign w:val="bottom"/>
            <w:gridSpan w:val="3"/>
          </w:tcPr>
          <w:p>
            <w:pPr>
              <w:ind w:left="440"/>
              <w:spacing w:after="0"/>
              <w:rPr>
                <w:sz w:val="20"/>
                <w:szCs w:val="20"/>
                <w:color w:val="auto"/>
              </w:rPr>
            </w:pPr>
            <w:r>
              <w:rPr>
                <w:rFonts w:ascii="Arial" w:cs="Arial" w:eastAsia="Arial" w:hAnsi="Arial"/>
                <w:sz w:val="14"/>
                <w:szCs w:val="14"/>
                <w:b w:val="1"/>
                <w:bCs w:val="1"/>
                <w:color w:val="auto"/>
              </w:rPr>
              <w:t>ENTITY</w:t>
            </w:r>
          </w:p>
        </w:tc>
        <w:tc>
          <w:tcPr>
            <w:tcW w:w="2860" w:type="dxa"/>
            <w:vAlign w:val="bottom"/>
          </w:tcPr>
          <w:p>
            <w:pPr>
              <w:spacing w:after="0"/>
              <w:rPr>
                <w:sz w:val="20"/>
                <w:szCs w:val="20"/>
                <w:color w:val="auto"/>
              </w:rPr>
            </w:pPr>
            <w:r>
              <w:rPr>
                <w:rFonts w:ascii="Arial" w:cs="Arial" w:eastAsia="Arial" w:hAnsi="Arial"/>
                <w:sz w:val="14"/>
                <w:szCs w:val="14"/>
                <w:b w:val="1"/>
                <w:bCs w:val="1"/>
                <w:color w:val="auto"/>
              </w:rPr>
              <w:t>ENTITY’S BUSINESS</w:t>
            </w:r>
          </w:p>
        </w:tc>
        <w:tc>
          <w:tcPr>
            <w:tcW w:w="2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AFFILIATION</w:t>
            </w:r>
          </w:p>
        </w:tc>
      </w:tr>
      <w:tr>
        <w:trPr>
          <w:trHeight w:val="189"/>
        </w:trPr>
        <w:tc>
          <w:tcPr>
            <w:tcW w:w="8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1"/>
              </w:rPr>
              <w:t>John Martin</w:t>
            </w: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Automotive Keys Investor LLC</w:t>
            </w:r>
          </w:p>
        </w:tc>
        <w:tc>
          <w:tcPr>
            <w:tcW w:w="100" w:type="dxa"/>
            <w:vAlign w:val="bottom"/>
          </w:tcPr>
          <w:p>
            <w:pPr>
              <w:spacing w:after="0"/>
              <w:rPr>
                <w:sz w:val="16"/>
                <w:szCs w:val="16"/>
                <w:color w:val="auto"/>
              </w:rPr>
            </w:pPr>
          </w:p>
        </w:tc>
        <w:tc>
          <w:tcPr>
            <w:tcW w:w="28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Consumer Products</w:t>
            </w:r>
          </w:p>
        </w:tc>
        <w:tc>
          <w:tcPr>
            <w:tcW w:w="100" w:type="dxa"/>
            <w:vAlign w:val="bottom"/>
          </w:tcPr>
          <w:p>
            <w:pPr>
              <w:spacing w:after="0"/>
              <w:rPr>
                <w:sz w:val="16"/>
                <w:szCs w:val="16"/>
                <w:color w:val="auto"/>
              </w:rPr>
            </w:pPr>
          </w:p>
        </w:tc>
        <w:tc>
          <w:tcPr>
            <w:tcW w:w="21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Director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Victory Park Capital Advisors</w:t>
            </w:r>
          </w:p>
        </w:tc>
        <w:tc>
          <w:tcPr>
            <w:tcW w:w="2860" w:type="dxa"/>
            <w:vAlign w:val="bottom"/>
          </w:tcPr>
          <w:p>
            <w:pPr>
              <w:spacing w:after="0"/>
              <w:rPr>
                <w:sz w:val="20"/>
                <w:szCs w:val="20"/>
                <w:color w:val="auto"/>
              </w:rPr>
            </w:pPr>
            <w:r>
              <w:rPr>
                <w:rFonts w:ascii="Arial" w:cs="Arial" w:eastAsia="Arial" w:hAnsi="Arial"/>
                <w:sz w:val="18"/>
                <w:szCs w:val="18"/>
                <w:color w:val="auto"/>
              </w:rPr>
              <w:t>Investment Advisor</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Advisor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VPC Impact Acquisition Holdings II</w:t>
            </w:r>
          </w:p>
        </w:tc>
        <w:tc>
          <w:tcPr>
            <w:tcW w:w="2860" w:type="dxa"/>
            <w:vAlign w:val="bottom"/>
          </w:tcPr>
          <w:p>
            <w:pPr>
              <w:spacing w:after="0"/>
              <w:rPr>
                <w:sz w:val="20"/>
                <w:szCs w:val="20"/>
                <w:color w:val="auto"/>
              </w:rPr>
            </w:pPr>
            <w:r>
              <w:rPr>
                <w:rFonts w:ascii="Arial" w:cs="Arial" w:eastAsia="Arial" w:hAnsi="Arial"/>
                <w:sz w:val="18"/>
                <w:szCs w:val="18"/>
                <w:color w:val="auto"/>
                <w:w w:val="90"/>
              </w:rPr>
              <w:t>Special Purposes Acquisition Company</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Chairman and Director</w:t>
            </w:r>
          </w:p>
        </w:tc>
      </w:tr>
      <w:tr>
        <w:trPr>
          <w:trHeight w:val="229"/>
        </w:trPr>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VPC Impact Acquisition Holdings III, Inc.</w:t>
            </w:r>
          </w:p>
        </w:tc>
        <w:tc>
          <w:tcPr>
            <w:tcW w:w="2860" w:type="dxa"/>
            <w:vAlign w:val="bottom"/>
          </w:tcPr>
          <w:p>
            <w:pPr>
              <w:spacing w:after="0"/>
              <w:rPr>
                <w:sz w:val="20"/>
                <w:szCs w:val="20"/>
                <w:color w:val="auto"/>
              </w:rPr>
            </w:pPr>
            <w:r>
              <w:rPr>
                <w:rFonts w:ascii="Arial" w:cs="Arial" w:eastAsia="Arial" w:hAnsi="Arial"/>
                <w:sz w:val="18"/>
                <w:szCs w:val="18"/>
                <w:color w:val="auto"/>
                <w:w w:val="93"/>
              </w:rPr>
              <w:t>Special Purpose Acquisition Company</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Chairman and Director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Olibia Stamatoglou</w:t>
            </w: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Victory Park Capital Advisors</w:t>
            </w:r>
          </w:p>
        </w:tc>
        <w:tc>
          <w:tcPr>
            <w:tcW w:w="2860" w:type="dxa"/>
            <w:vAlign w:val="bottom"/>
          </w:tcPr>
          <w:p>
            <w:pPr>
              <w:spacing w:after="0"/>
              <w:rPr>
                <w:sz w:val="20"/>
                <w:szCs w:val="20"/>
                <w:color w:val="auto"/>
              </w:rPr>
            </w:pPr>
            <w:r>
              <w:rPr>
                <w:rFonts w:ascii="Arial" w:cs="Arial" w:eastAsia="Arial" w:hAnsi="Arial"/>
                <w:sz w:val="18"/>
                <w:szCs w:val="18"/>
                <w:color w:val="auto"/>
              </w:rPr>
              <w:t>Investment Advisor</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Officer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Gordon Watson</w:t>
            </w: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Borro Ltd</w:t>
            </w:r>
          </w:p>
        </w:tc>
        <w:tc>
          <w:tcPr>
            <w:tcW w:w="2860" w:type="dxa"/>
            <w:vAlign w:val="bottom"/>
          </w:tcPr>
          <w:p>
            <w:pPr>
              <w:spacing w:after="0"/>
              <w:rPr>
                <w:sz w:val="20"/>
                <w:szCs w:val="20"/>
                <w:color w:val="auto"/>
              </w:rPr>
            </w:pPr>
            <w:r>
              <w:rPr>
                <w:rFonts w:ascii="Arial" w:cs="Arial" w:eastAsia="Arial" w:hAnsi="Arial"/>
                <w:sz w:val="18"/>
                <w:szCs w:val="18"/>
                <w:color w:val="auto"/>
              </w:rPr>
              <w:t>Specialty Finance</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Victory Park Capital Advisors</w:t>
            </w:r>
          </w:p>
        </w:tc>
        <w:tc>
          <w:tcPr>
            <w:tcW w:w="2860" w:type="dxa"/>
            <w:vAlign w:val="bottom"/>
          </w:tcPr>
          <w:p>
            <w:pPr>
              <w:spacing w:after="0"/>
              <w:rPr>
                <w:sz w:val="20"/>
                <w:szCs w:val="20"/>
                <w:color w:val="auto"/>
              </w:rPr>
            </w:pPr>
            <w:r>
              <w:rPr>
                <w:rFonts w:ascii="Arial" w:cs="Arial" w:eastAsia="Arial" w:hAnsi="Arial"/>
                <w:sz w:val="18"/>
                <w:szCs w:val="18"/>
                <w:color w:val="auto"/>
              </w:rPr>
              <w:t>Investment Advisor</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Partner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w w:val="94"/>
              </w:rPr>
              <w:t>Victory Park Specialty Lending Investments PLC</w:t>
            </w:r>
          </w:p>
        </w:tc>
        <w:tc>
          <w:tcPr>
            <w:tcW w:w="2860" w:type="dxa"/>
            <w:vAlign w:val="bottom"/>
          </w:tcPr>
          <w:p>
            <w:pPr>
              <w:spacing w:after="0"/>
              <w:rPr>
                <w:sz w:val="20"/>
                <w:szCs w:val="20"/>
                <w:color w:val="auto"/>
              </w:rPr>
            </w:pPr>
            <w:r>
              <w:rPr>
                <w:rFonts w:ascii="Arial" w:cs="Arial" w:eastAsia="Arial" w:hAnsi="Arial"/>
                <w:sz w:val="18"/>
                <w:szCs w:val="18"/>
                <w:color w:val="auto"/>
              </w:rPr>
              <w:t>Investment Advisor</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Manager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VPC Impact Acquisition Holdings II</w:t>
            </w:r>
          </w:p>
        </w:tc>
        <w:tc>
          <w:tcPr>
            <w:tcW w:w="2860" w:type="dxa"/>
            <w:vAlign w:val="bottom"/>
          </w:tcPr>
          <w:p>
            <w:pPr>
              <w:spacing w:after="0"/>
              <w:rPr>
                <w:sz w:val="20"/>
                <w:szCs w:val="20"/>
                <w:color w:val="auto"/>
              </w:rPr>
            </w:pPr>
            <w:r>
              <w:rPr>
                <w:rFonts w:ascii="Arial" w:cs="Arial" w:eastAsia="Arial" w:hAnsi="Arial"/>
                <w:sz w:val="18"/>
                <w:szCs w:val="18"/>
                <w:color w:val="auto"/>
                <w:w w:val="93"/>
              </w:rPr>
              <w:t>Special Purpose Acquisition Company</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w w:val="99"/>
              </w:rPr>
              <w:t>Co-Chief Executive Officer</w:t>
            </w:r>
          </w:p>
        </w:tc>
      </w:tr>
      <w:tr>
        <w:trPr>
          <w:trHeight w:val="230"/>
        </w:trPr>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VPC Impact Acquisition Holdings III, Inc.</w:t>
            </w:r>
          </w:p>
        </w:tc>
        <w:tc>
          <w:tcPr>
            <w:tcW w:w="2860" w:type="dxa"/>
            <w:vAlign w:val="bottom"/>
          </w:tcPr>
          <w:p>
            <w:pPr>
              <w:spacing w:after="0"/>
              <w:rPr>
                <w:sz w:val="20"/>
                <w:szCs w:val="20"/>
                <w:color w:val="auto"/>
              </w:rPr>
            </w:pPr>
            <w:r>
              <w:rPr>
                <w:rFonts w:ascii="Arial" w:cs="Arial" w:eastAsia="Arial" w:hAnsi="Arial"/>
                <w:sz w:val="18"/>
                <w:szCs w:val="18"/>
                <w:color w:val="auto"/>
                <w:w w:val="93"/>
              </w:rPr>
              <w:t>Special Purpose Acquisition Company</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w w:val="99"/>
              </w:rPr>
              <w:t>Co-Chief Executive Officer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Adrienne Harris</w:t>
            </w: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Beneficial State Bank</w:t>
            </w:r>
          </w:p>
        </w:tc>
        <w:tc>
          <w:tcPr>
            <w:tcW w:w="2860" w:type="dxa"/>
            <w:vAlign w:val="bottom"/>
          </w:tcPr>
          <w:p>
            <w:pPr>
              <w:spacing w:after="0"/>
              <w:rPr>
                <w:sz w:val="20"/>
                <w:szCs w:val="20"/>
                <w:color w:val="auto"/>
              </w:rPr>
            </w:pPr>
            <w:r>
              <w:rPr>
                <w:rFonts w:ascii="Arial" w:cs="Arial" w:eastAsia="Arial" w:hAnsi="Arial"/>
                <w:sz w:val="18"/>
                <w:szCs w:val="18"/>
                <w:color w:val="auto"/>
              </w:rPr>
              <w:t>Banking</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Financial Health Network</w:t>
            </w:r>
          </w:p>
        </w:tc>
        <w:tc>
          <w:tcPr>
            <w:tcW w:w="2860" w:type="dxa"/>
            <w:vAlign w:val="bottom"/>
          </w:tcPr>
          <w:p>
            <w:pPr>
              <w:spacing w:after="0"/>
              <w:rPr>
                <w:sz w:val="20"/>
                <w:szCs w:val="20"/>
                <w:color w:val="auto"/>
              </w:rPr>
            </w:pPr>
            <w:r>
              <w:rPr>
                <w:rFonts w:ascii="Arial" w:cs="Arial" w:eastAsia="Arial" w:hAnsi="Arial"/>
                <w:sz w:val="18"/>
                <w:szCs w:val="18"/>
                <w:color w:val="auto"/>
              </w:rPr>
              <w:t>Financial Consulting</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Homie, Inc.</w:t>
            </w:r>
          </w:p>
        </w:tc>
        <w:tc>
          <w:tcPr>
            <w:tcW w:w="2860" w:type="dxa"/>
            <w:vAlign w:val="bottom"/>
          </w:tcPr>
          <w:p>
            <w:pPr>
              <w:spacing w:after="0"/>
              <w:rPr>
                <w:sz w:val="20"/>
                <w:szCs w:val="20"/>
                <w:color w:val="auto"/>
              </w:rPr>
            </w:pPr>
            <w:r>
              <w:rPr>
                <w:rFonts w:ascii="Arial" w:cs="Arial" w:eastAsia="Arial" w:hAnsi="Arial"/>
                <w:sz w:val="18"/>
                <w:szCs w:val="18"/>
                <w:color w:val="auto"/>
              </w:rPr>
              <w:t>Real Estate Brokerage</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States Title, Inc.</w:t>
            </w:r>
          </w:p>
        </w:tc>
        <w:tc>
          <w:tcPr>
            <w:tcW w:w="2860" w:type="dxa"/>
            <w:vAlign w:val="bottom"/>
          </w:tcPr>
          <w:p>
            <w:pPr>
              <w:spacing w:after="0"/>
              <w:rPr>
                <w:sz w:val="20"/>
                <w:szCs w:val="20"/>
                <w:color w:val="auto"/>
              </w:rPr>
            </w:pPr>
            <w:r>
              <w:rPr>
                <w:rFonts w:ascii="Arial" w:cs="Arial" w:eastAsia="Arial" w:hAnsi="Arial"/>
                <w:sz w:val="18"/>
                <w:szCs w:val="18"/>
                <w:color w:val="auto"/>
              </w:rPr>
              <w:t>Real Estate Settlement Services</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Advisor</w:t>
            </w:r>
          </w:p>
        </w:tc>
      </w:tr>
      <w:tr>
        <w:trPr>
          <w:trHeight w:val="230"/>
        </w:trPr>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VPC Impact Acquisition Holdings II</w:t>
            </w:r>
          </w:p>
        </w:tc>
        <w:tc>
          <w:tcPr>
            <w:tcW w:w="2860" w:type="dxa"/>
            <w:vAlign w:val="bottom"/>
          </w:tcPr>
          <w:p>
            <w:pPr>
              <w:spacing w:after="0"/>
              <w:rPr>
                <w:sz w:val="20"/>
                <w:szCs w:val="20"/>
                <w:color w:val="auto"/>
              </w:rPr>
            </w:pPr>
            <w:r>
              <w:rPr>
                <w:rFonts w:ascii="Arial" w:cs="Arial" w:eastAsia="Arial" w:hAnsi="Arial"/>
                <w:sz w:val="18"/>
                <w:szCs w:val="18"/>
                <w:color w:val="auto"/>
                <w:w w:val="93"/>
              </w:rPr>
              <w:t>Special Purpose Acquisition Company</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Kai Schmitz</w:t>
            </w: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Amadeus Capital Partners</w:t>
            </w:r>
          </w:p>
        </w:tc>
        <w:tc>
          <w:tcPr>
            <w:tcW w:w="2860" w:type="dxa"/>
            <w:vAlign w:val="bottom"/>
          </w:tcPr>
          <w:p>
            <w:pPr>
              <w:spacing w:after="0"/>
              <w:rPr>
                <w:sz w:val="20"/>
                <w:szCs w:val="20"/>
                <w:color w:val="auto"/>
              </w:rPr>
            </w:pPr>
            <w:r>
              <w:rPr>
                <w:rFonts w:ascii="Arial" w:cs="Arial" w:eastAsia="Arial" w:hAnsi="Arial"/>
                <w:sz w:val="18"/>
                <w:szCs w:val="18"/>
                <w:color w:val="auto"/>
              </w:rPr>
              <w:t>Investment Advisor</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Partner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Koin Pagamentos S.A.</w:t>
            </w:r>
          </w:p>
        </w:tc>
        <w:tc>
          <w:tcPr>
            <w:tcW w:w="2860" w:type="dxa"/>
            <w:vAlign w:val="bottom"/>
          </w:tcPr>
          <w:p>
            <w:pPr>
              <w:spacing w:after="0"/>
              <w:rPr>
                <w:sz w:val="20"/>
                <w:szCs w:val="20"/>
                <w:color w:val="auto"/>
              </w:rPr>
            </w:pPr>
            <w:r>
              <w:rPr>
                <w:rFonts w:ascii="Arial" w:cs="Arial" w:eastAsia="Arial" w:hAnsi="Arial"/>
                <w:sz w:val="18"/>
                <w:szCs w:val="18"/>
                <w:color w:val="auto"/>
              </w:rPr>
              <w:t>Financing</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Minka Ltd</w:t>
            </w:r>
          </w:p>
        </w:tc>
        <w:tc>
          <w:tcPr>
            <w:tcW w:w="2860" w:type="dxa"/>
            <w:vAlign w:val="bottom"/>
          </w:tcPr>
          <w:p>
            <w:pPr>
              <w:spacing w:after="0"/>
              <w:rPr>
                <w:sz w:val="20"/>
                <w:szCs w:val="20"/>
                <w:color w:val="auto"/>
              </w:rPr>
            </w:pPr>
            <w:r>
              <w:rPr>
                <w:rFonts w:ascii="Arial" w:cs="Arial" w:eastAsia="Arial" w:hAnsi="Arial"/>
                <w:sz w:val="18"/>
                <w:szCs w:val="18"/>
                <w:color w:val="auto"/>
              </w:rPr>
              <w:t>Technology</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RS2 Software, Inc.</w:t>
            </w:r>
          </w:p>
        </w:tc>
        <w:tc>
          <w:tcPr>
            <w:tcW w:w="2860" w:type="dxa"/>
            <w:vAlign w:val="bottom"/>
          </w:tcPr>
          <w:p>
            <w:pPr>
              <w:spacing w:after="0"/>
              <w:rPr>
                <w:sz w:val="20"/>
                <w:szCs w:val="20"/>
                <w:color w:val="auto"/>
              </w:rPr>
            </w:pPr>
            <w:r>
              <w:rPr>
                <w:rFonts w:ascii="Arial" w:cs="Arial" w:eastAsia="Arial" w:hAnsi="Arial"/>
                <w:sz w:val="18"/>
                <w:szCs w:val="18"/>
                <w:color w:val="auto"/>
              </w:rPr>
              <w:t>Payments Platform</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Tranza Holding Ltd</w:t>
            </w:r>
          </w:p>
        </w:tc>
        <w:tc>
          <w:tcPr>
            <w:tcW w:w="2860" w:type="dxa"/>
            <w:vAlign w:val="bottom"/>
          </w:tcPr>
          <w:p>
            <w:pPr>
              <w:spacing w:after="0"/>
              <w:rPr>
                <w:sz w:val="20"/>
                <w:szCs w:val="20"/>
                <w:color w:val="auto"/>
              </w:rPr>
            </w:pPr>
            <w:r>
              <w:rPr>
                <w:rFonts w:ascii="Arial" w:cs="Arial" w:eastAsia="Arial" w:hAnsi="Arial"/>
                <w:sz w:val="18"/>
                <w:szCs w:val="18"/>
                <w:color w:val="auto"/>
              </w:rPr>
              <w:t>Digital Banking</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VPC Impact Acquisition Holdings II</w:t>
            </w:r>
          </w:p>
        </w:tc>
        <w:tc>
          <w:tcPr>
            <w:tcW w:w="2860" w:type="dxa"/>
            <w:vAlign w:val="bottom"/>
          </w:tcPr>
          <w:p>
            <w:pPr>
              <w:spacing w:after="0"/>
              <w:rPr>
                <w:sz w:val="20"/>
                <w:szCs w:val="20"/>
                <w:color w:val="auto"/>
              </w:rPr>
            </w:pPr>
            <w:r>
              <w:rPr>
                <w:rFonts w:ascii="Arial" w:cs="Arial" w:eastAsia="Arial" w:hAnsi="Arial"/>
                <w:sz w:val="18"/>
                <w:szCs w:val="18"/>
                <w:color w:val="auto"/>
                <w:w w:val="93"/>
              </w:rPr>
              <w:t>Special Purpose Acquisition Company</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Kurt Summers</w:t>
            </w: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Blackstone</w:t>
            </w:r>
          </w:p>
        </w:tc>
        <w:tc>
          <w:tcPr>
            <w:tcW w:w="2860" w:type="dxa"/>
            <w:vAlign w:val="bottom"/>
          </w:tcPr>
          <w:p>
            <w:pPr>
              <w:spacing w:after="0"/>
              <w:rPr>
                <w:sz w:val="20"/>
                <w:szCs w:val="20"/>
                <w:color w:val="auto"/>
              </w:rPr>
            </w:pPr>
            <w:r>
              <w:rPr>
                <w:rFonts w:ascii="Arial" w:cs="Arial" w:eastAsia="Arial" w:hAnsi="Arial"/>
                <w:sz w:val="18"/>
                <w:szCs w:val="18"/>
                <w:color w:val="auto"/>
              </w:rPr>
              <w:t>Investment Management</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Senior Advisor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Ullico</w:t>
            </w:r>
          </w:p>
        </w:tc>
        <w:tc>
          <w:tcPr>
            <w:tcW w:w="2860" w:type="dxa"/>
            <w:vAlign w:val="bottom"/>
          </w:tcPr>
          <w:p>
            <w:pPr>
              <w:spacing w:after="0"/>
              <w:rPr>
                <w:sz w:val="20"/>
                <w:szCs w:val="20"/>
                <w:color w:val="auto"/>
              </w:rPr>
            </w:pPr>
            <w:r>
              <w:rPr>
                <w:rFonts w:ascii="Arial" w:cs="Arial" w:eastAsia="Arial" w:hAnsi="Arial"/>
                <w:sz w:val="18"/>
                <w:szCs w:val="18"/>
                <w:color w:val="auto"/>
              </w:rPr>
              <w:t>Financial Services</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Senior Advisor</w:t>
            </w:r>
          </w:p>
        </w:tc>
      </w:tr>
      <w:tr>
        <w:trPr>
          <w:trHeight w:val="230"/>
        </w:trPr>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VPC Impact Acquisition Holdings III, Inc.</w:t>
            </w:r>
          </w:p>
        </w:tc>
        <w:tc>
          <w:tcPr>
            <w:tcW w:w="2860" w:type="dxa"/>
            <w:vAlign w:val="bottom"/>
          </w:tcPr>
          <w:p>
            <w:pPr>
              <w:spacing w:after="0"/>
              <w:rPr>
                <w:sz w:val="20"/>
                <w:szCs w:val="20"/>
                <w:color w:val="auto"/>
              </w:rPr>
            </w:pPr>
            <w:r>
              <w:rPr>
                <w:rFonts w:ascii="Arial" w:cs="Arial" w:eastAsia="Arial" w:hAnsi="Arial"/>
                <w:sz w:val="18"/>
                <w:szCs w:val="18"/>
                <w:color w:val="auto"/>
                <w:w w:val="93"/>
              </w:rPr>
              <w:t>Special Purpose Acquisition Company</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378"/>
        </w:trPr>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0" w:type="dxa"/>
            <w:vAlign w:val="bottom"/>
            <w:gridSpan w:val="2"/>
          </w:tcPr>
          <w:p>
            <w:pPr>
              <w:ind w:left="358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31" w:lineRule="exact"/>
        <w:rPr>
          <w:sz w:val="20"/>
          <w:szCs w:val="20"/>
          <w:color w:val="auto"/>
        </w:rPr>
      </w:pPr>
    </w:p>
    <w:p>
      <w:pPr>
        <w:ind w:left="1080" w:hanging="424"/>
        <w:spacing w:after="0" w:line="25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w:t>
      </w:r>
    </w:p>
    <w:p>
      <w:pPr>
        <w:spacing w:after="0" w:line="93" w:lineRule="exact"/>
        <w:rPr>
          <w:rFonts w:ascii="Arial" w:cs="Arial" w:eastAsia="Arial" w:hAnsi="Arial"/>
          <w:sz w:val="18"/>
          <w:szCs w:val="18"/>
          <w:color w:val="auto"/>
        </w:rPr>
      </w:pPr>
    </w:p>
    <w:p>
      <w:pPr>
        <w:ind w:left="1080" w:hanging="424"/>
        <w:spacing w:after="0" w:line="267"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initial shareholders purchased founder shares prior to the date of this prospectus and purchased private placement warrants in a transaction that closed simultaneously with the closing of our initial public offering. Our sponsor, officers and directors have entered into a letter agreement with us, pursuant to which they have agreed to waive their redemption rights with respect to their founder shares and public shares in connection with the completion of our initial business combination. Additionally, our sponsor, officers and directors have agreed to waive their rights to liquidating distributions from the trust account with respect to their founder shares if we fail to complete our initial business combination within the prescribed time frame. If we do not complete our initial business combination within the prescribed time frame, the private placement warrants will expire worthless. Furthermore, our sponsor, officers and directors have agreed not to transfer, assign or sell any of their founder shares and any Class A ordinary shares issuable upon conversion thereof until the earlier to occur of: (i) one year after the completion of our initial business combination or (ii) the date following the completion of our initial business combination on which we complete a liquidation, merger, share exchange or other similar transaction that results in all of our shareholders having the right to exchange their ordinary shares for cash, securities or other property.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 The private placement warrants (including the Class A ordinary shares issuable upon exercise of the private placement warrants) will not be transferable until 30 days following the completion of our initial business combination. Because each of our officers and directors own ordinary shares or warrants directly or indirectly, they may have a conflict of interest in determining whether a particular target business is an appropriate business with which to effectuate our initial business combination.</w:t>
      </w:r>
    </w:p>
    <w:p>
      <w:pPr>
        <w:spacing w:after="0" w:line="95" w:lineRule="exact"/>
        <w:rPr>
          <w:rFonts w:ascii="Arial" w:cs="Arial" w:eastAsia="Arial" w:hAnsi="Arial"/>
          <w:sz w:val="17"/>
          <w:szCs w:val="17"/>
          <w:color w:val="auto"/>
        </w:rPr>
      </w:pPr>
    </w:p>
    <w:p>
      <w:pPr>
        <w:ind w:left="1080" w:right="16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 business combination target that is affiliated with our sponsor, officers or directors, we, or a committee of independent directors, would obtain an opinion from an independent investment banking which is a member of FINRA or a valuation or appraisal firm, that the consideration to be paid in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compensation prior to, or for any services they render in order to effectuate, the completion of our initial business combination. Further, commencing on the date our securities are first listed on Nasdaq, we will also pay our sponsor $10,000 per month for office space, utilities, secretarial and administrative services provided to members of our management team.</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22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the event that we submit our initial business combination to our public shareholders for a vote, our sponsor, officers and directors have agreed to vote their founder shares, and they and the other members of our management team have agreed to vote their founder shares and any shares purchased during or after the offering in favor of our initial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7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5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None of our officers or directors have received any cash compensation for services rendered to us. Commencing on the date that our securities are first listed on Nasdaq through the earlier of consummation of our initial business combination and our liquidation, we will pay our sponsor $10,000 per month for office space, utilities, secretarial and administrative support services provided to members of our management team. We may elect to make payment of customary fees to members of our board of directors for director service. In addition,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officers and directors, or any of their respective affiliates, prior to completion of our initial business combination.</w:t>
      </w:r>
    </w:p>
    <w:p>
      <w:pPr>
        <w:spacing w:after="0" w:line="161"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w:t>
      </w:r>
    </w:p>
    <w:p>
      <w:pPr>
        <w:spacing w:after="0" w:line="178"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46"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regarding the beneficial ownership of our ordinary shares as of March 29, 2021 by:</w:t>
      </w:r>
    </w:p>
    <w:p>
      <w:pPr>
        <w:spacing w:after="0" w:line="131"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22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ordinary shares beneficially owned by them. The following table does not reflect record or beneficial ownership of the private placement warrants as these warrants are not exercisable within 60 days of the date of this Form 10-K.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beneficial ownership of our ordinary shares is based on 25,916,502 ordinary shares issued and outstanding as of March 29, 2021, consisting of 20,732,202 Class A ordinary shares and 5,184,300 Class B ordinary shares.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gridSpan w:val="3"/>
          </w:tcPr>
          <w:p>
            <w:pPr>
              <w:jc w:val="center"/>
              <w:ind w:left="593"/>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NUMBER OF</w:t>
            </w:r>
          </w:p>
        </w:tc>
        <w:tc>
          <w:tcPr>
            <w:tcW w:w="9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SHARES</w:t>
            </w:r>
          </w:p>
        </w:tc>
        <w:tc>
          <w:tcPr>
            <w:tcW w:w="9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2"/>
                <w:szCs w:val="12"/>
                <w:b w:val="1"/>
                <w:bCs w:val="1"/>
                <w:color w:val="auto"/>
              </w:rPr>
              <w:t>(1)</w:t>
            </w:r>
          </w:p>
        </w:tc>
        <w:tc>
          <w:tcPr>
            <w:tcW w:w="1880" w:type="dxa"/>
            <w:vAlign w:val="bottom"/>
            <w:vMerge w:val="restart"/>
          </w:tcPr>
          <w:p>
            <w:pPr>
              <w:spacing w:after="0"/>
              <w:rPr>
                <w:sz w:val="12"/>
                <w:szCs w:val="12"/>
                <w:color w:val="auto"/>
              </w:rPr>
            </w:pPr>
          </w:p>
        </w:tc>
        <w:tc>
          <w:tcPr>
            <w:tcW w:w="178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BENEFICIALLY</w:t>
            </w:r>
          </w:p>
        </w:tc>
        <w:tc>
          <w:tcPr>
            <w:tcW w:w="9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78"/>
        </w:trPr>
        <w:tc>
          <w:tcPr>
            <w:tcW w:w="3400" w:type="dxa"/>
            <w:vAlign w:val="bottom"/>
            <w:tcBorders>
              <w:bottom w:val="single" w:sz="8" w:color="auto"/>
            </w:tcBorders>
            <w:gridSpan w:val="2"/>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rPr>
              <w:t>OWNED</w:t>
            </w:r>
          </w:p>
        </w:tc>
        <w:tc>
          <w:tcPr>
            <w:tcW w:w="920" w:type="dxa"/>
            <w:vAlign w:val="bottom"/>
          </w:tcPr>
          <w:p>
            <w:pPr>
              <w:spacing w:after="0"/>
              <w:rPr>
                <w:sz w:val="15"/>
                <w:szCs w:val="15"/>
                <w:color w:val="auto"/>
              </w:rPr>
            </w:pPr>
          </w:p>
        </w:tc>
        <w:tc>
          <w:tcPr>
            <w:tcW w:w="12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9"/>
              </w:rPr>
              <w:t>SHARES</w:t>
            </w:r>
          </w:p>
        </w:tc>
        <w:tc>
          <w:tcPr>
            <w:tcW w:w="0" w:type="dxa"/>
            <w:vAlign w:val="bottom"/>
          </w:tcPr>
          <w:p>
            <w:pPr>
              <w:spacing w:after="0"/>
              <w:rPr>
                <w:sz w:val="1"/>
                <w:szCs w:val="1"/>
                <w:color w:val="auto"/>
              </w:rPr>
            </w:pPr>
          </w:p>
        </w:tc>
      </w:tr>
      <w:tr>
        <w:trPr>
          <w:trHeight w:val="190"/>
        </w:trPr>
        <w:tc>
          <w:tcPr>
            <w:tcW w:w="52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Directors, Executive Officers and Founders</w:t>
            </w:r>
          </w:p>
        </w:tc>
        <w:tc>
          <w:tcPr>
            <w:tcW w:w="6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John Martin</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Gordon Watson</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Olibia Stamatoglou</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Adrienne Harris</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Kai Schmitz</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18"/>
                <w:szCs w:val="18"/>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Kurt Summers</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All executive officers and directors as a group (6 individuals)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60,000</w:t>
            </w:r>
          </w:p>
        </w:tc>
        <w:tc>
          <w:tcPr>
            <w:tcW w:w="60" w:type="dxa"/>
            <w:vAlign w:val="bottom"/>
          </w:tcPr>
          <w:p>
            <w:pPr>
              <w:spacing w:after="0"/>
              <w:rPr>
                <w:sz w:val="20"/>
                <w:szCs w:val="20"/>
                <w:color w:val="auto"/>
              </w:rPr>
            </w:pP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gridSpan w:val="3"/>
          </w:tcPr>
          <w:p>
            <w:pPr>
              <w:jc w:val="center"/>
              <w:ind w:left="593"/>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NUMBER OF</w:t>
            </w:r>
          </w:p>
        </w:tc>
        <w:tc>
          <w:tcPr>
            <w:tcW w:w="9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SHARES</w:t>
            </w:r>
          </w:p>
        </w:tc>
        <w:tc>
          <w:tcPr>
            <w:tcW w:w="9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000" w:type="dxa"/>
            <w:vAlign w:val="bottom"/>
            <w:gridSpan w:val="2"/>
            <w:vMerge w:val="restart"/>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BENEFICIALLY</w:t>
            </w:r>
          </w:p>
        </w:tc>
        <w:tc>
          <w:tcPr>
            <w:tcW w:w="9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78"/>
        </w:trPr>
        <w:tc>
          <w:tcPr>
            <w:tcW w:w="3280" w:type="dxa"/>
            <w:vAlign w:val="bottom"/>
            <w:tcBorders>
              <w:bottom w:val="single" w:sz="8" w:color="auto"/>
            </w:tcBorders>
            <w:vMerge w:val="continue"/>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rPr>
              <w:t>OWNED</w:t>
            </w:r>
          </w:p>
        </w:tc>
        <w:tc>
          <w:tcPr>
            <w:tcW w:w="920" w:type="dxa"/>
            <w:vAlign w:val="bottom"/>
          </w:tcPr>
          <w:p>
            <w:pPr>
              <w:spacing w:after="0"/>
              <w:rPr>
                <w:sz w:val="15"/>
                <w:szCs w:val="15"/>
                <w:color w:val="auto"/>
              </w:rPr>
            </w:pPr>
          </w:p>
        </w:tc>
        <w:tc>
          <w:tcPr>
            <w:tcW w:w="12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9"/>
              </w:rPr>
              <w:t>SHARES</w:t>
            </w:r>
          </w:p>
        </w:tc>
        <w:tc>
          <w:tcPr>
            <w:tcW w:w="0" w:type="dxa"/>
            <w:vAlign w:val="bottom"/>
          </w:tcPr>
          <w:p>
            <w:pPr>
              <w:spacing w:after="0"/>
              <w:rPr>
                <w:sz w:val="1"/>
                <w:szCs w:val="1"/>
                <w:color w:val="auto"/>
              </w:rPr>
            </w:pPr>
          </w:p>
        </w:tc>
      </w:tr>
      <w:tr>
        <w:trPr>
          <w:trHeight w:val="190"/>
        </w:trPr>
        <w:tc>
          <w:tcPr>
            <w:tcW w:w="52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Five Percent Holders</w:t>
            </w:r>
          </w:p>
        </w:tc>
        <w:tc>
          <w:tcPr>
            <w:tcW w:w="6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VPC Impact Acquisition Holdings Sponsor, LLC</w:t>
            </w:r>
            <w:r>
              <w:rPr>
                <w:rFonts w:ascii="Arial" w:cs="Arial" w:eastAsia="Arial" w:hAnsi="Arial"/>
                <w:sz w:val="15"/>
                <w:szCs w:val="15"/>
                <w:color w:val="auto"/>
              </w:rPr>
              <w:t>(1)(2)(3)</w:t>
            </w: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5,124,300</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Alpine Global Management, LLC</w:t>
            </w:r>
            <w:r>
              <w:rPr>
                <w:rFonts w:ascii="Arial" w:cs="Arial" w:eastAsia="Arial" w:hAnsi="Arial"/>
                <w:sz w:val="15"/>
                <w:szCs w:val="15"/>
                <w:color w:val="auto"/>
              </w:rPr>
              <w:t>(4)</w:t>
            </w:r>
          </w:p>
        </w:tc>
        <w:tc>
          <w:tcPr>
            <w:tcW w:w="1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2,813,820</w:t>
            </w: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Invesco Ltd.</w:t>
            </w:r>
            <w:r>
              <w:rPr>
                <w:rFonts w:ascii="Arial" w:cs="Arial" w:eastAsia="Arial" w:hAnsi="Arial"/>
                <w:sz w:val="15"/>
                <w:szCs w:val="15"/>
                <w:color w:val="auto"/>
              </w:rPr>
              <w:t>(5)</w:t>
            </w: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2,391,105</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Millennium Management LLC</w:t>
            </w:r>
            <w:r>
              <w:rPr>
                <w:rFonts w:ascii="Arial" w:cs="Arial" w:eastAsia="Arial" w:hAnsi="Arial"/>
                <w:sz w:val="15"/>
                <w:szCs w:val="15"/>
                <w:color w:val="auto"/>
              </w:rPr>
              <w:t>(6)</w:t>
            </w:r>
          </w:p>
        </w:tc>
        <w:tc>
          <w:tcPr>
            <w:tcW w:w="1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1,600,000</w:t>
            </w: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Corbin Capital Partners Group, LLC</w:t>
            </w:r>
            <w:r>
              <w:rPr>
                <w:rFonts w:ascii="Arial" w:cs="Arial" w:eastAsia="Arial" w:hAnsi="Arial"/>
                <w:sz w:val="15"/>
                <w:szCs w:val="15"/>
                <w:color w:val="auto"/>
              </w:rPr>
              <w:t>(7)</w:t>
            </w: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1,500,000</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Sculptor Capital LP</w:t>
            </w:r>
            <w:r>
              <w:rPr>
                <w:rFonts w:ascii="Arial" w:cs="Arial" w:eastAsia="Arial" w:hAnsi="Arial"/>
                <w:sz w:val="15"/>
                <w:szCs w:val="15"/>
                <w:color w:val="auto"/>
              </w:rPr>
              <w:t>(8)</w:t>
            </w:r>
          </w:p>
        </w:tc>
        <w:tc>
          <w:tcPr>
            <w:tcW w:w="1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1,404,800</w:t>
            </w: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Empyrean Capital Overseas Master Fund, Ltd.</w:t>
            </w:r>
            <w:r>
              <w:rPr>
                <w:rFonts w:ascii="Arial" w:cs="Arial" w:eastAsia="Arial" w:hAnsi="Arial"/>
                <w:sz w:val="15"/>
                <w:szCs w:val="15"/>
                <w:color w:val="auto"/>
              </w:rPr>
              <w:t>(9)</w:t>
            </w: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1,208,580</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Point72 Asset Management, L.P.</w:t>
            </w:r>
            <w:r>
              <w:rPr>
                <w:rFonts w:ascii="Arial" w:cs="Arial" w:eastAsia="Arial" w:hAnsi="Arial"/>
                <w:sz w:val="15"/>
                <w:szCs w:val="15"/>
                <w:color w:val="auto"/>
              </w:rPr>
              <w:t>(10)</w:t>
            </w:r>
          </w:p>
        </w:tc>
        <w:tc>
          <w:tcPr>
            <w:tcW w:w="1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1,159,546</w:t>
            </w: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is 150 North Riverside Plaza, Suite 5200, Chicago, IL 60606.</w:t>
      </w:r>
    </w:p>
    <w:p>
      <w:pPr>
        <w:spacing w:after="0" w:line="9"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Class B ordinary shares. Such shares will automatically convert into Class A ordinary shares concurrently with or immediately following the consummation of our initial business combination on a one-for-one basis, subject to adjustment, as described herein.</w:t>
      </w:r>
    </w:p>
    <w:p>
      <w:pPr>
        <w:spacing w:after="0" w:line="1" w:lineRule="exact"/>
        <w:rPr>
          <w:rFonts w:ascii="Arial" w:cs="Arial" w:eastAsia="Arial" w:hAnsi="Arial"/>
          <w:sz w:val="18"/>
          <w:szCs w:val="18"/>
          <w:color w:val="auto"/>
        </w:rPr>
      </w:pPr>
    </w:p>
    <w:p>
      <w:pPr>
        <w:ind w:left="540" w:right="160" w:hanging="424"/>
        <w:spacing w:after="0" w:line="265"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VPC Impact Acquisition Holdings Sponsor, LLC, our sponsor, is the record holder of such shares. Richard Levy, as Chief Executive Officer and Founder of Victory Park Capital Advisors, LLC, has voting and investment discretion over these shares and therefore may be deemed to beneficially own such shares. Richard Levy disclaims any beneficial ownership of the securities held by VPC Impact Acquisition Holdings Sponsor, LLC other than to the extent of any pecuniary interest he may have therein, directly or indirectly.</w:t>
      </w:r>
    </w:p>
    <w:p>
      <w:pPr>
        <w:ind w:left="540" w:right="60" w:hanging="424"/>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According to a Schedule 13G/A filed on February 24, 2021, Alpine Global Management, LLC is the holder of 2,813,820 Class A ordinary shares. The address of Alpine Global Management, LLC is 140 Broadway, 38th Floor, New York, NY 10005.</w:t>
      </w:r>
    </w:p>
    <w:p>
      <w:pPr>
        <w:ind w:left="540" w:hanging="424"/>
        <w:spacing w:after="0" w:line="255"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According to a Schedule 13G filed on March 10, 2021, Invesco Ltd. in its capacity as a parent holding company to its investment advisers, may be deemed to beneficially own 2,391,105 Class A ordinary shares which are held of record by clients of Invesco Ltd. The address of Invesco Ltd. is 1555 Peachtree Street NE, Suite 1800, Atlanta, GA 30309.</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82"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According to a Schedule 13G/A filed on February 1, 2021, (i) Millenium Management LLC, a Delaware limited liability company (“Millenium Management”), Millennium Group Management LLC, a Delaware limited liability company (“Millenium Group Management”), Millenium International Management LP, a Delaware limited partnership (“Millennium International Management”) and Israel A. Englander, a United States citizen share voting control and investment discretion over part or all of an aggregate of 800,000 units, each consisting of 1 Class A ordinary share and one-half of one redeemable warrant and 800,000 Class A ordinary shares, of which (i) 800,000 Class A ordinary shares are held by Integrated Core Strategies (US) LLC, a Delaware limited liability company (“Integrated Core Strategies”) and (ii) 800,000 units are held by ICS Opportunities, Ltd., an exempted company organized under the laws of the Cayman Islands (“ICS Opportunities”). Millenium International Management is the investment manager to ICS Opportunities and may be deemed to have shared voting control and investment discretion over securities owned by ICS Opportunities. Millenium Management is the general partner of the managing member of Integrated Core Strategies and may be deemed to have shared voting control and investment discretion over securities owned by Integrated Core Strategies. Millennium Management is also the general partner of the 100% owner of ICS Opportunities and may also be deemed to have shared voting control and investment discretion over securities owned by ICS Opportunities. Millenium Group Management is the managing member of Millennium Management and may also be deemed to have shared voting control and investment discretion over securities owned by Integrated Core Strategies. Millennium Group Management is also the general partner of Millennium International Management and may also be deemed to have shared voting control and investment discretion over securities owned by ICS Opportunities. The managing member of Millennium Group Management is a trust of which Mr. Englander, currently serves as the sole voting trustee. Therefore, Mr. Englander may also be deemed to have shared voting control and investment discretion over securities owned by Integrated Core Strategies and ICS Opportunities. The address of each entity and Mr. Englander is c/o Millennium International Management LP, 666 Fifth Avenue, New York, New York 10103.</w:t>
      </w:r>
    </w:p>
    <w:p>
      <w:pPr>
        <w:spacing w:after="0" w:line="11" w:lineRule="exact"/>
        <w:rPr>
          <w:rFonts w:ascii="Arial" w:cs="Arial" w:eastAsia="Arial" w:hAnsi="Arial"/>
          <w:sz w:val="16"/>
          <w:szCs w:val="16"/>
          <w:color w:val="auto"/>
        </w:rPr>
      </w:pPr>
    </w:p>
    <w:p>
      <w:pPr>
        <w:ind w:left="540" w:hanging="424"/>
        <w:spacing w:after="0" w:line="265"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According to a Schedule 13G filed on February 12, 2021, Corbin Capital Partners Group, LLC (“CCPG”) and Corbin Capital Partners, L.P. (“CCP”) may be deemed to be the beneficial owners of an aggregate of 1,500,00 Class A ordinary shares. The shares reported are held by Corbin ERISA Opportunity Fund, Ltd. (“CEOF”), a Cayman Islands exempted company, and Corbin Opportunity Fund, L.P. (“COF”), a Delaware limited partnership. CCPG is the general partner of CCP, which serves as investment advisor for both COF and CEOF. The address of the principal business office of each of CCPG and CCP is 590 Madison Avenue, 31st Floor, New York, NY 10022.</w:t>
      </w:r>
    </w:p>
    <w:p>
      <w:pPr>
        <w:ind w:left="540" w:right="20" w:hanging="424"/>
        <w:spacing w:after="0" w:line="281"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According to a Schedule 13G/A filed on February 5, 2021, Sculptor Capital LP (“Sculptor”), a Delaware limited partnership, as the principal investment manager to a number of investment funds and discretionary accounts (collectively, the “Sculptor Accounts”) may be deemed to beneficially own 1,404,800 Class A ordinary shares which are held by the Sculptor Accounts. Sculptor Capital Holding Corporation (“SCHC”), a Delaware corporation, serves as the general partner of Sculptor As such, SCHC may be deemed to control Sculptor and, therefore, may be deemed to be the beneficial owner of the Class A ordinary shares owned by the Sculptor Accounts. Sculptor Capital Management, Inc. (“SCU”), a Delaware limited liability company, is a holding company that is the sole shareholder of SCHC. SCU is the sole shareholder of SCHC, and therefore may be deemed to be the beneficial owner of the Class A ordinary shares owned by the Sculptor Accounts. Sculptor Master Fund, Ltd. (“SCMF”), a Cayman Islands company and Sculptor Special Funding, LP (“NRMD”), a Cayman Islands exempted limited partnership, may also be deemed to share beneficial ownership over such Class A ordinary shares. The address of the principal business office of Sculptor, SCHC, and SCU is 9 West 57 Street, 39 Floor, New York, NY 10019. The address of the principal business office of SCMF and NRMD is c/o State Street (Cayman) Trust, Limited, P.O. Box 896, Suite 3307, Gardenia Court, 45 Market Street, Camana Bay, Grand Cayman, Cayman Islands KY1-1103.</w:t>
      </w:r>
    </w:p>
    <w:p>
      <w:pPr>
        <w:spacing w:after="0" w:line="6" w:lineRule="exact"/>
        <w:rPr>
          <w:rFonts w:ascii="Arial" w:cs="Arial" w:eastAsia="Arial" w:hAnsi="Arial"/>
          <w:sz w:val="16"/>
          <w:szCs w:val="16"/>
          <w:color w:val="auto"/>
        </w:rPr>
      </w:pPr>
    </w:p>
    <w:p>
      <w:pPr>
        <w:ind w:left="540" w:right="80" w:hanging="424"/>
        <w:spacing w:after="0" w:line="273"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According to a Schedule 13G filed on December 18, 2020, Empyrean Capital Overseas Master Fund, Ltd. (“Empyrean Fund”) is the direct holder of 1,208,590 Class A ordinary shares. Empyrean Capital Partners, LP (“Empyrean Capital”), as the investment manager of Empyrean Fund, may be deemed to share voting and investment discretion over such securities. Mr. Meron, as the managing member of Empyrean Capital, LLC, the general partner of Empyrean Capital, may be deemed to share voting and investment discretion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0"/>
        <w:spacing w:after="0" w:line="258" w:lineRule="auto"/>
        <w:rPr>
          <w:sz w:val="20"/>
          <w:szCs w:val="20"/>
          <w:color w:val="auto"/>
        </w:rPr>
      </w:pPr>
      <w:r>
        <w:rPr>
          <w:rFonts w:ascii="Arial" w:cs="Arial" w:eastAsia="Arial" w:hAnsi="Arial"/>
          <w:sz w:val="18"/>
          <w:szCs w:val="18"/>
          <w:color w:val="auto"/>
        </w:rPr>
        <w:t>over such securities. The address of each is c/o Empyrean Capital Partners, LP, 10250 Constellation Boulevard, Suite 2950, Los Angeles, CA 90067.</w:t>
      </w:r>
    </w:p>
    <w:p>
      <w:pPr>
        <w:spacing w:after="0" w:line="1" w:lineRule="exact"/>
        <w:rPr>
          <w:sz w:val="20"/>
          <w:szCs w:val="20"/>
          <w:color w:val="auto"/>
        </w:rPr>
      </w:pPr>
    </w:p>
    <w:p>
      <w:pPr>
        <w:ind w:left="540" w:right="20" w:hanging="424"/>
        <w:spacing w:after="0" w:line="252"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According to a Schedule 13G filed on February 24, 2021, the reported shares are held by certain investment funds managed by Point72 Asset Management, L.P. (“Point72 Asset Management”). Point72 Capital Advisors, Inc. (“Point72 Capital Advisors Inc.”) may be deemed to share voting and dispositive power of the shares held by certain investment funds managed by Point72 Asset Management; and (iii) Steven A. Cohen (“Mr. Cohen”) may be deemed to share voting and dispositive power with respect to shares beneficially owned by Point72 Asset Management and Point72 Capital Advisors Inc. The address of the principal business office of Point72 Asset Management, Point72 Capital Advisors Inc., and Mr. Cohen is 72 Cummings Point Road, Stamford, CT 06902.</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on August 3, 2020, the Sponsor paid $25,000, or approximately $0.004 per share, to cover certain of the Company’s offering and formation costs in exchange for 5,750,000 Class B ordinary shares, par value $0.0001 per share (the “founder shares”). In September 2020, the Sponsor transferred an aggregate of 60,000 founder shares to members of the Company’s board of directors, resulting in the Sponsor holding 5,690,000 founder shares. The number of founder shares outstanding was determined based on the expectation that the total size of the Company’s initial public offering would be a maximum of 23,000,000 units if the underwriters’ over-allotment option was exercised in full, and therefore that such founder shares would represent 20% of the outstanding shares after the Public Offering. Up to 750,000 of the founder shares were subject to forfeiture for no consideration depending on the extent to which the underwriters’ over-allotment was exercised. 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December 31, 2020.</w:t>
      </w:r>
    </w:p>
    <w:p>
      <w:pPr>
        <w:spacing w:after="0" w:line="166"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Our Sponsor, officers and directors have agreed not to transfer, assign or sell any of their founder shares and any Class A ordinary shares issuable upon conversion thereof until the earlier to occur of: (i) one year after the completion of our initial business combination or (ii) the date following the completion of our initial business combination on which we complete a liquidation, merger, share exchange or other similar transaction that results in all of our shareholders having the right to exchange their ordinary shares for cash, securities or other property.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Simultaneously with the closing of the Initial Public Offering, we consummated the sale of 6,000,000 warrants (the “Private Placement Warrants”) to the Sponsor at a price of $1.00 per Private Placement Warrant generating gross proceeds of $6,000,000.</w:t>
      </w:r>
    </w:p>
    <w:p>
      <w:pPr>
        <w:spacing w:after="0" w:line="170"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Each private placement warrant is exercisable for one whole Class A ordinary share at a price of $11.50 per share. A portion of the proceeds from the sale of the private placement warrants to the Sponsor was added to the proceeds from the initial public offering held in the trust account. If we do not complete a business combination by September 25, 2022, the private placement warrants will expire worthless. The private placement warrants will be non-redeemable for cash and exercisable on a cashless basis so long as they are held by the Sponsor or its permitted transferees.</w:t>
      </w:r>
    </w:p>
    <w:p>
      <w:pPr>
        <w:spacing w:after="0" w:line="15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Sponsor and our officers and directors has agreed, subject to limited exceptions, not to transfer, assign or sell any of their private placement warrants until 30 days after the completion of the initial business combination.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the Company had no outstanding borrowings under the Working Capital Loans.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Commencing on the date that our securities were first listed on the Nasdaq and continuing until the earlier of the consummation of a Business Combination or our liquidation, we agreed to pay the Sponsor a total of $10,000 per month for office space, utilities, secretarial and administrative support services, provided to the Company. We began incurring these fees on September 25, 2020 and will continue to incur these fees monthly until the earlier of the completion of a Business Combination and the Company’s liquidation.</w:t>
      </w:r>
    </w:p>
    <w:p>
      <w:pPr>
        <w:spacing w:after="0" w:line="187"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The Sponsor, officers and directors, or any of their respective affiliates will be reimbursed for any out-of-pocket expenses incurred in connection with activities performed on our behalf such as identifying potential target businesses and performing due diligence on suitable Business Combinations.</w:t>
      </w:r>
    </w:p>
    <w:p>
      <w:pPr>
        <w:spacing w:after="0" w:line="124"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color w:val="auto"/>
        </w:rPr>
        <w:t>We recognized an aggregate of $30,000 in expenses incurred in connection with the aforementioned arrangements with the related parties on our Statements of Operations for the period from July 31, 2020 (date of inception) through December 31, 2020, respectively.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fees paid to WithumSmith+Brown, PC, for services rendered.</w:t>
      </w:r>
    </w:p>
    <w:p>
      <w:pPr>
        <w:spacing w:after="0" w:line="225"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Audit fees consist of fees billed for professional services rendered for the audit of our year-end financial statements, reviews of our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and services that are normally provided by our independent registered public accounting firm in connection with statutory and regulatory filings. The aggregate fees billed by WithumSmith+Brown, PC for audit fees, inclusive of required filings with the SEC for the period from July 31, 2020 (inception) through December 31, 2020, and of services rendered in connection with our initial public offering, totaled $81,000.</w:t>
      </w:r>
    </w:p>
    <w:p>
      <w:pPr>
        <w:spacing w:after="0" w:line="15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i w:val="1"/>
          <w:iCs w:val="1"/>
          <w:color w:val="auto"/>
        </w:rPr>
        <w:t>Audit-Related Fees</w:t>
      </w:r>
      <w:r>
        <w:rPr>
          <w:rFonts w:ascii="Arial" w:cs="Arial" w:eastAsia="Arial" w:hAnsi="Arial"/>
          <w:sz w:val="17"/>
          <w:szCs w:val="17"/>
          <w:color w:val="auto"/>
        </w:rPr>
        <w:t>. Audit-related fees consist of fees billed for assurance and related services that are reasonably related to performance of the audit or</w:t>
      </w:r>
      <w:r>
        <w:rPr>
          <w:rFonts w:ascii="Arial" w:cs="Arial" w:eastAsia="Arial" w:hAnsi="Arial"/>
          <w:sz w:val="17"/>
          <w:szCs w:val="17"/>
          <w:i w:val="1"/>
          <w:iCs w:val="1"/>
          <w:color w:val="auto"/>
        </w:rPr>
        <w:t xml:space="preserve"> </w:t>
      </w:r>
      <w:r>
        <w:rPr>
          <w:rFonts w:ascii="Arial" w:cs="Arial" w:eastAsia="Arial" w:hAnsi="Arial"/>
          <w:sz w:val="17"/>
          <w:szCs w:val="17"/>
          <w:color w:val="auto"/>
        </w:rPr>
        <w:t>review of our year-end financial statements and are not reported under “Audit Fees.” These services include attest services that are not required by statute or regulation and consultation concerning financial accounting and reporting standards. We did not pay WithumSmith+Brown, PC any audit-related fees during the period from July 31, 2020 (inception) through December 31, 2020.</w:t>
      </w:r>
    </w:p>
    <w:p>
      <w:pPr>
        <w:spacing w:after="0" w:line="171" w:lineRule="exact"/>
        <w:rPr>
          <w:sz w:val="20"/>
          <w:szCs w:val="20"/>
          <w:color w:val="auto"/>
        </w:rPr>
      </w:pPr>
    </w:p>
    <w:p>
      <w:pPr>
        <w:ind w:left="120" w:right="1160"/>
        <w:spacing w:after="0" w:line="308" w:lineRule="auto"/>
        <w:rPr>
          <w:sz w:val="20"/>
          <w:szCs w:val="20"/>
          <w:color w:val="auto"/>
        </w:rPr>
      </w:pPr>
      <w:r>
        <w:rPr>
          <w:rFonts w:ascii="Arial" w:cs="Arial" w:eastAsia="Arial" w:hAnsi="Arial"/>
          <w:sz w:val="17"/>
          <w:szCs w:val="17"/>
          <w:i w:val="1"/>
          <w:iCs w:val="1"/>
          <w:color w:val="auto"/>
        </w:rPr>
        <w:t>Tax Fees</w:t>
      </w:r>
      <w:r>
        <w:rPr>
          <w:rFonts w:ascii="Arial" w:cs="Arial" w:eastAsia="Arial" w:hAnsi="Arial"/>
          <w:sz w:val="17"/>
          <w:szCs w:val="17"/>
          <w:color w:val="auto"/>
        </w:rPr>
        <w:t>. Tax fees consist of fees billed for professional services relating to tax compliance, tax planning and tax advice. We did not pay</w:t>
      </w:r>
      <w:r>
        <w:rPr>
          <w:rFonts w:ascii="Arial" w:cs="Arial" w:eastAsia="Arial" w:hAnsi="Arial"/>
          <w:sz w:val="17"/>
          <w:szCs w:val="17"/>
          <w:i w:val="1"/>
          <w:iCs w:val="1"/>
          <w:color w:val="auto"/>
        </w:rPr>
        <w:t xml:space="preserve"> </w:t>
      </w:r>
      <w:r>
        <w:rPr>
          <w:rFonts w:ascii="Arial" w:cs="Arial" w:eastAsia="Arial" w:hAnsi="Arial"/>
          <w:sz w:val="17"/>
          <w:szCs w:val="17"/>
          <w:color w:val="auto"/>
        </w:rPr>
        <w:t>WithumSmith+Brown, PC any tax fees during the period from July 31, 2020 (inception) through December 31, 2020.</w:t>
      </w:r>
    </w:p>
    <w:p>
      <w:pPr>
        <w:spacing w:after="0" w:line="14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All other fees consist of fees billed for all other services. We did not pay WithumSmith+Brown, PC any other fees during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31, 2020 (inception) through December 31, 2020.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Policy</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860"/>
          </w:cols>
          <w:pgMar w:left="320" w:top="459" w:right="7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800" w:hanging="244"/>
        <w:spacing w:after="0"/>
        <w:tabs>
          <w:tab w:leader="none" w:pos="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Statements: See “Index to Financial Statements” at “Item 8. Financial Statements and Supplementary Data” herein.</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Financial Statement Schedules. All schedules are omitted for the reason that the information is included in the financial statements or the notes thereto or that they are not required or are not applicable.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Exhibits: The exhibits listed in the Exhibit Index below are filed or incorporated by reference as part of this Annual Report on Form 10-K.</w:t>
      </w:r>
    </w:p>
    <w:p>
      <w:pPr>
        <w:spacing w:after="0" w:line="200" w:lineRule="exact"/>
        <w:rPr>
          <w:sz w:val="20"/>
          <w:szCs w:val="20"/>
          <w:color w:val="auto"/>
        </w:rPr>
      </w:pP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20" w:type="dxa"/>
            <w:vAlign w:val="bottom"/>
            <w:gridSpan w:val="16"/>
          </w:tcPr>
          <w:p>
            <w:pPr>
              <w:jc w:val="center"/>
              <w:ind w:right="480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20" w:type="dxa"/>
            <w:vAlign w:val="bottom"/>
            <w:gridSpan w:val="16"/>
            <w:vMerge w:val="restart"/>
          </w:tcPr>
          <w:p>
            <w:pPr>
              <w:ind w:left="1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w:t>
            </w: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20" w:type="dxa"/>
            <w:vAlign w:val="bottom"/>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2.1†</w:t>
            </w:r>
          </w:p>
        </w:tc>
        <w:tc>
          <w:tcPr>
            <w:tcW w:w="780" w:type="dxa"/>
            <w:vAlign w:val="bottom"/>
          </w:tcPr>
          <w:p>
            <w:pPr>
              <w:spacing w:after="0"/>
              <w:rPr>
                <w:sz w:val="23"/>
                <w:szCs w:val="23"/>
                <w:color w:val="auto"/>
              </w:rPr>
            </w:pPr>
          </w:p>
        </w:tc>
        <w:tc>
          <w:tcPr>
            <w:tcW w:w="928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Business Combination Agreement, dated as of January 11, 2021, by and among the Company, Pylon Merger Company LLC and</w:t>
              </w:r>
            </w:hyperlink>
          </w:p>
        </w:tc>
        <w:tc>
          <w:tcPr>
            <w:tcW w:w="420" w:type="dxa"/>
            <w:vAlign w:val="bottom"/>
            <w:tcBorders>
              <w:top w:val="single" w:sz="8" w:color="auto"/>
            </w:tcBorders>
            <w:gridSpan w:val="8"/>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Bakkt Holdings, LLC (incorporated by reference to Exhibit 2.1 to the Company’s Current Report on Form 8-K (File No. 001-39544),</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700" w:type="dxa"/>
            <w:vAlign w:val="bottom"/>
            <w:gridSpan w:val="21"/>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filed with the Securities and Exchange Commission on January 11, 2021).</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jc w:val="right"/>
              <w:ind w:right="139"/>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4"/>
                <w:szCs w:val="24"/>
                <w:color w:val="auto"/>
              </w:rPr>
            </w:pPr>
          </w:p>
        </w:tc>
        <w:tc>
          <w:tcPr>
            <w:tcW w:w="9640" w:type="dxa"/>
            <w:vAlign w:val="bottom"/>
            <w:tcBorders>
              <w:bottom w:val="single" w:sz="8" w:color="0000EE"/>
            </w:tcBorders>
            <w:gridSpan w:val="19"/>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Amended and Restated Memorandum and Articles of Association (incorporated by reference to Exhibit 3.1 to the Company’s Current</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700" w:type="dxa"/>
            <w:vAlign w:val="bottom"/>
            <w:gridSpan w:val="21"/>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Report on Form 8-K (File No. 001-39544), filed with the Securities and Exchange Commission on September 28, 2020).</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9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jc w:val="right"/>
              <w:ind w:right="139"/>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9520" w:type="dxa"/>
            <w:vAlign w:val="bottom"/>
            <w:tcBorders>
              <w:bottom w:val="single" w:sz="8" w:color="0000EE"/>
            </w:tcBorders>
            <w:gridSpan w:val="17"/>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Specimen Unit Certificate (incorporated by reference to Exhibit 4.1 to the Company’s Registration Statement on Amendment No. 1</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to the Form S-1 (File No. 333-248619), filed with the Securities and Exchange Commission on September 16, 2020).</w:t>
              </w:r>
            </w:hyperlink>
          </w:p>
        </w:tc>
        <w:tc>
          <w:tcPr>
            <w:tcW w:w="12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jc w:val="right"/>
              <w:ind w:right="139"/>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9520" w:type="dxa"/>
            <w:vAlign w:val="bottom"/>
            <w:tcBorders>
              <w:bottom w:val="single" w:sz="8" w:color="0000EE"/>
            </w:tcBorders>
            <w:gridSpan w:val="17"/>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Specimen Class A Ordinary Share Certificate (incorporated by reference to Exhibit 4.2 to the Company’s Registration Statement on</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3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Amendment No. 1 to the Form S-1 (File No. 333-248619), filed with the Securities and Exchange Commission on September 16,</w:t>
              </w:r>
            </w:hyperlink>
          </w:p>
        </w:tc>
        <w:tc>
          <w:tcPr>
            <w:tcW w:w="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gridSpan w:val="2"/>
          </w:tcPr>
          <w:p>
            <w:pPr>
              <w:ind w:left="780"/>
              <w:spacing w:after="0" w:line="196" w:lineRule="exact"/>
              <w:rPr>
                <w:rFonts w:ascii="Arial" w:cs="Arial" w:eastAsia="Arial" w:hAnsi="Arial"/>
                <w:sz w:val="18"/>
                <w:szCs w:val="18"/>
                <w:color w:val="0000EE"/>
                <w:w w:val="86"/>
              </w:rPr>
            </w:pPr>
            <w:hyperlink r:id="rId111">
              <w:r>
                <w:rPr>
                  <w:rFonts w:ascii="Arial" w:cs="Arial" w:eastAsia="Arial" w:hAnsi="Arial"/>
                  <w:sz w:val="18"/>
                  <w:szCs w:val="18"/>
                  <w:color w:val="0000EE"/>
                  <w:w w:val="86"/>
                </w:rPr>
                <w:t>2020).</w:t>
              </w:r>
            </w:hyperlink>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jc w:val="right"/>
              <w:ind w:right="139"/>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9640" w:type="dxa"/>
            <w:vAlign w:val="bottom"/>
            <w:tcBorders>
              <w:bottom w:val="single" w:sz="8" w:color="0000EE"/>
            </w:tcBorders>
            <w:gridSpan w:val="19"/>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Specimen Warrant Certificate (incorporated by reference to Exhibit 4.3 to the Company’s Registration Statement on Amendment No.</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5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1 to the Form S-1 (File No. 333-248619), filed with the Securities and Exchange Commission on September 16, 2020).</w:t>
              </w:r>
            </w:hyperlink>
          </w:p>
        </w:tc>
        <w:tc>
          <w:tcPr>
            <w:tcW w:w="11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jc w:val="right"/>
              <w:ind w:right="139"/>
              <w:spacing w:after="0"/>
              <w:rPr>
                <w:sz w:val="20"/>
                <w:szCs w:val="20"/>
                <w:color w:val="auto"/>
              </w:rPr>
            </w:pPr>
            <w:r>
              <w:rPr>
                <w:rFonts w:ascii="Arial" w:cs="Arial" w:eastAsia="Arial" w:hAnsi="Arial"/>
                <w:sz w:val="18"/>
                <w:szCs w:val="18"/>
                <w:color w:val="auto"/>
              </w:rPr>
              <w:t>4.4</w:t>
            </w:r>
          </w:p>
        </w:tc>
        <w:tc>
          <w:tcPr>
            <w:tcW w:w="780" w:type="dxa"/>
            <w:vAlign w:val="bottom"/>
          </w:tcPr>
          <w:p>
            <w:pPr>
              <w:spacing w:after="0"/>
              <w:rPr>
                <w:sz w:val="24"/>
                <w:szCs w:val="24"/>
                <w:color w:val="auto"/>
              </w:rPr>
            </w:pPr>
          </w:p>
        </w:tc>
        <w:tc>
          <w:tcPr>
            <w:tcW w:w="9700" w:type="dxa"/>
            <w:vAlign w:val="bottom"/>
            <w:gridSpan w:val="21"/>
          </w:tcPr>
          <w:p>
            <w:pPr>
              <w:spacing w:after="0"/>
              <w:rPr>
                <w:rFonts w:ascii="Arial" w:cs="Arial" w:eastAsia="Arial" w:hAnsi="Arial"/>
                <w:sz w:val="18"/>
                <w:szCs w:val="18"/>
                <w:color w:val="0000EE"/>
                <w:w w:val="93"/>
              </w:rPr>
            </w:pPr>
            <w:hyperlink r:id="rId113">
              <w:r>
                <w:rPr>
                  <w:rFonts w:ascii="Arial" w:cs="Arial" w:eastAsia="Arial" w:hAnsi="Arial"/>
                  <w:sz w:val="18"/>
                  <w:szCs w:val="18"/>
                  <w:color w:val="0000EE"/>
                  <w:w w:val="93"/>
                </w:rPr>
                <w:t>Warrant Agreement by and between the Company and Continental Stock Transfer &amp; Trust Company (incorporated by reference 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3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700" w:type="dxa"/>
            <w:vAlign w:val="bottom"/>
            <w:gridSpan w:val="21"/>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Exhibit 4.1 to the Company’s Current Report on Form 8-K (File No. 001-39544), filed with the Securities and Exchange Commission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13">
              <w:r>
                <w:rPr>
                  <w:rFonts w:ascii="Arial" w:cs="Arial" w:eastAsia="Arial" w:hAnsi="Arial"/>
                  <w:sz w:val="18"/>
                  <w:szCs w:val="18"/>
                  <w:color w:val="0000EE"/>
                  <w:w w:val="88"/>
                </w:rPr>
                <w:t>on September 28, 2020).</w:t>
              </w:r>
            </w:hyperlink>
          </w:p>
        </w:tc>
        <w:tc>
          <w:tcPr>
            <w:tcW w:w="7880" w:type="dxa"/>
            <w:vAlign w:val="bottom"/>
            <w:tcBorders>
              <w:top w:val="single" w:sz="8" w:color="0000EE"/>
            </w:tcBorders>
            <w:gridSpan w:val="1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jc w:val="right"/>
              <w:ind w:right="59"/>
              <w:spacing w:after="0"/>
              <w:rPr>
                <w:sz w:val="20"/>
                <w:szCs w:val="20"/>
                <w:color w:val="auto"/>
              </w:rPr>
            </w:pPr>
            <w:r>
              <w:rPr>
                <w:rFonts w:ascii="Arial" w:cs="Arial" w:eastAsia="Arial" w:hAnsi="Arial"/>
                <w:sz w:val="18"/>
                <w:szCs w:val="18"/>
                <w:color w:val="auto"/>
              </w:rPr>
              <w:t>4.5*</w:t>
            </w:r>
          </w:p>
        </w:tc>
        <w:tc>
          <w:tcPr>
            <w:tcW w:w="780" w:type="dxa"/>
            <w:vAlign w:val="bottom"/>
          </w:tcPr>
          <w:p>
            <w:pPr>
              <w:spacing w:after="0"/>
              <w:rPr>
                <w:sz w:val="24"/>
                <w:szCs w:val="24"/>
                <w:color w:val="auto"/>
              </w:rPr>
            </w:pPr>
          </w:p>
        </w:tc>
        <w:tc>
          <w:tcPr>
            <w:tcW w:w="18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99">
              <w:r>
                <w:rPr>
                  <w:rFonts w:ascii="Arial" w:cs="Arial" w:eastAsia="Arial" w:hAnsi="Arial"/>
                  <w:sz w:val="18"/>
                  <w:szCs w:val="18"/>
                  <w:color w:val="0000EE"/>
                  <w:w w:val="91"/>
                </w:rPr>
                <w:t>Description of Securities.</w:t>
              </w:r>
            </w:hyperlink>
          </w:p>
        </w:tc>
        <w:tc>
          <w:tcPr>
            <w:tcW w:w="78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jc w:val="right"/>
              <w:ind w:right="139"/>
              <w:spacing w:after="0"/>
              <w:rPr>
                <w:sz w:val="20"/>
                <w:szCs w:val="20"/>
                <w:color w:val="auto"/>
              </w:rPr>
            </w:pPr>
            <w:r>
              <w:rPr>
                <w:rFonts w:ascii="Arial" w:cs="Arial" w:eastAsia="Arial" w:hAnsi="Arial"/>
                <w:sz w:val="18"/>
                <w:szCs w:val="18"/>
                <w:color w:val="auto"/>
                <w:w w:val="85"/>
              </w:rPr>
              <w:t>10.1</w:t>
            </w:r>
          </w:p>
        </w:tc>
        <w:tc>
          <w:tcPr>
            <w:tcW w:w="780" w:type="dxa"/>
            <w:vAlign w:val="bottom"/>
          </w:tcPr>
          <w:p>
            <w:pPr>
              <w:spacing w:after="0"/>
              <w:rPr>
                <w:sz w:val="24"/>
                <w:szCs w:val="24"/>
                <w:color w:val="auto"/>
              </w:rPr>
            </w:pPr>
          </w:p>
        </w:tc>
        <w:tc>
          <w:tcPr>
            <w:tcW w:w="9460" w:type="dxa"/>
            <w:vAlign w:val="bottom"/>
            <w:tcBorders>
              <w:bottom w:val="single" w:sz="8" w:color="0000EE"/>
            </w:tcBorders>
            <w:gridSpan w:val="16"/>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Letter Agreement among the Company, its officers, certain directors, dated as of September 22, 2020 (incorporated by reference to</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700" w:type="dxa"/>
            <w:vAlign w:val="bottom"/>
            <w:gridSpan w:val="21"/>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Exhibit 10.1 to the Company’s Current Report on Form 8-K (File No. 001-39544), filed with the Securities and Exchange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Commission on September 28, 2020).</w:t>
              </w:r>
            </w:hyperlink>
          </w:p>
        </w:tc>
        <w:tc>
          <w:tcPr>
            <w:tcW w:w="9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jc w:val="right"/>
              <w:ind w:right="139"/>
              <w:spacing w:after="0"/>
              <w:rPr>
                <w:sz w:val="20"/>
                <w:szCs w:val="20"/>
                <w:color w:val="auto"/>
              </w:rPr>
            </w:pPr>
            <w:r>
              <w:rPr>
                <w:rFonts w:ascii="Arial" w:cs="Arial" w:eastAsia="Arial" w:hAnsi="Arial"/>
                <w:sz w:val="18"/>
                <w:szCs w:val="18"/>
                <w:color w:val="auto"/>
                <w:w w:val="85"/>
              </w:rPr>
              <w:t>10.2</w:t>
            </w:r>
          </w:p>
        </w:tc>
        <w:tc>
          <w:tcPr>
            <w:tcW w:w="780" w:type="dxa"/>
            <w:vAlign w:val="bottom"/>
          </w:tcPr>
          <w:p>
            <w:pPr>
              <w:spacing w:after="0"/>
              <w:rPr>
                <w:sz w:val="24"/>
                <w:szCs w:val="24"/>
                <w:color w:val="auto"/>
              </w:rPr>
            </w:pPr>
          </w:p>
        </w:tc>
        <w:tc>
          <w:tcPr>
            <w:tcW w:w="9700" w:type="dxa"/>
            <w:vAlign w:val="bottom"/>
            <w:gridSpan w:val="21"/>
          </w:tcPr>
          <w:p>
            <w:pPr>
              <w:spacing w:after="0"/>
              <w:rPr>
                <w:rFonts w:ascii="Arial" w:cs="Arial" w:eastAsia="Arial" w:hAnsi="Arial"/>
                <w:sz w:val="18"/>
                <w:szCs w:val="18"/>
                <w:color w:val="0000EE"/>
                <w:w w:val="98"/>
              </w:rPr>
            </w:pPr>
            <w:hyperlink r:id="rId115">
              <w:r>
                <w:rPr>
                  <w:rFonts w:ascii="Arial" w:cs="Arial" w:eastAsia="Arial" w:hAnsi="Arial"/>
                  <w:sz w:val="18"/>
                  <w:szCs w:val="18"/>
                  <w:color w:val="0000EE"/>
                  <w:w w:val="98"/>
                </w:rPr>
                <w:t>Promissory Note issued to VPC Impact Acquisition Holdings Sponsor, LLC (incorporated by reference to Exhibit 10.6 to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80" w:type="dxa"/>
            <w:vAlign w:val="bottom"/>
            <w:gridSpan w:val="5"/>
            <w:shd w:val="clear" w:color="auto" w:fill="0000EE"/>
          </w:tcPr>
          <w:p>
            <w:pPr>
              <w:spacing w:after="0" w:line="20" w:lineRule="exact"/>
              <w:rPr>
                <w:sz w:val="1"/>
                <w:szCs w:val="1"/>
                <w:color w:val="auto"/>
              </w:rPr>
            </w:pPr>
          </w:p>
        </w:tc>
        <w:tc>
          <w:tcPr>
            <w:tcW w:w="552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700" w:type="dxa"/>
            <w:vAlign w:val="bottom"/>
            <w:gridSpan w:val="21"/>
          </w:tcPr>
          <w:p>
            <w:pPr>
              <w:spacing w:after="0" w:line="196" w:lineRule="exact"/>
              <w:rPr>
                <w:rFonts w:ascii="Arial" w:cs="Arial" w:eastAsia="Arial" w:hAnsi="Arial"/>
                <w:sz w:val="18"/>
                <w:szCs w:val="18"/>
                <w:color w:val="0000EE"/>
                <w:w w:val="97"/>
              </w:rPr>
            </w:pPr>
            <w:hyperlink r:id="rId115">
              <w:r>
                <w:rPr>
                  <w:rFonts w:ascii="Arial" w:cs="Arial" w:eastAsia="Arial" w:hAnsi="Arial"/>
                  <w:sz w:val="18"/>
                  <w:szCs w:val="18"/>
                  <w:color w:val="0000EE"/>
                  <w:w w:val="97"/>
                </w:rPr>
                <w:t>Company’s Registration Statement on Amendment No. 1 to the Form S-1 (File No. 333-248619), filed with the Securities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Exchange Commission on September 16, 2020).</w:t>
              </w:r>
            </w:hyperlink>
          </w:p>
        </w:tc>
        <w:tc>
          <w:tcPr>
            <w:tcW w:w="6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80" w:type="dxa"/>
            <w:vAlign w:val="bottom"/>
            <w:tcBorders>
              <w:top w:val="single" w:sz="8" w:color="0000EE"/>
            </w:tcBorders>
            <w:gridSpan w:val="5"/>
          </w:tcPr>
          <w:p>
            <w:pPr>
              <w:spacing w:after="0"/>
              <w:rPr>
                <w:sz w:val="24"/>
                <w:szCs w:val="24"/>
                <w:color w:val="auto"/>
              </w:rPr>
            </w:pPr>
          </w:p>
        </w:tc>
        <w:tc>
          <w:tcPr>
            <w:tcW w:w="1840" w:type="dxa"/>
            <w:vAlign w:val="bottom"/>
          </w:tcPr>
          <w:p>
            <w:pPr>
              <w:jc w:val="right"/>
              <w:ind w:right="956"/>
              <w:spacing w:after="0"/>
              <w:rPr>
                <w:sz w:val="20"/>
                <w:szCs w:val="20"/>
                <w:color w:val="auto"/>
              </w:rPr>
            </w:pPr>
            <w:r>
              <w:rPr>
                <w:rFonts w:ascii="Arial" w:cs="Arial" w:eastAsia="Arial" w:hAnsi="Arial"/>
                <w:sz w:val="18"/>
                <w:szCs w:val="18"/>
                <w:color w:val="auto"/>
              </w:rPr>
              <w:t>95</w:t>
            </w: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5" w:name="page96"/>
    <w:bookmarkEnd w:id="9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93"/>
        </w:trPr>
        <w:tc>
          <w:tcPr>
            <w:tcW w:w="1360" w:type="dxa"/>
            <w:vAlign w:val="bottom"/>
          </w:tcPr>
          <w:p>
            <w:pPr>
              <w:ind w:left="12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w w:val="97"/>
              </w:rPr>
            </w:pPr>
            <w:hyperlink r:id="rId117">
              <w:r>
                <w:rPr>
                  <w:rFonts w:ascii="Arial" w:cs="Arial" w:eastAsia="Arial" w:hAnsi="Arial"/>
                  <w:sz w:val="18"/>
                  <w:szCs w:val="18"/>
                  <w:color w:val="0000EE"/>
                  <w:w w:val="97"/>
                </w:rPr>
                <w:t>Registration Rights Agreement, dated September 22, 2020, by and among the Company, VPC Impact Acquisition Holdings</w:t>
              </w:r>
            </w:hyperlink>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gridSpan w:val="24"/>
          </w:tcPr>
          <w:p>
            <w:pPr>
              <w:spacing w:after="0" w:line="19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Sponsor, LLC and the holders party thereto (incorporated by reference to Exhibit 10.3 to the Company’s Current Report on Form</w:t>
              </w:r>
            </w:hyperlink>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8-K (File No. 001-39544), filed with the Securities and Exchange Commission on September 28, 2020).</w:t>
              </w:r>
            </w:hyperlink>
          </w:p>
        </w:tc>
        <w:tc>
          <w:tcPr>
            <w:tcW w:w="260" w:type="dxa"/>
            <w:vAlign w:val="bottom"/>
            <w:gridSpan w:val="5"/>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w w:val="93"/>
              </w:rPr>
            </w:pPr>
            <w:hyperlink r:id="rId118">
              <w:r>
                <w:rPr>
                  <w:rFonts w:ascii="Arial" w:cs="Arial" w:eastAsia="Arial" w:hAnsi="Arial"/>
                  <w:sz w:val="18"/>
                  <w:szCs w:val="18"/>
                  <w:color w:val="0000EE"/>
                  <w:w w:val="93"/>
                </w:rPr>
                <w:t>Administrative Service Agreement, dated as of September 22, 2020, by and between the Company and VPC Impact Acquisition</w:t>
              </w:r>
            </w:hyperlink>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Holdings Sponsor, LLC (incorporated by reference to Exhibit 10.5 to the Company’s Current Report on Form 8-K (File</w:t>
              </w:r>
            </w:hyperlink>
          </w:p>
        </w:tc>
        <w:tc>
          <w:tcPr>
            <w:tcW w:w="660" w:type="dxa"/>
            <w:vAlign w:val="bottom"/>
            <w:tcBorders>
              <w:top w:val="single" w:sz="8" w:color="0000EE"/>
            </w:tcBorders>
            <w:gridSpan w:val="5"/>
          </w:tcPr>
          <w:p>
            <w:pPr>
              <w:spacing w:after="0"/>
              <w:rPr>
                <w:sz w:val="17"/>
                <w:szCs w:val="17"/>
                <w:color w:val="auto"/>
              </w:rPr>
            </w:pPr>
          </w:p>
        </w:tc>
        <w:tc>
          <w:tcPr>
            <w:tcW w:w="28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gridSpan w:val="24"/>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No. 001-39544), filed with the Securities and Exchange Commission on September 28, 2020).</w:t>
              </w:r>
            </w:hyperlink>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9520" w:type="dxa"/>
            <w:vAlign w:val="bottom"/>
            <w:tcBorders>
              <w:bottom w:val="single" w:sz="8" w:color="0000EE"/>
            </w:tcBorders>
            <w:gridSpan w:val="23"/>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Securities Subscription Agreement, dated as of August 3, 2020, by and between the Company and VPC Impact Acquisition Holding</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Sponsor, LLC (incorporated by reference to Exhibit 10.7 to the Company’s Registration Statement on Amendment No. 1 to the</w:t>
              </w:r>
            </w:hyperlink>
          </w:p>
        </w:tc>
        <w:tc>
          <w:tcPr>
            <w:tcW w:w="40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gridSpan w:val="24"/>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Form S-1 (File No. 333-248619), filed with the Securities and Exchange Commission on September 16, 2020).</w:t>
              </w:r>
            </w:hyperlink>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Form of Indemnity Agreement (incorporated by reference to Exhibit 10.5 to the Company’s Registration Statement on Amendment</w:t>
              </w:r>
            </w:hyperlink>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No. 1 to the Form S-1 (File No. 333-248619), filed with the Securities and Exchange Commission on September 16, 2020).</w:t>
              </w:r>
            </w:hyperlink>
          </w:p>
        </w:tc>
        <w:tc>
          <w:tcPr>
            <w:tcW w:w="560" w:type="dxa"/>
            <w:vAlign w:val="bottom"/>
            <w:tcBorders>
              <w:top w:val="single" w:sz="8" w:color="0000EE"/>
            </w:tcBorders>
            <w:gridSpan w:val="7"/>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w w:val="97"/>
              </w:rPr>
            </w:pPr>
            <w:hyperlink r:id="rId121">
              <w:r>
                <w:rPr>
                  <w:rFonts w:ascii="Arial" w:cs="Arial" w:eastAsia="Arial" w:hAnsi="Arial"/>
                  <w:sz w:val="18"/>
                  <w:szCs w:val="18"/>
                  <w:color w:val="0000EE"/>
                  <w:w w:val="97"/>
                </w:rPr>
                <w:t>Amendment to the Letter Agreement, dated as of January 11, 2021, by and among the Registrant, its executive officers, its</w:t>
              </w:r>
            </w:hyperlink>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gridSpan w:val="24"/>
          </w:tcPr>
          <w:p>
            <w:pPr>
              <w:spacing w:after="0" w:line="196" w:lineRule="exact"/>
              <w:rPr>
                <w:rFonts w:ascii="Arial" w:cs="Arial" w:eastAsia="Arial" w:hAnsi="Arial"/>
                <w:sz w:val="18"/>
                <w:szCs w:val="18"/>
                <w:color w:val="0000EE"/>
                <w:w w:val="93"/>
              </w:rPr>
            </w:pPr>
            <w:hyperlink r:id="rId121">
              <w:r>
                <w:rPr>
                  <w:rFonts w:ascii="Arial" w:cs="Arial" w:eastAsia="Arial" w:hAnsi="Arial"/>
                  <w:sz w:val="18"/>
                  <w:szCs w:val="18"/>
                  <w:color w:val="0000EE"/>
                  <w:w w:val="93"/>
                </w:rPr>
                <w:t>directors, VPC Impact Acquisition Holdings Sponsor, LLC, and Bakkt Holdings, Inc. (incorporated by reference to Exhibit 10.3 to</w:t>
              </w:r>
            </w:hyperlink>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the Company’s Current Report on Form 8-K (File No. 001-39544), filed with the Securities and Exchange Commission on</w:t>
              </w:r>
            </w:hyperlink>
          </w:p>
        </w:tc>
        <w:tc>
          <w:tcPr>
            <w:tcW w:w="560" w:type="dxa"/>
            <w:vAlign w:val="bottom"/>
            <w:tcBorders>
              <w:top w:val="single" w:sz="8" w:color="0000EE"/>
            </w:tcBorders>
            <w:gridSpan w:val="7"/>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gridSpan w:val="24"/>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January 11, 2021).</w:t>
              </w:r>
            </w:hyperlink>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9300" w:type="dxa"/>
            <w:vAlign w:val="bottom"/>
            <w:tcBorders>
              <w:bottom w:val="single" w:sz="8" w:color="0000EE"/>
            </w:tcBorders>
            <w:gridSpan w:val="20"/>
          </w:tcPr>
          <w:p>
            <w:pPr>
              <w:spacing w:after="0"/>
              <w:rPr>
                <w:rFonts w:ascii="Arial" w:cs="Arial" w:eastAsia="Arial" w:hAnsi="Arial"/>
                <w:sz w:val="18"/>
                <w:szCs w:val="18"/>
                <w:color w:val="0000EE"/>
                <w:w w:val="89"/>
              </w:rPr>
            </w:pPr>
            <w:hyperlink r:id="rId122">
              <w:r>
                <w:rPr>
                  <w:rFonts w:ascii="Arial" w:cs="Arial" w:eastAsia="Arial" w:hAnsi="Arial"/>
                  <w:sz w:val="18"/>
                  <w:szCs w:val="18"/>
                  <w:color w:val="0000EE"/>
                  <w:w w:val="89"/>
                </w:rPr>
                <w:t>Support Agreement, dated as of January 11, 2021, by and among the Company and the subscribers party thereto (incorporated by</w:t>
              </w:r>
            </w:hyperlink>
          </w:p>
        </w:tc>
        <w:tc>
          <w:tcPr>
            <w:tcW w:w="24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reference to Exhibit 10.2 to the Company’s Current Report on Form 8-K (File No. 001-39544), filed with the Securities and</w:t>
              </w:r>
            </w:hyperlink>
          </w:p>
        </w:tc>
        <w:tc>
          <w:tcPr>
            <w:tcW w:w="62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gridSpan w:val="24"/>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Exchange Commission on January 11, 2021).</w:t>
              </w:r>
            </w:hyperlink>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9540" w:type="dxa"/>
            <w:vAlign w:val="bottom"/>
            <w:tcBorders>
              <w:bottom w:val="single" w:sz="8" w:color="0000EE"/>
            </w:tcBorders>
            <w:gridSpan w:val="24"/>
          </w:tcPr>
          <w:p>
            <w:pPr>
              <w:spacing w:after="0"/>
              <w:rPr>
                <w:rFonts w:ascii="Arial" w:cs="Arial" w:eastAsia="Arial" w:hAnsi="Arial"/>
                <w:sz w:val="18"/>
                <w:szCs w:val="18"/>
                <w:color w:val="0000EE"/>
                <w:w w:val="90"/>
              </w:rPr>
            </w:pPr>
            <w:hyperlink r:id="rId122">
              <w:r>
                <w:rPr>
                  <w:rFonts w:ascii="Arial" w:cs="Arial" w:eastAsia="Arial" w:hAnsi="Arial"/>
                  <w:sz w:val="18"/>
                  <w:szCs w:val="18"/>
                  <w:color w:val="0000EE"/>
                  <w:w w:val="90"/>
                </w:rPr>
                <w:t>Support Agreement, dated as of January 11, 2021, by and among the Registrant, Intercontinental Exchange Holdings, Inc. and Bakkt</w:t>
              </w:r>
            </w:hyperlink>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Holdings, LLC. (incorporated by reference to Exhibit 10.2 to the Company’s Current Report on Form 8-K (File No. 001-39544),</w:t>
              </w:r>
            </w:hyperlink>
          </w:p>
        </w:tc>
        <w:tc>
          <w:tcPr>
            <w:tcW w:w="28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gridSpan w:val="24"/>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filed with the Securities and Exchange Commission on January 11, 2021).</w:t>
              </w:r>
            </w:hyperlink>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w w:val="94"/>
              </w:rPr>
            </w:pPr>
            <w:hyperlink r:id="rId122">
              <w:r>
                <w:rPr>
                  <w:rFonts w:ascii="Arial" w:cs="Arial" w:eastAsia="Arial" w:hAnsi="Arial"/>
                  <w:sz w:val="18"/>
                  <w:szCs w:val="18"/>
                  <w:color w:val="0000EE"/>
                  <w:w w:val="94"/>
                </w:rPr>
                <w:t>Form of Subscription Agreement (incorporated by reference to Exhibit 10.1 to the Company’s Current Report on Form 8-K (File</w:t>
              </w:r>
            </w:hyperlink>
          </w:p>
        </w:tc>
      </w:tr>
      <w:tr>
        <w:trPr>
          <w:trHeight w:val="196"/>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No. 001-39544), filed with the Securities and Exchange Commission on January 11, 2021).</w:t>
              </w:r>
            </w:hyperlink>
          </w:p>
        </w:tc>
        <w:tc>
          <w:tcPr>
            <w:tcW w:w="280" w:type="dxa"/>
            <w:vAlign w:val="bottom"/>
            <w:gridSpan w:val="6"/>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2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13">
              <w:r>
                <w:rPr>
                  <w:rFonts w:ascii="Arial" w:cs="Arial" w:eastAsia="Arial" w:hAnsi="Arial"/>
                  <w:sz w:val="18"/>
                  <w:szCs w:val="18"/>
                  <w:color w:val="0000EE"/>
                  <w:w w:val="89"/>
                </w:rPr>
                <w:t>Code of Business Conduct and Ethics.</w:t>
              </w:r>
            </w:hyperlink>
          </w:p>
        </w:tc>
        <w:tc>
          <w:tcPr>
            <w:tcW w:w="3800" w:type="dxa"/>
            <w:vAlign w:val="bottom"/>
            <w:tcBorders>
              <w:top w:val="single" w:sz="8" w:color="0000EE"/>
            </w:tcBorders>
            <w:gridSpan w:val="6"/>
          </w:tcPr>
          <w:p>
            <w:pPr>
              <w:spacing w:after="0"/>
              <w:rPr>
                <w:sz w:val="24"/>
                <w:szCs w:val="24"/>
                <w:color w:val="auto"/>
              </w:rPr>
            </w:pPr>
          </w:p>
        </w:tc>
        <w:tc>
          <w:tcPr>
            <w:tcW w:w="2980" w:type="dxa"/>
            <w:vAlign w:val="bottom"/>
            <w:gridSpan w:val="16"/>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44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Power of Attorney (included on signature page of this report).</w:t>
              </w:r>
            </w:hyperlink>
          </w:p>
        </w:tc>
        <w:tc>
          <w:tcPr>
            <w:tcW w:w="5080" w:type="dxa"/>
            <w:vAlign w:val="bottom"/>
            <w:gridSpan w:val="20"/>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65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18">
              <w:r>
                <w:rPr>
                  <w:rFonts w:ascii="Arial" w:cs="Arial" w:eastAsia="Arial" w:hAnsi="Arial"/>
                  <w:sz w:val="18"/>
                  <w:szCs w:val="18"/>
                  <w:color w:val="0000EE"/>
                  <w:w w:val="92"/>
                </w:rPr>
                <w:t>Certification of the Chief Executive Officer required by Rule 13a-14(a) or Rule 15d-14(a).</w:t>
              </w:r>
            </w:hyperlink>
          </w:p>
        </w:tc>
        <w:tc>
          <w:tcPr>
            <w:tcW w:w="3020" w:type="dxa"/>
            <w:vAlign w:val="bottom"/>
            <w:gridSpan w:val="17"/>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Certification of the Chief Financial Officer required by Rule 13a-14(a) or Rule 15d-14(a).</w:t>
              </w:r>
            </w:hyperlink>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60" w:type="dxa"/>
            <w:vAlign w:val="bottom"/>
            <w:gridSpan w:val="6"/>
            <w:shd w:val="clear" w:color="auto" w:fill="0000EE"/>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12"/>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800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20">
              <w:r>
                <w:rPr>
                  <w:rFonts w:ascii="Arial" w:cs="Arial" w:eastAsia="Arial" w:hAnsi="Arial"/>
                  <w:sz w:val="18"/>
                  <w:szCs w:val="18"/>
                  <w:color w:val="0000EE"/>
                  <w:w w:val="91"/>
                </w:rPr>
                <w:t>Certification of the Chief Executive Officer required by Rule 13a-14(b) or Rule 15d-14(b) and 18 U.S.C. 1350.</w:t>
              </w:r>
            </w:hyperlink>
          </w:p>
        </w:tc>
        <w:tc>
          <w:tcPr>
            <w:tcW w:w="1540" w:type="dxa"/>
            <w:vAlign w:val="bottom"/>
            <w:gridSpan w:val="12"/>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Certification of the Chief Financial Officer required by Rule 13a-14(b) or Rule 15d-14(b) and 18 U.S.C. 1350.</w:t>
              </w:r>
            </w:hyperlink>
          </w:p>
        </w:tc>
      </w:tr>
      <w:tr>
        <w:trPr>
          <w:trHeight w:val="345"/>
        </w:trPr>
        <w:tc>
          <w:tcPr>
            <w:tcW w:w="1360" w:type="dxa"/>
            <w:vAlign w:val="bottom"/>
          </w:tcPr>
          <w:p>
            <w:pPr>
              <w:ind w:left="120"/>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798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rPr>
              <w:t>XBRL Instance Document</w:t>
            </w:r>
          </w:p>
        </w:tc>
        <w:tc>
          <w:tcPr>
            <w:tcW w:w="1560" w:type="dxa"/>
            <w:vAlign w:val="bottom"/>
            <w:gridSpan w:val="13"/>
          </w:tcPr>
          <w:p>
            <w:pPr>
              <w:spacing w:after="0"/>
              <w:rPr>
                <w:sz w:val="24"/>
                <w:szCs w:val="24"/>
                <w:color w:val="auto"/>
              </w:rPr>
            </w:pPr>
          </w:p>
        </w:tc>
      </w:tr>
      <w:tr>
        <w:trPr>
          <w:trHeight w:val="324"/>
        </w:trPr>
        <w:tc>
          <w:tcPr>
            <w:tcW w:w="1360" w:type="dxa"/>
            <w:vAlign w:val="bottom"/>
          </w:tcPr>
          <w:p>
            <w:pPr>
              <w:ind w:left="120"/>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9540" w:type="dxa"/>
            <w:vAlign w:val="bottom"/>
            <w:gridSpan w:val="2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360" w:type="dxa"/>
            <w:vAlign w:val="bottom"/>
          </w:tcPr>
          <w:p>
            <w:pPr>
              <w:ind w:left="120"/>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9540" w:type="dxa"/>
            <w:vAlign w:val="bottom"/>
            <w:gridSpan w:val="2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360" w:type="dxa"/>
            <w:vAlign w:val="bottom"/>
          </w:tcPr>
          <w:p>
            <w:pPr>
              <w:ind w:left="120"/>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9540" w:type="dxa"/>
            <w:vAlign w:val="bottom"/>
            <w:gridSpan w:val="2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360" w:type="dxa"/>
            <w:vAlign w:val="bottom"/>
          </w:tcPr>
          <w:p>
            <w:pPr>
              <w:ind w:left="120"/>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9540" w:type="dxa"/>
            <w:vAlign w:val="bottom"/>
            <w:gridSpan w:val="2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360" w:type="dxa"/>
            <w:vAlign w:val="bottom"/>
          </w:tcPr>
          <w:p>
            <w:pPr>
              <w:ind w:left="120"/>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9540" w:type="dxa"/>
            <w:vAlign w:val="bottom"/>
            <w:gridSpan w:val="2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4"/>
        </w:trPr>
        <w:tc>
          <w:tcPr>
            <w:tcW w:w="1360" w:type="dxa"/>
            <w:vAlign w:val="bottom"/>
          </w:tcPr>
          <w:p>
            <w:pPr>
              <w:spacing w:after="0"/>
              <w:rPr>
                <w:sz w:val="24"/>
                <w:szCs w:val="24"/>
                <w:color w:val="auto"/>
              </w:rPr>
            </w:pPr>
          </w:p>
        </w:tc>
        <w:tc>
          <w:tcPr>
            <w:tcW w:w="4680" w:type="dxa"/>
            <w:vAlign w:val="bottom"/>
            <w:gridSpan w:val="5"/>
          </w:tcPr>
          <w:p>
            <w:pPr>
              <w:jc w:val="right"/>
              <w:ind w:right="320"/>
              <w:spacing w:after="0"/>
              <w:rPr>
                <w:sz w:val="20"/>
                <w:szCs w:val="20"/>
                <w:color w:val="auto"/>
              </w:rPr>
            </w:pPr>
            <w:r>
              <w:rPr>
                <w:rFonts w:ascii="Arial" w:cs="Arial" w:eastAsia="Arial" w:hAnsi="Arial"/>
                <w:sz w:val="18"/>
                <w:szCs w:val="18"/>
                <w:color w:val="auto"/>
              </w:rPr>
              <w:t>96</w:t>
            </w: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46"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258"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540" w:hanging="424"/>
        <w:spacing w:after="0" w:line="255"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color w:val="auto"/>
              </w:rPr>
              <w:t>Date: March 30, 2021</w:t>
            </w:r>
          </w:p>
        </w:tc>
        <w:tc>
          <w:tcPr>
            <w:tcW w:w="7640" w:type="dxa"/>
            <w:vAlign w:val="bottom"/>
            <w:gridSpan w:val="2"/>
          </w:tcPr>
          <w:p>
            <w:pPr>
              <w:ind w:left="1780"/>
              <w:spacing w:after="0"/>
              <w:rPr>
                <w:sz w:val="20"/>
                <w:szCs w:val="20"/>
                <w:color w:val="auto"/>
              </w:rPr>
            </w:pPr>
            <w:r>
              <w:rPr>
                <w:rFonts w:ascii="Arial" w:cs="Arial" w:eastAsia="Arial" w:hAnsi="Arial"/>
                <w:sz w:val="18"/>
                <w:szCs w:val="18"/>
                <w:b w:val="1"/>
                <w:bCs w:val="1"/>
                <w:color w:val="auto"/>
              </w:rPr>
              <w:t>VPC Impact Acquisition Holdings</w:t>
            </w:r>
          </w:p>
        </w:tc>
      </w:tr>
      <w:tr>
        <w:trPr>
          <w:trHeight w:val="432"/>
        </w:trPr>
        <w:tc>
          <w:tcPr>
            <w:tcW w:w="3380" w:type="dxa"/>
            <w:vAlign w:val="bottom"/>
          </w:tcPr>
          <w:p>
            <w:pPr>
              <w:spacing w:after="0"/>
              <w:rPr>
                <w:sz w:val="24"/>
                <w:szCs w:val="24"/>
                <w:color w:val="auto"/>
              </w:rPr>
            </w:pPr>
          </w:p>
        </w:tc>
        <w:tc>
          <w:tcPr>
            <w:tcW w:w="2460" w:type="dxa"/>
            <w:vAlign w:val="bottom"/>
          </w:tcPr>
          <w:p>
            <w:pPr>
              <w:ind w:left="17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Martin</w:t>
            </w:r>
          </w:p>
        </w:tc>
      </w:tr>
      <w:tr>
        <w:trPr>
          <w:trHeight w:val="209"/>
        </w:trPr>
        <w:tc>
          <w:tcPr>
            <w:tcW w:w="3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Name: John Martin</w:t>
            </w:r>
          </w:p>
        </w:tc>
      </w:tr>
      <w:tr>
        <w:trPr>
          <w:trHeight w:val="230"/>
        </w:trPr>
        <w:tc>
          <w:tcPr>
            <w:tcW w:w="33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Title: Chief Executive Officer and Chairman</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John Martin, Gordon Watson and Olibia Stamatoglou, and each or any one of them,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substitutes or substitute, may lawfully do or cause to be done by virtue hereof.</w:t>
      </w:r>
    </w:p>
    <w:p>
      <w:pPr>
        <w:spacing w:after="0" w:line="192"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Martin</w:t>
            </w:r>
          </w:p>
        </w:tc>
        <w:tc>
          <w:tcPr>
            <w:tcW w:w="3880" w:type="dxa"/>
            <w:vAlign w:val="bottom"/>
          </w:tcPr>
          <w:p>
            <w:pPr>
              <w:ind w:left="120"/>
              <w:spacing w:after="0"/>
              <w:rPr>
                <w:sz w:val="20"/>
                <w:szCs w:val="20"/>
                <w:color w:val="auto"/>
              </w:rPr>
            </w:pPr>
            <w:r>
              <w:rPr>
                <w:rFonts w:ascii="Arial" w:cs="Arial" w:eastAsia="Arial" w:hAnsi="Arial"/>
                <w:sz w:val="18"/>
                <w:szCs w:val="18"/>
                <w:color w:val="auto"/>
              </w:rPr>
              <w:t>Chief Executive Officer and Chairman</w:t>
            </w:r>
          </w:p>
        </w:tc>
        <w:tc>
          <w:tcPr>
            <w:tcW w:w="1800" w:type="dxa"/>
            <w:vAlign w:val="bottom"/>
          </w:tcPr>
          <w:p>
            <w:pPr>
              <w:ind w:left="640"/>
              <w:spacing w:after="0"/>
              <w:rPr>
                <w:sz w:val="20"/>
                <w:szCs w:val="20"/>
                <w:color w:val="auto"/>
              </w:rPr>
            </w:pPr>
            <w:r>
              <w:rPr>
                <w:rFonts w:ascii="Arial" w:cs="Arial" w:eastAsia="Arial" w:hAnsi="Arial"/>
                <w:sz w:val="18"/>
                <w:szCs w:val="18"/>
                <w:color w:val="auto"/>
                <w:w w:val="91"/>
              </w:rPr>
              <w:t>March 30,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John Martin</w:t>
            </w:r>
          </w:p>
        </w:tc>
        <w:tc>
          <w:tcPr>
            <w:tcW w:w="388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180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Gordon Watson</w:t>
            </w:r>
          </w:p>
        </w:tc>
        <w:tc>
          <w:tcPr>
            <w:tcW w:w="3880" w:type="dxa"/>
            <w:vAlign w:val="bottom"/>
          </w:tcPr>
          <w:p>
            <w:pPr>
              <w:ind w:left="120"/>
              <w:spacing w:after="0"/>
              <w:rPr>
                <w:sz w:val="20"/>
                <w:szCs w:val="20"/>
                <w:color w:val="auto"/>
              </w:rPr>
            </w:pPr>
            <w:r>
              <w:rPr>
                <w:rFonts w:ascii="Arial" w:cs="Arial" w:eastAsia="Arial" w:hAnsi="Arial"/>
                <w:sz w:val="18"/>
                <w:szCs w:val="18"/>
                <w:color w:val="auto"/>
              </w:rPr>
              <w:t>Chief Operating Officer and President</w:t>
            </w:r>
          </w:p>
        </w:tc>
        <w:tc>
          <w:tcPr>
            <w:tcW w:w="1800" w:type="dxa"/>
            <w:vAlign w:val="bottom"/>
          </w:tcPr>
          <w:p>
            <w:pPr>
              <w:ind w:left="640"/>
              <w:spacing w:after="0"/>
              <w:rPr>
                <w:sz w:val="20"/>
                <w:szCs w:val="20"/>
                <w:color w:val="auto"/>
              </w:rPr>
            </w:pPr>
            <w:r>
              <w:rPr>
                <w:rFonts w:ascii="Arial" w:cs="Arial" w:eastAsia="Arial" w:hAnsi="Arial"/>
                <w:sz w:val="18"/>
                <w:szCs w:val="18"/>
                <w:color w:val="auto"/>
                <w:w w:val="91"/>
              </w:rPr>
              <w:t>March 30,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Gordon Watson</w:t>
            </w:r>
          </w:p>
        </w:tc>
        <w:tc>
          <w:tcPr>
            <w:tcW w:w="38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Olibia Stamatoglou</w:t>
            </w:r>
          </w:p>
        </w:tc>
        <w:tc>
          <w:tcPr>
            <w:tcW w:w="38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1800" w:type="dxa"/>
            <w:vAlign w:val="bottom"/>
          </w:tcPr>
          <w:p>
            <w:pPr>
              <w:ind w:left="640"/>
              <w:spacing w:after="0"/>
              <w:rPr>
                <w:sz w:val="20"/>
                <w:szCs w:val="20"/>
                <w:color w:val="auto"/>
              </w:rPr>
            </w:pPr>
            <w:r>
              <w:rPr>
                <w:rFonts w:ascii="Arial" w:cs="Arial" w:eastAsia="Arial" w:hAnsi="Arial"/>
                <w:sz w:val="18"/>
                <w:szCs w:val="18"/>
                <w:color w:val="auto"/>
                <w:w w:val="91"/>
              </w:rPr>
              <w:t>March 30,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Olibia Stamatoglou</w:t>
            </w:r>
          </w:p>
        </w:tc>
        <w:tc>
          <w:tcPr>
            <w:tcW w:w="388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180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Adrienne Harris</w:t>
            </w:r>
          </w:p>
        </w:tc>
        <w:tc>
          <w:tcPr>
            <w:tcW w:w="38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640"/>
              <w:spacing w:after="0"/>
              <w:rPr>
                <w:sz w:val="20"/>
                <w:szCs w:val="20"/>
                <w:color w:val="auto"/>
              </w:rPr>
            </w:pPr>
            <w:r>
              <w:rPr>
                <w:rFonts w:ascii="Arial" w:cs="Arial" w:eastAsia="Arial" w:hAnsi="Arial"/>
                <w:sz w:val="18"/>
                <w:szCs w:val="18"/>
                <w:color w:val="auto"/>
                <w:w w:val="91"/>
              </w:rPr>
              <w:t>March 30,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Adrienne Harris</w:t>
            </w:r>
          </w:p>
        </w:tc>
        <w:tc>
          <w:tcPr>
            <w:tcW w:w="38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Kai Schmitz</w:t>
            </w:r>
          </w:p>
        </w:tc>
        <w:tc>
          <w:tcPr>
            <w:tcW w:w="38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640"/>
              <w:spacing w:after="0"/>
              <w:rPr>
                <w:sz w:val="20"/>
                <w:szCs w:val="20"/>
                <w:color w:val="auto"/>
              </w:rPr>
            </w:pPr>
            <w:r>
              <w:rPr>
                <w:rFonts w:ascii="Arial" w:cs="Arial" w:eastAsia="Arial" w:hAnsi="Arial"/>
                <w:sz w:val="18"/>
                <w:szCs w:val="18"/>
                <w:color w:val="auto"/>
                <w:w w:val="91"/>
              </w:rPr>
              <w:t>March 30,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Kai Schmitz</w:t>
            </w:r>
          </w:p>
        </w:tc>
        <w:tc>
          <w:tcPr>
            <w:tcW w:w="38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Kurt Summers</w:t>
            </w:r>
          </w:p>
        </w:tc>
        <w:tc>
          <w:tcPr>
            <w:tcW w:w="38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640"/>
              <w:spacing w:after="0"/>
              <w:rPr>
                <w:sz w:val="20"/>
                <w:szCs w:val="20"/>
                <w:color w:val="auto"/>
              </w:rPr>
            </w:pPr>
            <w:r>
              <w:rPr>
                <w:rFonts w:ascii="Arial" w:cs="Arial" w:eastAsia="Arial" w:hAnsi="Arial"/>
                <w:sz w:val="18"/>
                <w:szCs w:val="18"/>
                <w:color w:val="auto"/>
                <w:w w:val="91"/>
              </w:rPr>
              <w:t>March 30,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Kurt Summers</w:t>
            </w:r>
          </w:p>
        </w:tc>
        <w:tc>
          <w:tcPr>
            <w:tcW w:w="38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64"/>
        </w:trPr>
        <w:tc>
          <w:tcPr>
            <w:tcW w:w="4620" w:type="dxa"/>
            <w:vAlign w:val="bottom"/>
          </w:tcPr>
          <w:p>
            <w:pPr>
              <w:spacing w:after="0"/>
              <w:rPr>
                <w:sz w:val="24"/>
                <w:szCs w:val="24"/>
                <w:color w:val="auto"/>
              </w:rPr>
            </w:pPr>
          </w:p>
        </w:tc>
        <w:tc>
          <w:tcPr>
            <w:tcW w:w="3880" w:type="dxa"/>
            <w:vAlign w:val="bottom"/>
          </w:tcPr>
          <w:p>
            <w:pPr>
              <w:ind w:left="800"/>
              <w:spacing w:after="0"/>
              <w:rPr>
                <w:sz w:val="20"/>
                <w:szCs w:val="20"/>
                <w:color w:val="auto"/>
              </w:rPr>
            </w:pPr>
            <w:r>
              <w:rPr>
                <w:rFonts w:ascii="Arial" w:cs="Arial" w:eastAsia="Arial" w:hAnsi="Arial"/>
                <w:sz w:val="18"/>
                <w:szCs w:val="18"/>
                <w:color w:val="auto"/>
              </w:rPr>
              <w:t>98</w:t>
            </w:r>
          </w:p>
        </w:tc>
        <w:tc>
          <w:tcPr>
            <w:tcW w:w="18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4.5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a Cayman Islands exempted company (company number 364819) and our affairs are governed by our amended and restated memorandum and articles of association, the Companies Law and the common law of the Cayman Islands. Pursuant to our amended and restated memorandum and articles of association which was adopted upon the consummation of our initial public offering, we are authorized to issue 220,000,000 ordinary shares, $0.0001 par value each, including 200,000,000 Class A ordinary shares and 20,000,000 Class B ordinary shares, as well as 1,000,000 preferred shares, $0.0001 par value each. The following description summarizes certain terms of our shares as set out more particularly in our amended and restated memorandum and articles of association. Because it is only a summary, it may not contain all the information that is important to you.</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Units</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Each unit had an offering price of $10.00 and consists of one Class A ordinary share and one-half of one warrant. Each whole warrant entitles the holder thereof to purchase one Class A ordinary share at a price of $11.50 per share, subject to adjustment. Pursuant to the warrant agreement, a warrant holder may exercise its warrants only for a whole number of the Company’s Class A ordinary shares. This means only a whole warrant may be exercised at any given time by a warrant holder. For example, if a warrant holder holds one-half of one warrant to purchase a Class A ordinary share, such warrant will not be exercisable. If a warrant holder holds two-halves of one warrant, such whole warrant will be exercisable for one Class A ordinary share at a price of $11.50 per share. The Class A ordinary shares and warrants have commenced separate trading, and holders have the option to continue to hold units or separate their units into the component securities. Holders will need to have their brokers contact our transfer agent in order to separate the units into Class A ordinary shares and warrants. No fractional warrants have been or will be issued upon separation of the units and only whole warrants trade. Accordingly, unless you purchase at least two units, you will not be able to receive or trade a whole warrant.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25,916,502 of our ordinary shares were outstanding including:</w:t>
      </w:r>
    </w:p>
    <w:p>
      <w:pPr>
        <w:spacing w:after="0" w:line="131" w:lineRule="exact"/>
        <w:rPr>
          <w:sz w:val="20"/>
          <w:szCs w:val="20"/>
          <w:color w:val="auto"/>
        </w:rPr>
      </w:pPr>
    </w:p>
    <w:p>
      <w:pPr>
        <w:ind w:left="420" w:hanging="316"/>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20,732,202 Class A ordinary shares underlying units issued as part of the offering;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5,184,300 Class B ordinary shares held by our initial shareholders.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Law or applicable stock exchange rules, the affirmative vote of a majority of our ordinary shares that are voted is required to approve any such matter voted on by our shareholders. Approval of certain actions requires a special resolution under Cayman Islands law, being the affirmative vote of at least two-thirds of the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a term of three years with only one class of directors being appointed in each year. There is no cumulative voting with respect to the appointment of directors, with the result that the holders of more than 50% of the shares voted for the appointment of directors can elect all of the directors. However, only holders of Class B ordinary shares have the right to appoint directors in any election held prior to or in connection with the completion of our initial business combination, meaning that holders of Class A ordinary shares do not have the right to appoint any directors until after the completion of our initial business combination. In addition, in a vote to continue the Company in a jurisdiction outside the Cayman Islands (which requires the approval of at least two thirds of the votes of all ordinary shares), holders of our Class B ordinary shares will have ten votes for every Class B ordinary share and holders of our Class A ordinary shares will have one vote for every Class A ordinary share. The provisions of</w:t>
      </w:r>
    </w:p>
    <w:p>
      <w:pPr>
        <w:sectPr>
          <w:pgSz w:w="11900" w:h="16838" w:orient="portrait"/>
          <w:cols w:equalWidth="0" w:num="1">
            <w:col w:w="11020"/>
          </w:cols>
          <w:pgMar w:left="440" w:top="121" w:right="439" w:bottom="1440" w:gutter="0" w:footer="0" w:header="0"/>
        </w:sectPr>
      </w:pPr>
    </w:p>
    <w:bookmarkStart w:id="99" w:name="page100"/>
    <w:bookmarkEnd w:id="99"/>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amended and restated memorandum and articles of association governing the appointment or removal of directors prior to our initial business combination and our continuation in a jurisdiction outside the Cayman Islands prior to our initial business combination may only be amended by a special resolution passed by not less than two-thirds of our ordinary shares who attend and vote at our general meeting which shall include the affirmative vote of a simple majority of our Class B ordinary shares. Our shareholders are entitled to receive ratable dividends when, as and if declared by the board of directors out of funds legally available therefor.</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Because our amended and restated memorandum and articles of association authorize the issuance of up to 200,000,000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 Our board of directors is divided into three classes with only one class of directors being appointed in each year and each class (except for those directors appointed prior to our first annual general meeting) serving a three-year term.</w:t>
      </w:r>
    </w:p>
    <w:p>
      <w:pPr>
        <w:spacing w:after="0" w:line="19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accordance with Nasdaq corporate governance requirements, we are not required to hold an annual general meeting until one year after our first fiscal year end following our listing on Nasdaq. There is no requirement under the Companies Law for us to hold annual or general meetings or appoint directors. We may not hold an annual general meeting to appoint new directors prior to the consummation of our initial business combination.</w:t>
      </w:r>
    </w:p>
    <w:p>
      <w:pPr>
        <w:spacing w:after="0" w:line="14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sponsor, VPC Acquisition Holdings Sponsor, LLC (“sponsor”), officers and directors have entered into a letter agreement with us, pursuant to which they have agreed to waive their redemption rights with respect to their founder shares and public shares in connection with the completion of our initial business combination. Unlike many special purpose acquisition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 these tender offer documents to contain substantially the same financial and other information about our initial business combination and the redemption rights as is required under the SEC’s proxy rules. If, however, a shareholder approval of the transaction is required by law, or we decide to obtain shareholder approval for business or other reasons, we will, like many special purpose acquisition companies, offer to redeem shares in conjunction with a proxy solicitation pursuant to the proxy rules and not pursuant to the tender offer rules. If we seek shareholder approval, we will complete our initial business combination only if we receive an ordinary resolution under Cayman Islands law, which requires the affirmative vote of a majority of the shareholders who attend and vote at a general meeting of the company. However, the participation of our sponsor, officers, directors, advisors or their affiliates in privately-negotiated transactions, if any, could result in the approval of our initial business combination even if a majority of our public shareholders vote, or indicate their intention to vote, against such initial business combination. For purposes of seeking approval of an ordinary resolution, non-votes will have no effect on the approval of our initial business combination once a quorum is obtained. Our amended and restated memorandum and articles of association require that at least five days’ notice be given of any general meeting.</w:t>
      </w:r>
    </w:p>
    <w:p>
      <w:pPr>
        <w:spacing w:after="0" w:line="17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w:t>
      </w:r>
    </w:p>
    <w:p>
      <w:pPr>
        <w:sectPr>
          <w:pgSz w:w="11900" w:h="16838" w:orient="portrait"/>
          <w:cols w:equalWidth="0" w:num="1">
            <w:col w:w="11000"/>
          </w:cols>
          <w:pgMar w:left="440" w:top="274" w:right="459" w:bottom="1440" w:gutter="0" w:footer="0" w:header="0"/>
        </w:sectPr>
      </w:pPr>
    </w:p>
    <w:bookmarkStart w:id="100" w:name="page101"/>
    <w:bookmarkEnd w:id="100"/>
    <w:p>
      <w:pPr>
        <w:jc w:val="both"/>
        <w:ind w:left="4"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w:t>
      </w:r>
    </w:p>
    <w:p>
      <w:pPr>
        <w:spacing w:after="0" w:line="2" w:lineRule="exact"/>
        <w:rPr>
          <w:sz w:val="20"/>
          <w:szCs w:val="20"/>
          <w:color w:val="auto"/>
        </w:rPr>
      </w:pPr>
    </w:p>
    <w:p>
      <w:pPr>
        <w:ind w:left="4" w:right="140"/>
        <w:spacing w:after="0" w:line="255" w:lineRule="auto"/>
        <w:rPr>
          <w:sz w:val="20"/>
          <w:szCs w:val="20"/>
          <w:color w:val="auto"/>
        </w:rPr>
      </w:pPr>
      <w:r>
        <w:rPr>
          <w:rFonts w:ascii="Arial" w:cs="Arial" w:eastAsia="Arial" w:hAnsi="Arial"/>
          <w:sz w:val="18"/>
          <w:szCs w:val="18"/>
          <w:color w:val="auto"/>
        </w:rPr>
        <w:t>Additionally, such shareholders will not receive redemption distributions with respect to the Excess Shares if we complete our initial business combination. And, as a result, such shareholders will continue to hold that number of shares exceeding 20% and, in order to dispose such shares would be required to sell their shares in open market transactions, potentially at a loss.</w:t>
      </w:r>
    </w:p>
    <w:p>
      <w:pPr>
        <w:spacing w:after="0" w:line="190"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If we seek shareholder approval in connection with our initial business combination, our sponsor, officers and directors have agreed to vote their founder shares and any public shares purchased during or after our initial public offering (including in open market and privately-negotiated transactions) in favor of our initial business combination. As a result, in addition to our initial shareholders’ founder shares, we would need 7,773,952, or 37.5%, of the public shares sold in the offering to be voted in favor of an initial business combination in order to have our initial business combination approved (assuming all outstanding shares are voted). Additionally, each public shareholder may elect to redeem their public shares irrespective of whether they vote for or against the proposed transaction or whether they were a public shareholder on the record date for the general meeting held to approve the proposed transaction.</w:t>
      </w:r>
    </w:p>
    <w:p>
      <w:pPr>
        <w:spacing w:after="0" w:line="195" w:lineRule="exact"/>
        <w:rPr>
          <w:sz w:val="20"/>
          <w:szCs w:val="20"/>
          <w:color w:val="auto"/>
        </w:rPr>
      </w:pPr>
    </w:p>
    <w:p>
      <w:pPr>
        <w:ind w:left="4" w:right="140"/>
        <w:spacing w:after="0" w:line="284" w:lineRule="auto"/>
        <w:rPr>
          <w:sz w:val="20"/>
          <w:szCs w:val="20"/>
          <w:color w:val="auto"/>
        </w:rPr>
      </w:pPr>
      <w:r>
        <w:rPr>
          <w:rFonts w:ascii="Arial" w:cs="Arial" w:eastAsia="Arial" w:hAnsi="Arial"/>
          <w:sz w:val="16"/>
          <w:szCs w:val="16"/>
          <w:color w:val="auto"/>
        </w:rPr>
        <w:t>Pursuant to our amended and restated memorandum and articles of association, if we are unable to complete our initial business combination by September 25, 2022,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liquidate and dissolve, subject in the case of clauses</w:t>
      </w:r>
    </w:p>
    <w:p>
      <w:pPr>
        <w:spacing w:after="0" w:line="2" w:lineRule="exact"/>
        <w:rPr>
          <w:sz w:val="20"/>
          <w:szCs w:val="20"/>
          <w:color w:val="auto"/>
        </w:rPr>
      </w:pPr>
    </w:p>
    <w:p>
      <w:pPr>
        <w:ind w:left="4" w:right="60" w:hanging="4"/>
        <w:spacing w:after="0" w:line="252" w:lineRule="auto"/>
        <w:tabs>
          <w:tab w:leader="none" w:pos="26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and (iii) to our obligations under Cayman Islands law to provide for claims of creditors and in all cases subject to the other requirements of applicable law. Our sponsor, officers and directors have entered into a letter agreement with us, pursuant to which they have agreed to waive their rights to liquidating distributions from the trust account with respect to their founder shares if we fail to complete our initial business combination by September 25, 2022. However, if our sponsor or management team acquire or acquired public shares in or after our initial public offering, they will be entitled to liquidating distributions from the trust account with respect to such public shares if we fail to complete our initial business combination within the prescribed time period.</w:t>
      </w:r>
    </w:p>
    <w:p>
      <w:pPr>
        <w:spacing w:after="0" w:line="194"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taxes, divided by the number of then outstanding public shares, upon the completion of our initial business combination, subject to the limitations and on the conditions described herein.</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The founder shares are designated as Class B ordinary shares and, except as described below, are identical to the Class A ordinary shares included in the units sold in our initial public offering, and holders of founder shares have the same shareholder rights as public shareholders, except that (i) the founder shares are subject to certain transfer restrictions, as described in more detail below, (ii) the founder shares are entitled to registration rights; (iii) in a vote to continue the Company in a jurisdiction outside the Cayman Islands (which requires the approval of at least two thirds of the votes of all ordinary shares), holders of our founder shares will have ten votes for every founder share and holders of our Class A ordinary shares will have one vote for every Class A ordinary share; and (iv) our sponsor, officers and directors have entered into a letter agreement with us, pursuant to which they have agreed to</w:t>
      </w:r>
    </w:p>
    <w:p>
      <w:pPr>
        <w:sectPr>
          <w:pgSz w:w="11900" w:h="16838" w:orient="portrait"/>
          <w:cols w:equalWidth="0" w:num="1">
            <w:col w:w="11004"/>
          </w:cols>
          <w:pgMar w:left="436" w:top="274" w:right="459" w:bottom="1440" w:gutter="0" w:footer="0" w:header="0"/>
        </w:sectPr>
      </w:pPr>
    </w:p>
    <w:bookmarkStart w:id="101" w:name="page102"/>
    <w:bookmarkEnd w:id="101"/>
    <w:p>
      <w:pPr>
        <w:ind w:left="4" w:right="20" w:hanging="4"/>
        <w:spacing w:after="0" w:line="286" w:lineRule="auto"/>
        <w:tabs>
          <w:tab w:leader="none" w:pos="299"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 their redemption rights with respect to their founder shares and public shares in connection with the completion of our initial business combination, (B) waive their redemption rights with respect to their founder shares and public shares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by September 25, 2022 or (B) with respect to any other material provisions relating to shareholders’ rights or pre-initial business combination activity, (C) waive their rights to liquidating distributions from the trust account with respect to their founder shares if we fail to complete our initial business combination by September 25, 2022, although they will be entitled to liquidating distributions from the trust account with respect to any public shares they hold if we fail to complete our initial business combination within such time period and (D) vote any founder shares held by them and any public shares purchased in or after our initial public offering (including in open market and privately-negotiated transactions) in favor of our initial business combination, (v) the founder shares are automatically convertible into Class A ordinary shares concurrently with or immediately following the consummation of our initial business combination on a one-for-one basis, subject to adjustment as described herein and in our amended and restated memorandum and articles of association, and (iv) only holders of Class B ordinary shares have the right to appoint directors in any election held prior to or in connection with the completion of our initial business combination.</w:t>
      </w:r>
    </w:p>
    <w:p>
      <w:pPr>
        <w:spacing w:after="0" w:line="174" w:lineRule="exact"/>
        <w:rPr>
          <w:sz w:val="20"/>
          <w:szCs w:val="20"/>
          <w:color w:val="auto"/>
        </w:rPr>
      </w:pPr>
    </w:p>
    <w:p>
      <w:pPr>
        <w:ind w:left="4" w:right="40"/>
        <w:spacing w:after="0" w:line="269" w:lineRule="auto"/>
        <w:rPr>
          <w:sz w:val="20"/>
          <w:szCs w:val="20"/>
          <w:color w:val="auto"/>
        </w:rPr>
      </w:pPr>
      <w:r>
        <w:rPr>
          <w:rFonts w:ascii="Arial" w:cs="Arial" w:eastAsia="Arial" w:hAnsi="Arial"/>
          <w:sz w:val="17"/>
          <w:szCs w:val="17"/>
          <w:color w:val="auto"/>
        </w:rPr>
        <w:t>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w:t>
      </w:r>
    </w:p>
    <w:p>
      <w:pPr>
        <w:spacing w:after="0" w:line="182"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earlier if, subsequent to our initial business combination, the closing price of the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share exchange or other similar transaction that results in all of our shareholders having the right to exchange their Class A ordinary shares for cash, securities or other property.</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Register of Members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Under Cayman Islands law, we must keep a register of members and there will be entered therein:</w:t>
      </w:r>
    </w:p>
    <w:p>
      <w:pPr>
        <w:spacing w:after="0" w:line="131" w:lineRule="exact"/>
        <w:rPr>
          <w:sz w:val="20"/>
          <w:szCs w:val="20"/>
          <w:color w:val="auto"/>
        </w:rPr>
      </w:pPr>
    </w:p>
    <w:p>
      <w:pPr>
        <w:ind w:left="424" w:right="320" w:hanging="316"/>
        <w:spacing w:after="0" w:line="277" w:lineRule="auto"/>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 and the voting rights of the shares of each member;</w:t>
      </w:r>
    </w:p>
    <w:p>
      <w:pPr>
        <w:spacing w:after="0" w:line="75" w:lineRule="exact"/>
        <w:rPr>
          <w:rFonts w:ascii="Arial" w:cs="Arial" w:eastAsia="Arial" w:hAnsi="Arial"/>
          <w:sz w:val="18"/>
          <w:szCs w:val="18"/>
          <w:color w:val="auto"/>
        </w:rPr>
      </w:pPr>
    </w:p>
    <w:p>
      <w:pPr>
        <w:ind w:left="424" w:hanging="316"/>
        <w:spacing w:after="0"/>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w:t>
      </w:r>
    </w:p>
    <w:p>
      <w:pPr>
        <w:sectPr>
          <w:pgSz w:w="11900" w:h="16838" w:orient="portrait"/>
          <w:cols w:equalWidth="0" w:num="1">
            <w:col w:w="11004"/>
          </w:cols>
          <w:pgMar w:left="436" w:top="274" w:right="459" w:bottom="1440" w:gutter="0" w:footer="0" w:header="0"/>
        </w:sectPr>
      </w:pPr>
    </w:p>
    <w:bookmarkStart w:id="102" w:name="page103"/>
    <w:bookmarkEnd w:id="102"/>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 member registered in the register of members will be deemed as a matter of Cayman Islands law to have legal title to the shares as set against its name in the register of members. Upon the closing of our initial public offering, the register of members was immediately updated to reflect the issue of shares by us. Once our register of members was updated, the shareholders recorded in the register of members were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amended and restated memorandum and articles of association authorize 1,000,000 preferred shares and provide that preferred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is able to, without shareholder approval, issue preferred shares with voting and other rights that could adversely affect the voting power and other rights of the holders of the ordinary shares and could have anti-takeover effects. The ability of our board of directors to issue preferred shares without shareholder approval could have the effect of delaying, deferring or preventing a change of control of us or the removal of existing management. We have no preferred shares outstanding at the date hereof. Although we do not currently intend to issue any preferred shares, we cannot assure you that we will not do so in the future. No preferred shares were issued or registered in the offering.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Warrants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Each whole warrant entitles the registered holder to purchase one Class A ordinary share at a price of $11.50 per share, subject to adjustment as discussed below, at any time commencing on the later of one year from the closing of our initial public offering or 30 days after the completion of our initial business combination, provided in each case that we have an effective registration statement under the Securities Act covering the Class A ordinary shares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Class A ordinary shares. This means only a whole warrant may be exercised at a given time by a warrant holder. No fractional warrants were issued upon separation of the units and only whole warrants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spacing w:after="0" w:line="18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not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No warrant will be exercisable and we are not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ectPr>
          <w:pgSz w:w="11900" w:h="16838" w:orient="portrait"/>
          <w:cols w:equalWidth="0" w:num="1">
            <w:col w:w="10980"/>
          </w:cols>
          <w:pgMar w:left="440" w:top="274" w:right="479" w:bottom="1440" w:gutter="0" w:footer="0" w:header="0"/>
        </w:sectPr>
      </w:pPr>
    </w:p>
    <w:bookmarkStart w:id="103" w:name="page104"/>
    <w:bookmarkEnd w:id="10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have agreed that as soon as practicable, but in no event later than fifteen (15) business days after the closing of our initial business combination, we will use our best efforts to file with the SEC a registration statement for the registration, under the Securities Act, of the Class A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w:t>
      </w:r>
      <w:r>
        <w:rPr>
          <w:rFonts w:ascii="Arial" w:cs="Arial" w:eastAsia="Arial" w:hAnsi="Arial"/>
          <w:sz w:val="14"/>
          <w:szCs w:val="14"/>
          <w:color w:val="auto"/>
        </w:rPr>
        <w:t>th</w:t>
      </w:r>
      <w:r>
        <w:rPr>
          <w:rFonts w:ascii="Arial" w:cs="Arial" w:eastAsia="Arial" w:hAnsi="Arial"/>
          <w:sz w:val="17"/>
          <w:szCs w:val="17"/>
          <w:color w:val="auto"/>
        </w:rPr>
        <w:t>)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ordinary shares are at the time of any exercise of a warrant not listed on a national securities exchange such that they satisfy the definition of a “covered security” under Section 18(b)(1) of the Securities Act, we may, at our option, require holders of warrants sold as part of the units in the offering (the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Class A ordinary share equals or exceeds $18.00. </w:t>
      </w:r>
      <w:r>
        <w:rPr>
          <w:rFonts w:ascii="Arial" w:cs="Arial" w:eastAsia="Arial" w:hAnsi="Arial"/>
          <w:sz w:val="18"/>
          <w:szCs w:val="18"/>
          <w:color w:val="auto"/>
        </w:rPr>
        <w:t>Once the warrants become exercisable, we may redeem</w:t>
      </w:r>
      <w:r>
        <w:rPr>
          <w:rFonts w:ascii="Arial" w:cs="Arial" w:eastAsia="Arial" w:hAnsi="Arial"/>
          <w:sz w:val="18"/>
          <w:szCs w:val="18"/>
          <w:i w:val="1"/>
          <w:iCs w:val="1"/>
          <w:color w:val="auto"/>
        </w:rPr>
        <w:t xml:space="preserve"> </w:t>
      </w:r>
      <w:r>
        <w:rPr>
          <w:rFonts w:ascii="Arial" w:cs="Arial" w:eastAsia="Arial" w:hAnsi="Arial"/>
          <w:sz w:val="18"/>
          <w:szCs w:val="18"/>
          <w:color w:val="auto"/>
        </w:rPr>
        <w:t>the outstanding warrants (except as described herein with respect to the private placement warrants):</w:t>
      </w:r>
    </w:p>
    <w:p>
      <w:pPr>
        <w:spacing w:after="0" w:line="76" w:lineRule="exact"/>
        <w:rPr>
          <w:sz w:val="20"/>
          <w:szCs w:val="20"/>
          <w:color w:val="auto"/>
        </w:rPr>
      </w:pPr>
    </w:p>
    <w:p>
      <w:pPr>
        <w:ind w:left="420" w:hanging="316"/>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(the “30-day redemption period”); and</w:t>
      </w:r>
    </w:p>
    <w:p>
      <w:pPr>
        <w:spacing w:after="0" w:line="130" w:lineRule="exact"/>
        <w:rPr>
          <w:rFonts w:ascii="Arial" w:cs="Arial" w:eastAsia="Arial" w:hAnsi="Arial"/>
          <w:sz w:val="18"/>
          <w:szCs w:val="18"/>
          <w:color w:val="auto"/>
        </w:rPr>
      </w:pPr>
    </w:p>
    <w:p>
      <w:pPr>
        <w:ind w:left="420" w:right="220" w:hanging="316"/>
        <w:spacing w:after="0" w:line="259"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and only if, the closing price of the Class A ordinary shares equals or exceeds $18.00 per share (as adjusted for adjustments to the number of shares issuable upon exercise or the exercise price of a warrant as described under the heading “—Redemption Procedures—Anti-dilution Adjustments”) for any 20 trading days within a 30-trading day period ending three business days before we send the notice of redemption to the warrant holders.</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7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Redemption of warrants when the price per Class A ordinary share equals or exceeds $10.00</w:t>
      </w:r>
      <w:r>
        <w:rPr>
          <w:rFonts w:ascii="Arial" w:cs="Arial" w:eastAsia="Arial" w:hAnsi="Arial"/>
          <w:sz w:val="18"/>
          <w:szCs w:val="18"/>
          <w:color w:val="auto"/>
        </w:rPr>
        <w:t>. Once the warrants become exercisable, we may redeem</w:t>
      </w:r>
      <w:r>
        <w:rPr>
          <w:rFonts w:ascii="Arial" w:cs="Arial" w:eastAsia="Arial" w:hAnsi="Arial"/>
          <w:sz w:val="18"/>
          <w:szCs w:val="18"/>
          <w:i w:val="1"/>
          <w:iCs w:val="1"/>
          <w:color w:val="auto"/>
        </w:rPr>
        <w:t xml:space="preserve"> </w:t>
      </w:r>
      <w:r>
        <w:rPr>
          <w:rFonts w:ascii="Arial" w:cs="Arial" w:eastAsia="Arial" w:hAnsi="Arial"/>
          <w:sz w:val="18"/>
          <w:szCs w:val="18"/>
          <w:color w:val="auto"/>
        </w:rPr>
        <w:t>the outstanding warrants (except as described herein with respect to the private placement warrants):</w:t>
      </w:r>
    </w:p>
    <w:p>
      <w:pPr>
        <w:spacing w:after="0" w:line="76" w:lineRule="exact"/>
        <w:rPr>
          <w:sz w:val="20"/>
          <w:szCs w:val="20"/>
          <w:color w:val="auto"/>
        </w:rPr>
      </w:pPr>
    </w:p>
    <w:p>
      <w:pPr>
        <w:ind w:left="420" w:hanging="316"/>
        <w:spacing w:after="0"/>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a price of $0.10 per warrant;</w:t>
      </w:r>
    </w:p>
    <w:p>
      <w:pPr>
        <w:sectPr>
          <w:pgSz w:w="11900" w:h="16838" w:orient="portrait"/>
          <w:cols w:equalWidth="0" w:num="1">
            <w:col w:w="11000"/>
          </w:cols>
          <w:pgMar w:left="440" w:top="274" w:right="459" w:bottom="1440" w:gutter="0" w:footer="0" w:header="0"/>
        </w:sectPr>
      </w:pPr>
    </w:p>
    <w:bookmarkStart w:id="104" w:name="page105"/>
    <w:bookmarkEnd w:id="104"/>
    <w:p>
      <w:pPr>
        <w:ind w:left="420" w:right="240" w:hanging="316"/>
        <w:spacing w:after="0" w:line="286" w:lineRule="auto"/>
        <w:tabs>
          <w:tab w:leader="none" w:pos="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will be able to exercise their warrants on a cashless basis prior to redemption and receive that number of shares determined by reference to the table below, based on the redemption date and the “fair market value” (as defined below) of our Class A ordinary shares except as otherwise described below;</w:t>
      </w:r>
    </w:p>
    <w:p>
      <w:pPr>
        <w:spacing w:after="0" w:line="70" w:lineRule="exact"/>
        <w:rPr>
          <w:rFonts w:ascii="Arial" w:cs="Arial" w:eastAsia="Arial" w:hAnsi="Arial"/>
          <w:sz w:val="17"/>
          <w:szCs w:val="17"/>
          <w:color w:val="auto"/>
        </w:rPr>
      </w:pPr>
    </w:p>
    <w:p>
      <w:pPr>
        <w:ind w:left="420" w:right="180" w:hanging="316"/>
        <w:spacing w:after="0" w:line="259"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and only if, the closing price of our Class A ordinary shares equals or exceeds $10.00 per share (as adjusted for adjustments to the number of shares issuable upon exercise or the exercise price of a warrant as described under the heading “—Redemption Procedures—Anti-dilution Adjustments”) for any 20 trading days within the 30-trading day period ending three trading days before we send the notice of redemption to the warrant holders; and</w:t>
      </w:r>
    </w:p>
    <w:p>
      <w:pPr>
        <w:spacing w:after="0" w:line="92" w:lineRule="exact"/>
        <w:rPr>
          <w:rFonts w:ascii="Arial" w:cs="Arial" w:eastAsia="Arial" w:hAnsi="Arial"/>
          <w:sz w:val="18"/>
          <w:szCs w:val="18"/>
          <w:color w:val="auto"/>
        </w:rPr>
      </w:pPr>
    </w:p>
    <w:p>
      <w:pPr>
        <w:ind w:left="420" w:right="60" w:hanging="316"/>
        <w:spacing w:after="0" w:line="257"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Securities—Warrants—Public Warrants—Anti-dilution Adjustments”), the private placement warrants must also be concurrently called for redemption on the same terms as the outstanding public warrants, as described above.</w:t>
      </w:r>
    </w:p>
    <w:p>
      <w:pPr>
        <w:spacing w:after="0" w:line="1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Beginning on the date the notice of redemption is given and until the warrants are redeemed or exercised, holders may elect to exercise their warrants on a cashless basis. The numbers in the table below represent the number of Class A ordinary shares that a warrant holder will receive upon such cashless exercise in connection with a redemption by us pursuant to this redemption feature, based on the “fair market value” of our Class A ordinary shares on the corresponding redemption date (assuming holders elect to exercise their warrants and such warrants are not redeemed for $0.10 per warrant), determined for these purposes based on the volume-weighted average price of our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warrant agreement, references above to Class A ordinary shares shall include a security other than Class A ordinary shares into which the Class A ordinary shares have been converted or for which they have been exchanged in the event we are not the surviving company in our initial business combination.</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share prices set forth in the column headings of the table below will be adjusted as of any date on which the number of shares issuable upon exercise of a warrant or the exercise price of a warrant is adjusted as set forth under the heading “—Redemption Procedures—Anti-dilution Adjustments”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 Redemption Procedures—Anti-dilution Adjustments” below, the adjusted share prices in the column headings will equal the unadjusted share prices multiplied by a fraction, the numerator of which is the higher of the Market Value and the Newly Issued Price as set forth under the heading “— Redemption Procedures—Anti-dilution Adjustments” and the denominator of which is $10.00 and (b) in the case of an adjustment pursuant to the second paragraph under the heading “—Redemption Procedures—Anti-dilution Adjustments” below, the adjusted share prices in the column headings will equal the unadjusted share prices less the decrease in the exercise price of a warrant pursuant to such exercise price adjustment.</w:t>
      </w:r>
    </w:p>
    <w:p>
      <w:pPr>
        <w:sectPr>
          <w:pgSz w:w="11900" w:h="16838" w:orient="portrait"/>
          <w:cols w:equalWidth="0" w:num="1">
            <w:col w:w="11000"/>
          </w:cols>
          <w:pgMar w:left="440" w:top="274" w:right="45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71"/>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w w:val="93"/>
              </w:rPr>
              <w:t>Redemption Date (period to expiration of warrants)</w:t>
            </w:r>
          </w:p>
        </w:tc>
        <w:tc>
          <w:tcPr>
            <w:tcW w:w="23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Fair Market Value of Class A Ordinary Shares</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tcBorders>
              <w:bottom w:val="single" w:sz="8" w:color="auto"/>
            </w:tcBorders>
            <w:vMerge w:val="continue"/>
          </w:tcPr>
          <w:p>
            <w:pPr>
              <w:spacing w:after="0"/>
              <w:rPr>
                <w:sz w:val="12"/>
                <w:szCs w:val="12"/>
                <w:color w:val="auto"/>
              </w:rPr>
            </w:pPr>
          </w:p>
        </w:tc>
        <w:tc>
          <w:tcPr>
            <w:tcW w:w="2340" w:type="dxa"/>
            <w:vAlign w:val="bottom"/>
          </w:tcPr>
          <w:p>
            <w:pPr>
              <w:spacing w:after="0"/>
              <w:rPr>
                <w:sz w:val="12"/>
                <w:szCs w:val="12"/>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color w:val="auto"/>
                <w:w w:val="86"/>
              </w:rPr>
              <w:t>£</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10.00</w:t>
            </w:r>
          </w:p>
        </w:tc>
        <w:tc>
          <w:tcPr>
            <w:tcW w:w="180" w:type="dxa"/>
            <w:vAlign w:val="bottom"/>
          </w:tcPr>
          <w:p>
            <w:pPr>
              <w:spacing w:after="0"/>
              <w:rPr>
                <w:sz w:val="12"/>
                <w:szCs w:val="12"/>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$11.00</w:t>
            </w:r>
          </w:p>
        </w:tc>
        <w:tc>
          <w:tcPr>
            <w:tcW w:w="160" w:type="dxa"/>
            <w:vAlign w:val="bottom"/>
          </w:tcPr>
          <w:p>
            <w:pPr>
              <w:spacing w:after="0"/>
              <w:rPr>
                <w:sz w:val="12"/>
                <w:szCs w:val="12"/>
                <w:color w:val="auto"/>
              </w:rPr>
            </w:pPr>
          </w:p>
        </w:tc>
        <w:tc>
          <w:tcPr>
            <w:tcW w:w="460" w:type="dxa"/>
            <w:vAlign w:val="bottom"/>
          </w:tcPr>
          <w:p>
            <w:pPr>
              <w:ind w:left="20"/>
              <w:spacing w:after="0" w:line="129" w:lineRule="exact"/>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12.00</w:t>
            </w:r>
          </w:p>
        </w:tc>
        <w:tc>
          <w:tcPr>
            <w:tcW w:w="160" w:type="dxa"/>
            <w:vAlign w:val="bottom"/>
          </w:tcPr>
          <w:p>
            <w:pPr>
              <w:spacing w:after="0"/>
              <w:rPr>
                <w:sz w:val="12"/>
                <w:szCs w:val="12"/>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13.00</w:t>
            </w:r>
          </w:p>
        </w:tc>
        <w:tc>
          <w:tcPr>
            <w:tcW w:w="160" w:type="dxa"/>
            <w:vAlign w:val="bottom"/>
          </w:tcPr>
          <w:p>
            <w:pPr>
              <w:spacing w:after="0"/>
              <w:rPr>
                <w:sz w:val="12"/>
                <w:szCs w:val="12"/>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14.00</w:t>
            </w:r>
          </w:p>
        </w:tc>
        <w:tc>
          <w:tcPr>
            <w:tcW w:w="160" w:type="dxa"/>
            <w:vAlign w:val="bottom"/>
          </w:tcPr>
          <w:p>
            <w:pPr>
              <w:spacing w:after="0"/>
              <w:rPr>
                <w:sz w:val="12"/>
                <w:szCs w:val="12"/>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15.00</w:t>
            </w:r>
          </w:p>
        </w:tc>
        <w:tc>
          <w:tcPr>
            <w:tcW w:w="160" w:type="dxa"/>
            <w:vAlign w:val="bottom"/>
          </w:tcPr>
          <w:p>
            <w:pPr>
              <w:spacing w:after="0"/>
              <w:rPr>
                <w:sz w:val="12"/>
                <w:szCs w:val="12"/>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16.00</w:t>
            </w:r>
          </w:p>
        </w:tc>
        <w:tc>
          <w:tcPr>
            <w:tcW w:w="160" w:type="dxa"/>
            <w:vAlign w:val="bottom"/>
          </w:tcPr>
          <w:p>
            <w:pPr>
              <w:spacing w:after="0"/>
              <w:rPr>
                <w:sz w:val="12"/>
                <w:szCs w:val="12"/>
                <w:color w:val="auto"/>
              </w:rPr>
            </w:pPr>
          </w:p>
        </w:tc>
        <w:tc>
          <w:tcPr>
            <w:tcW w:w="10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17.00   </w:t>
            </w:r>
            <w:r>
              <w:rPr>
                <w:rFonts w:ascii="Arial" w:cs="Arial" w:eastAsia="Arial" w:hAnsi="Arial"/>
                <w:sz w:val="14"/>
                <w:szCs w:val="14"/>
                <w:color w:val="auto"/>
              </w:rPr>
              <w:t>³</w:t>
            </w:r>
            <w:r>
              <w:rPr>
                <w:rFonts w:ascii="Arial" w:cs="Arial" w:eastAsia="Arial" w:hAnsi="Arial"/>
                <w:sz w:val="14"/>
                <w:szCs w:val="14"/>
                <w:b w:val="1"/>
                <w:bCs w:val="1"/>
                <w:color w:val="auto"/>
              </w:rPr>
              <w:t>$18.00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60 months</w:t>
            </w:r>
          </w:p>
        </w:tc>
        <w:tc>
          <w:tcPr>
            <w:tcW w:w="2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0.261</w:t>
            </w: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0.281</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0.297</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0.311</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0.324</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0.337</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0.348</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0.358</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0.361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57 months</w:t>
            </w:r>
          </w:p>
        </w:tc>
        <w:tc>
          <w:tcPr>
            <w:tcW w:w="2980" w:type="dxa"/>
            <w:vAlign w:val="bottom"/>
            <w:gridSpan w:val="3"/>
          </w:tcPr>
          <w:p>
            <w:pPr>
              <w:jc w:val="right"/>
              <w:ind w:right="160"/>
              <w:spacing w:after="0"/>
              <w:rPr>
                <w:sz w:val="20"/>
                <w:szCs w:val="20"/>
                <w:color w:val="auto"/>
              </w:rPr>
            </w:pPr>
            <w:r>
              <w:rPr>
                <w:rFonts w:ascii="Arial" w:cs="Arial" w:eastAsia="Arial" w:hAnsi="Arial"/>
                <w:sz w:val="18"/>
                <w:szCs w:val="18"/>
                <w:color w:val="auto"/>
              </w:rPr>
              <w:t>0.257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0.277</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0.294</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0.310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0.324</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0.337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0.348</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0.358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54 months</w:t>
            </w:r>
          </w:p>
        </w:tc>
        <w:tc>
          <w:tcPr>
            <w:tcW w:w="2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0.252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0.272</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0.291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0.307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0.322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0.335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0.347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0.357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51 months</w:t>
            </w:r>
          </w:p>
        </w:tc>
        <w:tc>
          <w:tcPr>
            <w:tcW w:w="2980" w:type="dxa"/>
            <w:vAlign w:val="bottom"/>
            <w:gridSpan w:val="3"/>
          </w:tcPr>
          <w:p>
            <w:pPr>
              <w:jc w:val="right"/>
              <w:ind w:right="160"/>
              <w:spacing w:after="0"/>
              <w:rPr>
                <w:sz w:val="20"/>
                <w:szCs w:val="20"/>
                <w:color w:val="auto"/>
              </w:rPr>
            </w:pPr>
            <w:r>
              <w:rPr>
                <w:rFonts w:ascii="Arial" w:cs="Arial" w:eastAsia="Arial" w:hAnsi="Arial"/>
                <w:sz w:val="18"/>
                <w:szCs w:val="18"/>
                <w:color w:val="auto"/>
              </w:rPr>
              <w:t>0.246</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0.268</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0.287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0.304</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0.320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0.333</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0.346</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0.357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48 months</w:t>
            </w:r>
          </w:p>
        </w:tc>
        <w:tc>
          <w:tcPr>
            <w:tcW w:w="2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0.241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0.263</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0.283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0.301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0.317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0.332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0.344</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0.356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45 months</w:t>
            </w:r>
          </w:p>
        </w:tc>
        <w:tc>
          <w:tcPr>
            <w:tcW w:w="2980" w:type="dxa"/>
            <w:vAlign w:val="bottom"/>
            <w:gridSpan w:val="3"/>
          </w:tcPr>
          <w:p>
            <w:pPr>
              <w:jc w:val="right"/>
              <w:ind w:right="160"/>
              <w:spacing w:after="0"/>
              <w:rPr>
                <w:sz w:val="20"/>
                <w:szCs w:val="20"/>
                <w:color w:val="auto"/>
              </w:rPr>
            </w:pPr>
            <w:r>
              <w:rPr>
                <w:rFonts w:ascii="Arial" w:cs="Arial" w:eastAsia="Arial" w:hAnsi="Arial"/>
                <w:sz w:val="18"/>
                <w:szCs w:val="18"/>
                <w:color w:val="auto"/>
              </w:rPr>
              <w:t>0.235</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0.258</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0.279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0.298</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0.315</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0.330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0.343</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0.356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42 months</w:t>
            </w:r>
          </w:p>
        </w:tc>
        <w:tc>
          <w:tcPr>
            <w:tcW w:w="2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0.228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0.252</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0.274</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0.294</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0.312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0.328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0.342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0.355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39 months</w:t>
            </w:r>
          </w:p>
        </w:tc>
        <w:tc>
          <w:tcPr>
            <w:tcW w:w="2980" w:type="dxa"/>
            <w:vAlign w:val="bottom"/>
            <w:gridSpan w:val="3"/>
          </w:tcPr>
          <w:p>
            <w:pPr>
              <w:jc w:val="right"/>
              <w:ind w:right="160"/>
              <w:spacing w:after="0"/>
              <w:rPr>
                <w:sz w:val="20"/>
                <w:szCs w:val="20"/>
                <w:color w:val="auto"/>
              </w:rPr>
            </w:pPr>
            <w:r>
              <w:rPr>
                <w:rFonts w:ascii="Arial" w:cs="Arial" w:eastAsia="Arial" w:hAnsi="Arial"/>
                <w:sz w:val="18"/>
                <w:szCs w:val="18"/>
                <w:color w:val="auto"/>
              </w:rPr>
              <w:t>0.221</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0.246</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0.269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0.290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0.309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0.325</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0.354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36 months</w:t>
            </w:r>
          </w:p>
        </w:tc>
        <w:tc>
          <w:tcPr>
            <w:tcW w:w="2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0.213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0.239</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0.263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0.285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0.305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0.323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0.339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0.353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33 months</w:t>
            </w:r>
          </w:p>
        </w:tc>
        <w:tc>
          <w:tcPr>
            <w:tcW w:w="2980" w:type="dxa"/>
            <w:vAlign w:val="bottom"/>
            <w:gridSpan w:val="3"/>
          </w:tcPr>
          <w:p>
            <w:pPr>
              <w:jc w:val="right"/>
              <w:ind w:right="160"/>
              <w:spacing w:after="0"/>
              <w:rPr>
                <w:sz w:val="20"/>
                <w:szCs w:val="20"/>
                <w:color w:val="auto"/>
              </w:rPr>
            </w:pPr>
            <w:r>
              <w:rPr>
                <w:rFonts w:ascii="Arial" w:cs="Arial" w:eastAsia="Arial" w:hAnsi="Arial"/>
                <w:sz w:val="18"/>
                <w:szCs w:val="18"/>
                <w:color w:val="auto"/>
              </w:rPr>
              <w:t>0.205</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0.232</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0.257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0.280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0.301</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0.320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0.337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0.352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30 months</w:t>
            </w:r>
          </w:p>
        </w:tc>
        <w:tc>
          <w:tcPr>
            <w:tcW w:w="2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0.196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0.224</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0.250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0.274</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0.297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0.316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0.335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0.351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27 months</w:t>
            </w:r>
          </w:p>
        </w:tc>
        <w:tc>
          <w:tcPr>
            <w:tcW w:w="2980" w:type="dxa"/>
            <w:vAlign w:val="bottom"/>
            <w:gridSpan w:val="3"/>
          </w:tcPr>
          <w:p>
            <w:pPr>
              <w:jc w:val="right"/>
              <w:ind w:right="160"/>
              <w:spacing w:after="0"/>
              <w:rPr>
                <w:sz w:val="20"/>
                <w:szCs w:val="20"/>
                <w:color w:val="auto"/>
              </w:rPr>
            </w:pPr>
            <w:r>
              <w:rPr>
                <w:rFonts w:ascii="Arial" w:cs="Arial" w:eastAsia="Arial" w:hAnsi="Arial"/>
                <w:sz w:val="18"/>
                <w:szCs w:val="18"/>
                <w:color w:val="auto"/>
              </w:rPr>
              <w:t>0.185</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0.214</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0.242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0.268</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0.291</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0.313</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0.332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0.350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24 months</w:t>
            </w:r>
          </w:p>
        </w:tc>
        <w:tc>
          <w:tcPr>
            <w:tcW w:w="2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0.173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0.204</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0.233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0.260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0.285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0.308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0.329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0.348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21 months</w:t>
            </w:r>
          </w:p>
        </w:tc>
        <w:tc>
          <w:tcPr>
            <w:tcW w:w="2980" w:type="dxa"/>
            <w:vAlign w:val="bottom"/>
            <w:gridSpan w:val="3"/>
          </w:tcPr>
          <w:p>
            <w:pPr>
              <w:jc w:val="right"/>
              <w:ind w:right="160"/>
              <w:spacing w:after="0"/>
              <w:rPr>
                <w:sz w:val="20"/>
                <w:szCs w:val="20"/>
                <w:color w:val="auto"/>
              </w:rPr>
            </w:pPr>
            <w:r>
              <w:rPr>
                <w:rFonts w:ascii="Arial" w:cs="Arial" w:eastAsia="Arial" w:hAnsi="Arial"/>
                <w:sz w:val="18"/>
                <w:szCs w:val="18"/>
                <w:color w:val="auto"/>
              </w:rPr>
              <w:t>0.161</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0.193</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0.223</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0.252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0.279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0.304</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0.326</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18 months</w:t>
            </w:r>
          </w:p>
        </w:tc>
        <w:tc>
          <w:tcPr>
            <w:tcW w:w="2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0.146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0.179</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0.211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0.242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0.271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0.298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0.322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0.345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15 months</w:t>
            </w:r>
          </w:p>
        </w:tc>
        <w:tc>
          <w:tcPr>
            <w:tcW w:w="2980" w:type="dxa"/>
            <w:vAlign w:val="bottom"/>
            <w:gridSpan w:val="3"/>
          </w:tcPr>
          <w:p>
            <w:pPr>
              <w:jc w:val="right"/>
              <w:ind w:right="160"/>
              <w:spacing w:after="0"/>
              <w:rPr>
                <w:sz w:val="20"/>
                <w:szCs w:val="20"/>
                <w:color w:val="auto"/>
              </w:rPr>
            </w:pPr>
            <w:r>
              <w:rPr>
                <w:rFonts w:ascii="Arial" w:cs="Arial" w:eastAsia="Arial" w:hAnsi="Arial"/>
                <w:sz w:val="18"/>
                <w:szCs w:val="18"/>
                <w:color w:val="auto"/>
              </w:rPr>
              <w:t>0.130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0.164</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0.197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0.230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0.262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0.291</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0.317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12 months</w:t>
            </w:r>
          </w:p>
        </w:tc>
        <w:tc>
          <w:tcPr>
            <w:tcW w:w="2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0.111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0.146</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0.181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0.216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0.250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0.282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0.312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0.339</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9 months</w:t>
            </w:r>
          </w:p>
        </w:tc>
        <w:tc>
          <w:tcPr>
            <w:tcW w:w="2980" w:type="dxa"/>
            <w:vAlign w:val="bottom"/>
            <w:gridSpan w:val="3"/>
          </w:tcPr>
          <w:p>
            <w:pPr>
              <w:jc w:val="right"/>
              <w:ind w:right="160"/>
              <w:spacing w:after="0"/>
              <w:rPr>
                <w:sz w:val="20"/>
                <w:szCs w:val="20"/>
                <w:color w:val="auto"/>
              </w:rPr>
            </w:pPr>
            <w:r>
              <w:rPr>
                <w:rFonts w:ascii="Arial" w:cs="Arial" w:eastAsia="Arial" w:hAnsi="Arial"/>
                <w:sz w:val="18"/>
                <w:szCs w:val="18"/>
                <w:color w:val="auto"/>
              </w:rPr>
              <w:t>0.090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0.125</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0.162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0.199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0.237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0.272</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0.305</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0.336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6 months</w:t>
            </w:r>
          </w:p>
        </w:tc>
        <w:tc>
          <w:tcPr>
            <w:tcW w:w="2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0.065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0.099</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0.137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0.178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0.219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0.259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0.296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0.331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 months</w:t>
            </w:r>
          </w:p>
        </w:tc>
        <w:tc>
          <w:tcPr>
            <w:tcW w:w="2980" w:type="dxa"/>
            <w:vAlign w:val="bottom"/>
            <w:gridSpan w:val="3"/>
          </w:tcPr>
          <w:p>
            <w:pPr>
              <w:jc w:val="right"/>
              <w:ind w:right="160"/>
              <w:spacing w:after="0"/>
              <w:rPr>
                <w:sz w:val="20"/>
                <w:szCs w:val="20"/>
                <w:color w:val="auto"/>
              </w:rPr>
            </w:pPr>
            <w:r>
              <w:rPr>
                <w:rFonts w:ascii="Arial" w:cs="Arial" w:eastAsia="Arial" w:hAnsi="Arial"/>
                <w:sz w:val="18"/>
                <w:szCs w:val="18"/>
                <w:color w:val="auto"/>
              </w:rPr>
              <w:t>0.034</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0.065</w:t>
            </w: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0.104</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0.150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0.197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0.243</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0.286</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0.326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0 months</w:t>
            </w:r>
          </w:p>
        </w:tc>
        <w:tc>
          <w:tcPr>
            <w:tcW w:w="2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0.042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0.115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0.179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0.233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0.281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0.323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0.361</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60"/>
        <w:spacing w:after="0" w:line="286" w:lineRule="auto"/>
        <w:rPr>
          <w:sz w:val="20"/>
          <w:szCs w:val="20"/>
          <w:color w:val="auto"/>
        </w:rPr>
      </w:pPr>
      <w:r>
        <w:rPr>
          <w:rFonts w:ascii="Arial" w:cs="Arial" w:eastAsia="Arial" w:hAnsi="Arial"/>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ordinary shares for each whole warrant. For an example where the exact fair market value and redemption date are not as set forth in the table above, if the volume-weighted average price of our Class A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ordinary shares for each whole warrant. In no event will the warrants be exercisable on a cashless basis in connection with this redemption feature for more than 0.361 Class A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Class A ordinary shares.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redemption feature differs from the typical warrant redemption features used in many other blank check company offerings, which typically only provide for a redemption of warrants for cash (other than the private placement warrants) when the trading price for the Class A ordinary shares exceeds $18.00 per share for a specified period of time. This redemption feature is structured to allow for all of the outstanding warrants to be redeemed when the Class A ordinary shares are trading at or above $10.00 per public share, which may be at a time when the trading price of our Class A ordinary shares is below the exercise price of the warrants. We have established this redemption feature to provide us with the flexibility to redeem the warrants without the warrants having to reach the $18.00 per share threshold set forth above under “—Redemption of warrants when the price per Class A ordinary share equals or exceeds $18.00.” Holders choosing to exercise their warrants in connection with a redemption pursuant to this feature will, in effect, receive a number of shares for their warrants based on an option pricing model with a fixed volatility input as of the date of the prospectus from our initial public offering.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ectPr>
          <w:pgSz w:w="11900" w:h="16838" w:orient="portrait"/>
          <w:cols w:equalWidth="0" w:num="1">
            <w:col w:w="11020"/>
          </w:cols>
          <w:pgMar w:left="440" w:top="265" w:right="439" w:bottom="1440" w:gutter="0" w:footer="0" w:header="0"/>
        </w:sectPr>
      </w:pPr>
    </w:p>
    <w:bookmarkStart w:id="106" w:name="page107"/>
    <w:bookmarkEnd w:id="106"/>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stated above, we can redeem the warrants when the Class A ordinary shares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$11.50.</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No fractional Class A ordinary shares will be issued upon exercise. If, upon exercise, a holder would be entitled to receive a fractional interest in a share, we will round down to the nearest whole number the number of Class A ordinary shares to be issued to the holder. If, at the time of redemption, the warrants are exercisable for a security other than the Class A ordinary shares pursuant to the warrant agreement (for instance, if we are not the surviving company in our initial business combination),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procedures.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ordinary shares outstanding immediately after giving effect to such exercise.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Anti-dilution Adjustments.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the number of outstanding Class A ordinary shares is increased by a share capitalization payable in Class A ordinary shares, or by a sub-division of ordinary shares or other similar event, then, on the effective date of such share capitalization,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spacing w:after="0" w:line="17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if we, at any time while the warrants are outstanding and unexpired, pay a dividend or make a distribution in cash, securities or other assets to all or substantially all the holders of Class A ordinary shares on account of such Class A ordinary shares (or other securities into which the warrants are convertible), other than (a) as described above, (b) certain ordinary cash dividends, (c) to satisfy the redemption rights of the holders of Class A ordinary shares in connection with a proposed initial business combination,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ectPr>
          <w:pgSz w:w="11900" w:h="16838" w:orient="portrait"/>
          <w:cols w:equalWidth="0" w:num="1">
            <w:col w:w="11000"/>
          </w:cols>
          <w:pgMar w:left="440" w:top="274" w:right="459" w:bottom="1440" w:gutter="0" w:footer="0" w:header="0"/>
        </w:sectPr>
      </w:pPr>
    </w:p>
    <w:bookmarkStart w:id="107" w:name="page108"/>
    <w:bookmarkEnd w:id="10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number of outstanding Class A ordinary shares is decreased by a consolidation, combination, reverse share sub-division or reclassification of Class A ordinary shares or other similar event, then, on the effective date of such consolidation, combination, reverse share sub-division, reclassification or similar event, the number of Class A ordinary shares issuable on exercise of each warrant will be decreased in proportion to such decrease in outstanding Class A ordinary shares.</w:t>
      </w:r>
    </w:p>
    <w:p>
      <w:pPr>
        <w:spacing w:after="0" w:line="187"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if (x) we issue additional Class A ordinary shares or equity-linked securities for capital raising purposes in connection with the closing of our initial business combination at a Newly Issued Price of less than $9.20 per Class A ordinary share,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of our Class A ordinary shares is below $9.20 per share, then the exercise price of the warrants will be adjusted (to the nearest cent) to be equal to 115% of the higher of the Market Value and the Newly Issued Price, the $18.00 per share redemption trigger prices described above under “Description of Securities—Warrants—Public Warrants— 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described above under “Description of Securities—Warrants—Public Warrants— Redemption of warrants when the price per Class A ordinary share equals or exceeds $10.00” will be adjusted (to the nearest cent) to be equal to the higher of the Market Value and the Newly Issued Price.</w:t>
      </w:r>
    </w:p>
    <w:p>
      <w:pPr>
        <w:spacing w:after="0" w:line="18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issued and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w:t>
      </w:r>
    </w:p>
    <w:p>
      <w:pPr>
        <w:spacing w:after="0" w:line="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 and the warrant agreement, (ii) adjusting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w:t>
      </w:r>
    </w:p>
    <w:p>
      <w:pPr>
        <w:sectPr>
          <w:pgSz w:w="11900" w:h="16838" w:orient="portrait"/>
          <w:cols w:equalWidth="0" w:num="1">
            <w:col w:w="11020"/>
          </w:cols>
          <w:pgMar w:left="440" w:top="274" w:right="439" w:bottom="1440" w:gutter="0" w:footer="0" w:header="0"/>
        </w:sectPr>
      </w:pPr>
    </w:p>
    <w:bookmarkStart w:id="108" w:name="page109"/>
    <w:bookmarkEnd w:id="108"/>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warrants, provided that the approval by the holders of at least 50% of the then-outstanding public warrants is required to make any change that adversely affects the interests of the registered holders of public warrants, and, solely with respect to any amendment to the terms of the private placement warrants, 50% of the then outstanding private placement warrants. You should review a copy of the warrant agreement, which was filed as an exhibit to this Annual Report on Form 10-K for a complete description of the terms and conditions applicable to the warrants.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Warrants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private placement warrants (including the Class A ordinary shares issuable upon exercise of such warrants) will not be transferable, assignable or salable until 30 days after the completion of our initial business combination (except, among other limited exceptions, to our officers and directors and other persons or entities affiliated with our sponsor) and they will not be redeemable by us so long as they are held by our sponsor, members of our sponsor or their permitted transferees except as described above under “—Warrants—Public Warrants—Redemption of warrants when the price per Class A ordinary share equals or exceeds $10.00”. The sponsor or its permitted transferees, have the option to exercise the private placement warrants on a cashless basis. Except as described below, the private placement warrants have terms and provisions that are identical to those of the warrants sold as part of the units in the offering. If the private placement warrants are held by holders other than the sponsor or its permitted transferees, the private placement warrants will be redeemable by us and exercisable by the holders on the same basis as the warrants included in the units sold in the offering.</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Except as described above under “</w:t>
      </w:r>
      <w:r>
        <w:rPr>
          <w:rFonts w:ascii="Arial" w:cs="Arial" w:eastAsia="Arial" w:hAnsi="Arial"/>
          <w:sz w:val="17"/>
          <w:szCs w:val="17"/>
          <w:i w:val="1"/>
          <w:iCs w:val="1"/>
          <w:color w:val="auto"/>
        </w:rPr>
        <w:t>—Warrants—Public Warrants—Redemption of warrants when the price per Class A ordinary share equals or exceeds</w:t>
      </w:r>
      <w:r>
        <w:rPr>
          <w:rFonts w:ascii="Arial" w:cs="Arial" w:eastAsia="Arial" w:hAnsi="Arial"/>
          <w:sz w:val="17"/>
          <w:szCs w:val="17"/>
          <w:color w:val="auto"/>
        </w:rPr>
        <w:t xml:space="preserve"> </w:t>
      </w:r>
      <w:r>
        <w:rPr>
          <w:rFonts w:ascii="Arial" w:cs="Arial" w:eastAsia="Arial" w:hAnsi="Arial"/>
          <w:sz w:val="17"/>
          <w:szCs w:val="17"/>
          <w:i w:val="1"/>
          <w:iCs w:val="1"/>
          <w:color w:val="auto"/>
        </w:rPr>
        <w:t>$10.00,</w:t>
      </w:r>
      <w:r>
        <w:rPr>
          <w:rFonts w:ascii="Arial" w:cs="Arial" w:eastAsia="Arial" w:hAnsi="Arial"/>
          <w:sz w:val="17"/>
          <w:szCs w:val="17"/>
          <w:color w:val="auto"/>
        </w:rPr>
        <w:t>” if holders of the private placement warrants elect to exercise them on a cashless basis, they would pay the exercise price by surrendering his,</w:t>
      </w:r>
      <w:r>
        <w:rPr>
          <w:rFonts w:ascii="Arial" w:cs="Arial" w:eastAsia="Arial" w:hAnsi="Arial"/>
          <w:sz w:val="17"/>
          <w:szCs w:val="17"/>
          <w:i w:val="1"/>
          <w:iCs w:val="1"/>
          <w:color w:val="auto"/>
        </w:rPr>
        <w:t xml:space="preserve"> </w:t>
      </w:r>
      <w:r>
        <w:rPr>
          <w:rFonts w:ascii="Arial" w:cs="Arial" w:eastAsia="Arial" w:hAnsi="Arial"/>
          <w:sz w:val="17"/>
          <w:szCs w:val="17"/>
          <w:color w:val="auto"/>
        </w:rPr>
        <w:t>her or its warrants for that number of Class A ordinary shares equal to the quotient obtained by dividing (x) the product of the number of Class A ordinary shares underlying the warrants, multiplied by the excess of the “fair market value” of our Class A ordinary shares (defined below) over the exercise price of the warrants by (y) the fair market value. The “fair market value” will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the sponsor or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not paid any cash dividends on our ordinary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incur any indebtedness, our ability to declare dividends may be limited by restrictive covenants we may agree to in connection therewith.</w:t>
      </w:r>
    </w:p>
    <w:p>
      <w:pPr>
        <w:sectPr>
          <w:pgSz w:w="11900" w:h="16838" w:orient="portrait"/>
          <w:cols w:equalWidth="0" w:num="1">
            <w:col w:w="11000"/>
          </w:cols>
          <w:pgMar w:left="440" w:top="274" w:right="4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Transfer Agent and Warrant Agent</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liability due to any gross negligence or intentional misconduct of the indemnified person or entity. Continental Stock Transfer &amp;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Memorandum and Articles of Association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Business Combination Article of our amended and restated memorandum and articles of association contains provisions designed to provide certain rights and protections relating to our initial public offering that will apply to us until the completion of our initial business combination. These provisions cannot be amended without a special resolution. As a matter of Cayman Islands law, a resolution is deemed to be a special resolution where it has been approved by either (i) at least two-thirds (or any higher threshold specified in a company’s articles of association) of a company’s shareholders at a general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provide that special resolutions must be approved either by at least two-thirds of our shareholders (i.e., the lowest threshold permissible under Cayman Islands law), or by a unanimous written resolution of all of our shareholders.</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initial shareholders, who collectively beneficially own 20% of our ordinary shares, will participate in any vote to amend our amended and restated memorandum and articles of association and will have the discretion to vote in any manner they choose. Specifically, our amended and restated memorandum and articles of association provide, among other things, that:</w:t>
      </w:r>
    </w:p>
    <w:p>
      <w:pPr>
        <w:spacing w:after="0" w:line="89" w:lineRule="exact"/>
        <w:rPr>
          <w:sz w:val="20"/>
          <w:szCs w:val="20"/>
          <w:color w:val="auto"/>
        </w:rPr>
      </w:pPr>
    </w:p>
    <w:p>
      <w:pPr>
        <w:ind w:left="420" w:hanging="316"/>
        <w:spacing w:after="0" w:line="271" w:lineRule="auto"/>
        <w:tabs>
          <w:tab w:leader="none" w:pos="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by September 25, 2022,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83" w:lineRule="exact"/>
        <w:rPr>
          <w:rFonts w:ascii="Arial" w:cs="Arial" w:eastAsia="Arial" w:hAnsi="Arial"/>
          <w:sz w:val="17"/>
          <w:szCs w:val="17"/>
          <w:color w:val="auto"/>
        </w:rPr>
      </w:pPr>
    </w:p>
    <w:p>
      <w:pPr>
        <w:ind w:left="420" w:right="100" w:hanging="316"/>
        <w:spacing w:after="0" w:line="277"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securities that would entitle the holders thereof to (i) receive funds from the trust account or (ii) vote on our initial business combination;</w:t>
      </w:r>
    </w:p>
    <w:p>
      <w:pPr>
        <w:spacing w:after="0" w:line="75" w:lineRule="exact"/>
        <w:rPr>
          <w:rFonts w:ascii="Arial" w:cs="Arial" w:eastAsia="Arial" w:hAnsi="Arial"/>
          <w:sz w:val="18"/>
          <w:szCs w:val="18"/>
          <w:color w:val="auto"/>
        </w:rPr>
      </w:pPr>
    </w:p>
    <w:p>
      <w:pPr>
        <w:ind w:left="420" w:right="40" w:hanging="316"/>
        <w:spacing w:after="0" w:line="259"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Although we do not intend to enter into a business combination with a target business that is affiliated with our sponsor, our directors or our officers, we are not prohibited from doing so. In the event we enter into such a transaction, we, or a committee of independent directors, will obtain an opinion from an independent investment banking firm which is a member of FINRA or a valuation or appraisal firm that such a business combination is fair to our company from a financial point of view;</w:t>
      </w:r>
    </w:p>
    <w:p>
      <w:pPr>
        <w:sectPr>
          <w:pgSz w:w="11900" w:h="16838" w:orient="portrait"/>
          <w:cols w:equalWidth="0" w:num="1">
            <w:col w:w="11020"/>
          </w:cols>
          <w:pgMar w:left="440" w:top="270" w:right="439" w:bottom="1440" w:gutter="0" w:footer="0" w:header="0"/>
        </w:sectPr>
      </w:pPr>
    </w:p>
    <w:bookmarkStart w:id="110" w:name="page111"/>
    <w:bookmarkEnd w:id="110"/>
    <w:p>
      <w:pPr>
        <w:ind w:left="420" w:hanging="316"/>
        <w:spacing w:after="0" w:line="301" w:lineRule="auto"/>
        <w:tabs>
          <w:tab w:leader="none" w:pos="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shareholder vote on our initial business combination is not required by law and we do not decide to hold a shareholder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62" w:lineRule="exact"/>
        <w:rPr>
          <w:rFonts w:ascii="Arial" w:cs="Arial" w:eastAsia="Arial" w:hAnsi="Arial"/>
          <w:sz w:val="16"/>
          <w:szCs w:val="16"/>
          <w:color w:val="auto"/>
        </w:rPr>
      </w:pPr>
    </w:p>
    <w:p>
      <w:pPr>
        <w:ind w:left="420" w:hanging="316"/>
        <w:spacing w:after="0" w:line="291" w:lineRule="auto"/>
        <w:tabs>
          <w:tab w:leader="none" w:pos="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our shareholders approve an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by September 25, 2022 or (B) with respect to any other material provisions relating to shareholders’ rights or pre-initial business combination activity, we will provide our public shareholders with the opportunity to redeem all or a portion of their Class A ordinary shares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and on the conditions described herein; and</w:t>
      </w:r>
    </w:p>
    <w:p>
      <w:pPr>
        <w:spacing w:after="0" w:line="71" w:lineRule="exact"/>
        <w:rPr>
          <w:rFonts w:ascii="Arial" w:cs="Arial" w:eastAsia="Arial" w:hAnsi="Arial"/>
          <w:sz w:val="16"/>
          <w:szCs w:val="16"/>
          <w:color w:val="auto"/>
        </w:rPr>
      </w:pPr>
    </w:p>
    <w:p>
      <w:pPr>
        <w:ind w:left="420" w:hanging="316"/>
        <w:spacing w:after="0"/>
        <w:tabs>
          <w:tab w:leader="none" w:pos="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will not effectuate our initial business combination with another blank check company or a similar company with nominal operations.</w:t>
      </w:r>
    </w:p>
    <w:p>
      <w:pPr>
        <w:spacing w:after="0" w:line="2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our amended and restated memorandum and articles of association provide we will not redeem our public shares in an amount that would cause our net tangible assets to be less than $5,000,001.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our initial public offering, in order to, among other reasons, satisfy such net tangible assets requirement.</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Companies Law permits a company incorporated in the Cayman Islands to amend its memorandum and articles of association with the approval of a special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provides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amended and restated memorandum and articles of association provide that our board of directors are classified into three classes of directors. As a result, in most circumstances, a person can gain control of our board only by successfully engaging in a proxy contest at two or more annual general meetings.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authorized but unissued Class A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preferred shares could render more difficult or discourage an attempt to obtain control of us by means of a proxy contest, tender offer, merger or otherwise.</w:t>
      </w:r>
    </w:p>
    <w:p>
      <w:pPr>
        <w:sectPr>
          <w:pgSz w:w="11900" w:h="16838" w:orient="portrait"/>
          <w:cols w:equalWidth="0" w:num="1">
            <w:col w:w="10960"/>
          </w:cols>
          <w:pgMar w:left="440" w:top="274" w:right="499" w:bottom="1440" w:gutter="0" w:footer="0" w:header="0"/>
        </w:sectPr>
      </w:pPr>
    </w:p>
    <w:bookmarkStart w:id="111" w:name="page112"/>
    <w:bookmarkEnd w:id="11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Rights</w:t>
      </w:r>
    </w:p>
    <w:p>
      <w:pPr>
        <w:spacing w:after="0" w:line="121"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The holders of the (i) founder shares, which were issued in a private placement prior to the closing of our initial public offering, (ii) private placement warrants, which were issued in a private placement simultaneously with the closing of our initial public offering and the Class A ordinary shares underlying such private placement warrants and (iii) private placement warrants that may be issued upon conversion of working capital loans will have registration rights to require us to register a sale of any of our securities held by them pursuant to a registration rights agreement. Pursuant to the registration rights agreement and assuming $1.5 million of working capital loans are converted into private placement warrants, we will be obligated to register up to 12,831,850 Class A ordinary shares and 7,647,550 warrants. The number of Class A ordinary shares includes (i) 5,184,300 Class A ordinary shares to be issued upon conversion of the founder shares, (ii) 6,147,550 Class A ordinary shares underlying the private placement warrants and</w:t>
      </w:r>
    </w:p>
    <w:p>
      <w:pPr>
        <w:spacing w:after="0" w:line="2" w:lineRule="exact"/>
        <w:rPr>
          <w:sz w:val="20"/>
          <w:szCs w:val="20"/>
          <w:color w:val="auto"/>
        </w:rPr>
      </w:pPr>
    </w:p>
    <w:p>
      <w:pPr>
        <w:ind w:left="324" w:hanging="324"/>
        <w:spacing w:after="0"/>
        <w:tabs>
          <w:tab w:leader="none" w:pos="324" w:val="left"/>
        </w:tabs>
        <w:numPr>
          <w:ilvl w:val="0"/>
          <w:numId w:val="55"/>
        </w:numPr>
        <w:rPr>
          <w:rFonts w:ascii="Arial" w:cs="Arial" w:eastAsia="Arial" w:hAnsi="Arial"/>
          <w:sz w:val="17"/>
          <w:szCs w:val="17"/>
          <w:color w:val="auto"/>
        </w:rPr>
      </w:pPr>
      <w:r>
        <w:rPr>
          <w:rFonts w:ascii="Arial" w:cs="Arial" w:eastAsia="Arial" w:hAnsi="Arial"/>
          <w:sz w:val="17"/>
          <w:szCs w:val="17"/>
          <w:color w:val="auto"/>
        </w:rPr>
        <w:t>1,500,000 Class A ordinary shares underlying the private placement warrants issued upon conversion of working capital loans. The number of</w:t>
      </w:r>
    </w:p>
    <w:p>
      <w:pPr>
        <w:spacing w:after="0" w:line="20" w:lineRule="exact"/>
        <w:rPr>
          <w:rFonts w:ascii="Arial" w:cs="Arial" w:eastAsia="Arial" w:hAnsi="Arial"/>
          <w:sz w:val="17"/>
          <w:szCs w:val="17"/>
          <w:color w:val="auto"/>
        </w:rPr>
      </w:pPr>
    </w:p>
    <w:p>
      <w:pPr>
        <w:ind w:left="4" w:right="140"/>
        <w:spacing w:after="0" w:line="253" w:lineRule="auto"/>
        <w:rPr>
          <w:rFonts w:ascii="Arial" w:cs="Arial" w:eastAsia="Arial" w:hAnsi="Arial"/>
          <w:sz w:val="17"/>
          <w:szCs w:val="17"/>
          <w:color w:val="auto"/>
        </w:rPr>
      </w:pPr>
      <w:r>
        <w:rPr>
          <w:rFonts w:ascii="Arial" w:cs="Arial" w:eastAsia="Arial" w:hAnsi="Arial"/>
          <w:sz w:val="18"/>
          <w:szCs w:val="18"/>
          <w:color w:val="auto"/>
        </w:rPr>
        <w:t>warrants includes 6,147,550 private placement warrants.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2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Our units, ordinary shares and warrants are listed on Nasdaq under the symbols “VIHAU,” “VIH” and “VIHAW,” respectively.</w:t>
      </w:r>
    </w:p>
    <w:p>
      <w:pPr>
        <w:sectPr>
          <w:pgSz w:w="11900" w:h="16838" w:orient="portrait"/>
          <w:cols w:equalWidth="0" w:num="1">
            <w:col w:w="11004"/>
          </w:cols>
          <w:pgMar w:left="436" w:top="270" w:right="45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CODE OF BUSINESS CONDUCT AND ETHICS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Effective September 22, 2020</w:t>
      </w:r>
    </w:p>
    <w:p>
      <w:pPr>
        <w:spacing w:after="0" w:line="234" w:lineRule="exact"/>
        <w:rPr>
          <w:sz w:val="20"/>
          <w:szCs w:val="20"/>
          <w:color w:val="auto"/>
        </w:rPr>
      </w:pPr>
    </w:p>
    <w:p>
      <w:pPr>
        <w:ind w:left="424" w:hanging="424"/>
        <w:spacing w:after="0"/>
        <w:tabs>
          <w:tab w:leader="none" w:pos="42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INTRODUCTION</w:t>
      </w:r>
    </w:p>
    <w:p>
      <w:pPr>
        <w:spacing w:after="0" w:line="121" w:lineRule="exact"/>
        <w:rPr>
          <w:sz w:val="20"/>
          <w:szCs w:val="20"/>
          <w:color w:val="auto"/>
        </w:rPr>
      </w:pPr>
    </w:p>
    <w:p>
      <w:pPr>
        <w:jc w:val="both"/>
        <w:ind w:left="4" w:right="60" w:firstLine="440"/>
        <w:spacing w:after="0" w:line="263"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VPC Impact Acquisition Holdings has adopted this code of business conduct and ethics (this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as amended from time to time by the Board and which is applicable to all of the Company’s directors, officers and employees (to the extent that employees are hired in the future) (each a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as used herein) of the Company (as defined below), to:</w:t>
      </w:r>
    </w:p>
    <w:p>
      <w:pPr>
        <w:spacing w:after="0" w:line="89" w:lineRule="exact"/>
        <w:rPr>
          <w:sz w:val="20"/>
          <w:szCs w:val="20"/>
          <w:color w:val="auto"/>
        </w:rPr>
      </w:pPr>
    </w:p>
    <w:p>
      <w:pPr>
        <w:ind w:left="964" w:right="700" w:hanging="532"/>
        <w:spacing w:after="0" w:line="277" w:lineRule="auto"/>
        <w:tabs>
          <w:tab w:leader="none" w:pos="9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promote honest and ethical conduct, including the ethical handling of actual or apparent conflicts of interest between personal and professional relationships;</w:t>
      </w:r>
    </w:p>
    <w:p>
      <w:pPr>
        <w:spacing w:after="0" w:line="75" w:lineRule="exact"/>
        <w:rPr>
          <w:rFonts w:ascii="Arial" w:cs="Arial" w:eastAsia="Arial" w:hAnsi="Arial"/>
          <w:sz w:val="18"/>
          <w:szCs w:val="18"/>
          <w:color w:val="auto"/>
        </w:rPr>
      </w:pPr>
    </w:p>
    <w:p>
      <w:pPr>
        <w:ind w:left="964" w:right="140" w:hanging="532"/>
        <w:spacing w:after="0" w:line="263" w:lineRule="auto"/>
        <w:tabs>
          <w:tab w:leader="none" w:pos="9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promote the full, fair, accurate, timely and understandable disclosure in reports and documents that the Company files with, or submits to, the U.S. Securities and Exchange Commission (the “SEC”), as well as in other public communications made by or on behalf of the Company;</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promote compliance with applicable governmental laws, rules and regulations;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deter wrongdoing;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require prompt internal reporting of breaches of, and accountability for adherence to, this Code.</w:t>
      </w:r>
    </w:p>
    <w:p>
      <w:pPr>
        <w:spacing w:after="0" w:line="117"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This Code may be amended or modified by the Board. In this Code, references to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 VPC Impact Acquisition Holdings and, in appropriate context, the Company’s subsidiaries, if any.</w:t>
      </w:r>
    </w:p>
    <w:p>
      <w:pPr>
        <w:spacing w:after="0" w:line="315" w:lineRule="exact"/>
        <w:rPr>
          <w:sz w:val="20"/>
          <w:szCs w:val="20"/>
          <w:color w:val="auto"/>
        </w:rPr>
      </w:pPr>
    </w:p>
    <w:p>
      <w:pPr>
        <w:ind w:left="424" w:hanging="424"/>
        <w:spacing w:after="0"/>
        <w:tabs>
          <w:tab w:leader="none" w:pos="424"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HONEST, ETHICAL AND FAIR CONDUCT</w:t>
      </w:r>
    </w:p>
    <w:p>
      <w:pPr>
        <w:spacing w:after="0" w:line="121" w:lineRule="exact"/>
        <w:rPr>
          <w:sz w:val="20"/>
          <w:szCs w:val="20"/>
          <w:color w:val="auto"/>
        </w:rPr>
      </w:pPr>
    </w:p>
    <w:p>
      <w:pPr>
        <w:jc w:val="both"/>
        <w:ind w:left="4" w:right="480" w:firstLine="440"/>
        <w:spacing w:after="0" w:line="263" w:lineRule="auto"/>
        <w:rPr>
          <w:sz w:val="20"/>
          <w:szCs w:val="20"/>
          <w:color w:val="auto"/>
        </w:rPr>
      </w:pPr>
      <w:r>
        <w:rPr>
          <w:rFonts w:ascii="Arial" w:cs="Arial" w:eastAsia="Arial" w:hAnsi="Arial"/>
          <w:sz w:val="18"/>
          <w:szCs w:val="18"/>
          <w:color w:val="auto"/>
        </w:rPr>
        <w:t>Each person owes a duty to the Company to act with integrity. Integrity requires, among other things, being honest, fair and candid. Deceit, dishonesty and subordination of principle are inconsistent with integrity. Service to the Company should never be subordinated to personal gain or advantage.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Each person must:</w:t>
      </w:r>
    </w:p>
    <w:p>
      <w:pPr>
        <w:spacing w:after="0" w:line="131" w:lineRule="exact"/>
        <w:rPr>
          <w:sz w:val="20"/>
          <w:szCs w:val="20"/>
          <w:color w:val="auto"/>
        </w:rPr>
      </w:pPr>
    </w:p>
    <w:p>
      <w:pPr>
        <w:ind w:left="964" w:right="500" w:hanging="532"/>
        <w:spacing w:after="0" w:line="277" w:lineRule="auto"/>
        <w:tabs>
          <w:tab w:leader="none" w:pos="9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Act with integrity, including being honest and candid while still maintaining the confidentiality of the Company’s information where required or when in the Company’s interests;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Observe all applicable governmental laws, rules and regulations;</w:t>
      </w:r>
    </w:p>
    <w:p>
      <w:pPr>
        <w:spacing w:after="0" w:line="130" w:lineRule="exact"/>
        <w:rPr>
          <w:rFonts w:ascii="Arial" w:cs="Arial" w:eastAsia="Arial" w:hAnsi="Arial"/>
          <w:sz w:val="18"/>
          <w:szCs w:val="18"/>
          <w:color w:val="auto"/>
        </w:rPr>
      </w:pPr>
    </w:p>
    <w:p>
      <w:pPr>
        <w:ind w:left="964" w:right="240" w:hanging="532"/>
        <w:spacing w:after="0" w:line="308" w:lineRule="auto"/>
        <w:tabs>
          <w:tab w:leader="none" w:pos="964"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Comply with the requirements of applicable accounting and auditing standards, as well as Company policies, in order to maintain a high standard of accuracy and completeness in the Company’s financial records and other business-related information and data;</w:t>
      </w:r>
    </w:p>
    <w:p>
      <w:pPr>
        <w:spacing w:after="0" w:line="51" w:lineRule="exact"/>
        <w:rPr>
          <w:rFonts w:ascii="Arial" w:cs="Arial" w:eastAsia="Arial" w:hAnsi="Arial"/>
          <w:sz w:val="17"/>
          <w:szCs w:val="17"/>
          <w:color w:val="auto"/>
        </w:rPr>
      </w:pPr>
    </w:p>
    <w:p>
      <w:pPr>
        <w:ind w:left="964" w:hanging="532"/>
        <w:spacing w:after="0"/>
        <w:tabs>
          <w:tab w:leader="none" w:pos="964" w:val="left"/>
        </w:tabs>
        <w:numPr>
          <w:ilvl w:val="0"/>
          <w:numId w:val="59"/>
        </w:numPr>
        <w:rPr>
          <w:rFonts w:ascii="Arial" w:cs="Arial" w:eastAsia="Arial" w:hAnsi="Arial"/>
          <w:sz w:val="17"/>
          <w:szCs w:val="17"/>
          <w:color w:val="auto"/>
        </w:rPr>
      </w:pPr>
      <w:r>
        <w:rPr>
          <w:rFonts w:ascii="Arial" w:cs="Arial" w:eastAsia="Arial" w:hAnsi="Arial"/>
          <w:sz w:val="17"/>
          <w:szCs w:val="17"/>
          <w:color w:val="auto"/>
        </w:rPr>
        <w:t>Adhere to a high standard of business ethics and not seek competitive advantage through unlawful or unethical business practices;</w:t>
      </w:r>
    </w:p>
    <w:p>
      <w:pPr>
        <w:spacing w:after="0" w:line="142" w:lineRule="exact"/>
        <w:rPr>
          <w:rFonts w:ascii="Arial" w:cs="Arial" w:eastAsia="Arial" w:hAnsi="Arial"/>
          <w:sz w:val="17"/>
          <w:szCs w:val="17"/>
          <w:color w:val="auto"/>
        </w:rPr>
      </w:pPr>
    </w:p>
    <w:p>
      <w:pPr>
        <w:ind w:left="964" w:hanging="532"/>
        <w:spacing w:after="0"/>
        <w:tabs>
          <w:tab w:leader="none" w:pos="9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Deal fairly with the Company’s customers, suppliers, competitors and employees;</w:t>
      </w:r>
    </w:p>
    <w:p>
      <w:pPr>
        <w:spacing w:after="0" w:line="130" w:lineRule="exact"/>
        <w:rPr>
          <w:rFonts w:ascii="Arial" w:cs="Arial" w:eastAsia="Arial" w:hAnsi="Arial"/>
          <w:sz w:val="18"/>
          <w:szCs w:val="18"/>
          <w:color w:val="auto"/>
        </w:rPr>
      </w:pPr>
    </w:p>
    <w:p>
      <w:pPr>
        <w:ind w:left="964" w:right="560" w:hanging="532"/>
        <w:spacing w:after="0" w:line="277" w:lineRule="auto"/>
        <w:tabs>
          <w:tab w:leader="none" w:pos="9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Refrain from taking advantage of anyone through manipulation, concealment, abuse of privileged information, misrepresentation of material facts or any other unfair-dealing practice;</w:t>
      </w:r>
    </w:p>
    <w:p>
      <w:pPr>
        <w:sectPr>
          <w:pgSz w:w="11900" w:h="16838" w:orient="portrait"/>
          <w:cols w:equalWidth="0" w:num="1">
            <w:col w:w="11024"/>
          </w:cols>
          <w:pgMar w:left="436" w:top="121" w:right="439" w:bottom="1440" w:gutter="0" w:footer="0" w:header="0"/>
        </w:sectPr>
      </w:pPr>
    </w:p>
    <w:bookmarkStart w:id="113" w:name="page114"/>
    <w:bookmarkEnd w:id="113"/>
    <w:p>
      <w:pPr>
        <w:ind w:left="964" w:hanging="532"/>
        <w:spacing w:after="0"/>
        <w:tabs>
          <w:tab w:leader="none" w:pos="964" w:val="left"/>
        </w:tabs>
        <w:numPr>
          <w:ilvl w:val="1"/>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Protect the assets of the Company and ensure their proper use;</w:t>
      </w:r>
    </w:p>
    <w:p>
      <w:pPr>
        <w:spacing w:after="0" w:line="130" w:lineRule="exact"/>
        <w:rPr>
          <w:rFonts w:ascii="Arial" w:cs="Arial" w:eastAsia="Arial" w:hAnsi="Arial"/>
          <w:sz w:val="18"/>
          <w:szCs w:val="18"/>
          <w:color w:val="auto"/>
        </w:rPr>
      </w:pPr>
    </w:p>
    <w:p>
      <w:pPr>
        <w:ind w:left="964" w:right="140" w:hanging="532"/>
        <w:spacing w:after="0" w:line="259" w:lineRule="auto"/>
        <w:tabs>
          <w:tab w:leader="none" w:pos="964" w:val="left"/>
        </w:tabs>
        <w:numPr>
          <w:ilvl w:val="1"/>
          <w:numId w:val="60"/>
        </w:numPr>
        <w:rPr>
          <w:rFonts w:ascii="Arial" w:cs="Arial" w:eastAsia="Arial" w:hAnsi="Arial"/>
          <w:sz w:val="18"/>
          <w:szCs w:val="18"/>
          <w:color w:val="auto"/>
        </w:rPr>
      </w:pPr>
      <w:r>
        <w:rPr>
          <w:rFonts w:ascii="Arial" w:cs="Arial" w:eastAsia="Arial" w:hAnsi="Arial"/>
          <w:sz w:val="18"/>
          <w:szCs w:val="18"/>
          <w:color w:val="auto"/>
        </w:rPr>
        <w:t>Subject to, and except as permitted by, the Company’s amended and restated memorandum and articles of association, as it may be amended from time to time (the “charter”), not (i) take for themselves corporate or business opportunities that are discovered through the use of corporate property, information or position, (ii) use corporate property, information or position for personal gain and (iii) compete with the Company; and</w:t>
      </w:r>
    </w:p>
    <w:p>
      <w:pPr>
        <w:spacing w:after="0" w:line="92" w:lineRule="exact"/>
        <w:rPr>
          <w:rFonts w:ascii="Arial" w:cs="Arial" w:eastAsia="Arial" w:hAnsi="Arial"/>
          <w:sz w:val="18"/>
          <w:szCs w:val="18"/>
          <w:color w:val="auto"/>
        </w:rPr>
      </w:pPr>
    </w:p>
    <w:p>
      <w:pPr>
        <w:ind w:left="964" w:right="180" w:hanging="532"/>
        <w:spacing w:after="0" w:line="279" w:lineRule="auto"/>
        <w:tabs>
          <w:tab w:leader="none" w:pos="964" w:val="left"/>
        </w:tabs>
        <w:numPr>
          <w:ilvl w:val="1"/>
          <w:numId w:val="60"/>
        </w:numPr>
        <w:rPr>
          <w:rFonts w:ascii="Arial" w:cs="Arial" w:eastAsia="Arial" w:hAnsi="Arial"/>
          <w:sz w:val="17"/>
          <w:szCs w:val="17"/>
          <w:color w:val="auto"/>
        </w:rPr>
      </w:pPr>
      <w:r>
        <w:rPr>
          <w:rFonts w:ascii="Arial" w:cs="Arial" w:eastAsia="Arial" w:hAnsi="Arial"/>
          <w:sz w:val="17"/>
          <w:szCs w:val="17"/>
          <w:color w:val="auto"/>
        </w:rPr>
        <w:t>Avoid conflicts of interest, wherever possible, except as may be allowed under guidelines or resolutions approved by the Board (or the appropriate committee of the Board), as disclosed in the Company’s public filings with the SEC or as permitted by the charter. Anything that would be a conflict for a person subject to this Code also will be a conflict for a member of his or her immediate family or any other close relative. Examples of conflict of interest situations include, but are not limited to, the following:</w:t>
      </w:r>
    </w:p>
    <w:p>
      <w:pPr>
        <w:spacing w:after="0" w:line="76" w:lineRule="exact"/>
        <w:rPr>
          <w:rFonts w:ascii="Arial" w:cs="Arial" w:eastAsia="Arial" w:hAnsi="Arial"/>
          <w:sz w:val="17"/>
          <w:szCs w:val="17"/>
          <w:color w:val="auto"/>
        </w:rPr>
      </w:pPr>
    </w:p>
    <w:p>
      <w:pPr>
        <w:ind w:left="1424" w:hanging="439"/>
        <w:spacing w:after="0"/>
        <w:tabs>
          <w:tab w:leader="none" w:pos="1424" w:val="left"/>
        </w:tabs>
        <w:numPr>
          <w:ilvl w:val="2"/>
          <w:numId w:val="60"/>
        </w:numPr>
        <w:rPr>
          <w:rFonts w:ascii="Arial" w:cs="Arial" w:eastAsia="Arial" w:hAnsi="Arial"/>
          <w:sz w:val="18"/>
          <w:szCs w:val="18"/>
          <w:color w:val="auto"/>
        </w:rPr>
      </w:pPr>
      <w:r>
        <w:rPr>
          <w:rFonts w:ascii="Arial" w:cs="Arial" w:eastAsia="Arial" w:hAnsi="Arial"/>
          <w:sz w:val="18"/>
          <w:szCs w:val="18"/>
          <w:color w:val="auto"/>
        </w:rPr>
        <w:t>any significant ownership interest in any supplier or customer;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60"/>
        </w:numPr>
        <w:rPr>
          <w:rFonts w:ascii="Arial" w:cs="Arial" w:eastAsia="Arial" w:hAnsi="Arial"/>
          <w:sz w:val="18"/>
          <w:szCs w:val="18"/>
          <w:color w:val="auto"/>
        </w:rPr>
      </w:pPr>
      <w:r>
        <w:rPr>
          <w:rFonts w:ascii="Arial" w:cs="Arial" w:eastAsia="Arial" w:hAnsi="Arial"/>
          <w:sz w:val="18"/>
          <w:szCs w:val="18"/>
          <w:color w:val="auto"/>
        </w:rPr>
        <w:t>any consulting or employment relationship with any supplier or customer;</w:t>
      </w:r>
    </w:p>
    <w:p>
      <w:pPr>
        <w:spacing w:after="0" w:line="130" w:lineRule="exact"/>
        <w:rPr>
          <w:rFonts w:ascii="Arial" w:cs="Arial" w:eastAsia="Arial" w:hAnsi="Arial"/>
          <w:sz w:val="18"/>
          <w:szCs w:val="18"/>
          <w:color w:val="auto"/>
        </w:rPr>
      </w:pPr>
    </w:p>
    <w:p>
      <w:pPr>
        <w:ind w:left="1424" w:right="400" w:hanging="439"/>
        <w:spacing w:after="0" w:line="277" w:lineRule="auto"/>
        <w:tabs>
          <w:tab w:leader="none" w:pos="1424"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receipt of any money, non-nominal gifts or excessive entertainment from any entity with which the Company has current or prospective business dealings;</w:t>
      </w:r>
    </w:p>
    <w:p>
      <w:pPr>
        <w:spacing w:after="0" w:line="75" w:lineRule="exact"/>
        <w:rPr>
          <w:rFonts w:ascii="Arial" w:cs="Arial" w:eastAsia="Arial" w:hAnsi="Arial"/>
          <w:sz w:val="18"/>
          <w:szCs w:val="18"/>
          <w:color w:val="auto"/>
        </w:rPr>
      </w:pPr>
    </w:p>
    <w:p>
      <w:pPr>
        <w:ind w:left="1424" w:right="320" w:hanging="439"/>
        <w:spacing w:after="0" w:line="277" w:lineRule="auto"/>
        <w:tabs>
          <w:tab w:leader="none" w:pos="1424" w:val="left"/>
        </w:tabs>
        <w:numPr>
          <w:ilvl w:val="2"/>
          <w:numId w:val="60"/>
        </w:numPr>
        <w:rPr>
          <w:rFonts w:ascii="Arial" w:cs="Arial" w:eastAsia="Arial" w:hAnsi="Arial"/>
          <w:sz w:val="18"/>
          <w:szCs w:val="18"/>
          <w:color w:val="auto"/>
        </w:rPr>
      </w:pPr>
      <w:r>
        <w:rPr>
          <w:rFonts w:ascii="Arial" w:cs="Arial" w:eastAsia="Arial" w:hAnsi="Arial"/>
          <w:sz w:val="18"/>
          <w:szCs w:val="18"/>
          <w:color w:val="auto"/>
        </w:rPr>
        <w:t>selling anything to the Company or buying anything from the Company, except on the same terms and conditions as comparable officers or directors are permitted to so purchase or sell;</w:t>
      </w:r>
    </w:p>
    <w:p>
      <w:pPr>
        <w:spacing w:after="0" w:line="75" w:lineRule="exact"/>
        <w:rPr>
          <w:rFonts w:ascii="Arial" w:cs="Arial" w:eastAsia="Arial" w:hAnsi="Arial"/>
          <w:sz w:val="18"/>
          <w:szCs w:val="18"/>
          <w:color w:val="auto"/>
        </w:rPr>
      </w:pPr>
    </w:p>
    <w:p>
      <w:pPr>
        <w:ind w:left="1424" w:right="80" w:hanging="439"/>
        <w:spacing w:after="0" w:line="277" w:lineRule="auto"/>
        <w:tabs>
          <w:tab w:leader="none" w:pos="1424" w:val="left"/>
        </w:tabs>
        <w:numPr>
          <w:ilvl w:val="2"/>
          <w:numId w:val="60"/>
        </w:numPr>
        <w:rPr>
          <w:rFonts w:ascii="Arial" w:cs="Arial" w:eastAsia="Arial" w:hAnsi="Arial"/>
          <w:sz w:val="18"/>
          <w:szCs w:val="18"/>
          <w:color w:val="auto"/>
        </w:rPr>
      </w:pPr>
      <w:r>
        <w:rPr>
          <w:rFonts w:ascii="Arial" w:cs="Arial" w:eastAsia="Arial" w:hAnsi="Arial"/>
          <w:sz w:val="18"/>
          <w:szCs w:val="18"/>
          <w:color w:val="auto"/>
        </w:rPr>
        <w:t>any other financial transaction, arrangement or relationship (including any indebtedness or guarantee of indebtedness) involving the Company; and</w:t>
      </w:r>
    </w:p>
    <w:p>
      <w:pPr>
        <w:spacing w:after="0" w:line="75" w:lineRule="exact"/>
        <w:rPr>
          <w:rFonts w:ascii="Arial" w:cs="Arial" w:eastAsia="Arial" w:hAnsi="Arial"/>
          <w:sz w:val="18"/>
          <w:szCs w:val="18"/>
          <w:color w:val="auto"/>
        </w:rPr>
      </w:pPr>
    </w:p>
    <w:p>
      <w:pPr>
        <w:ind w:left="1424" w:hanging="439"/>
        <w:spacing w:after="0" w:line="277" w:lineRule="auto"/>
        <w:tabs>
          <w:tab w:leader="none" w:pos="1424" w:val="left"/>
        </w:tabs>
        <w:numPr>
          <w:ilvl w:val="2"/>
          <w:numId w:val="60"/>
        </w:numPr>
        <w:rPr>
          <w:rFonts w:ascii="Arial" w:cs="Arial" w:eastAsia="Arial" w:hAnsi="Arial"/>
          <w:sz w:val="18"/>
          <w:szCs w:val="18"/>
          <w:color w:val="auto"/>
        </w:rPr>
      </w:pPr>
      <w:r>
        <w:rPr>
          <w:rFonts w:ascii="Arial" w:cs="Arial" w:eastAsia="Arial" w:hAnsi="Arial"/>
          <w:sz w:val="18"/>
          <w:szCs w:val="18"/>
          <w:color w:val="auto"/>
        </w:rPr>
        <w:t>any other circumstance, event, relationship or situation in which the personal interest of a person subject to this Code interferes — or even appears to interfere — with the interests of the Company as a whole.</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DISCLOSURE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The Company strives to ensure that the contents of and the disclosures in the reports and documents that the Company files with the SEC and</w:t>
      </w:r>
    </w:p>
    <w:p>
      <w:pPr>
        <w:spacing w:after="0" w:line="46" w:lineRule="exact"/>
        <w:rPr>
          <w:sz w:val="20"/>
          <w:szCs w:val="20"/>
          <w:color w:val="auto"/>
        </w:rPr>
      </w:pPr>
    </w:p>
    <w:p>
      <w:pPr>
        <w:ind w:left="4" w:right="520"/>
        <w:spacing w:after="0" w:line="260" w:lineRule="auto"/>
        <w:rPr>
          <w:sz w:val="20"/>
          <w:szCs w:val="20"/>
          <w:color w:val="auto"/>
        </w:rPr>
      </w:pPr>
      <w:r>
        <w:rPr>
          <w:rFonts w:ascii="Arial" w:cs="Arial" w:eastAsia="Arial" w:hAnsi="Arial"/>
          <w:sz w:val="18"/>
          <w:szCs w:val="18"/>
          <w:color w:val="auto"/>
        </w:rPr>
        <w:t>other public communications shall be full, fair, accurate, timely and understandable in accordance with applicable disclosure standards, including standards of materiality, where appropriate. Each person must:</w:t>
      </w:r>
    </w:p>
    <w:p>
      <w:pPr>
        <w:spacing w:after="0" w:line="91" w:lineRule="exact"/>
        <w:rPr>
          <w:sz w:val="20"/>
          <w:szCs w:val="20"/>
          <w:color w:val="auto"/>
        </w:rPr>
      </w:pPr>
    </w:p>
    <w:p>
      <w:pPr>
        <w:ind w:left="964" w:right="160" w:hanging="532"/>
        <w:spacing w:after="0" w:line="263" w:lineRule="auto"/>
        <w:tabs>
          <w:tab w:leader="none" w:pos="9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knowingly misrepresent, or cause others to misrepresent, facts about the Company to others, whether within or outside the Company, including to the Company’s independent registered public accountants, governmental regulators, self-regulating organizations and other governmental officials, as appropriate; and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relation to his or her area of responsibility, properly review and critically analyze proposed disclosure for accuracy and completeness.</w:t>
      </w:r>
    </w:p>
    <w:p>
      <w:pPr>
        <w:spacing w:after="0" w:line="248" w:lineRule="exact"/>
        <w:rPr>
          <w:sz w:val="20"/>
          <w:szCs w:val="20"/>
          <w:color w:val="auto"/>
        </w:rPr>
      </w:pPr>
    </w:p>
    <w:p>
      <w:pPr>
        <w:ind w:left="4" w:right="340" w:firstLine="440"/>
        <w:spacing w:after="0" w:line="311" w:lineRule="auto"/>
        <w:rPr>
          <w:sz w:val="20"/>
          <w:szCs w:val="20"/>
          <w:color w:val="auto"/>
        </w:rPr>
      </w:pPr>
      <w:r>
        <w:rPr>
          <w:rFonts w:ascii="Arial" w:cs="Arial" w:eastAsia="Arial" w:hAnsi="Arial"/>
          <w:sz w:val="16"/>
          <w:szCs w:val="16"/>
          <w:color w:val="auto"/>
        </w:rPr>
        <w:t>In addition to the foregoing, the Chief Executive Officer and Chief Financial Officer of the Company and each subsidiary of the Company (or persons performing similar functions), and each other person that typically is involved in the financial reporting of the Company, must familiarize himself or herself with the disclosure requirements applicable to the Company as well as the business and financial operations of the Company.</w:t>
      </w:r>
    </w:p>
    <w:p>
      <w:pPr>
        <w:spacing w:after="0" w:line="149"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Each person must promptly bring to the attention of the Chairperson of the Board (the “</w:t>
      </w:r>
      <w:r>
        <w:rPr>
          <w:rFonts w:ascii="Arial" w:cs="Arial" w:eastAsia="Arial" w:hAnsi="Arial"/>
          <w:sz w:val="18"/>
          <w:szCs w:val="18"/>
          <w:b w:val="1"/>
          <w:bCs w:val="1"/>
          <w:i w:val="1"/>
          <w:iCs w:val="1"/>
          <w:color w:val="auto"/>
        </w:rPr>
        <w:t>Chairperson</w:t>
      </w:r>
      <w:r>
        <w:rPr>
          <w:rFonts w:ascii="Arial" w:cs="Arial" w:eastAsia="Arial" w:hAnsi="Arial"/>
          <w:sz w:val="18"/>
          <w:szCs w:val="18"/>
          <w:color w:val="auto"/>
        </w:rPr>
        <w:t>”) any information he or she may have concerning (a) significant deficiencies in the design or operation of internal and/or disclosure controls that could adversely affect the Company’s ability to record, process, summarize and report financial data or (b) any fraud that involves management or other employees who have a significant role in the Company’s financial reporting, disclosures or internal controls.</w:t>
      </w:r>
    </w:p>
    <w:p>
      <w:pPr>
        <w:sectPr>
          <w:pgSz w:w="11900" w:h="16838" w:orient="portrait"/>
          <w:cols w:equalWidth="0" w:num="1">
            <w:col w:w="10984"/>
          </w:cols>
          <w:pgMar w:left="436" w:top="274" w:right="479" w:bottom="1440" w:gutter="0" w:footer="0" w:header="0"/>
        </w:sectPr>
      </w:pPr>
    </w:p>
    <w:bookmarkStart w:id="114" w:name="page115"/>
    <w:bookmarkEnd w:id="114"/>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IV.</w:t>
      </w:r>
      <w:r>
        <w:rPr>
          <w:sz w:val="20"/>
          <w:szCs w:val="20"/>
          <w:color w:val="auto"/>
        </w:rPr>
        <w:tab/>
      </w:r>
      <w:r>
        <w:rPr>
          <w:rFonts w:ascii="Arial" w:cs="Arial" w:eastAsia="Arial" w:hAnsi="Arial"/>
          <w:sz w:val="18"/>
          <w:szCs w:val="18"/>
          <w:b w:val="1"/>
          <w:bCs w:val="1"/>
          <w:u w:val="single" w:color="auto"/>
          <w:color w:val="auto"/>
        </w:rPr>
        <w:t>COMPLIANCE</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It is the Company’s obligation and policy to comply with all applicable governmental laws, rules and regulations. It is the personal responsibility of each person to, and each person must, adhere to the standards and restrictions imposed by those laws, rules and regulations, including those relating to accounting and auditing matters.</w:t>
      </w:r>
    </w:p>
    <w:p>
      <w:pPr>
        <w:spacing w:after="0" w:line="328" w:lineRule="exact"/>
        <w:rPr>
          <w:sz w:val="20"/>
          <w:szCs w:val="20"/>
          <w:color w:val="auto"/>
        </w:rPr>
      </w:pPr>
    </w:p>
    <w:p>
      <w:pPr>
        <w:ind w:left="424" w:hanging="424"/>
        <w:spacing w:after="0"/>
        <w:tabs>
          <w:tab w:leader="none" w:pos="424"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REPORTING AND ACCOUNTABILITY</w:t>
      </w:r>
    </w:p>
    <w:p>
      <w:pPr>
        <w:spacing w:after="0" w:line="121" w:lineRule="exact"/>
        <w:rPr>
          <w:sz w:val="20"/>
          <w:szCs w:val="20"/>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The Board is responsible for applying this Code to specific situations in which questions are presented to it and has the authority to interpret this Code in any particular situation. Any person who becomes aware of any existing or potential breach of this Code is required to notify the Chairperson promptly. Failure to do so is, in and of itself, a breach of this Code.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Specifically, each person must:</w:t>
      </w:r>
    </w:p>
    <w:p>
      <w:pPr>
        <w:spacing w:after="0" w:line="131" w:lineRule="exact"/>
        <w:rPr>
          <w:sz w:val="20"/>
          <w:szCs w:val="20"/>
          <w:color w:val="auto"/>
        </w:rPr>
      </w:pPr>
    </w:p>
    <w:p>
      <w:pPr>
        <w:ind w:left="964" w:hanging="532"/>
        <w:spacing w:after="0"/>
        <w:tabs>
          <w:tab w:leader="none" w:pos="9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Notify the Chairperson promptly of any existing or potential violation of this Code;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retaliate against any other person for reports of potential violations that are made in good faith.</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will follow the following procedures in investigating and enforcing this Code and in reporting on this Code:</w:t>
      </w:r>
    </w:p>
    <w:p>
      <w:pPr>
        <w:spacing w:after="0" w:line="131" w:lineRule="exact"/>
        <w:rPr>
          <w:sz w:val="20"/>
          <w:szCs w:val="20"/>
          <w:color w:val="auto"/>
        </w:rPr>
      </w:pPr>
    </w:p>
    <w:p>
      <w:pPr>
        <w:ind w:left="964" w:hanging="532"/>
        <w:spacing w:after="0"/>
        <w:tabs>
          <w:tab w:leader="none" w:pos="9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Board will take all appropriate action to investigate any breaches reported to it; and</w:t>
      </w:r>
    </w:p>
    <w:p>
      <w:pPr>
        <w:spacing w:after="0" w:line="130" w:lineRule="exact"/>
        <w:rPr>
          <w:rFonts w:ascii="Arial" w:cs="Arial" w:eastAsia="Arial" w:hAnsi="Arial"/>
          <w:sz w:val="18"/>
          <w:szCs w:val="18"/>
          <w:color w:val="auto"/>
        </w:rPr>
      </w:pPr>
    </w:p>
    <w:p>
      <w:pPr>
        <w:ind w:left="964" w:right="200" w:hanging="532"/>
        <w:spacing w:after="0" w:line="259" w:lineRule="auto"/>
        <w:tabs>
          <w:tab w:leader="none" w:pos="9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Upon determination by the Board that a breach has occurred, the Board (by majority decision) will take or authorize such disciplinary or preventive action as it deems appropriate, after consultation with the Company’s internal or external legal counsel, up to and including dismissal or, in the event of criminal or other serious violations of law, notification of the SEC or other appropriate law enforcement authorities.</w:t>
      </w:r>
    </w:p>
    <w:p>
      <w:pPr>
        <w:spacing w:after="0" w:line="79" w:lineRule="exact"/>
        <w:rPr>
          <w:sz w:val="20"/>
          <w:szCs w:val="20"/>
          <w:color w:val="auto"/>
        </w:rPr>
      </w:pPr>
    </w:p>
    <w:p>
      <w:pPr>
        <w:ind w:left="4" w:right="280" w:firstLine="440"/>
        <w:spacing w:after="0" w:line="263" w:lineRule="auto"/>
        <w:rPr>
          <w:sz w:val="20"/>
          <w:szCs w:val="20"/>
          <w:color w:val="auto"/>
        </w:rPr>
      </w:pPr>
      <w:r>
        <w:rPr>
          <w:rFonts w:ascii="Arial" w:cs="Arial" w:eastAsia="Arial" w:hAnsi="Arial"/>
          <w:sz w:val="18"/>
          <w:szCs w:val="18"/>
          <w:color w:val="auto"/>
        </w:rPr>
        <w:t>No person following the above procedure shall, as a result of following such procedure, be subject by the Company or any officer or employee thereof to discharge, demotion, suspension, threat, harassment or, in any manner, discrimination against such person in terms and conditions of employment.</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WAIVERS AND AMENDMENTS</w:t>
      </w:r>
    </w:p>
    <w:p>
      <w:pPr>
        <w:spacing w:after="0" w:line="121"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Any waiver (defined below) or implicit waiver (defined below) from a provision of this Code for the principal executive officer, principal financial officer, principal accounting officer or controller, or persons performing similar functions, or any amendment (as defined below) to this Code is required to be disclosed in a Current Report on Form 8-K filed with the SEC. In lieu of filing a Current Report on Form 8-K to report any such waivers or amendments, the Company may provide such information on its website and keep such information on the website for at least 12 months and disclose the website address as well as any intention to provide such disclosures in this manner in its most recently filed Annual Report on Form 10-K.</w:t>
      </w:r>
    </w:p>
    <w:p>
      <w:pPr>
        <w:spacing w:after="0" w:line="161" w:lineRule="exact"/>
        <w:rPr>
          <w:sz w:val="20"/>
          <w:szCs w:val="20"/>
          <w:color w:val="auto"/>
        </w:rPr>
      </w:pPr>
    </w:p>
    <w:p>
      <w:pPr>
        <w:ind w:left="4" w:right="240" w:firstLine="440"/>
        <w:spacing w:after="0" w:line="259"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waiver</w:t>
      </w:r>
      <w:r>
        <w:rPr>
          <w:rFonts w:ascii="Arial" w:cs="Arial" w:eastAsia="Arial" w:hAnsi="Arial"/>
          <w:sz w:val="18"/>
          <w:szCs w:val="18"/>
          <w:color w:val="auto"/>
        </w:rPr>
        <w:t>” means the approval by the Board of a material departure from a provision of this Code. An “</w:t>
      </w:r>
      <w:r>
        <w:rPr>
          <w:rFonts w:ascii="Arial" w:cs="Arial" w:eastAsia="Arial" w:hAnsi="Arial"/>
          <w:sz w:val="18"/>
          <w:szCs w:val="18"/>
          <w:b w:val="1"/>
          <w:bCs w:val="1"/>
          <w:i w:val="1"/>
          <w:iCs w:val="1"/>
          <w:color w:val="auto"/>
        </w:rPr>
        <w:t>implicit waiver</w:t>
      </w:r>
      <w:r>
        <w:rPr>
          <w:rFonts w:ascii="Arial" w:cs="Arial" w:eastAsia="Arial" w:hAnsi="Arial"/>
          <w:sz w:val="18"/>
          <w:szCs w:val="18"/>
          <w:color w:val="auto"/>
        </w:rPr>
        <w:t>” means the Company’s failure to take action within a reasonable period of time regarding a material departure from a provision of this Code that has been made known to an executive officer of the Company. An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means any amendment to this Code other than minor technical, administrative or other non-substantive amendments hereto.</w:t>
      </w:r>
    </w:p>
    <w:p>
      <w:pPr>
        <w:sectPr>
          <w:pgSz w:w="11900" w:h="16838" w:orient="portrait"/>
          <w:cols w:equalWidth="0" w:num="1">
            <w:col w:w="11004"/>
          </w:cols>
          <w:pgMar w:left="436" w:top="270" w:right="459" w:bottom="1440" w:gutter="0" w:footer="0" w:header="0"/>
        </w:sectPr>
      </w:pPr>
    </w:p>
    <w:bookmarkStart w:id="115" w:name="page116"/>
    <w:bookmarkEnd w:id="115"/>
    <w:p>
      <w:pPr>
        <w:ind w:right="3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persons should note that it is not the Company’s intention to grant or to permit waivers from the requirements of this Code. The Company expects full compliance with this Code.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VII. </w:t>
      </w:r>
      <w:r>
        <w:rPr>
          <w:rFonts w:ascii="Arial" w:cs="Arial" w:eastAsia="Arial" w:hAnsi="Arial"/>
          <w:sz w:val="18"/>
          <w:szCs w:val="18"/>
          <w:b w:val="1"/>
          <w:bCs w:val="1"/>
          <w:u w:val="single" w:color="auto"/>
          <w:color w:val="auto"/>
        </w:rPr>
        <w:t>INSIDER TRADING AND DISSEMINATION OF INSIDE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person shall comply with the Company’s Policy Regarding Insider Trading and Dissemination of Inside Information.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VIII. </w:t>
      </w:r>
      <w:r>
        <w:rPr>
          <w:rFonts w:ascii="Arial" w:cs="Arial" w:eastAsia="Arial" w:hAnsi="Arial"/>
          <w:sz w:val="18"/>
          <w:szCs w:val="18"/>
          <w:b w:val="1"/>
          <w:bCs w:val="1"/>
          <w:u w:val="single" w:color="auto"/>
          <w:color w:val="auto"/>
        </w:rPr>
        <w:t>FINANCIAL STATEMENTS AND OTHER RECORDS</w:t>
      </w:r>
    </w:p>
    <w:p>
      <w:pPr>
        <w:spacing w:after="0" w:line="121"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All of the Company’s books, records, accounts and financial statements must be maintained in reasonable detail, must appropriately reflect the Company’s transactions and must both conform to applicable legal requirements and to the Company’s system of internal controls. Unrecorded or “off the books” funds or assets should not be maintained unless permitted by applicable law or regulation. Records should always be retained or destroyed according to the Company’s record retention policies. In accordance with those policies, in the event of litigation or governmental investigation, please consult the Board or the Company’s internal or external legal counsel.</w:t>
      </w:r>
    </w:p>
    <w:p>
      <w:pPr>
        <w:spacing w:after="0" w:line="3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u w:val="single" w:color="auto"/>
          <w:color w:val="auto"/>
        </w:rPr>
        <w:t>IMPROPER INFLUENCE ON CONDUCT OF AUDITS</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No director, officer or employee, or any other person acting under the direction thereof, shall directly or indirectly take any action to coerce, manipulate, mislead or fraudulently influence any public or certified public accountant engaged in the performance of an audit or review of the financial statements of the Company or take any action that such person knows or should know that if successful could result in rendering the Company’s financial statements materially misleading. Any person who believes such improper influence is being exerted should report such action to such person’s supervisor, or if that is impractical under the circumstances, to any of the Company’s directors.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Types of conduct that could constitute improper influence include, but are not limited to, directly or indirectly:</w:t>
      </w:r>
    </w:p>
    <w:p>
      <w:pPr>
        <w:spacing w:after="0" w:line="131" w:lineRule="exact"/>
        <w:rPr>
          <w:sz w:val="20"/>
          <w:szCs w:val="20"/>
          <w:color w:val="auto"/>
        </w:rPr>
      </w:pPr>
    </w:p>
    <w:p>
      <w:pPr>
        <w:ind w:left="960" w:hanging="532"/>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Offering or paying bribes or other financial incentives, including future employment or contracts for non-audit services;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Providing an auditor with an inaccurate or misleading legal analysis;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Threatening to cancel or canceling existing non-audit or audit engagements if the auditor objects to the Company’s accounting;</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Seeking to have a partner removed from the audit engagement because the partner objects to the Company’s accounting;</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Blackmailing;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Making physical threats.</w:t>
      </w:r>
    </w:p>
    <w:p>
      <w:pPr>
        <w:sectPr>
          <w:pgSz w:w="11900" w:h="16838" w:orient="portrait"/>
          <w:cols w:equalWidth="0" w:num="1">
            <w:col w:w="11000"/>
          </w:cols>
          <w:pgMar w:left="440" w:top="274" w:right="459" w:bottom="1440" w:gutter="0" w:footer="0" w:header="0"/>
        </w:sectPr>
      </w:pPr>
    </w:p>
    <w:bookmarkStart w:id="116" w:name="page117"/>
    <w:bookmarkEnd w:id="116"/>
    <w:p>
      <w:pPr>
        <w:ind w:left="424" w:hanging="424"/>
        <w:spacing w:after="0"/>
        <w:tabs>
          <w:tab w:leader="none" w:pos="424"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ANTI-CORRUPTION LAWS</w:t>
      </w:r>
    </w:p>
    <w:p>
      <w:pPr>
        <w:spacing w:after="0" w:line="121" w:lineRule="exact"/>
        <w:rPr>
          <w:sz w:val="20"/>
          <w:szCs w:val="20"/>
          <w:color w:val="auto"/>
        </w:rPr>
      </w:pPr>
    </w:p>
    <w:p>
      <w:pPr>
        <w:ind w:left="4" w:right="40" w:firstLine="440"/>
        <w:spacing w:after="0" w:line="275" w:lineRule="auto"/>
        <w:rPr>
          <w:sz w:val="20"/>
          <w:szCs w:val="20"/>
          <w:color w:val="auto"/>
        </w:rPr>
      </w:pPr>
      <w:r>
        <w:rPr>
          <w:rFonts w:ascii="Arial" w:cs="Arial" w:eastAsia="Arial" w:hAnsi="Arial"/>
          <w:sz w:val="17"/>
          <w:szCs w:val="17"/>
          <w:color w:val="auto"/>
        </w:rPr>
        <w:t>The Company complies with the anti-corruption laws of the countries in which it does business, including the U.S. Foreign Corrupt Practices Act. To the extent prohibited by applicable law, directors, officers and employees will not directly or indirectly give anything of value to government officials, including employees of state-owned enterprises or foreign political candidates. These requirements apply both to Company employees and agents, such as third party sales representatives, no matter where they are doing business. If you are authorized to engage agents, you are responsible for ensuring they are reputable and for obtaining a written agreement to uphold the Company’s standards in this area.</w:t>
      </w:r>
    </w:p>
    <w:p>
      <w:pPr>
        <w:spacing w:after="0" w:line="32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18"/>
          <w:szCs w:val="18"/>
          <w:b w:val="1"/>
          <w:bCs w:val="1"/>
          <w:u w:val="single" w:color="auto"/>
          <w:color w:val="auto"/>
        </w:rPr>
        <w:t>VIOLATIONS</w:t>
      </w:r>
    </w:p>
    <w:p>
      <w:pPr>
        <w:spacing w:after="0" w:line="121"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Violation of this Code is grounds for disciplinary action up to and including termination of employment. Such action is in addition to any civil or criminal liability which might be imposed by any court or regulatory agency.</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XII. </w:t>
      </w:r>
      <w:r>
        <w:rPr>
          <w:rFonts w:ascii="Arial" w:cs="Arial" w:eastAsia="Arial" w:hAnsi="Arial"/>
          <w:sz w:val="18"/>
          <w:szCs w:val="18"/>
          <w:b w:val="1"/>
          <w:bCs w:val="1"/>
          <w:u w:val="single" w:color="auto"/>
          <w:color w:val="auto"/>
        </w:rPr>
        <w:t>OTHER POLICIES AND PROCEDURES</w:t>
      </w:r>
    </w:p>
    <w:p>
      <w:pPr>
        <w:spacing w:after="0" w:line="121"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Any other policy or procedure set out by the Company in writing or made generally known to employees, officers or directors of the Company prior to the effective date hereof or hereafter are separate requirements and remain in full force and effect.</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XIII. </w:t>
      </w:r>
      <w:r>
        <w:rPr>
          <w:rFonts w:ascii="Arial" w:cs="Arial" w:eastAsia="Arial" w:hAnsi="Arial"/>
          <w:sz w:val="18"/>
          <w:szCs w:val="18"/>
          <w:b w:val="1"/>
          <w:bCs w:val="1"/>
          <w:u w:val="single" w:color="auto"/>
          <w:color w:val="auto"/>
        </w:rPr>
        <w:t>INQUIRIES</w:t>
      </w:r>
    </w:p>
    <w:p>
      <w:pPr>
        <w:spacing w:after="0" w:line="121"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All inquiries and questions in relation to this Code or its applicability to particular people or situations should be addressed to the Chair of the Nominating and Corporate Governance Committee of the Board, or such other compliance officer as shall be designated from time to time by the Board.</w:t>
      </w:r>
    </w:p>
    <w:p>
      <w:pPr>
        <w:sectPr>
          <w:pgSz w:w="11900" w:h="16838" w:orient="portrait"/>
          <w:cols w:equalWidth="0" w:num="1">
            <w:col w:w="11004"/>
          </w:cols>
          <w:pgMar w:left="436" w:top="270" w:right="45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Martin, certify that:</w:t>
      </w:r>
    </w:p>
    <w:p>
      <w:pPr>
        <w:spacing w:after="0" w:line="131" w:lineRule="exact"/>
        <w:rPr>
          <w:sz w:val="20"/>
          <w:szCs w:val="20"/>
          <w:color w:val="auto"/>
        </w:rPr>
      </w:pPr>
    </w:p>
    <w:p>
      <w:pPr>
        <w:ind w:left="960" w:hanging="532"/>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VPC Impact Acquisition Holdings;</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1420" w:right="120" w:hanging="439"/>
        <w:spacing w:after="0" w:line="342" w:lineRule="auto"/>
        <w:tabs>
          <w:tab w:leader="none" w:pos="14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Martin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Olibia Stamatoglou, certify that:</w:t>
      </w:r>
    </w:p>
    <w:p>
      <w:pPr>
        <w:spacing w:after="0" w:line="131" w:lineRule="exact"/>
        <w:rPr>
          <w:sz w:val="20"/>
          <w:szCs w:val="20"/>
          <w:color w:val="auto"/>
        </w:rPr>
      </w:pPr>
    </w:p>
    <w:p>
      <w:pPr>
        <w:ind w:left="960" w:hanging="532"/>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VPC Impact Acquisition Holdings;</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1420" w:right="120" w:hanging="439"/>
        <w:spacing w:after="0" w:line="342" w:lineRule="auto"/>
        <w:tabs>
          <w:tab w:leader="none" w:pos="14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Olibia Stamatoglou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Olibia Stamatoglou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119" w:name="page120"/>
    <w:bookmarkEnd w:id="119"/>
    <w:p>
      <w:pPr>
        <w:ind w:left="100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the Annual Report of VPC Impact Acquisition Holdings (the “Company”) on Form 10-K for the annual period ended December 31, 2020, as filed with the Securities and Exchange Commission (the “Report”), I, John Martin, Chief Executive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Martin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connection with the Annual Report of VPC Impact Acquisition Holdings (the “Company”) on Form 10-K for the annual period ended December 31, 2020, as filed with the Securities and Exchange Commission (the “Report”), I, Olibia Stamatoglou, Chief Financial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Olibia Stamatoglou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Olibia Stamatoglou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1)"/>
      <w:numFmt w:val="lowerRoman"/>
      <w:start w:val="3"/>
    </w:lvl>
  </w:abstractNum>
  <w:abstractNum w:abstractNumId="4">
    <w:nsid w:val="2463B9EA"/>
    <w:multiLevelType w:val="hybridMultilevel"/>
    <w:lvl w:ilvl="0">
      <w:lvlJc w:val="left"/>
      <w:lvlText w:val="(%1)"/>
      <w:numFmt w:val="lowerRoman"/>
      <w:start w:val="1"/>
    </w:lvl>
  </w:abstractNum>
  <w:abstractNum w:abstractNumId="5">
    <w:nsid w:val="5E884ADC"/>
    <w:multiLevelType w:val="hybridMultilevel"/>
    <w:lvl w:ilvl="0">
      <w:lvlJc w:val="left"/>
      <w:lvlText w:val="(%1)"/>
      <w:numFmt w:val="lowerRoman"/>
      <w:start w:val="3"/>
    </w:lvl>
  </w:abstractNum>
  <w:abstractNum w:abstractNumId="6">
    <w:nsid w:val="51EAD36B"/>
    <w:multiLevelType w:val="hybridMultilevel"/>
    <w:lvl w:ilvl="0">
      <w:lvlJc w:val="left"/>
      <w:lvlText w:val="%1"/>
      <w:numFmt w:val="upperLetter"/>
      <w:start w:val="35"/>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1)"/>
      <w:numFmt w:val="lowerRoman"/>
      <w:start w:val="2"/>
    </w:lvl>
  </w:abstractNum>
  <w:abstractNum w:abstractNumId="11">
    <w:nsid w:val="70A64E2A"/>
    <w:multiLevelType w:val="hybridMultilevel"/>
    <w:lvl w:ilvl="0">
      <w:lvlJc w:val="left"/>
      <w:lvlText w:val="•"/>
      <w:numFmt w:val="bullet"/>
      <w:start w:val="1"/>
    </w:lvl>
    <w:lvl w:ilvl="1">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1)"/>
      <w:numFmt w:val="lowerRoman"/>
      <w:start w:val="3"/>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1)"/>
      <w:numFmt w:val="lowerRoman"/>
      <w:start w:val="1"/>
    </w:lvl>
  </w:abstractNum>
  <w:abstractNum w:abstractNumId="21">
    <w:nsid w:val="6DE91B18"/>
    <w:multiLevelType w:val="hybridMultilevel"/>
    <w:lvl w:ilvl="0">
      <w:lvlJc w:val="left"/>
      <w:lvlText w:val="(%1)"/>
      <w:numFmt w:val="decimal"/>
      <w:start w:val="1"/>
    </w:lvl>
  </w:abstractNum>
  <w:abstractNum w:abstractNumId="22">
    <w:nsid w:val="38437FDB"/>
    <w:multiLevelType w:val="hybridMultilevel"/>
    <w:lvl w:ilvl="0">
      <w:lvlJc w:val="left"/>
      <w:lvlText w:val="(%1)"/>
      <w:numFmt w:val="decimal"/>
      <w:start w:val="1"/>
    </w:lvl>
  </w:abstractNum>
  <w:abstractNum w:abstractNumId="23">
    <w:nsid w:val="7644A45C"/>
    <w:multiLevelType w:val="hybridMultilevel"/>
    <w:lvl w:ilvl="0">
      <w:lvlJc w:val="left"/>
      <w:lvlText w:val="(%1)"/>
      <w:numFmt w:val="decimal"/>
      <w:start w:val="1"/>
    </w:lvl>
  </w:abstractNum>
  <w:abstractNum w:abstractNumId="24">
    <w:nsid w:val="32FFF902"/>
    <w:multiLevelType w:val="hybridMultilevel"/>
    <w:lvl w:ilvl="0">
      <w:lvlJc w:val="left"/>
      <w:lvlText w:val="(%1)"/>
      <w:numFmt w:val="lowerRoman"/>
      <w:start w:val="2"/>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1)"/>
      <w:numFmt w:val="lowerRoman"/>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6"/>
    </w:lvl>
  </w:abstractNum>
  <w:abstractNum w:abstractNumId="38">
    <w:nsid w:val="649BB77C"/>
    <w:multiLevelType w:val="hybridMultilevel"/>
    <w:lvl w:ilvl="0">
      <w:lvlJc w:val="left"/>
      <w:lvlText w:val="(%1)"/>
      <w:numFmt w:val="decimal"/>
      <w:start w:val="10"/>
    </w:lvl>
  </w:abstractNum>
  <w:abstractNum w:abstractNumId="39">
    <w:nsid w:val="275AC794"/>
    <w:multiLevelType w:val="hybridMultilevel"/>
    <w:lvl w:ilvl="0">
      <w:lvlJc w:val="left"/>
      <w:lvlText w:val="%1"/>
      <w:numFmt w:val="decimal"/>
      <w:start w:val="1"/>
    </w:lvl>
    <w:lvl w:ilvl="1">
      <w:lvlJc w:val="left"/>
      <w:lvlText w:val="(%2)"/>
      <w:numFmt w:val="lowerLetter"/>
      <w:start w:val="1"/>
    </w:lvl>
  </w:abstractNum>
  <w:abstractNum w:abstractNumId="40">
    <w:nsid w:val="39386575"/>
    <w:multiLevelType w:val="hybridMultilevel"/>
    <w:lvl w:ilvl="0">
      <w:lvlJc w:val="left"/>
      <w:lvlText w:val="%1."/>
      <w:numFmt w:val="decimal"/>
      <w:start w:val="1"/>
    </w:lvl>
    <w:lvl w:ilvl="1">
      <w:lvlJc w:val="left"/>
      <w:lvlText w:val="(%2)"/>
      <w:numFmt w:val="lowerLetter"/>
      <w:start w:val="2"/>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1)"/>
      <w:numFmt w:val="lowerRoman"/>
      <w:start w:val="2"/>
    </w:lvl>
  </w:abstractNum>
  <w:abstractNum w:abstractNumId="47">
    <w:nsid w:val="741226BB"/>
    <w:multiLevelType w:val="hybridMultilevel"/>
    <w:lvl w:ilvl="0">
      <w:lvlJc w:val="left"/>
      <w:lvlText w:val="(%1)"/>
      <w:numFmt w:val="upperLetter"/>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1)"/>
      <w:numFmt w:val="lowerRoman"/>
      <w:start w:val="3"/>
    </w:lvl>
  </w:abstractNum>
  <w:abstractNum w:abstractNumId="55">
    <w:nsid w:val="310C50B3"/>
    <w:multiLevelType w:val="hybridMultilevel"/>
    <w:lvl w:ilvl="0">
      <w:lvlJc w:val="left"/>
      <w:lvlText w:val="%1."/>
      <w:numFmt w:val="upperLetter"/>
      <w:start w:val="9"/>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1."/>
      <w:numFmt w:val="upperLetter"/>
      <w:start w:val="35"/>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1."/>
      <w:numFmt w:val="upperLetter"/>
      <w:start w:val="60"/>
    </w:lvl>
    <w:lvl w:ilvl="1">
      <w:lvlJc w:val="left"/>
      <w:lvlText w:val="•"/>
      <w:numFmt w:val="bullet"/>
      <w:start w:val="1"/>
    </w:lvl>
    <w:lvl w:ilvl="2">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1."/>
      <w:numFmt w:val="upperLetter"/>
      <w:start w:val="22"/>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1."/>
      <w:numFmt w:val="upperLetter"/>
      <w:start w:val="24"/>
    </w:lvl>
  </w:abstractNum>
  <w:abstractNum w:abstractNumId="66">
    <w:nsid w:val="15014ACB"/>
    <w:multiLevelType w:val="hybridMultilevel"/>
    <w:lvl w:ilvl="0">
      <w:lvlJc w:val="left"/>
      <w:lvlText w:val="%1."/>
      <w:numFmt w:val="decimal"/>
      <w:start w:val="1"/>
    </w:lvl>
    <w:lvl w:ilvl="1">
      <w:lvlJc w:val="left"/>
      <w:lvlText w:val="%2)"/>
      <w:numFmt w:val="lowerLetter"/>
      <w:start w:val="1"/>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6"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08" Type="http://schemas.openxmlformats.org/officeDocument/2006/relationships/hyperlink" Target="http://www.sec.gov/Archives/edgar/data/0001820302/000119312521005832/d913171dex21.htm" TargetMode="External"/><Relationship Id="rId109" Type="http://schemas.openxmlformats.org/officeDocument/2006/relationships/hyperlink" Target="http://www.sec.gov/Archives/edgar/data/0001820302/000119312520256308/d38926dex31.htm" TargetMode="External"/><Relationship Id="rId110" Type="http://schemas.openxmlformats.org/officeDocument/2006/relationships/hyperlink" Target="http://www.sec.gov/Archives/edgar/data/0001820302/000119312520247281/d10733dex41.htm" TargetMode="External"/><Relationship Id="rId111" Type="http://schemas.openxmlformats.org/officeDocument/2006/relationships/hyperlink" Target="http://www.sec.gov/Archives/edgar/data/0001820302/000119312520247281/d10733dex42.htm" TargetMode="External"/><Relationship Id="rId112" Type="http://schemas.openxmlformats.org/officeDocument/2006/relationships/hyperlink" Target="http://www.sec.gov/Archives/edgar/data/0001820302/000119312520247281/d10733dex43.htm" TargetMode="External"/><Relationship Id="rId113" Type="http://schemas.openxmlformats.org/officeDocument/2006/relationships/hyperlink" Target="http://www.sec.gov/Archives/edgar/data/0001820302/000119312520256308/d38926dex41.htm" TargetMode="External"/><Relationship Id="rId114" Type="http://schemas.openxmlformats.org/officeDocument/2006/relationships/hyperlink" Target="http://www.sec.gov/Archives/edgar/data/1820302/000119312520256308/d38926dex101.htm" TargetMode="External"/><Relationship Id="rId115" Type="http://schemas.openxmlformats.org/officeDocument/2006/relationships/hyperlink" Target="http://www.sec.gov/Archives/edgar/data/0001820302/000119312520247281/d10733dex106.htm" TargetMode="External"/><Relationship Id="rId117" Type="http://schemas.openxmlformats.org/officeDocument/2006/relationships/hyperlink" Target="http://www.sec.gov/Archives/edgar/data/0001820302/000119312520256308/d38926dex103.htm" TargetMode="External"/><Relationship Id="rId118" Type="http://schemas.openxmlformats.org/officeDocument/2006/relationships/hyperlink" Target="http://www.sec.gov/Archives/edgar/data/0001820302/000119312520256308/d38926dex105.htm" TargetMode="External"/><Relationship Id="rId119" Type="http://schemas.openxmlformats.org/officeDocument/2006/relationships/hyperlink" Target="http://www.sec.gov/Archives/edgar/data/0001820302/000119312520247281/d10733dex107.htm" TargetMode="External"/><Relationship Id="rId120" Type="http://schemas.openxmlformats.org/officeDocument/2006/relationships/hyperlink" Target="http://www.sec.gov/Archives/edgar/data/0001820302/000119312520247281/d10733dex105.htm" TargetMode="External"/><Relationship Id="rId121" Type="http://schemas.openxmlformats.org/officeDocument/2006/relationships/hyperlink" Target="http://www.sec.gov/Archives/edgar/data/0001820302/000119312521005832/d913171dex103.htm" TargetMode="External"/><Relationship Id="rId122" Type="http://schemas.openxmlformats.org/officeDocument/2006/relationships/hyperlink" Target="http://www.sec.gov/Archives/edgar/data/0001820302/000119312521005832/d913171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2021-03-31T05:53:05Z</dcterms:created>
  <dcterms:modified xsi:type="dcterms:W3CDTF">2021-03-31T05:53:05Z</dcterms:modified>
</cp:coreProperties>
</file>