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As filed with the Securities and Exchange Commission on December 8,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333-261034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64770</wp:posOffset>
            </wp:positionV>
            <wp:extent cx="6664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496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105410</wp:posOffset>
            </wp:positionV>
            <wp:extent cx="6664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spacing w:after="0" w:line="195" w:lineRule="exact"/>
        <w:rPr>
          <w:sz w:val="24"/>
          <w:szCs w:val="24"/>
          <w:color w:val="auto"/>
        </w:rPr>
      </w:pPr>
    </w:p>
    <w:p>
      <w:pPr>
        <w:jc w:val="center"/>
        <w:ind w:right="-379"/>
        <w:spacing w:after="0"/>
        <w:rPr>
          <w:sz w:val="20"/>
          <w:szCs w:val="20"/>
          <w:color w:val="auto"/>
        </w:rPr>
      </w:pPr>
      <w:r>
        <w:rPr>
          <w:rFonts w:ascii="Arial" w:cs="Arial" w:eastAsia="Arial" w:hAnsi="Arial"/>
          <w:sz w:val="31"/>
          <w:szCs w:val="31"/>
          <w:b w:val="1"/>
          <w:bCs w:val="1"/>
          <w:color w:val="auto"/>
        </w:rPr>
        <w:t>UNITED STATES</w:t>
      </w:r>
    </w:p>
    <w:p>
      <w:pPr>
        <w:spacing w:after="0" w:line="19" w:lineRule="exact"/>
        <w:rPr>
          <w:sz w:val="24"/>
          <w:szCs w:val="24"/>
          <w:color w:val="auto"/>
        </w:rPr>
      </w:pPr>
    </w:p>
    <w:p>
      <w:pPr>
        <w:jc w:val="center"/>
        <w:ind w:right="-3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208280</wp:posOffset>
            </wp:positionV>
            <wp:extent cx="1404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79"/>
        <w:spacing w:after="0"/>
        <w:rPr>
          <w:sz w:val="20"/>
          <w:szCs w:val="20"/>
          <w:color w:val="auto"/>
        </w:rPr>
      </w:pPr>
      <w:r>
        <w:rPr>
          <w:rFonts w:ascii="Arial" w:cs="Arial" w:eastAsia="Arial" w:hAnsi="Arial"/>
          <w:sz w:val="31"/>
          <w:szCs w:val="31"/>
          <w:b w:val="1"/>
          <w:bCs w:val="1"/>
          <w:color w:val="auto"/>
        </w:rPr>
        <w:t>Amendment No. 1 to</w:t>
      </w:r>
    </w:p>
    <w:p>
      <w:pPr>
        <w:spacing w:after="0" w:line="18" w:lineRule="exact"/>
        <w:rPr>
          <w:sz w:val="24"/>
          <w:szCs w:val="24"/>
          <w:color w:val="auto"/>
        </w:rPr>
      </w:pPr>
    </w:p>
    <w:p>
      <w:pPr>
        <w:jc w:val="center"/>
        <w:ind w:right="-379"/>
        <w:spacing w:after="0"/>
        <w:rPr>
          <w:sz w:val="20"/>
          <w:szCs w:val="20"/>
          <w:color w:val="auto"/>
        </w:rPr>
      </w:pPr>
      <w:r>
        <w:rPr>
          <w:rFonts w:ascii="Arial" w:cs="Arial" w:eastAsia="Arial" w:hAnsi="Arial"/>
          <w:sz w:val="31"/>
          <w:szCs w:val="31"/>
          <w:b w:val="1"/>
          <w:bCs w:val="1"/>
          <w:color w:val="auto"/>
        </w:rPr>
        <w:t>FORM S-1</w:t>
      </w:r>
    </w:p>
    <w:p>
      <w:pPr>
        <w:jc w:val="center"/>
        <w:ind w:right="-379"/>
        <w:spacing w:after="0" w:line="234" w:lineRule="auto"/>
        <w:rPr>
          <w:sz w:val="20"/>
          <w:szCs w:val="20"/>
          <w:color w:val="auto"/>
        </w:rPr>
      </w:pPr>
      <w:r>
        <w:rPr>
          <w:rFonts w:ascii="Arial" w:cs="Arial" w:eastAsia="Arial" w:hAnsi="Arial"/>
          <w:sz w:val="31"/>
          <w:szCs w:val="31"/>
          <w:b w:val="1"/>
          <w:bCs w:val="1"/>
          <w:color w:val="auto"/>
        </w:rPr>
        <w:t>REGISTRATION STATEMENT</w:t>
      </w:r>
    </w:p>
    <w:p>
      <w:pPr>
        <w:jc w:val="center"/>
        <w:ind w:right="-379"/>
        <w:spacing w:after="0" w:line="231" w:lineRule="auto"/>
        <w:rPr>
          <w:sz w:val="20"/>
          <w:szCs w:val="20"/>
          <w:color w:val="auto"/>
        </w:rPr>
      </w:pPr>
      <w:r>
        <w:rPr>
          <w:rFonts w:ascii="Arial" w:cs="Arial" w:eastAsia="Arial" w:hAnsi="Arial"/>
          <w:sz w:val="21"/>
          <w:szCs w:val="21"/>
          <w:b w:val="1"/>
          <w:bCs w:val="1"/>
          <w:i w:val="1"/>
          <w:iCs w:val="1"/>
          <w:color w:val="auto"/>
        </w:rPr>
        <w:t>UNDER</w:t>
      </w:r>
    </w:p>
    <w:p>
      <w:pPr>
        <w:jc w:val="center"/>
        <w:ind w:right="-379"/>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208280</wp:posOffset>
            </wp:positionV>
            <wp:extent cx="1404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379"/>
        <w:spacing w:after="0"/>
        <w:rPr>
          <w:sz w:val="20"/>
          <w:szCs w:val="20"/>
          <w:color w:val="auto"/>
        </w:rPr>
      </w:pPr>
      <w:r>
        <w:rPr>
          <w:rFonts w:ascii="Arial" w:cs="Arial" w:eastAsia="Arial" w:hAnsi="Arial"/>
          <w:sz w:val="41"/>
          <w:szCs w:val="41"/>
          <w:b w:val="1"/>
          <w:bCs w:val="1"/>
          <w:color w:val="auto"/>
        </w:rPr>
        <w:t>Bakkt Holdings, Inc.</w:t>
      </w:r>
    </w:p>
    <w:p>
      <w:pPr>
        <w:spacing w:after="0" w:line="48"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217805</wp:posOffset>
            </wp:positionV>
            <wp:extent cx="140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tbl>
      <w:tblPr>
        <w:tblLayout w:type="fixed"/>
        <w:tblInd w:w="1260" w:type="dxa"/>
        <w:tblCellMar>
          <w:top w:w="0" w:type="dxa"/>
          <w:left w:w="0" w:type="dxa"/>
          <w:bottom w:w="0" w:type="dxa"/>
          <w:right w:w="0" w:type="dxa"/>
        </w:tblCellMar>
      </w:tblPr>
      <w:tr>
        <w:trPr>
          <w:trHeight w:val="202"/>
        </w:trPr>
        <w:tc>
          <w:tcPr>
            <w:tcW w:w="2700" w:type="dxa"/>
            <w:vAlign w:val="bottom"/>
          </w:tcPr>
          <w:p>
            <w:pPr>
              <w:jc w:val="center"/>
              <w:ind w:right="826"/>
              <w:spacing w:after="0"/>
              <w:rPr>
                <w:sz w:val="20"/>
                <w:szCs w:val="20"/>
                <w:color w:val="auto"/>
              </w:rPr>
            </w:pPr>
            <w:r>
              <w:rPr>
                <w:rFonts w:ascii="Arial" w:cs="Arial" w:eastAsia="Arial" w:hAnsi="Arial"/>
                <w:sz w:val="17"/>
                <w:szCs w:val="17"/>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7"/>
                <w:szCs w:val="17"/>
                <w:b w:val="1"/>
                <w:bCs w:val="1"/>
                <w:color w:val="auto"/>
                <w:w w:val="89"/>
              </w:rPr>
              <w:t>7389</w:t>
            </w:r>
          </w:p>
        </w:tc>
        <w:tc>
          <w:tcPr>
            <w:tcW w:w="2320" w:type="dxa"/>
            <w:vAlign w:val="bottom"/>
          </w:tcPr>
          <w:p>
            <w:pPr>
              <w:jc w:val="center"/>
              <w:ind w:left="866"/>
              <w:spacing w:after="0"/>
              <w:rPr>
                <w:sz w:val="20"/>
                <w:szCs w:val="20"/>
                <w:color w:val="auto"/>
              </w:rPr>
            </w:pPr>
            <w:r>
              <w:rPr>
                <w:rFonts w:ascii="Arial" w:cs="Arial" w:eastAsia="Arial" w:hAnsi="Arial"/>
                <w:sz w:val="17"/>
                <w:szCs w:val="17"/>
                <w:b w:val="1"/>
                <w:bCs w:val="1"/>
                <w:color w:val="auto"/>
                <w:w w:val="90"/>
              </w:rPr>
              <w:t>98-1550750</w:t>
            </w:r>
          </w:p>
        </w:tc>
      </w:tr>
      <w:tr>
        <w:trPr>
          <w:trHeight w:val="141"/>
        </w:trPr>
        <w:tc>
          <w:tcPr>
            <w:tcW w:w="2700" w:type="dxa"/>
            <w:vAlign w:val="bottom"/>
          </w:tcPr>
          <w:p>
            <w:pPr>
              <w:jc w:val="center"/>
              <w:ind w:right="866"/>
              <w:spacing w:after="0" w:line="141" w:lineRule="exact"/>
              <w:rPr>
                <w:sz w:val="20"/>
                <w:szCs w:val="20"/>
                <w:color w:val="auto"/>
              </w:rPr>
            </w:pPr>
            <w:r>
              <w:rPr>
                <w:rFonts w:ascii="Arial" w:cs="Arial" w:eastAsia="Arial" w:hAnsi="Arial"/>
                <w:sz w:val="14"/>
                <w:szCs w:val="14"/>
                <w:b w:val="1"/>
                <w:bCs w:val="1"/>
                <w:color w:val="auto"/>
                <w:w w:val="89"/>
              </w:rPr>
              <w:t>(State or other jurisdiction of</w:t>
            </w:r>
          </w:p>
        </w:tc>
        <w:tc>
          <w:tcPr>
            <w:tcW w:w="36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(Primary Standard Industrial</w:t>
            </w:r>
          </w:p>
        </w:tc>
        <w:tc>
          <w:tcPr>
            <w:tcW w:w="2320" w:type="dxa"/>
            <w:vAlign w:val="bottom"/>
          </w:tcPr>
          <w:p>
            <w:pPr>
              <w:jc w:val="center"/>
              <w:ind w:left="866"/>
              <w:spacing w:after="0" w:line="141" w:lineRule="exact"/>
              <w:rPr>
                <w:sz w:val="20"/>
                <w:szCs w:val="20"/>
                <w:color w:val="auto"/>
              </w:rPr>
            </w:pPr>
            <w:r>
              <w:rPr>
                <w:rFonts w:ascii="Arial" w:cs="Arial" w:eastAsia="Arial" w:hAnsi="Arial"/>
                <w:sz w:val="14"/>
                <w:szCs w:val="14"/>
                <w:b w:val="1"/>
                <w:bCs w:val="1"/>
                <w:color w:val="auto"/>
                <w:w w:val="91"/>
              </w:rPr>
              <w:t>(I.R.S. Employer</w:t>
            </w:r>
          </w:p>
        </w:tc>
      </w:tr>
      <w:tr>
        <w:trPr>
          <w:trHeight w:val="178"/>
        </w:trPr>
        <w:tc>
          <w:tcPr>
            <w:tcW w:w="2700" w:type="dxa"/>
            <w:vAlign w:val="bottom"/>
          </w:tcPr>
          <w:p>
            <w:pPr>
              <w:jc w:val="center"/>
              <w:ind w:right="826"/>
              <w:spacing w:after="0"/>
              <w:rPr>
                <w:sz w:val="20"/>
                <w:szCs w:val="20"/>
                <w:color w:val="auto"/>
              </w:rPr>
            </w:pPr>
            <w:r>
              <w:rPr>
                <w:rFonts w:ascii="Arial" w:cs="Arial" w:eastAsia="Arial" w:hAnsi="Arial"/>
                <w:sz w:val="14"/>
                <w:szCs w:val="14"/>
                <w:b w:val="1"/>
                <w:bCs w:val="1"/>
                <w:color w:val="auto"/>
                <w:w w:val="90"/>
              </w:rPr>
              <w:t>incorporation or organization)</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8"/>
              </w:rPr>
              <w:t>Classification Code Number)</w:t>
            </w:r>
          </w:p>
        </w:tc>
        <w:tc>
          <w:tcPr>
            <w:tcW w:w="2320" w:type="dxa"/>
            <w:vAlign w:val="bottom"/>
          </w:tcPr>
          <w:p>
            <w:pPr>
              <w:jc w:val="center"/>
              <w:ind w:left="886"/>
              <w:spacing w:after="0"/>
              <w:rPr>
                <w:sz w:val="20"/>
                <w:szCs w:val="20"/>
                <w:color w:val="auto"/>
              </w:rPr>
            </w:pPr>
            <w:r>
              <w:rPr>
                <w:rFonts w:ascii="Arial" w:cs="Arial" w:eastAsia="Arial" w:hAnsi="Arial"/>
                <w:sz w:val="14"/>
                <w:szCs w:val="14"/>
                <w:b w:val="1"/>
                <w:bCs w:val="1"/>
                <w:color w:val="auto"/>
                <w:w w:val="91"/>
              </w:rPr>
              <w:t>Identification Number)</w:t>
            </w:r>
          </w:p>
        </w:tc>
      </w:tr>
    </w:tbl>
    <w:p>
      <w:pPr>
        <w:spacing w:after="0" w:line="186"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10000 Avalon Boulevard, Suite 1000</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Alpharetta, Georgia 30009</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(678) 534-5849</w:t>
      </w:r>
    </w:p>
    <w:p>
      <w:pPr>
        <w:spacing w:after="0" w:line="5"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203835</wp:posOffset>
            </wp:positionV>
            <wp:extent cx="140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Gavin Michael</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Chief Executive Officer</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10000 Avalon Boulevard, Suite 1000</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Alpharetta, Georgia 30009</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(678) 534-5849</w:t>
      </w:r>
    </w:p>
    <w:p>
      <w:pPr>
        <w:spacing w:after="0" w:line="5" w:lineRule="exact"/>
        <w:rPr>
          <w:sz w:val="24"/>
          <w:szCs w:val="24"/>
          <w:color w:val="auto"/>
        </w:rPr>
      </w:pPr>
    </w:p>
    <w:p>
      <w:pPr>
        <w:ind w:left="27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212090</wp:posOffset>
            </wp:positionV>
            <wp:extent cx="1404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158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4760" w:type="dxa"/>
            <w:vAlign w:val="bottom"/>
          </w:tcPr>
          <w:p>
            <w:pPr>
              <w:ind w:left="380"/>
              <w:spacing w:after="0"/>
              <w:rPr>
                <w:sz w:val="20"/>
                <w:szCs w:val="20"/>
                <w:color w:val="auto"/>
              </w:rPr>
            </w:pPr>
            <w:r>
              <w:rPr>
                <w:rFonts w:ascii="Arial" w:cs="Arial" w:eastAsia="Arial" w:hAnsi="Arial"/>
                <w:sz w:val="17"/>
                <w:szCs w:val="17"/>
                <w:b w:val="1"/>
                <w:bCs w:val="1"/>
                <w:i w:val="1"/>
                <w:iCs w:val="1"/>
                <w:color w:val="auto"/>
              </w:rPr>
              <w:t>Copies to:</w:t>
            </w:r>
          </w:p>
        </w:tc>
      </w:tr>
      <w:tr>
        <w:trPr>
          <w:trHeight w:val="420"/>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J. Matthew Lyons</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6"/>
              </w:rPr>
              <w:t>Marc D’Annunzio</w:t>
            </w:r>
          </w:p>
        </w:tc>
      </w:tr>
      <w:tr>
        <w:trPr>
          <w:trHeight w:val="206"/>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4"/>
              </w:rPr>
              <w:t>Austin D. March</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0"/>
              </w:rPr>
              <w:t>General Counsel</w:t>
            </w:r>
          </w:p>
        </w:tc>
      </w:tr>
      <w:tr>
        <w:trPr>
          <w:trHeight w:val="206"/>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Wilson Sonsini Goodrich &amp; Rosati, P.C.</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0"/>
              </w:rPr>
              <w:t>10000 Avalon Boulevard, Suite 1000</w:t>
            </w:r>
          </w:p>
        </w:tc>
      </w:tr>
      <w:tr>
        <w:trPr>
          <w:trHeight w:val="206"/>
        </w:trPr>
        <w:tc>
          <w:tcPr>
            <w:tcW w:w="3300" w:type="dxa"/>
            <w:vAlign w:val="bottom"/>
          </w:tcPr>
          <w:p>
            <w:pPr>
              <w:jc w:val="center"/>
              <w:ind w:right="334"/>
              <w:spacing w:after="0"/>
              <w:rPr>
                <w:sz w:val="20"/>
                <w:szCs w:val="20"/>
                <w:color w:val="auto"/>
              </w:rPr>
            </w:pPr>
            <w:r>
              <w:rPr>
                <w:rFonts w:ascii="Arial" w:cs="Arial" w:eastAsia="Arial" w:hAnsi="Arial"/>
                <w:sz w:val="17"/>
                <w:szCs w:val="17"/>
                <w:b w:val="1"/>
                <w:bCs w:val="1"/>
                <w:color w:val="auto"/>
                <w:w w:val="91"/>
              </w:rPr>
              <w:t>900 S. Capital of Texas Highway</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2"/>
              </w:rPr>
              <w:t>Alpharetta, Georgia 30009</w:t>
            </w:r>
          </w:p>
        </w:tc>
      </w:tr>
      <w:tr>
        <w:trPr>
          <w:trHeight w:val="206"/>
        </w:trPr>
        <w:tc>
          <w:tcPr>
            <w:tcW w:w="3300" w:type="dxa"/>
            <w:vAlign w:val="bottom"/>
          </w:tcPr>
          <w:p>
            <w:pPr>
              <w:jc w:val="center"/>
              <w:ind w:right="334"/>
              <w:spacing w:after="0"/>
              <w:rPr>
                <w:sz w:val="20"/>
                <w:szCs w:val="20"/>
                <w:color w:val="auto"/>
              </w:rPr>
            </w:pPr>
            <w:r>
              <w:rPr>
                <w:rFonts w:ascii="Arial" w:cs="Arial" w:eastAsia="Arial" w:hAnsi="Arial"/>
                <w:sz w:val="17"/>
                <w:szCs w:val="17"/>
                <w:b w:val="1"/>
                <w:bCs w:val="1"/>
                <w:color w:val="auto"/>
                <w:w w:val="93"/>
              </w:rPr>
              <w:t>Las Cimas IV, 5th Floor</w:t>
            </w:r>
          </w:p>
        </w:tc>
        <w:tc>
          <w:tcPr>
            <w:tcW w:w="4760" w:type="dxa"/>
            <w:vAlign w:val="bottom"/>
          </w:tcPr>
          <w:p>
            <w:pPr>
              <w:jc w:val="center"/>
              <w:ind w:left="2034"/>
              <w:spacing w:after="0"/>
              <w:rPr>
                <w:sz w:val="20"/>
                <w:szCs w:val="20"/>
                <w:color w:val="auto"/>
              </w:rPr>
            </w:pPr>
            <w:r>
              <w:rPr>
                <w:rFonts w:ascii="Arial" w:cs="Arial" w:eastAsia="Arial" w:hAnsi="Arial"/>
                <w:sz w:val="17"/>
                <w:szCs w:val="17"/>
                <w:b w:val="1"/>
                <w:bCs w:val="1"/>
                <w:color w:val="auto"/>
                <w:w w:val="92"/>
              </w:rPr>
              <w:t>(678) 534-5849</w:t>
            </w:r>
          </w:p>
        </w:tc>
      </w:tr>
      <w:tr>
        <w:trPr>
          <w:trHeight w:val="206"/>
        </w:trPr>
        <w:tc>
          <w:tcPr>
            <w:tcW w:w="3300" w:type="dxa"/>
            <w:vAlign w:val="bottom"/>
          </w:tcPr>
          <w:p>
            <w:pPr>
              <w:jc w:val="center"/>
              <w:ind w:right="334"/>
              <w:spacing w:after="0"/>
              <w:rPr>
                <w:sz w:val="20"/>
                <w:szCs w:val="20"/>
                <w:color w:val="auto"/>
              </w:rPr>
            </w:pPr>
            <w:r>
              <w:rPr>
                <w:rFonts w:ascii="Arial" w:cs="Arial" w:eastAsia="Arial" w:hAnsi="Arial"/>
                <w:sz w:val="17"/>
                <w:szCs w:val="17"/>
                <w:b w:val="1"/>
                <w:bCs w:val="1"/>
                <w:color w:val="auto"/>
                <w:w w:val="94"/>
              </w:rPr>
              <w:t>Austin, TX 78746</w:t>
            </w:r>
          </w:p>
        </w:tc>
        <w:tc>
          <w:tcPr>
            <w:tcW w:w="4760" w:type="dxa"/>
            <w:vAlign w:val="bottom"/>
          </w:tcPr>
          <w:p>
            <w:pPr>
              <w:spacing w:after="0"/>
              <w:rPr>
                <w:sz w:val="17"/>
                <w:szCs w:val="17"/>
                <w:color w:val="auto"/>
              </w:rPr>
            </w:pPr>
          </w:p>
        </w:tc>
      </w:tr>
      <w:tr>
        <w:trPr>
          <w:trHeight w:val="223"/>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(512) 338-5400</w:t>
            </w:r>
          </w:p>
        </w:tc>
        <w:tc>
          <w:tcPr>
            <w:tcW w:w="47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213360</wp:posOffset>
            </wp:positionV>
            <wp:extent cx="1404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38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234" w:lineRule="exact"/>
        <w:rPr>
          <w:sz w:val="24"/>
          <w:szCs w:val="24"/>
          <w:color w:val="auto"/>
        </w:rPr>
      </w:pPr>
    </w:p>
    <w:p>
      <w:pPr>
        <w:ind w:left="380" w:right="100"/>
        <w:spacing w:after="0" w:line="221"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76" w:lineRule="exact"/>
        <w:rPr>
          <w:sz w:val="24"/>
          <w:szCs w:val="24"/>
          <w:color w:val="auto"/>
        </w:rPr>
      </w:pPr>
    </w:p>
    <w:p>
      <w:pPr>
        <w:ind w:left="380" w:right="100"/>
        <w:spacing w:after="0" w:line="22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0880"/>
          </w:cols>
          <w:pgMar w:left="320" w:top="227" w:right="69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20"/>
        <w:spacing w:after="0" w:line="221"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6" w:lineRule="exact"/>
        <w:rPr>
          <w:sz w:val="20"/>
          <w:szCs w:val="20"/>
          <w:color w:val="auto"/>
        </w:rPr>
      </w:pPr>
    </w:p>
    <w:p>
      <w:pPr>
        <w:ind w:left="380" w:right="300"/>
        <w:spacing w:after="0" w:line="221"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6"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0"/>
          <w:szCs w:val="20"/>
          <w:color w:val="auto"/>
        </w:rPr>
      </w:pPr>
    </w:p>
    <w:tbl>
      <w:tblPr>
        <w:tblLayout w:type="fixed"/>
        <w:tblInd w:w="380" w:type="dxa"/>
        <w:tblCellMar>
          <w:top w:w="0" w:type="dxa"/>
          <w:left w:w="0" w:type="dxa"/>
          <w:bottom w:w="0" w:type="dxa"/>
          <w:right w:w="0" w:type="dxa"/>
        </w:tblCellMar>
      </w:tblP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0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60"/>
              <w:spacing w:after="0"/>
              <w:rPr>
                <w:sz w:val="20"/>
                <w:szCs w:val="20"/>
                <w:color w:val="auto"/>
              </w:rPr>
            </w:pPr>
            <w:r>
              <w:rPr>
                <w:rFonts w:ascii="Arial" w:cs="Arial" w:eastAsia="Arial" w:hAnsi="Arial"/>
                <w:sz w:val="17"/>
                <w:szCs w:val="17"/>
                <w:color w:val="auto"/>
              </w:rPr>
              <w:t>Accelerated filer</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9"/>
        </w:trPr>
        <w:tc>
          <w:tcPr>
            <w:tcW w:w="1820" w:type="dxa"/>
            <w:vAlign w:val="bottom"/>
          </w:tcPr>
          <w:p>
            <w:pPr>
              <w:spacing w:after="0"/>
              <w:rPr>
                <w:sz w:val="20"/>
                <w:szCs w:val="20"/>
                <w:color w:val="auto"/>
              </w:rPr>
            </w:pPr>
            <w:r>
              <w:rPr>
                <w:rFonts w:ascii="Arial" w:cs="Arial" w:eastAsia="Arial" w:hAnsi="Arial"/>
                <w:sz w:val="17"/>
                <w:szCs w:val="17"/>
                <w:color w:val="auto"/>
              </w:rPr>
              <w:t>Non-accelerated filer</w:t>
            </w:r>
          </w:p>
        </w:tc>
        <w:tc>
          <w:tcPr>
            <w:tcW w:w="320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60"/>
              <w:spacing w:after="0"/>
              <w:rPr>
                <w:sz w:val="20"/>
                <w:szCs w:val="20"/>
                <w:color w:val="auto"/>
              </w:rPr>
            </w:pPr>
            <w:r>
              <w:rPr>
                <w:rFonts w:ascii="Arial" w:cs="Arial" w:eastAsia="Arial" w:hAnsi="Arial"/>
                <w:sz w:val="17"/>
                <w:szCs w:val="17"/>
                <w:color w:val="auto"/>
              </w:rPr>
              <w:t>Smaller reporting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9"/>
        </w:trPr>
        <w:tc>
          <w:tcPr>
            <w:tcW w:w="1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60" w:type="dxa"/>
            <w:vAlign w:val="bottom"/>
          </w:tcPr>
          <w:p>
            <w:pPr>
              <w:ind w:left="2760"/>
              <w:spacing w:after="0"/>
              <w:rPr>
                <w:sz w:val="20"/>
                <w:szCs w:val="20"/>
                <w:color w:val="auto"/>
              </w:rPr>
            </w:pPr>
            <w:r>
              <w:rPr>
                <w:rFonts w:ascii="Arial" w:cs="Arial" w:eastAsia="Arial" w:hAnsi="Arial"/>
                <w:sz w:val="17"/>
                <w:szCs w:val="17"/>
                <w:color w:val="auto"/>
              </w:rPr>
              <w:t>Emerging growth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5" w:lineRule="exact"/>
        <w:rPr>
          <w:sz w:val="20"/>
          <w:szCs w:val="20"/>
          <w:color w:val="auto"/>
        </w:rPr>
      </w:pPr>
    </w:p>
    <w:p>
      <w:pPr>
        <w:ind w:left="380" w:right="280"/>
        <w:spacing w:after="0" w:line="22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209550</wp:posOffset>
            </wp:positionV>
            <wp:extent cx="1404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CALCULATION OF REGISTRATION FEE</w:t>
      </w:r>
    </w:p>
    <w:p>
      <w:pPr>
        <w:spacing w:after="0" w:line="86" w:lineRule="exact"/>
        <w:rPr>
          <w:sz w:val="20"/>
          <w:szCs w:val="20"/>
          <w:color w:val="auto"/>
        </w:rPr>
      </w:pPr>
    </w:p>
    <w:tbl>
      <w:tblPr>
        <w:tblLayout w:type="fixed"/>
        <w:tblInd w:w="380"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432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vMerge w:val="restart"/>
          </w:tcPr>
          <w:p>
            <w:pPr>
              <w:jc w:val="center"/>
              <w:ind w:left="21"/>
              <w:spacing w:after="0"/>
              <w:rPr>
                <w:sz w:val="20"/>
                <w:szCs w:val="20"/>
                <w:color w:val="auto"/>
              </w:rPr>
            </w:pPr>
            <w:r>
              <w:rPr>
                <w:rFonts w:ascii="Arial" w:cs="Arial" w:eastAsia="Arial" w:hAnsi="Arial"/>
                <w:sz w:val="14"/>
                <w:szCs w:val="14"/>
                <w:b w:val="1"/>
                <w:bCs w:val="1"/>
                <w:color w:val="auto"/>
                <w:w w:val="90"/>
              </w:rPr>
              <w:t>Amount</w:t>
            </w:r>
          </w:p>
        </w:tc>
        <w:tc>
          <w:tcPr>
            <w:tcW w:w="1360" w:type="dxa"/>
            <w:vAlign w:val="bottom"/>
            <w:tcBorders>
              <w:right w:val="single" w:sz="8" w:color="auto"/>
            </w:tcBorders>
          </w:tcPr>
          <w:p>
            <w:pPr>
              <w:jc w:val="center"/>
              <w:ind w:left="5"/>
              <w:spacing w:after="0" w:line="98" w:lineRule="exact"/>
              <w:rPr>
                <w:sz w:val="20"/>
                <w:szCs w:val="20"/>
                <w:color w:val="auto"/>
              </w:rPr>
            </w:pPr>
            <w:r>
              <w:rPr>
                <w:rFonts w:ascii="Arial" w:cs="Arial" w:eastAsia="Arial" w:hAnsi="Arial"/>
                <w:sz w:val="11"/>
                <w:szCs w:val="11"/>
                <w:b w:val="1"/>
                <w:bCs w:val="1"/>
                <w:color w:val="auto"/>
              </w:rPr>
              <w:t>Proposed</w:t>
            </w:r>
          </w:p>
        </w:tc>
        <w:tc>
          <w:tcPr>
            <w:tcW w:w="2100" w:type="dxa"/>
            <w:vAlign w:val="bottom"/>
            <w:tcBorders>
              <w:right w:val="single" w:sz="8" w:color="auto"/>
            </w:tcBorders>
          </w:tcPr>
          <w:p>
            <w:pPr>
              <w:jc w:val="center"/>
              <w:ind w:left="5"/>
              <w:spacing w:after="0" w:line="98" w:lineRule="exact"/>
              <w:rPr>
                <w:sz w:val="20"/>
                <w:szCs w:val="20"/>
                <w:color w:val="auto"/>
              </w:rPr>
            </w:pPr>
            <w:r>
              <w:rPr>
                <w:rFonts w:ascii="Arial" w:cs="Arial" w:eastAsia="Arial" w:hAnsi="Arial"/>
                <w:sz w:val="11"/>
                <w:szCs w:val="11"/>
                <w:b w:val="1"/>
                <w:bCs w:val="1"/>
                <w:color w:val="auto"/>
              </w:rPr>
              <w:t>Proposed</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320" w:type="dxa"/>
            <w:vAlign w:val="bottom"/>
            <w:tcBorders>
              <w:right w:val="single" w:sz="8" w:color="auto"/>
            </w:tcBorders>
            <w:vMerge w:val="restart"/>
          </w:tcPr>
          <w:p>
            <w:pPr>
              <w:ind w:left="1520"/>
              <w:spacing w:after="0"/>
              <w:rPr>
                <w:sz w:val="20"/>
                <w:szCs w:val="20"/>
                <w:color w:val="auto"/>
              </w:rPr>
            </w:pPr>
            <w:r>
              <w:rPr>
                <w:rFonts w:ascii="Arial" w:cs="Arial" w:eastAsia="Arial" w:hAnsi="Arial"/>
                <w:sz w:val="14"/>
                <w:szCs w:val="14"/>
                <w:b w:val="1"/>
                <w:bCs w:val="1"/>
                <w:color w:val="auto"/>
              </w:rPr>
              <w:t>Title of Each Class of</w:t>
            </w:r>
          </w:p>
        </w:tc>
        <w:tc>
          <w:tcPr>
            <w:tcW w:w="138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tcPr>
          <w:p>
            <w:pPr>
              <w:jc w:val="center"/>
              <w:ind w:left="5"/>
              <w:spacing w:after="0" w:line="141" w:lineRule="exact"/>
              <w:rPr>
                <w:sz w:val="20"/>
                <w:szCs w:val="20"/>
                <w:color w:val="auto"/>
              </w:rPr>
            </w:pPr>
            <w:r>
              <w:rPr>
                <w:rFonts w:ascii="Arial" w:cs="Arial" w:eastAsia="Arial" w:hAnsi="Arial"/>
                <w:sz w:val="14"/>
                <w:szCs w:val="14"/>
                <w:b w:val="1"/>
                <w:bCs w:val="1"/>
                <w:color w:val="auto"/>
                <w:w w:val="92"/>
              </w:rPr>
              <w:t>Maximum</w:t>
            </w:r>
          </w:p>
        </w:tc>
        <w:tc>
          <w:tcPr>
            <w:tcW w:w="21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Maximum</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1"/>
        </w:trPr>
        <w:tc>
          <w:tcPr>
            <w:tcW w:w="432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ind w:left="1"/>
              <w:spacing w:after="0" w:line="141" w:lineRule="exact"/>
              <w:rPr>
                <w:sz w:val="20"/>
                <w:szCs w:val="20"/>
                <w:color w:val="auto"/>
              </w:rPr>
            </w:pPr>
            <w:r>
              <w:rPr>
                <w:rFonts w:ascii="Arial" w:cs="Arial" w:eastAsia="Arial" w:hAnsi="Arial"/>
                <w:sz w:val="14"/>
                <w:szCs w:val="14"/>
                <w:b w:val="1"/>
                <w:bCs w:val="1"/>
                <w:color w:val="auto"/>
                <w:w w:val="89"/>
              </w:rPr>
              <w:t>to be</w:t>
            </w:r>
          </w:p>
        </w:tc>
        <w:tc>
          <w:tcPr>
            <w:tcW w:w="1360" w:type="dxa"/>
            <w:vAlign w:val="bottom"/>
            <w:tcBorders>
              <w:right w:val="single" w:sz="8" w:color="auto"/>
            </w:tcBorders>
          </w:tcPr>
          <w:p>
            <w:pPr>
              <w:jc w:val="center"/>
              <w:ind w:left="5"/>
              <w:spacing w:after="0" w:line="141" w:lineRule="exact"/>
              <w:rPr>
                <w:sz w:val="20"/>
                <w:szCs w:val="20"/>
                <w:color w:val="auto"/>
              </w:rPr>
            </w:pPr>
            <w:r>
              <w:rPr>
                <w:rFonts w:ascii="Arial" w:cs="Arial" w:eastAsia="Arial" w:hAnsi="Arial"/>
                <w:sz w:val="14"/>
                <w:szCs w:val="14"/>
                <w:b w:val="1"/>
                <w:bCs w:val="1"/>
                <w:color w:val="auto"/>
                <w:w w:val="90"/>
              </w:rPr>
              <w:t>Offering Price</w:t>
            </w:r>
          </w:p>
        </w:tc>
        <w:tc>
          <w:tcPr>
            <w:tcW w:w="21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Aggregate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32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Securities to be Registered</w:t>
            </w:r>
          </w:p>
        </w:tc>
        <w:tc>
          <w:tcPr>
            <w:tcW w:w="13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8"/>
              </w:rPr>
              <w:t>Registered</w:t>
            </w:r>
            <w:r>
              <w:rPr>
                <w:rFonts w:ascii="Arial" w:cs="Arial" w:eastAsia="Arial" w:hAnsi="Arial"/>
                <w:sz w:val="9"/>
                <w:szCs w:val="9"/>
                <w:b w:val="1"/>
                <w:bCs w:val="1"/>
                <w:color w:val="auto"/>
                <w:w w:val="88"/>
              </w:rPr>
              <w:t>(1)</w:t>
            </w:r>
          </w:p>
        </w:tc>
        <w:tc>
          <w:tcPr>
            <w:tcW w:w="13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86"/>
              </w:rPr>
              <w:t>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(2)</w:t>
            </w:r>
          </w:p>
        </w:tc>
        <w:tc>
          <w:tcPr>
            <w:tcW w:w="1380" w:type="dxa"/>
            <w:vAlign w:val="bottom"/>
            <w:tcBorders>
              <w:bottom w:val="single" w:sz="8" w:color="auto"/>
              <w:right w:val="single" w:sz="8" w:color="auto"/>
            </w:tcBorders>
          </w:tcPr>
          <w:p>
            <w:pPr>
              <w:jc w:val="right"/>
              <w:ind w:right="141"/>
              <w:spacing w:after="0"/>
              <w:rPr>
                <w:sz w:val="20"/>
                <w:szCs w:val="20"/>
                <w:color w:val="auto"/>
              </w:rPr>
            </w:pPr>
            <w:r>
              <w:rPr>
                <w:rFonts w:ascii="Arial" w:cs="Arial" w:eastAsia="Arial" w:hAnsi="Arial"/>
                <w:sz w:val="17"/>
                <w:szCs w:val="17"/>
                <w:color w:val="auto"/>
              </w:rPr>
              <w:t>32,500,000</w:t>
            </w:r>
          </w:p>
        </w:tc>
        <w:tc>
          <w:tcPr>
            <w:tcW w:w="136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4"/>
              </w:rPr>
              <w:t>$26.01</w:t>
            </w:r>
            <w:r>
              <w:rPr>
                <w:rFonts w:ascii="Arial" w:cs="Arial" w:eastAsia="Arial" w:hAnsi="Arial"/>
                <w:sz w:val="23"/>
                <w:szCs w:val="23"/>
                <w:color w:val="auto"/>
                <w:w w:val="84"/>
                <w:vertAlign w:val="superscript"/>
              </w:rPr>
              <w:t>(3)</w:t>
            </w:r>
          </w:p>
        </w:tc>
        <w:tc>
          <w:tcPr>
            <w:tcW w:w="2100" w:type="dxa"/>
            <w:vAlign w:val="bottom"/>
            <w:tcBorders>
              <w:bottom w:val="single" w:sz="8" w:color="auto"/>
              <w:right w:val="single" w:sz="8" w:color="auto"/>
            </w:tcBorders>
          </w:tcPr>
          <w:p>
            <w:pPr>
              <w:jc w:val="right"/>
              <w:ind w:right="225"/>
              <w:spacing w:after="0" w:line="199" w:lineRule="exact"/>
              <w:rPr>
                <w:sz w:val="20"/>
                <w:szCs w:val="20"/>
                <w:color w:val="auto"/>
              </w:rPr>
            </w:pPr>
            <w:r>
              <w:rPr>
                <w:rFonts w:ascii="Arial" w:cs="Arial" w:eastAsia="Arial" w:hAnsi="Arial"/>
                <w:sz w:val="17"/>
                <w:szCs w:val="17"/>
                <w:color w:val="auto"/>
              </w:rPr>
              <w:t>$  845,325,000.00</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78,361.63</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(4)</w:t>
            </w:r>
          </w:p>
        </w:tc>
        <w:tc>
          <w:tcPr>
            <w:tcW w:w="1380" w:type="dxa"/>
            <w:vAlign w:val="bottom"/>
            <w:tcBorders>
              <w:bottom w:val="single" w:sz="8" w:color="auto"/>
              <w:right w:val="single" w:sz="8" w:color="auto"/>
            </w:tcBorders>
          </w:tcPr>
          <w:p>
            <w:pPr>
              <w:jc w:val="right"/>
              <w:ind w:right="141"/>
              <w:spacing w:after="0"/>
              <w:rPr>
                <w:sz w:val="20"/>
                <w:szCs w:val="20"/>
                <w:color w:val="auto"/>
              </w:rPr>
            </w:pPr>
            <w:r>
              <w:rPr>
                <w:rFonts w:ascii="Arial" w:cs="Arial" w:eastAsia="Arial" w:hAnsi="Arial"/>
                <w:sz w:val="17"/>
                <w:szCs w:val="17"/>
                <w:color w:val="auto"/>
              </w:rPr>
              <w:t>190,726,638</w:t>
            </w:r>
          </w:p>
        </w:tc>
        <w:tc>
          <w:tcPr>
            <w:tcW w:w="136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4"/>
              </w:rPr>
              <w:t>26.01</w:t>
            </w:r>
            <w:r>
              <w:rPr>
                <w:rFonts w:ascii="Arial" w:cs="Arial" w:eastAsia="Arial" w:hAnsi="Arial"/>
                <w:sz w:val="23"/>
                <w:szCs w:val="23"/>
                <w:color w:val="auto"/>
                <w:w w:val="84"/>
                <w:vertAlign w:val="superscript"/>
              </w:rPr>
              <w:t>(3)</w:t>
            </w:r>
          </w:p>
        </w:tc>
        <w:tc>
          <w:tcPr>
            <w:tcW w:w="2100" w:type="dxa"/>
            <w:vAlign w:val="bottom"/>
            <w:tcBorders>
              <w:bottom w:val="single" w:sz="8" w:color="auto"/>
              <w:right w:val="single" w:sz="8" w:color="auto"/>
            </w:tcBorders>
          </w:tcPr>
          <w:p>
            <w:pPr>
              <w:jc w:val="right"/>
              <w:ind w:right="225"/>
              <w:spacing w:after="0" w:line="199" w:lineRule="exact"/>
              <w:rPr>
                <w:sz w:val="20"/>
                <w:szCs w:val="20"/>
                <w:color w:val="auto"/>
              </w:rPr>
            </w:pPr>
            <w:r>
              <w:rPr>
                <w:rFonts w:ascii="Arial" w:cs="Arial" w:eastAsia="Arial" w:hAnsi="Arial"/>
                <w:sz w:val="17"/>
                <w:szCs w:val="17"/>
                <w:color w:val="auto"/>
              </w:rPr>
              <w:t>4,960,799,854.38</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459,866.15</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(5)</w:t>
            </w:r>
          </w:p>
        </w:tc>
        <w:tc>
          <w:tcPr>
            <w:tcW w:w="1380" w:type="dxa"/>
            <w:vAlign w:val="bottom"/>
            <w:tcBorders>
              <w:bottom w:val="single" w:sz="8" w:color="auto"/>
              <w:right w:val="single" w:sz="8" w:color="auto"/>
            </w:tcBorders>
          </w:tcPr>
          <w:p>
            <w:pPr>
              <w:jc w:val="right"/>
              <w:ind w:right="141"/>
              <w:spacing w:after="0"/>
              <w:rPr>
                <w:sz w:val="20"/>
                <w:szCs w:val="20"/>
                <w:color w:val="auto"/>
              </w:rPr>
            </w:pPr>
            <w:r>
              <w:rPr>
                <w:rFonts w:ascii="Arial" w:cs="Arial" w:eastAsia="Arial" w:hAnsi="Arial"/>
                <w:sz w:val="17"/>
                <w:szCs w:val="17"/>
                <w:color w:val="auto"/>
              </w:rPr>
              <w:t>5,184,300</w:t>
            </w:r>
          </w:p>
        </w:tc>
        <w:tc>
          <w:tcPr>
            <w:tcW w:w="136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4"/>
              </w:rPr>
              <w:t>26.01</w:t>
            </w:r>
            <w:r>
              <w:rPr>
                <w:rFonts w:ascii="Arial" w:cs="Arial" w:eastAsia="Arial" w:hAnsi="Arial"/>
                <w:sz w:val="23"/>
                <w:szCs w:val="23"/>
                <w:color w:val="auto"/>
                <w:w w:val="84"/>
                <w:vertAlign w:val="superscript"/>
              </w:rPr>
              <w:t>(3)</w:t>
            </w:r>
          </w:p>
        </w:tc>
        <w:tc>
          <w:tcPr>
            <w:tcW w:w="2100" w:type="dxa"/>
            <w:vAlign w:val="bottom"/>
            <w:tcBorders>
              <w:bottom w:val="single" w:sz="8" w:color="auto"/>
              <w:right w:val="single" w:sz="8" w:color="auto"/>
            </w:tcBorders>
          </w:tcPr>
          <w:p>
            <w:pPr>
              <w:jc w:val="right"/>
              <w:ind w:right="225"/>
              <w:spacing w:after="0" w:line="199" w:lineRule="exact"/>
              <w:rPr>
                <w:sz w:val="20"/>
                <w:szCs w:val="20"/>
                <w:color w:val="auto"/>
              </w:rPr>
            </w:pPr>
            <w:r>
              <w:rPr>
                <w:rFonts w:ascii="Arial" w:cs="Arial" w:eastAsia="Arial" w:hAnsi="Arial"/>
                <w:sz w:val="17"/>
                <w:szCs w:val="17"/>
                <w:color w:val="auto"/>
              </w:rPr>
              <w:t>134,843,643.00</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12,500.01</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(6)</w:t>
            </w:r>
          </w:p>
        </w:tc>
        <w:tc>
          <w:tcPr>
            <w:tcW w:w="1380" w:type="dxa"/>
            <w:vAlign w:val="bottom"/>
            <w:tcBorders>
              <w:bottom w:val="single" w:sz="8" w:color="auto"/>
              <w:right w:val="single" w:sz="8" w:color="auto"/>
            </w:tcBorders>
          </w:tcPr>
          <w:p>
            <w:pPr>
              <w:jc w:val="right"/>
              <w:ind w:right="141"/>
              <w:spacing w:after="0"/>
              <w:rPr>
                <w:sz w:val="20"/>
                <w:szCs w:val="20"/>
                <w:color w:val="auto"/>
              </w:rPr>
            </w:pPr>
            <w:r>
              <w:rPr>
                <w:rFonts w:ascii="Arial" w:cs="Arial" w:eastAsia="Arial" w:hAnsi="Arial"/>
                <w:sz w:val="17"/>
                <w:szCs w:val="17"/>
                <w:color w:val="auto"/>
              </w:rPr>
              <w:t>3,967,362</w:t>
            </w:r>
          </w:p>
        </w:tc>
        <w:tc>
          <w:tcPr>
            <w:tcW w:w="136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4"/>
              </w:rPr>
              <w:t>26.01</w:t>
            </w:r>
            <w:r>
              <w:rPr>
                <w:rFonts w:ascii="Arial" w:cs="Arial" w:eastAsia="Arial" w:hAnsi="Arial"/>
                <w:sz w:val="23"/>
                <w:szCs w:val="23"/>
                <w:color w:val="auto"/>
                <w:w w:val="84"/>
                <w:vertAlign w:val="superscript"/>
              </w:rPr>
              <w:t>(3)</w:t>
            </w:r>
          </w:p>
        </w:tc>
        <w:tc>
          <w:tcPr>
            <w:tcW w:w="2100" w:type="dxa"/>
            <w:vAlign w:val="bottom"/>
            <w:tcBorders>
              <w:bottom w:val="single" w:sz="8" w:color="auto"/>
              <w:right w:val="single" w:sz="8" w:color="auto"/>
            </w:tcBorders>
          </w:tcPr>
          <w:p>
            <w:pPr>
              <w:jc w:val="right"/>
              <w:ind w:right="225"/>
              <w:spacing w:after="0" w:line="199" w:lineRule="exact"/>
              <w:rPr>
                <w:sz w:val="20"/>
                <w:szCs w:val="20"/>
                <w:color w:val="auto"/>
              </w:rPr>
            </w:pPr>
            <w:r>
              <w:rPr>
                <w:rFonts w:ascii="Arial" w:cs="Arial" w:eastAsia="Arial" w:hAnsi="Arial"/>
                <w:sz w:val="17"/>
                <w:szCs w:val="17"/>
                <w:color w:val="auto"/>
              </w:rPr>
              <w:t>103,191,085.62</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9,565.81</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Total</w:t>
            </w:r>
          </w:p>
        </w:tc>
        <w:tc>
          <w:tcPr>
            <w:tcW w:w="1380" w:type="dxa"/>
            <w:vAlign w:val="bottom"/>
            <w:tcBorders>
              <w:bottom w:val="single" w:sz="8" w:color="auto"/>
              <w:right w:val="single" w:sz="8" w:color="auto"/>
            </w:tcBorders>
          </w:tcPr>
          <w:p>
            <w:pPr>
              <w:jc w:val="right"/>
              <w:ind w:right="521"/>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jc w:val="right"/>
              <w:ind w:right="365"/>
              <w:spacing w:after="0"/>
              <w:rPr>
                <w:sz w:val="20"/>
                <w:szCs w:val="20"/>
                <w:color w:val="auto"/>
              </w:rPr>
            </w:pPr>
            <w:r>
              <w:rPr>
                <w:rFonts w:ascii="Arial" w:cs="Arial" w:eastAsia="Arial" w:hAnsi="Arial"/>
                <w:sz w:val="17"/>
                <w:szCs w:val="17"/>
                <w:color w:val="auto"/>
              </w:rPr>
              <w:t>$6,044,159,583.00</w:t>
            </w:r>
          </w:p>
        </w:tc>
        <w:tc>
          <w:tcPr>
            <w:tcW w:w="13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7"/>
                <w:szCs w:val="17"/>
                <w:color w:val="auto"/>
                <w:w w:val="88"/>
              </w:rPr>
              <w:t>$560,293.60</w:t>
            </w:r>
            <w:r>
              <w:rPr>
                <w:rFonts w:ascii="Arial" w:cs="Arial" w:eastAsia="Arial" w:hAnsi="Arial"/>
                <w:sz w:val="23"/>
                <w:szCs w:val="23"/>
                <w:color w:val="auto"/>
                <w:w w:val="88"/>
                <w:vertAlign w:val="superscript"/>
              </w:rPr>
              <w:t>(7)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right="200" w:hanging="404"/>
        <w:spacing w:after="0" w:line="257"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registrant is also registering an indeterminate number of additional shares of Class A Common Stock, par value $0.0001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that may be issued to prevent dilution resulting from stock splits, stock dividends or similar transactions.</w:t>
      </w:r>
    </w:p>
    <w:p>
      <w:pPr>
        <w:ind w:left="780" w:right="56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32,500,000 shares of Class A Common Stock issued to certain qualified institutional buyers and accredited investors in a private placement.</w:t>
      </w:r>
    </w:p>
    <w:p>
      <w:pPr>
        <w:spacing w:after="0" w:line="1" w:lineRule="exact"/>
        <w:rPr>
          <w:rFonts w:ascii="Arial" w:cs="Arial" w:eastAsia="Arial" w:hAnsi="Arial"/>
          <w:sz w:val="17"/>
          <w:szCs w:val="17"/>
          <w:color w:val="auto"/>
        </w:rPr>
      </w:pPr>
    </w:p>
    <w:p>
      <w:pPr>
        <w:jc w:val="both"/>
        <w:ind w:left="780" w:right="540" w:hanging="404"/>
        <w:spacing w:after="0" w:line="286" w:lineRule="auto"/>
        <w:tabs>
          <w:tab w:leader="none" w:pos="7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based on the average of the high and low prices of the shares of Class A Common Stock on The New York Stock Exchange (“</w:t>
      </w:r>
      <w:r>
        <w:rPr>
          <w:rFonts w:ascii="Arial" w:cs="Arial" w:eastAsia="Arial" w:hAnsi="Arial"/>
          <w:sz w:val="15"/>
          <w:szCs w:val="15"/>
          <w:b w:val="1"/>
          <w:bCs w:val="1"/>
          <w:color w:val="auto"/>
        </w:rPr>
        <w:t>NYSE</w:t>
      </w:r>
      <w:r>
        <w:rPr>
          <w:rFonts w:ascii="Arial" w:cs="Arial" w:eastAsia="Arial" w:hAnsi="Arial"/>
          <w:sz w:val="15"/>
          <w:szCs w:val="15"/>
          <w:color w:val="auto"/>
        </w:rPr>
        <w:t>”) on November 11, 2021 in accordance with Rule 457(c) of the Securities Act.</w:t>
      </w:r>
    </w:p>
    <w:p>
      <w:pPr>
        <w:ind w:left="780" w:right="38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190,726,638 shares of Class A Common Stock, issuable upon the exchange of outstanding and issuable Paired Interests (as defined herein).</w:t>
      </w:r>
    </w:p>
    <w:p>
      <w:pPr>
        <w:spacing w:after="0" w:line="1" w:lineRule="exact"/>
        <w:rPr>
          <w:rFonts w:ascii="Arial" w:cs="Arial" w:eastAsia="Arial" w:hAnsi="Arial"/>
          <w:sz w:val="17"/>
          <w:szCs w:val="17"/>
          <w:color w:val="auto"/>
        </w:rPr>
      </w:pPr>
    </w:p>
    <w:p>
      <w:pPr>
        <w:ind w:left="780" w:right="16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5,184,300 shares of Class A Common Stock issued to VPC Impact Acquisition Holdings Sponsor, LLC (the “Sponsor”) and certain of its affiliates upon the conversion the Founder shares (as defined herein).</w:t>
      </w:r>
    </w:p>
    <w:p>
      <w:pPr>
        <w:spacing w:after="0" w:line="1" w:lineRule="exact"/>
        <w:rPr>
          <w:rFonts w:ascii="Arial" w:cs="Arial" w:eastAsia="Arial" w:hAnsi="Arial"/>
          <w:sz w:val="17"/>
          <w:szCs w:val="17"/>
          <w:color w:val="auto"/>
        </w:rPr>
      </w:pPr>
    </w:p>
    <w:p>
      <w:pPr>
        <w:ind w:left="780" w:right="18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3,967,362 shares of Class A Common Stock issued to the Sponsor in connection with the “cashless exercise” of 6,147,440 warrants to purchase Class A Common Stock.</w:t>
      </w:r>
    </w:p>
    <w:p>
      <w:pPr>
        <w:spacing w:after="0" w:line="1" w:lineRule="exact"/>
        <w:rPr>
          <w:rFonts w:ascii="Arial" w:cs="Arial" w:eastAsia="Arial" w:hAnsi="Arial"/>
          <w:sz w:val="17"/>
          <w:szCs w:val="17"/>
          <w:color w:val="auto"/>
        </w:rPr>
      </w:pPr>
    </w:p>
    <w:p>
      <w:pPr>
        <w:ind w:left="780" w:hanging="404"/>
        <w:spacing w:after="0"/>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219710</wp:posOffset>
            </wp:positionV>
            <wp:extent cx="1404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left="380" w:right="740"/>
        <w:spacing w:after="0" w:line="28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118110</wp:posOffset>
            </wp:positionV>
            <wp:extent cx="6664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496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159385</wp:posOffset>
            </wp:positionV>
            <wp:extent cx="6664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sectPr>
          <w:pgSz w:w="11900" w:h="16838" w:orient="portrait"/>
          <w:cols w:equalWidth="0" w:num="1">
            <w:col w:w="10880"/>
          </w:cols>
          <w:pgMar w:left="320" w:top="471" w:right="699" w:bottom="1440" w:gutter="0" w:footer="0" w:header="0"/>
        </w:sectPr>
      </w:pPr>
    </w:p>
    <w:bookmarkStart w:id="2" w:name="page3"/>
    <w:bookmarkEnd w:id="2"/>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right="80"/>
        <w:spacing w:after="0" w:line="26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w:t>
      </w:r>
    </w:p>
    <w:p>
      <w:pPr>
        <w:spacing w:after="0" w:line="217" w:lineRule="exact"/>
        <w:rPr>
          <w:sz w:val="20"/>
          <w:szCs w:val="20"/>
          <w:color w:val="auto"/>
        </w:rPr>
      </w:pPr>
    </w:p>
    <w:p>
      <w:pPr>
        <w:ind w:left="380"/>
        <w:spacing w:after="0"/>
        <w:tabs>
          <w:tab w:leader="none" w:pos="5680" w:val="left"/>
          <w:tab w:leader="none" w:pos="9560" w:val="left"/>
        </w:tabs>
        <w:rPr>
          <w:sz w:val="20"/>
          <w:szCs w:val="20"/>
          <w:color w:val="auto"/>
        </w:rPr>
      </w:pPr>
      <w:r>
        <w:rPr>
          <w:rFonts w:ascii="Arial" w:cs="Arial" w:eastAsia="Arial" w:hAnsi="Arial"/>
          <w:sz w:val="17"/>
          <w:szCs w:val="17"/>
          <w:b w:val="1"/>
          <w:bCs w:val="1"/>
          <w:color w:val="EB0029"/>
        </w:rPr>
        <w:t>PRELIMINARY PROSPECTUS</w:t>
      </w:r>
      <w:r>
        <w:rPr>
          <w:sz w:val="20"/>
          <w:szCs w:val="20"/>
          <w:color w:val="auto"/>
        </w:rPr>
        <w:tab/>
      </w:r>
      <w:r>
        <w:rPr>
          <w:rFonts w:ascii="Arial" w:cs="Arial" w:eastAsia="Arial" w:hAnsi="Arial"/>
          <w:sz w:val="17"/>
          <w:szCs w:val="17"/>
          <w:b w:val="1"/>
          <w:bCs w:val="1"/>
          <w:color w:val="EB0029"/>
        </w:rPr>
        <w:t>Subject to Completion</w:t>
      </w:r>
      <w:r>
        <w:rPr>
          <w:sz w:val="20"/>
          <w:szCs w:val="20"/>
          <w:color w:val="auto"/>
        </w:rPr>
        <w:tab/>
      </w:r>
      <w:r>
        <w:rPr>
          <w:rFonts w:ascii="Arial" w:cs="Arial" w:eastAsia="Arial" w:hAnsi="Arial"/>
          <w:sz w:val="15"/>
          <w:szCs w:val="15"/>
          <w:b w:val="1"/>
          <w:bCs w:val="1"/>
          <w:color w:val="EB0029"/>
        </w:rPr>
        <w:t>December 8, 2021</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190,726,638 Shares of Class A Common Stock Issuable Upon the Exchange of Paired Interests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3,967,362 shares of Class A Common Stock Issued Upon the Exchange of the Private Placement Warrants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32,500,000 Shares of Class A Common Stock issued in the PIPE Financing</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5,184,300 Shares of Class A Common Stock Issued in Respect of Founder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644525</wp:posOffset>
            </wp:positionV>
            <wp:extent cx="1404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4620"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138430</wp:posOffset>
            </wp:positionV>
            <wp:extent cx="972185"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218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right="180" w:firstLine="420"/>
        <w:spacing w:after="0" w:line="256" w:lineRule="auto"/>
        <w:rPr>
          <w:sz w:val="20"/>
          <w:szCs w:val="20"/>
          <w:color w:val="auto"/>
        </w:rPr>
      </w:pPr>
      <w:r>
        <w:rPr>
          <w:rFonts w:ascii="Arial" w:cs="Arial" w:eastAsia="Arial" w:hAnsi="Arial"/>
          <w:sz w:val="17"/>
          <w:szCs w:val="17"/>
          <w:color w:val="auto"/>
        </w:rPr>
        <w:t>This prospectus relates to the issuance by us, and the resale by the Selling Securityholders (as defined in “Selling Securityholders” below), of up to 190,726,638 shares of Class A common stock, par value $0.0001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issuable upon the exchange of an equal number of Paired Interests (the “</w:t>
      </w:r>
      <w:r>
        <w:rPr>
          <w:rFonts w:ascii="Arial" w:cs="Arial" w:eastAsia="Arial" w:hAnsi="Arial"/>
          <w:sz w:val="17"/>
          <w:szCs w:val="17"/>
          <w:b w:val="1"/>
          <w:bCs w:val="1"/>
          <w:color w:val="auto"/>
        </w:rPr>
        <w:t>Legacy Opco Shares</w:t>
      </w:r>
      <w:r>
        <w:rPr>
          <w:rFonts w:ascii="Arial" w:cs="Arial" w:eastAsia="Arial" w:hAnsi="Arial"/>
          <w:sz w:val="17"/>
          <w:szCs w:val="17"/>
          <w:color w:val="auto"/>
        </w:rPr>
        <w:t>”). This prospectus also relates to the resale by the Selling Securityholders of (i) 32,500,000 shares of Class A Common Stock (the “</w:t>
      </w:r>
      <w:r>
        <w:rPr>
          <w:rFonts w:ascii="Arial" w:cs="Arial" w:eastAsia="Arial" w:hAnsi="Arial"/>
          <w:sz w:val="17"/>
          <w:szCs w:val="17"/>
          <w:b w:val="1"/>
          <w:bCs w:val="1"/>
          <w:color w:val="auto"/>
        </w:rPr>
        <w:t>PIPE Shares</w:t>
      </w:r>
      <w:r>
        <w:rPr>
          <w:rFonts w:ascii="Arial" w:cs="Arial" w:eastAsia="Arial" w:hAnsi="Arial"/>
          <w:sz w:val="17"/>
          <w:szCs w:val="17"/>
          <w:color w:val="auto"/>
        </w:rPr>
        <w:t>”) issued in the PIPE Financing; (ii) 5,184,300 shares of Class A Common Stock issued to VPC Impact Acquisition Holdings Sponsor, LLC (the “</w:t>
      </w:r>
      <w:r>
        <w:rPr>
          <w:rFonts w:ascii="Arial" w:cs="Arial" w:eastAsia="Arial" w:hAnsi="Arial"/>
          <w:sz w:val="17"/>
          <w:szCs w:val="17"/>
          <w:b w:val="1"/>
          <w:bCs w:val="1"/>
          <w:color w:val="auto"/>
        </w:rPr>
        <w:t>Sponsor</w:t>
      </w:r>
      <w:r>
        <w:rPr>
          <w:rFonts w:ascii="Arial" w:cs="Arial" w:eastAsia="Arial" w:hAnsi="Arial"/>
          <w:sz w:val="17"/>
          <w:szCs w:val="17"/>
          <w:color w:val="auto"/>
        </w:rPr>
        <w:t>”) and certain of its affiliates that relate to securities acquired by them prior to the initial public offering (the “</w:t>
      </w:r>
      <w:r>
        <w:rPr>
          <w:rFonts w:ascii="Arial" w:cs="Arial" w:eastAsia="Arial" w:hAnsi="Arial"/>
          <w:sz w:val="17"/>
          <w:szCs w:val="17"/>
          <w:b w:val="1"/>
          <w:bCs w:val="1"/>
          <w:color w:val="auto"/>
        </w:rPr>
        <w:t>Founder Shares</w:t>
      </w:r>
      <w:r>
        <w:rPr>
          <w:rFonts w:ascii="Arial" w:cs="Arial" w:eastAsia="Arial" w:hAnsi="Arial"/>
          <w:sz w:val="17"/>
          <w:szCs w:val="17"/>
          <w:color w:val="auto"/>
        </w:rPr>
        <w:t>”); and (iii) 3,967,362 shares of Class A Common Stock issued to the Sponsor upon the exercise of the Private Placement Warrants (the “</w:t>
      </w:r>
      <w:r>
        <w:rPr>
          <w:rFonts w:ascii="Arial" w:cs="Arial" w:eastAsia="Arial" w:hAnsi="Arial"/>
          <w:sz w:val="17"/>
          <w:szCs w:val="17"/>
          <w:b w:val="1"/>
          <w:bCs w:val="1"/>
          <w:color w:val="auto"/>
        </w:rPr>
        <w:t>Private Warrant Shares</w:t>
      </w:r>
      <w:r>
        <w:rPr>
          <w:rFonts w:ascii="Arial" w:cs="Arial" w:eastAsia="Arial" w:hAnsi="Arial"/>
          <w:sz w:val="17"/>
          <w:szCs w:val="17"/>
          <w:color w:val="auto"/>
        </w:rPr>
        <w:t>”). Unless otherwise defined, capitalized terms have the meanings ascribed to them in the Explanatory Note below.</w:t>
      </w:r>
    </w:p>
    <w:p>
      <w:pPr>
        <w:spacing w:after="0" w:line="120"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Arial" w:cs="Arial" w:eastAsia="Arial" w:hAnsi="Arial"/>
          <w:sz w:val="17"/>
          <w:szCs w:val="17"/>
          <w:i w:val="1"/>
          <w:iCs w:val="1"/>
          <w:color w:val="auto"/>
        </w:rPr>
        <w:t>Plan of Distribution</w:t>
      </w:r>
      <w:r>
        <w:rPr>
          <w:rFonts w:ascii="Arial" w:cs="Arial" w:eastAsia="Arial" w:hAnsi="Arial"/>
          <w:sz w:val="17"/>
          <w:szCs w:val="17"/>
          <w:color w:val="auto"/>
        </w:rPr>
        <w:t>” for more information about how the Selling Securityholders may sell their securities.</w:t>
      </w:r>
    </w:p>
    <w:p>
      <w:pPr>
        <w:spacing w:after="0" w:line="102" w:lineRule="exact"/>
        <w:rPr>
          <w:sz w:val="20"/>
          <w:szCs w:val="20"/>
          <w:color w:val="auto"/>
        </w:rPr>
      </w:pPr>
    </w:p>
    <w:p>
      <w:pPr>
        <w:ind w:left="380" w:right="160" w:firstLine="420"/>
        <w:spacing w:after="0" w:line="261" w:lineRule="auto"/>
        <w:rPr>
          <w:sz w:val="20"/>
          <w:szCs w:val="20"/>
          <w:color w:val="auto"/>
        </w:rPr>
      </w:pPr>
      <w:r>
        <w:rPr>
          <w:rFonts w:ascii="Arial" w:cs="Arial" w:eastAsia="Arial" w:hAnsi="Arial"/>
          <w:sz w:val="17"/>
          <w:szCs w:val="17"/>
          <w:color w:val="auto"/>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pay the expenses associated with registering the sales by the Selling Securityholders other than any underwriting discounts and commissions; see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for more information.</w:t>
      </w:r>
    </w:p>
    <w:p>
      <w:pPr>
        <w:spacing w:after="0" w:line="114" w:lineRule="exact"/>
        <w:rPr>
          <w:sz w:val="20"/>
          <w:szCs w:val="20"/>
          <w:color w:val="auto"/>
        </w:rPr>
      </w:pPr>
    </w:p>
    <w:p>
      <w:pPr>
        <w:ind w:left="380" w:right="660" w:firstLine="420"/>
        <w:spacing w:after="0" w:line="278" w:lineRule="auto"/>
        <w:rPr>
          <w:sz w:val="20"/>
          <w:szCs w:val="20"/>
          <w:color w:val="auto"/>
        </w:rPr>
      </w:pPr>
      <w:r>
        <w:rPr>
          <w:rFonts w:ascii="Arial" w:cs="Arial" w:eastAsia="Arial" w:hAnsi="Arial"/>
          <w:sz w:val="17"/>
          <w:szCs w:val="17"/>
          <w:color w:val="auto"/>
        </w:rPr>
        <w:t>The Legacy Opco Shares and the Founder Shares are subject to certain lock-up restrictions, as described in more detail below under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Offering—Lock-Up Restrictions</w:t>
      </w:r>
      <w:r>
        <w:rPr>
          <w:rFonts w:ascii="Arial" w:cs="Arial" w:eastAsia="Arial" w:hAnsi="Arial"/>
          <w:sz w:val="17"/>
          <w:szCs w:val="17"/>
          <w:color w:val="auto"/>
        </w:rPr>
        <w:t>.”</w:t>
      </w:r>
    </w:p>
    <w:p>
      <w:pPr>
        <w:spacing w:after="0" w:line="94" w:lineRule="exact"/>
        <w:rPr>
          <w:sz w:val="20"/>
          <w:szCs w:val="20"/>
          <w:color w:val="auto"/>
        </w:rPr>
      </w:pPr>
    </w:p>
    <w:p>
      <w:pPr>
        <w:ind w:left="380" w:right="140" w:firstLine="420"/>
        <w:spacing w:after="0" w:line="263" w:lineRule="auto"/>
        <w:rPr>
          <w:sz w:val="20"/>
          <w:szCs w:val="20"/>
          <w:color w:val="auto"/>
        </w:rPr>
      </w:pPr>
      <w:r>
        <w:rPr>
          <w:rFonts w:ascii="Arial" w:cs="Arial" w:eastAsia="Arial" w:hAnsi="Arial"/>
          <w:sz w:val="17"/>
          <w:szCs w:val="17"/>
          <w:color w:val="auto"/>
        </w:rPr>
        <w:t>Our Class A Common Stock is listed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under the symbol “BKKT” and our warrants to purchase Class A Common Stock (the “</w:t>
      </w:r>
      <w:r>
        <w:rPr>
          <w:rFonts w:ascii="Arial" w:cs="Arial" w:eastAsia="Arial" w:hAnsi="Arial"/>
          <w:sz w:val="17"/>
          <w:szCs w:val="17"/>
          <w:b w:val="1"/>
          <w:bCs w:val="1"/>
          <w:color w:val="auto"/>
        </w:rPr>
        <w:t>Warrants</w:t>
      </w:r>
      <w:r>
        <w:rPr>
          <w:rFonts w:ascii="Arial" w:cs="Arial" w:eastAsia="Arial" w:hAnsi="Arial"/>
          <w:sz w:val="17"/>
          <w:szCs w:val="17"/>
          <w:color w:val="auto"/>
        </w:rPr>
        <w:t>”) are listed on NYSE under the symbol “BKKT WS.” On December 7, 2021, the last quoted sale price for our Class A Common Stock as reported on NYSE was $13.21 per share and the last quoted sale price for our Warrants as reported on NYSE was $3.85 per warrant.</w:t>
      </w:r>
    </w:p>
    <w:p>
      <w:pPr>
        <w:spacing w:after="0" w:line="95" w:lineRule="exact"/>
        <w:rPr>
          <w:sz w:val="20"/>
          <w:szCs w:val="20"/>
          <w:color w:val="auto"/>
        </w:rPr>
      </w:pPr>
    </w:p>
    <w:p>
      <w:pPr>
        <w:ind w:left="380" w:right="340" w:firstLine="420"/>
        <w:spacing w:after="0" w:line="286" w:lineRule="auto"/>
        <w:rPr>
          <w:sz w:val="20"/>
          <w:szCs w:val="20"/>
          <w:color w:val="auto"/>
        </w:rPr>
      </w:pPr>
      <w:r>
        <w:rPr>
          <w:rFonts w:ascii="Arial" w:cs="Arial" w:eastAsia="Arial" w:hAnsi="Arial"/>
          <w:sz w:val="17"/>
          <w:szCs w:val="17"/>
          <w:b w:val="1"/>
          <w:bCs w:val="1"/>
          <w:color w:val="auto"/>
        </w:rPr>
        <w:t>We are an “emerging growth company,” as defined under the federal securities laws, and have elected to comply with certain reduced public company reporting requirements for this prospectus and for future filings.</w:t>
      </w:r>
    </w:p>
    <w:p>
      <w:pPr>
        <w:spacing w:after="0" w:line="87" w:lineRule="exact"/>
        <w:rPr>
          <w:sz w:val="20"/>
          <w:szCs w:val="20"/>
          <w:color w:val="auto"/>
        </w:rPr>
      </w:pPr>
    </w:p>
    <w:p>
      <w:pPr>
        <w:ind w:left="380" w:right="20" w:firstLine="420"/>
        <w:spacing w:after="0" w:line="286" w:lineRule="auto"/>
        <w:rPr>
          <w:sz w:val="20"/>
          <w:szCs w:val="20"/>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of this prospectus.</w:t>
      </w:r>
    </w:p>
    <w:p>
      <w:pPr>
        <w:spacing w:after="0" w:line="87" w:lineRule="exact"/>
        <w:rPr>
          <w:sz w:val="20"/>
          <w:szCs w:val="20"/>
          <w:color w:val="auto"/>
        </w:rPr>
      </w:pPr>
    </w:p>
    <w:p>
      <w:pPr>
        <w:ind w:left="380" w:right="240" w:firstLine="420"/>
        <w:spacing w:after="0" w:line="286" w:lineRule="auto"/>
        <w:rPr>
          <w:sz w:val="20"/>
          <w:szCs w:val="20"/>
          <w:color w:val="auto"/>
        </w:rPr>
      </w:pPr>
      <w:r>
        <w:rPr>
          <w:rFonts w:ascii="Arial" w:cs="Arial" w:eastAsia="Arial" w:hAnsi="Arial"/>
          <w:sz w:val="17"/>
          <w:szCs w:val="17"/>
          <w:b w:val="1"/>
          <w:bCs w:val="1"/>
          <w:color w:val="auto"/>
        </w:rPr>
        <w:t>You should rely only on the information contained in this prospectus or any prospectus supplement or amendment hereto. We have not authorized anyone to provide you with different information.</w:t>
      </w:r>
    </w:p>
    <w:p>
      <w:pPr>
        <w:spacing w:after="0" w:line="74" w:lineRule="exact"/>
        <w:rPr>
          <w:sz w:val="20"/>
          <w:szCs w:val="20"/>
          <w:color w:val="auto"/>
        </w:rPr>
      </w:pPr>
    </w:p>
    <w:p>
      <w:pPr>
        <w:ind w:left="380" w:right="140" w:firstLine="420"/>
        <w:spacing w:after="0" w:line="31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125730</wp:posOffset>
            </wp:positionV>
            <wp:extent cx="1404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01" w:lineRule="exact"/>
        <w:rPr>
          <w:sz w:val="20"/>
          <w:szCs w:val="20"/>
          <w:color w:val="auto"/>
        </w:rPr>
      </w:pPr>
    </w:p>
    <w:tbl>
      <w:tblPr>
        <w:tblLayout w:type="fixed"/>
        <w:tblInd w:w="4420" w:type="dxa"/>
        <w:tblCellMar>
          <w:top w:w="0" w:type="dxa"/>
          <w:left w:w="0" w:type="dxa"/>
          <w:bottom w:w="0" w:type="dxa"/>
          <w:right w:w="0" w:type="dxa"/>
        </w:tblCellMar>
      </w:tblPr>
      <w:tr>
        <w:trPr>
          <w:trHeight w:val="223"/>
        </w:trPr>
        <w:tc>
          <w:tcPr>
            <w:tcW w:w="1620" w:type="dxa"/>
            <w:vAlign w:val="bottom"/>
          </w:tcPr>
          <w:p>
            <w:pPr>
              <w:spacing w:after="0"/>
              <w:rPr>
                <w:sz w:val="20"/>
                <w:szCs w:val="20"/>
                <w:color w:val="auto"/>
              </w:rPr>
            </w:pPr>
            <w:r>
              <w:rPr>
                <w:rFonts w:ascii="Arial" w:cs="Arial" w:eastAsia="Arial" w:hAnsi="Arial"/>
                <w:sz w:val="17"/>
                <w:szCs w:val="17"/>
                <w:b w:val="1"/>
                <w:bCs w:val="1"/>
                <w:color w:val="auto"/>
              </w:rPr>
              <w:t>Prospectus dated</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2585720</wp:posOffset>
            </wp:positionV>
            <wp:extent cx="7180580" cy="66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66040"/>
                    </a:xfrm>
                    <a:prstGeom prst="rect">
                      <a:avLst/>
                    </a:prstGeom>
                    <a:noFill/>
                  </pic:spPr>
                </pic:pic>
              </a:graphicData>
            </a:graphic>
          </wp:anchor>
        </w:drawing>
      </w:r>
    </w:p>
    <w:p>
      <w:pPr>
        <w:sectPr>
          <w:pgSz w:w="11900" w:h="16845" w:orient="portrait"/>
          <w:cols w:equalWidth="0" w:num="1">
            <w:col w:w="10880"/>
          </w:cols>
          <w:pgMar w:left="320" w:top="471" w:right="6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ectPr>
          <w:pgSz w:w="11900" w:h="16845" w:orient="portrait"/>
          <w:cols w:equalWidth="0" w:num="1">
            <w:col w:w="10880"/>
          </w:cols>
          <w:pgMar w:left="320" w:top="471" w:right="699" w:bottom="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140" w:type="dxa"/>
            <w:vAlign w:val="bottom"/>
            <w:gridSpan w:val="27"/>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ABOUT THIS PROSPECTUS</w:t>
              </w:r>
            </w:hyperlink>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47"/>
        </w:trPr>
        <w:tc>
          <w:tcPr>
            <w:tcW w:w="10140" w:type="dxa"/>
            <w:vAlign w:val="bottom"/>
            <w:gridSpan w:val="27"/>
            <w:vMerge w:val="continue"/>
          </w:tcPr>
          <w:p>
            <w:pPr>
              <w:spacing w:after="0"/>
              <w:rPr>
                <w:sz w:val="12"/>
                <w:szCs w:val="12"/>
                <w:color w:val="auto"/>
              </w:rPr>
            </w:pPr>
          </w:p>
        </w:tc>
        <w:tc>
          <w:tcPr>
            <w:tcW w:w="3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4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6"/>
              </w:rPr>
            </w:pPr>
            <w:hyperlink w:anchor="page6">
              <w:r>
                <w:rPr>
                  <w:rFonts w:ascii="Arial" w:cs="Arial" w:eastAsia="Arial" w:hAnsi="Arial"/>
                  <w:sz w:val="17"/>
                  <w:szCs w:val="17"/>
                  <w:color w:val="0000EE"/>
                  <w:w w:val="96"/>
                </w:rPr>
                <w:t>EXPLANATORY NOTE</w:t>
              </w:r>
            </w:hyperlink>
          </w:p>
        </w:tc>
        <w:tc>
          <w:tcPr>
            <w:tcW w:w="380" w:type="dxa"/>
            <w:vAlign w:val="bottom"/>
            <w:tcBorders>
              <w:top w:val="single" w:sz="8" w:color="0000EE"/>
            </w:tcBorders>
            <w:gridSpan w:val="3"/>
          </w:tcPr>
          <w:p>
            <w:pPr>
              <w:spacing w:after="0"/>
              <w:rPr>
                <w:sz w:val="17"/>
                <w:szCs w:val="17"/>
                <w:color w:val="auto"/>
              </w:rPr>
            </w:pPr>
          </w:p>
        </w:tc>
        <w:tc>
          <w:tcPr>
            <w:tcW w:w="8020" w:type="dxa"/>
            <w:vAlign w:val="bottom"/>
            <w:gridSpan w:val="15"/>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iii</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
              <w:r>
                <w:rPr>
                  <w:rFonts w:ascii="Arial" w:cs="Arial" w:eastAsia="Arial" w:hAnsi="Arial"/>
                  <w:sz w:val="17"/>
                  <w:szCs w:val="17"/>
                  <w:color w:val="0000EE"/>
                </w:rPr>
                <w:t>CAUTIONARY NOTE REGARDING FORWARD-LOOKING STATEMENTS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iv</w:t>
            </w:r>
          </w:p>
        </w:tc>
        <w:tc>
          <w:tcPr>
            <w:tcW w:w="0" w:type="dxa"/>
            <w:vAlign w:val="bottom"/>
          </w:tcPr>
          <w:p>
            <w:pPr>
              <w:spacing w:after="0"/>
              <w:rPr>
                <w:sz w:val="1"/>
                <w:szCs w:val="1"/>
                <w:color w:val="auto"/>
              </w:rPr>
            </w:pPr>
          </w:p>
        </w:tc>
      </w:tr>
      <w:tr>
        <w:trPr>
          <w:trHeight w:val="186"/>
        </w:trPr>
        <w:tc>
          <w:tcPr>
            <w:tcW w:w="5500" w:type="dxa"/>
            <w:vAlign w:val="bottom"/>
            <w:tcBorders>
              <w:top w:val="single" w:sz="8" w:color="0000EE"/>
            </w:tcBorders>
            <w:gridSpan w:val="21"/>
          </w:tcPr>
          <w:p>
            <w:pPr>
              <w:spacing w:after="0" w:line="186" w:lineRule="exact"/>
              <w:rPr>
                <w:rFonts w:ascii="Arial" w:cs="Arial" w:eastAsia="Arial" w:hAnsi="Arial"/>
                <w:sz w:val="17"/>
                <w:szCs w:val="17"/>
                <w:color w:val="0000EE"/>
              </w:rPr>
            </w:pPr>
            <w:hyperlink w:anchor="page8">
              <w:r>
                <w:rPr>
                  <w:rFonts w:ascii="Arial" w:cs="Arial" w:eastAsia="Arial" w:hAnsi="Arial"/>
                  <w:sz w:val="17"/>
                  <w:szCs w:val="17"/>
                  <w:color w:val="0000EE"/>
                </w:rPr>
                <w:t>PROSPECTUS SUMMARY</w:t>
              </w:r>
            </w:hyperlink>
          </w:p>
        </w:tc>
        <w:tc>
          <w:tcPr>
            <w:tcW w:w="4640" w:type="dxa"/>
            <w:vAlign w:val="bottom"/>
            <w:gridSpan w:val="6"/>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1220" w:type="dxa"/>
            <w:vAlign w:val="bottom"/>
            <w:tcBorders>
              <w:top w:val="single" w:sz="8" w:color="0000EE"/>
              <w:bottom w:val="single" w:sz="8" w:color="0000EE"/>
            </w:tcBorders>
            <w:gridSpan w:val="5"/>
          </w:tcPr>
          <w:p>
            <w:pPr>
              <w:spacing w:after="0" w:line="186" w:lineRule="exact"/>
              <w:rPr>
                <w:rFonts w:ascii="Arial" w:cs="Arial" w:eastAsia="Arial" w:hAnsi="Arial"/>
                <w:sz w:val="17"/>
                <w:szCs w:val="17"/>
                <w:color w:val="0000EE"/>
                <w:w w:val="94"/>
              </w:rPr>
            </w:pPr>
            <w:hyperlink w:anchor="page12">
              <w:r>
                <w:rPr>
                  <w:rFonts w:ascii="Arial" w:cs="Arial" w:eastAsia="Arial" w:hAnsi="Arial"/>
                  <w:sz w:val="17"/>
                  <w:szCs w:val="17"/>
                  <w:color w:val="0000EE"/>
                  <w:w w:val="94"/>
                </w:rPr>
                <w:t>THE OFFERING</w:t>
              </w:r>
            </w:hyperlink>
          </w:p>
        </w:tc>
        <w:tc>
          <w:tcPr>
            <w:tcW w:w="760" w:type="dxa"/>
            <w:vAlign w:val="bottom"/>
            <w:tcBorders>
              <w:top w:val="single" w:sz="8" w:color="0000EE"/>
            </w:tcBorders>
            <w:gridSpan w:val="6"/>
          </w:tcPr>
          <w:p>
            <w:pPr>
              <w:spacing w:after="0"/>
              <w:rPr>
                <w:sz w:val="16"/>
                <w:szCs w:val="16"/>
                <w:color w:val="auto"/>
              </w:rPr>
            </w:pPr>
          </w:p>
        </w:tc>
        <w:tc>
          <w:tcPr>
            <w:tcW w:w="8160" w:type="dxa"/>
            <w:vAlign w:val="bottom"/>
            <w:gridSpan w:val="16"/>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58">
              <w:r>
                <w:rPr>
                  <w:rFonts w:ascii="Arial" w:cs="Arial" w:eastAsia="Arial" w:hAnsi="Arial"/>
                  <w:sz w:val="17"/>
                  <w:szCs w:val="17"/>
                  <w:color w:val="0000EE"/>
                </w:rPr>
                <w:t>UNAUDITED PRO FORMA CONDENSED COMBINED FINANCIAL INFORMATION</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60" w:type="dxa"/>
            <w:vAlign w:val="bottom"/>
            <w:tcBorders>
              <w:top w:val="single" w:sz="8" w:color="0000EE"/>
            </w:tcBorders>
            <w:gridSpan w:val="22"/>
          </w:tcPr>
          <w:p>
            <w:pPr>
              <w:spacing w:after="0" w:line="186" w:lineRule="exact"/>
              <w:rPr>
                <w:rFonts w:ascii="Arial" w:cs="Arial" w:eastAsia="Arial" w:hAnsi="Arial"/>
                <w:sz w:val="17"/>
                <w:szCs w:val="17"/>
                <w:color w:val="0000EE"/>
              </w:rPr>
            </w:pPr>
            <w:hyperlink w:anchor="page72">
              <w:r>
                <w:rPr>
                  <w:rFonts w:ascii="Arial" w:cs="Arial" w:eastAsia="Arial" w:hAnsi="Arial"/>
                  <w:sz w:val="17"/>
                  <w:szCs w:val="17"/>
                  <w:color w:val="0000EE"/>
                </w:rPr>
                <w:t>USE OF PROCEEDS</w:t>
              </w:r>
            </w:hyperlink>
          </w:p>
        </w:tc>
        <w:tc>
          <w:tcPr>
            <w:tcW w:w="3880" w:type="dxa"/>
            <w:vAlign w:val="bottom"/>
            <w:gridSpan w:val="5"/>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3">
              <w:r>
                <w:rPr>
                  <w:rFonts w:ascii="Arial" w:cs="Arial" w:eastAsia="Arial" w:hAnsi="Arial"/>
                  <w:sz w:val="17"/>
                  <w:szCs w:val="17"/>
                  <w:color w:val="0000EE"/>
                </w:rPr>
                <w:t>MARKET PRICE OF AND DIVIDENDS ON THE REGISTRANT’S SECURITIES AND RELATED STOCKHOLDER MATTERS</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4">
              <w:r>
                <w:rPr>
                  <w:rFonts w:ascii="Arial" w:cs="Arial" w:eastAsia="Arial" w:hAnsi="Arial"/>
                  <w:sz w:val="17"/>
                  <w:szCs w:val="17"/>
                  <w:color w:val="0000EE"/>
                </w:rPr>
                <w:t>MANAGEMENT’S DISCUSSION AND ANALYSIS OF FINANCIAL CONDITION AND RESULTS OF OPERATIONS OF BAKKT</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05">
              <w:r>
                <w:rPr>
                  <w:rFonts w:ascii="Arial" w:cs="Arial" w:eastAsia="Arial" w:hAnsi="Arial"/>
                  <w:sz w:val="17"/>
                  <w:szCs w:val="17"/>
                  <w:color w:val="0000EE"/>
                </w:rPr>
                <w:t>MANAGEMENT’S DISCUSSION AND ANALYSIS OF FINANCIAL CONDITION AND RESULTS OF OPERATIONS OF VPC IMPACT</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Borders>
              <w:top w:val="single" w:sz="8" w:color="0000EE"/>
            </w:tcBorders>
          </w:tcPr>
          <w:p>
            <w:pPr>
              <w:spacing w:after="0"/>
              <w:rPr>
                <w:sz w:val="16"/>
                <w:szCs w:val="16"/>
                <w:color w:val="auto"/>
              </w:rPr>
            </w:pPr>
          </w:p>
        </w:tc>
        <w:tc>
          <w:tcPr>
            <w:tcW w:w="2040" w:type="dxa"/>
            <w:vAlign w:val="bottom"/>
            <w:tcBorders>
              <w:top w:val="single" w:sz="8" w:color="0000EE"/>
              <w:bottom w:val="single" w:sz="8" w:color="0000EE"/>
            </w:tcBorders>
            <w:gridSpan w:val="12"/>
          </w:tcPr>
          <w:p>
            <w:pPr>
              <w:spacing w:after="0" w:line="186" w:lineRule="exact"/>
              <w:rPr>
                <w:rFonts w:ascii="Arial" w:cs="Arial" w:eastAsia="Arial" w:hAnsi="Arial"/>
                <w:sz w:val="17"/>
                <w:szCs w:val="17"/>
                <w:color w:val="0000EE"/>
                <w:w w:val="98"/>
              </w:rPr>
            </w:pPr>
            <w:hyperlink w:anchor="page105">
              <w:r>
                <w:rPr>
                  <w:rFonts w:ascii="Arial" w:cs="Arial" w:eastAsia="Arial" w:hAnsi="Arial"/>
                  <w:sz w:val="17"/>
                  <w:szCs w:val="17"/>
                  <w:color w:val="0000EE"/>
                  <w:w w:val="98"/>
                </w:rPr>
                <w:t>ACQUISITION HOLDINGS</w:t>
              </w:r>
            </w:hyperlink>
          </w:p>
        </w:tc>
        <w:tc>
          <w:tcPr>
            <w:tcW w:w="7600" w:type="dxa"/>
            <w:vAlign w:val="bottom"/>
            <w:tcBorders>
              <w:top w:val="single" w:sz="8" w:color="0000EE"/>
            </w:tcBorders>
            <w:gridSpan w:val="13"/>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09">
              <w:r>
                <w:rPr>
                  <w:rFonts w:ascii="Arial" w:cs="Arial" w:eastAsia="Arial" w:hAnsi="Arial"/>
                  <w:sz w:val="17"/>
                  <w:szCs w:val="17"/>
                  <w:color w:val="0000EE"/>
                </w:rPr>
                <w:t>BUSINESS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102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40" w:type="dxa"/>
            <w:vAlign w:val="bottom"/>
            <w:tcBorders>
              <w:bottom w:val="single" w:sz="8" w:color="0000EE"/>
            </w:tcBorders>
            <w:gridSpan w:val="6"/>
          </w:tcPr>
          <w:p>
            <w:pPr>
              <w:spacing w:after="0" w:line="186" w:lineRule="exact"/>
              <w:rPr>
                <w:rFonts w:ascii="Arial" w:cs="Arial" w:eastAsia="Arial" w:hAnsi="Arial"/>
                <w:sz w:val="17"/>
                <w:szCs w:val="17"/>
                <w:color w:val="0000EE"/>
              </w:rPr>
            </w:pPr>
            <w:hyperlink w:anchor="page125">
              <w:r>
                <w:rPr>
                  <w:rFonts w:ascii="Arial" w:cs="Arial" w:eastAsia="Arial" w:hAnsi="Arial"/>
                  <w:sz w:val="17"/>
                  <w:szCs w:val="17"/>
                  <w:color w:val="0000EE"/>
                </w:rPr>
                <w:t>MANAGEMENT</w:t>
              </w:r>
            </w:hyperlink>
          </w:p>
        </w:tc>
        <w:tc>
          <w:tcPr>
            <w:tcW w:w="8900" w:type="dxa"/>
            <w:vAlign w:val="bottom"/>
            <w:gridSpan w:val="21"/>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118</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31">
              <w:r>
                <w:rPr>
                  <w:rFonts w:ascii="Arial" w:cs="Arial" w:eastAsia="Arial" w:hAnsi="Arial"/>
                  <w:sz w:val="17"/>
                  <w:szCs w:val="17"/>
                  <w:color w:val="0000EE"/>
                </w:rPr>
                <w:t>EXECUTIVE COMPENSATION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124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37">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130</w:t>
            </w:r>
          </w:p>
        </w:tc>
        <w:tc>
          <w:tcPr>
            <w:tcW w:w="0" w:type="dxa"/>
            <w:vAlign w:val="bottom"/>
          </w:tcPr>
          <w:p>
            <w:pPr>
              <w:spacing w:after="0"/>
              <w:rPr>
                <w:sz w:val="1"/>
                <w:szCs w:val="1"/>
                <w:color w:val="auto"/>
              </w:rPr>
            </w:pPr>
          </w:p>
        </w:tc>
      </w:tr>
      <w:tr>
        <w:trPr>
          <w:trHeight w:val="186"/>
        </w:trPr>
        <w:tc>
          <w:tcPr>
            <w:tcW w:w="3320" w:type="dxa"/>
            <w:vAlign w:val="bottom"/>
            <w:tcBorders>
              <w:top w:val="single" w:sz="8" w:color="0000EE"/>
              <w:bottom w:val="single" w:sz="8" w:color="0000EE"/>
            </w:tcBorders>
            <w:gridSpan w:val="16"/>
          </w:tcPr>
          <w:p>
            <w:pPr>
              <w:spacing w:after="0" w:line="186" w:lineRule="exact"/>
              <w:rPr>
                <w:rFonts w:ascii="Arial" w:cs="Arial" w:eastAsia="Arial" w:hAnsi="Arial"/>
                <w:sz w:val="17"/>
                <w:szCs w:val="17"/>
                <w:color w:val="0000EE"/>
                <w:w w:val="95"/>
              </w:rPr>
            </w:pPr>
            <w:hyperlink w:anchor="page143">
              <w:r>
                <w:rPr>
                  <w:rFonts w:ascii="Arial" w:cs="Arial" w:eastAsia="Arial" w:hAnsi="Arial"/>
                  <w:sz w:val="17"/>
                  <w:szCs w:val="17"/>
                  <w:color w:val="0000EE"/>
                  <w:w w:val="95"/>
                </w:rPr>
                <w:t>BENEFICIAL OWNERSHIP OF SECURITIES</w:t>
              </w:r>
            </w:hyperlink>
          </w:p>
        </w:tc>
        <w:tc>
          <w:tcPr>
            <w:tcW w:w="1880" w:type="dxa"/>
            <w:vAlign w:val="bottom"/>
            <w:tcBorders>
              <w:top w:val="single" w:sz="8" w:color="0000EE"/>
            </w:tcBorders>
            <w:gridSpan w:val="3"/>
          </w:tcPr>
          <w:p>
            <w:pPr>
              <w:spacing w:after="0"/>
              <w:rPr>
                <w:sz w:val="16"/>
                <w:szCs w:val="16"/>
                <w:color w:val="auto"/>
              </w:rPr>
            </w:pPr>
          </w:p>
        </w:tc>
        <w:tc>
          <w:tcPr>
            <w:tcW w:w="4940" w:type="dxa"/>
            <w:vAlign w:val="bottom"/>
            <w:gridSpan w:val="8"/>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136</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46">
              <w:r>
                <w:rPr>
                  <w:rFonts w:ascii="Arial" w:cs="Arial" w:eastAsia="Arial" w:hAnsi="Arial"/>
                  <w:sz w:val="17"/>
                  <w:szCs w:val="17"/>
                  <w:color w:val="0000EE"/>
                </w:rPr>
                <w:t>SELLING SECURITYHOLDERS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139</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53">
              <w:r>
                <w:rPr>
                  <w:rFonts w:ascii="Arial" w:cs="Arial" w:eastAsia="Arial" w:hAnsi="Arial"/>
                  <w:sz w:val="17"/>
                  <w:szCs w:val="17"/>
                  <w:color w:val="0000EE"/>
                </w:rPr>
                <w:t>DESCRIPTION OF SECURITIES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146</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64">
              <w:r>
                <w:rPr>
                  <w:rFonts w:ascii="Arial" w:cs="Arial" w:eastAsia="Arial" w:hAnsi="Arial"/>
                  <w:sz w:val="17"/>
                  <w:szCs w:val="17"/>
                  <w:color w:val="0000EE"/>
                </w:rPr>
                <w:t>SECURITIES ACT RESTRICTIONS ON RESALE OF OUR SECURITIES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157</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60" w:type="dxa"/>
            <w:vAlign w:val="bottom"/>
            <w:tcBorders>
              <w:bottom w:val="single" w:sz="8" w:color="0000EE"/>
            </w:tcBorders>
            <w:gridSpan w:val="24"/>
          </w:tcPr>
          <w:p>
            <w:pPr>
              <w:spacing w:after="0" w:line="186" w:lineRule="exact"/>
              <w:rPr>
                <w:rFonts w:ascii="Arial" w:cs="Arial" w:eastAsia="Arial" w:hAnsi="Arial"/>
                <w:sz w:val="17"/>
                <w:szCs w:val="17"/>
                <w:color w:val="0000EE"/>
                <w:w w:val="97"/>
              </w:rPr>
            </w:pPr>
            <w:hyperlink w:anchor="page166">
              <w:r>
                <w:rPr>
                  <w:rFonts w:ascii="Arial" w:cs="Arial" w:eastAsia="Arial" w:hAnsi="Arial"/>
                  <w:sz w:val="17"/>
                  <w:szCs w:val="17"/>
                  <w:color w:val="0000EE"/>
                  <w:w w:val="97"/>
                </w:rPr>
                <w:t>MATERIAL U.S. FEDERAL INCOME TAX CONSIDERATIONS FOR OF OUR CLASS A COMMON STOCK AND WARRANTS</w:t>
              </w:r>
            </w:hyperlink>
          </w:p>
        </w:tc>
        <w:tc>
          <w:tcPr>
            <w:tcW w:w="880" w:type="dxa"/>
            <w:vAlign w:val="bottom"/>
            <w:gridSpan w:val="3"/>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74">
              <w:r>
                <w:rPr>
                  <w:rFonts w:ascii="Arial" w:cs="Arial" w:eastAsia="Arial" w:hAnsi="Arial"/>
                  <w:sz w:val="17"/>
                  <w:szCs w:val="17"/>
                  <w:color w:val="0000EE"/>
                </w:rPr>
                <w:t>PLAN OF DISTRIBUTION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167</w:t>
            </w:r>
          </w:p>
        </w:tc>
        <w:tc>
          <w:tcPr>
            <w:tcW w:w="0" w:type="dxa"/>
            <w:vAlign w:val="bottom"/>
          </w:tcPr>
          <w:p>
            <w:pPr>
              <w:spacing w:after="0"/>
              <w:rPr>
                <w:sz w:val="1"/>
                <w:szCs w:val="1"/>
                <w:color w:val="auto"/>
              </w:rPr>
            </w:pPr>
          </w:p>
        </w:tc>
      </w:tr>
      <w:tr>
        <w:trPr>
          <w:trHeight w:val="186"/>
        </w:trPr>
        <w:tc>
          <w:tcPr>
            <w:tcW w:w="1940" w:type="dxa"/>
            <w:vAlign w:val="bottom"/>
            <w:tcBorders>
              <w:top w:val="single" w:sz="8" w:color="0000EE"/>
            </w:tcBorders>
            <w:gridSpan w:val="10"/>
          </w:tcPr>
          <w:p>
            <w:pPr>
              <w:spacing w:after="0" w:line="186" w:lineRule="exact"/>
              <w:rPr>
                <w:rFonts w:ascii="Arial" w:cs="Arial" w:eastAsia="Arial" w:hAnsi="Arial"/>
                <w:sz w:val="17"/>
                <w:szCs w:val="17"/>
                <w:color w:val="0000EE"/>
              </w:rPr>
            </w:pPr>
            <w:hyperlink w:anchor="page179">
              <w:r>
                <w:rPr>
                  <w:rFonts w:ascii="Arial" w:cs="Arial" w:eastAsia="Arial" w:hAnsi="Arial"/>
                  <w:sz w:val="17"/>
                  <w:szCs w:val="17"/>
                  <w:color w:val="0000EE"/>
                </w:rPr>
                <w:t>LEGAL MATTERS</w:t>
              </w:r>
            </w:hyperlink>
          </w:p>
        </w:tc>
        <w:tc>
          <w:tcPr>
            <w:tcW w:w="8200" w:type="dxa"/>
            <w:vAlign w:val="bottom"/>
            <w:gridSpan w:val="17"/>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172</w:t>
            </w:r>
          </w:p>
        </w:tc>
        <w:tc>
          <w:tcPr>
            <w:tcW w:w="0" w:type="dxa"/>
            <w:vAlign w:val="bottom"/>
          </w:tcPr>
          <w:p>
            <w:pPr>
              <w:spacing w:after="0"/>
              <w:rPr>
                <w:sz w:val="1"/>
                <w:szCs w:val="1"/>
                <w:color w:val="auto"/>
              </w:rPr>
            </w:pPr>
          </w:p>
        </w:tc>
      </w:tr>
      <w:tr>
        <w:trPr>
          <w:trHeight w:val="186"/>
        </w:trPr>
        <w:tc>
          <w:tcPr>
            <w:tcW w:w="1380" w:type="dxa"/>
            <w:vAlign w:val="bottom"/>
            <w:tcBorders>
              <w:top w:val="single" w:sz="8" w:color="0000EE"/>
            </w:tcBorders>
            <w:gridSpan w:val="7"/>
          </w:tcPr>
          <w:p>
            <w:pPr>
              <w:spacing w:after="0" w:line="186" w:lineRule="exact"/>
              <w:rPr>
                <w:rFonts w:ascii="Arial" w:cs="Arial" w:eastAsia="Arial" w:hAnsi="Arial"/>
                <w:sz w:val="17"/>
                <w:szCs w:val="17"/>
                <w:color w:val="0000EE"/>
              </w:rPr>
            </w:pPr>
            <w:hyperlink w:anchor="page179">
              <w:r>
                <w:rPr>
                  <w:rFonts w:ascii="Arial" w:cs="Arial" w:eastAsia="Arial" w:hAnsi="Arial"/>
                  <w:sz w:val="17"/>
                  <w:szCs w:val="17"/>
                  <w:color w:val="0000EE"/>
                </w:rPr>
                <w:t>EXPERTS</w:t>
              </w:r>
            </w:hyperlink>
          </w:p>
        </w:tc>
        <w:tc>
          <w:tcPr>
            <w:tcW w:w="8760" w:type="dxa"/>
            <w:vAlign w:val="bottom"/>
            <w:gridSpan w:val="20"/>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48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80">
              <w:r>
                <w:rPr>
                  <w:rFonts w:ascii="Arial" w:cs="Arial" w:eastAsia="Arial" w:hAnsi="Arial"/>
                  <w:sz w:val="17"/>
                  <w:szCs w:val="17"/>
                  <w:color w:val="0000EE"/>
                </w:rPr>
                <w:t>WHERE YOU CAN FIND ADDITIONAL INFORMATION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173</w:t>
            </w:r>
          </w:p>
        </w:tc>
        <w:tc>
          <w:tcPr>
            <w:tcW w:w="0" w:type="dxa"/>
            <w:vAlign w:val="bottom"/>
          </w:tcPr>
          <w:p>
            <w:pPr>
              <w:spacing w:after="0"/>
              <w:rPr>
                <w:sz w:val="1"/>
                <w:szCs w:val="1"/>
                <w:color w:val="auto"/>
              </w:rPr>
            </w:pPr>
          </w:p>
        </w:tc>
      </w:tr>
      <w:tr>
        <w:trPr>
          <w:trHeight w:val="20"/>
        </w:trPr>
        <w:tc>
          <w:tcPr>
            <w:tcW w:w="4200" w:type="dxa"/>
            <w:vAlign w:val="bottom"/>
            <w:gridSpan w:val="1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40" w:type="dxa"/>
            <w:vAlign w:val="bottom"/>
            <w:tcBorders>
              <w:bottom w:val="single" w:sz="8" w:color="0000EE"/>
            </w:tcBorders>
            <w:gridSpan w:val="18"/>
          </w:tcPr>
          <w:p>
            <w:pPr>
              <w:spacing w:after="0" w:line="186" w:lineRule="exact"/>
              <w:rPr>
                <w:rFonts w:ascii="Arial" w:cs="Arial" w:eastAsia="Arial" w:hAnsi="Arial"/>
                <w:sz w:val="17"/>
                <w:szCs w:val="17"/>
                <w:color w:val="0000EE"/>
                <w:w w:val="97"/>
              </w:rPr>
            </w:pPr>
            <w:hyperlink w:anchor="page181">
              <w:r>
                <w:rPr>
                  <w:rFonts w:ascii="Arial" w:cs="Arial" w:eastAsia="Arial" w:hAnsi="Arial"/>
                  <w:sz w:val="17"/>
                  <w:szCs w:val="17"/>
                  <w:color w:val="0000EE"/>
                  <w:w w:val="97"/>
                </w:rPr>
                <w:t>INDEX TO CONSOLIDATED FINANCIAL STATEMENTS</w:t>
              </w:r>
            </w:hyperlink>
          </w:p>
        </w:tc>
        <w:tc>
          <w:tcPr>
            <w:tcW w:w="5900" w:type="dxa"/>
            <w:vAlign w:val="bottom"/>
            <w:gridSpan w:val="9"/>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440"/>
          </w:cols>
          <w:pgMar w:left="700" w:top="121" w:right="7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ABOUT THIS PROSPECTUS</w:t>
      </w:r>
    </w:p>
    <w:p>
      <w:pPr>
        <w:spacing w:after="0" w:line="222" w:lineRule="exact"/>
        <w:rPr>
          <w:sz w:val="20"/>
          <w:szCs w:val="20"/>
          <w:color w:val="auto"/>
        </w:rPr>
      </w:pPr>
    </w:p>
    <w:p>
      <w:pPr>
        <w:ind w:left="380" w:right="140" w:firstLine="420"/>
        <w:spacing w:after="0" w:line="301" w:lineRule="auto"/>
        <w:rPr>
          <w:sz w:val="20"/>
          <w:szCs w:val="20"/>
          <w:color w:val="auto"/>
        </w:rPr>
      </w:pPr>
      <w:r>
        <w:rPr>
          <w:rFonts w:ascii="Arial" w:cs="Arial" w:eastAsia="Arial" w:hAnsi="Arial"/>
          <w:sz w:val="15"/>
          <w:szCs w:val="15"/>
          <w:color w:val="auto"/>
        </w:rPr>
        <w:t>You should rely only on the information contained in this prospectus or in any applicable prospectus supplement prepared by us or on our behalf. Neither we nor the Selling Securityholders have authorized any other person to provide you with different information. If anyone provides you with different or inconsistent information, you should not rely on it. Neither we nor the Selling Securityholders are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47" w:lineRule="exact"/>
        <w:rPr>
          <w:sz w:val="20"/>
          <w:szCs w:val="20"/>
          <w:color w:val="auto"/>
        </w:rPr>
      </w:pPr>
    </w:p>
    <w:p>
      <w:pPr>
        <w:ind w:left="380" w:right="80" w:firstLine="420"/>
        <w:spacing w:after="0" w:line="263"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78"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7"/>
          <w:szCs w:val="17"/>
          <w:i w:val="1"/>
          <w:iCs w:val="1"/>
          <w:color w:val="auto"/>
        </w:rPr>
        <w:t>Where You Can Find</w:t>
      </w:r>
      <w:r>
        <w:rPr>
          <w:rFonts w:ascii="Arial" w:cs="Arial" w:eastAsia="Arial" w:hAnsi="Arial"/>
          <w:sz w:val="17"/>
          <w:szCs w:val="17"/>
          <w:color w:val="auto"/>
        </w:rPr>
        <w:t xml:space="preserve"> </w:t>
      </w:r>
      <w:r>
        <w:rPr>
          <w:rFonts w:ascii="Arial" w:cs="Arial" w:eastAsia="Arial" w:hAnsi="Arial"/>
          <w:sz w:val="17"/>
          <w:szCs w:val="17"/>
          <w:i w:val="1"/>
          <w:iCs w:val="1"/>
          <w:color w:val="auto"/>
        </w:rPr>
        <w:t>Additional Information</w:t>
      </w:r>
      <w:r>
        <w:rPr>
          <w:rFonts w:ascii="Arial" w:cs="Arial" w:eastAsia="Arial" w:hAnsi="Arial"/>
          <w:sz w:val="17"/>
          <w:szCs w:val="17"/>
          <w:color w:val="auto"/>
        </w:rPr>
        <w:t>.”</w:t>
      </w:r>
    </w:p>
    <w:p>
      <w:pPr>
        <w:spacing w:after="0" w:line="179" w:lineRule="exact"/>
        <w:rPr>
          <w:sz w:val="20"/>
          <w:szCs w:val="20"/>
          <w:color w:val="auto"/>
        </w:rPr>
      </w:pPr>
    </w:p>
    <w:p>
      <w:pPr>
        <w:ind w:left="380" w:right="120" w:firstLine="420"/>
        <w:spacing w:after="0" w:line="235" w:lineRule="auto"/>
        <w:rPr>
          <w:sz w:val="20"/>
          <w:szCs w:val="20"/>
          <w:color w:val="auto"/>
        </w:rPr>
      </w:pPr>
      <w:r>
        <w:rPr>
          <w:rFonts w:ascii="Arial" w:cs="Arial" w:eastAsia="Arial" w:hAnsi="Arial"/>
          <w:sz w:val="17"/>
          <w:szCs w:val="17"/>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99" w:lineRule="exact"/>
        <w:rPr>
          <w:sz w:val="20"/>
          <w:szCs w:val="20"/>
          <w:color w:val="auto"/>
        </w:rPr>
      </w:pPr>
    </w:p>
    <w:p>
      <w:pPr>
        <w:ind w:left="380" w:right="20" w:firstLine="420"/>
        <w:spacing w:after="0" w:line="295" w:lineRule="auto"/>
        <w:rPr>
          <w:sz w:val="20"/>
          <w:szCs w:val="20"/>
          <w:color w:val="auto"/>
        </w:rPr>
      </w:pPr>
      <w:r>
        <w:rPr>
          <w:rFonts w:ascii="Arial" w:cs="Arial" w:eastAsia="Arial" w:hAnsi="Arial"/>
          <w:sz w:val="15"/>
          <w:szCs w:val="15"/>
          <w:color w:val="auto"/>
        </w:rPr>
        <w:t>Information contained in this prospectus concerning the market and the industry in which we compete, including our market position, general expectations of market opportunity, size and growth rates, is based on information from various third-party sources, on assumptions made by us based on such sources and our knowledge of the markets for our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we operate is subject to a high degree of uncertainty and risk. As a result, the estimates and market and industry information provided in this prospectus are subject to change based on various factors, including those described in the sections titled “</w:t>
      </w:r>
      <w:r>
        <w:rPr>
          <w:rFonts w:ascii="Arial" w:cs="Arial" w:eastAsia="Arial" w:hAnsi="Arial"/>
          <w:sz w:val="15"/>
          <w:szCs w:val="15"/>
          <w:i w:val="1"/>
          <w:iCs w:val="1"/>
          <w:color w:val="auto"/>
        </w:rPr>
        <w:t>Cautionary Note Regarding Forward-Looking Statements</w:t>
      </w:r>
      <w:r>
        <w:rPr>
          <w:rFonts w:ascii="Arial" w:cs="Arial" w:eastAsia="Arial" w:hAnsi="Arial"/>
          <w:sz w:val="15"/>
          <w:szCs w:val="15"/>
          <w:color w:val="auto"/>
        </w:rPr>
        <w:t>” and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880"/>
          </w:cols>
          <w:pgMar w:left="320" w:top="471" w:right="6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EXPLANATORY NOTE</w:t>
      </w:r>
    </w:p>
    <w:p>
      <w:pPr>
        <w:spacing w:after="0" w:line="222" w:lineRule="exact"/>
        <w:rPr>
          <w:sz w:val="20"/>
          <w:szCs w:val="20"/>
          <w:color w:val="auto"/>
        </w:rPr>
      </w:pPr>
    </w:p>
    <w:p>
      <w:pPr>
        <w:ind w:left="380" w:right="120" w:firstLine="420"/>
        <w:spacing w:after="0" w:line="277" w:lineRule="auto"/>
        <w:rPr>
          <w:sz w:val="20"/>
          <w:szCs w:val="20"/>
          <w:color w:val="auto"/>
        </w:rPr>
      </w:pPr>
      <w:r>
        <w:rPr>
          <w:rFonts w:ascii="Arial" w:cs="Arial" w:eastAsia="Arial" w:hAnsi="Arial"/>
          <w:sz w:val="16"/>
          <w:szCs w:val="16"/>
          <w:color w:val="auto"/>
        </w:rPr>
        <w:t>On October 15, 2021, Bakkt Holdings, Inc., a Delaware corporation (f/k/a VPC Impact Acquisition Holdings, a Cayman Islands exempted company (“</w:t>
      </w:r>
      <w:r>
        <w:rPr>
          <w:rFonts w:ascii="Arial" w:cs="Arial" w:eastAsia="Arial" w:hAnsi="Arial"/>
          <w:sz w:val="16"/>
          <w:szCs w:val="16"/>
          <w:b w:val="1"/>
          <w:bCs w:val="1"/>
          <w:color w:val="auto"/>
        </w:rPr>
        <w:t>the Company</w:t>
      </w:r>
      <w:r>
        <w:rPr>
          <w:rFonts w:ascii="Arial" w:cs="Arial" w:eastAsia="Arial" w:hAnsi="Arial"/>
          <w:sz w:val="16"/>
          <w:szCs w:val="16"/>
          <w:color w:val="auto"/>
        </w:rPr>
        <w:t>”)), consummated the previously announced business combination (the “</w:t>
      </w:r>
      <w:r>
        <w:rPr>
          <w:rFonts w:ascii="Arial" w:cs="Arial" w:eastAsia="Arial" w:hAnsi="Arial"/>
          <w:sz w:val="16"/>
          <w:szCs w:val="16"/>
          <w:b w:val="1"/>
          <w:bCs w:val="1"/>
          <w:color w:val="auto"/>
        </w:rPr>
        <w:t>Closing</w:t>
      </w:r>
      <w:r>
        <w:rPr>
          <w:rFonts w:ascii="Arial" w:cs="Arial" w:eastAsia="Arial" w:hAnsi="Arial"/>
          <w:sz w:val="16"/>
          <w:szCs w:val="16"/>
          <w:color w:val="auto"/>
        </w:rPr>
        <w:t>”) pursuant to that certain Agreement and Plan of Merger, dated as of January 11, 2021 (as amended,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it, Pylon Merger Company LLC, a Delaware limited liability company and wholly 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 and Bakkt Opco Holdings, LLC, a Delaware limited liability company (f/k/a/ Bakkt Holdings, LLC (“</w:t>
      </w:r>
      <w:r>
        <w:rPr>
          <w:rFonts w:ascii="Arial" w:cs="Arial" w:eastAsia="Arial" w:hAnsi="Arial"/>
          <w:sz w:val="16"/>
          <w:szCs w:val="16"/>
          <w:b w:val="1"/>
          <w:bCs w:val="1"/>
          <w:color w:val="auto"/>
        </w:rPr>
        <w:t>Opco</w:t>
      </w:r>
      <w:r>
        <w:rPr>
          <w:rFonts w:ascii="Arial" w:cs="Arial" w:eastAsia="Arial" w:hAnsi="Arial"/>
          <w:sz w:val="16"/>
          <w:szCs w:val="16"/>
          <w:color w:val="auto"/>
        </w:rPr>
        <w:t>”)). Pursuant to the terms of the Merger Agreement, Merger Sub merged with and into Opco, with Opco surviving as the surviving limited liability company and as a wholly owned subsidiary of the Company (the “</w:t>
      </w:r>
      <w:r>
        <w:rPr>
          <w:rFonts w:ascii="Arial" w:cs="Arial" w:eastAsia="Arial" w:hAnsi="Arial"/>
          <w:sz w:val="16"/>
          <w:szCs w:val="16"/>
          <w:b w:val="1"/>
          <w:bCs w:val="1"/>
          <w:color w:val="auto"/>
        </w:rPr>
        <w:t>Merger</w:t>
      </w:r>
      <w:r>
        <w:rPr>
          <w:rFonts w:ascii="Arial" w:cs="Arial" w:eastAsia="Arial" w:hAnsi="Arial"/>
          <w:sz w:val="16"/>
          <w:szCs w:val="16"/>
          <w:color w:val="auto"/>
        </w:rPr>
        <w:t>”).</w:t>
      </w:r>
    </w:p>
    <w:p>
      <w:pPr>
        <w:spacing w:after="0" w:line="161" w:lineRule="exact"/>
        <w:rPr>
          <w:sz w:val="20"/>
          <w:szCs w:val="20"/>
          <w:color w:val="auto"/>
        </w:rPr>
      </w:pPr>
    </w:p>
    <w:p>
      <w:pPr>
        <w:ind w:left="380" w:right="120" w:firstLine="420"/>
        <w:spacing w:after="0" w:line="263" w:lineRule="auto"/>
        <w:rPr>
          <w:sz w:val="20"/>
          <w:szCs w:val="20"/>
          <w:color w:val="auto"/>
        </w:rPr>
      </w:pPr>
      <w:r>
        <w:rPr>
          <w:rFonts w:ascii="Arial" w:cs="Arial" w:eastAsia="Arial" w:hAnsi="Arial"/>
          <w:sz w:val="17"/>
          <w:szCs w:val="17"/>
          <w:color w:val="auto"/>
        </w:rPr>
        <w:t>In connection with the transactions contemplated by the Merger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the Company effected a deregistration under the Cayman Islands Companies Law (2020 Revision) and a domestication under Section 388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 pursuant to which the Company’s jurisdiction of incorporation was changed from the Cayman Islands to the State of Delaware (the “</w:t>
      </w:r>
      <w:r>
        <w:rPr>
          <w:rFonts w:ascii="Arial" w:cs="Arial" w:eastAsia="Arial" w:hAnsi="Arial"/>
          <w:sz w:val="17"/>
          <w:szCs w:val="17"/>
          <w:b w:val="1"/>
          <w:bCs w:val="1"/>
          <w:color w:val="auto"/>
        </w:rPr>
        <w:t>Domestication</w:t>
      </w:r>
      <w:r>
        <w:rPr>
          <w:rFonts w:ascii="Arial" w:cs="Arial" w:eastAsia="Arial" w:hAnsi="Arial"/>
          <w:sz w:val="17"/>
          <w:szCs w:val="17"/>
          <w:color w:val="auto"/>
        </w:rPr>
        <w:t>”), and changed its name to “Bakkt Holdings, Inc.”</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a result of the Domestication, (i) all 12,285,160 outstanding Class A ordinary shares of the Company, par value $0.0001 per share (the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Class A Ordinary Shares</w:t>
      </w:r>
      <w:r>
        <w:rPr>
          <w:rFonts w:ascii="Arial" w:cs="Arial" w:eastAsia="Arial" w:hAnsi="Arial"/>
          <w:sz w:val="15"/>
          <w:szCs w:val="15"/>
          <w:color w:val="auto"/>
        </w:rPr>
        <w:t>”), and 5,184,300 Class B ordinary shares of the Company, par value $0.0001 per share (the “</w:t>
      </w:r>
      <w:r>
        <w:rPr>
          <w:rFonts w:ascii="Arial" w:cs="Arial" w:eastAsia="Arial" w:hAnsi="Arial"/>
          <w:sz w:val="15"/>
          <w:szCs w:val="15"/>
          <w:b w:val="1"/>
          <w:bCs w:val="1"/>
          <w:color w:val="auto"/>
        </w:rPr>
        <w:t>Founder Shares</w:t>
      </w:r>
      <w:r>
        <w:rPr>
          <w:rFonts w:ascii="Arial" w:cs="Arial" w:eastAsia="Arial" w:hAnsi="Arial"/>
          <w:sz w:val="15"/>
          <w:szCs w:val="15"/>
          <w:color w:val="auto"/>
        </w:rPr>
        <w:t>” or “</w:t>
      </w:r>
      <w:r>
        <w:rPr>
          <w:rFonts w:ascii="Arial" w:cs="Arial" w:eastAsia="Arial" w:hAnsi="Arial"/>
          <w:sz w:val="15"/>
          <w:szCs w:val="15"/>
          <w:b w:val="1"/>
          <w:bCs w:val="1"/>
          <w:color w:val="auto"/>
        </w:rPr>
        <w:t>Class B</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Ordinary Shares</w:t>
      </w:r>
      <w:r>
        <w:rPr>
          <w:rFonts w:ascii="Arial" w:cs="Arial" w:eastAsia="Arial" w:hAnsi="Arial"/>
          <w:sz w:val="15"/>
          <w:szCs w:val="15"/>
          <w:color w:val="auto"/>
        </w:rPr>
        <w:t>”), issued to the Sponsor and certain of its affiliates, were exchanged for an equivalent number of shares of Class A Common Stock</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and (ii) all 10,368,601 outstanding warrants to purchase Class A Ordinary Shares at $11.50 per share issued in connection with our initial public offering</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IPO</w:t>
      </w:r>
      <w:r>
        <w:rPr>
          <w:rFonts w:ascii="Arial" w:cs="Arial" w:eastAsia="Arial" w:hAnsi="Arial"/>
          <w:sz w:val="16"/>
          <w:szCs w:val="16"/>
          <w:color w:val="auto"/>
        </w:rPr>
        <w:t>”) and the 6,147,440 warrants issued to the Sponsor in a private placement concurrently with the IPO (the “</w:t>
      </w:r>
      <w:r>
        <w:rPr>
          <w:rFonts w:ascii="Arial" w:cs="Arial" w:eastAsia="Arial" w:hAnsi="Arial"/>
          <w:sz w:val="16"/>
          <w:szCs w:val="16"/>
          <w:b w:val="1"/>
          <w:bCs w:val="1"/>
          <w:color w:val="auto"/>
        </w:rPr>
        <w:t>Private Placement Warrants</w:t>
      </w:r>
      <w:r>
        <w:rPr>
          <w:rFonts w:ascii="Arial" w:cs="Arial" w:eastAsia="Arial" w:hAnsi="Arial"/>
          <w:sz w:val="16"/>
          <w:szCs w:val="16"/>
          <w:color w:val="auto"/>
        </w:rPr>
        <w:t>”)</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were exchanged for an equivalent number of warrants to purchase Class A Common Stock. On November 17, 2021, in accordance with the terms of the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Warrant Agreement, dated as of September 22, 2020, between the Company and the warrant agent named therein (the “</w:t>
      </w:r>
      <w:r>
        <w:rPr>
          <w:rFonts w:ascii="Arial" w:cs="Arial" w:eastAsia="Arial" w:hAnsi="Arial"/>
          <w:sz w:val="16"/>
          <w:szCs w:val="16"/>
          <w:b w:val="1"/>
          <w:bCs w:val="1"/>
          <w:color w:val="auto"/>
        </w:rPr>
        <w:t>Warrant Agreement</w:t>
      </w:r>
      <w:r>
        <w:rPr>
          <w:rFonts w:ascii="Arial" w:cs="Arial" w:eastAsia="Arial" w:hAnsi="Arial"/>
          <w:sz w:val="16"/>
          <w:szCs w:val="16"/>
          <w:color w:val="auto"/>
        </w:rPr>
        <w:t>”), the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Company issued and delivered 3,967,362 Private Warrant Shares of its Class A common stock to the Sponsor in satisfaction of the “cashless exercise”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6,147,440 of the Private Placement Warrants. The Company received no consideration from the delivery of the Private Warrant Shares.</w:t>
      </w:r>
    </w:p>
    <w:p>
      <w:pPr>
        <w:spacing w:after="0" w:line="199" w:lineRule="exact"/>
        <w:rPr>
          <w:sz w:val="20"/>
          <w:szCs w:val="20"/>
          <w:color w:val="auto"/>
        </w:rPr>
      </w:pPr>
    </w:p>
    <w:p>
      <w:pPr>
        <w:ind w:left="380" w:right="120" w:firstLine="420"/>
        <w:spacing w:after="0" w:line="276" w:lineRule="auto"/>
        <w:rPr>
          <w:sz w:val="20"/>
          <w:szCs w:val="20"/>
          <w:color w:val="auto"/>
        </w:rPr>
      </w:pPr>
      <w:r>
        <w:rPr>
          <w:rFonts w:ascii="Arial" w:cs="Arial" w:eastAsia="Arial" w:hAnsi="Arial"/>
          <w:sz w:val="16"/>
          <w:szCs w:val="16"/>
          <w:color w:val="auto"/>
        </w:rPr>
        <w:t>At the Closing, in accordance with the Merger Agreement, Opco equity holders (the “</w:t>
      </w:r>
      <w:r>
        <w:rPr>
          <w:rFonts w:ascii="Arial" w:cs="Arial" w:eastAsia="Arial" w:hAnsi="Arial"/>
          <w:sz w:val="16"/>
          <w:szCs w:val="16"/>
          <w:b w:val="1"/>
          <w:bCs w:val="1"/>
          <w:color w:val="auto"/>
        </w:rPr>
        <w:t>Opco Equity Holders</w:t>
      </w:r>
      <w:r>
        <w:rPr>
          <w:rFonts w:ascii="Arial" w:cs="Arial" w:eastAsia="Arial" w:hAnsi="Arial"/>
          <w:sz w:val="16"/>
          <w:szCs w:val="16"/>
          <w:color w:val="auto"/>
        </w:rPr>
        <w:t>”) received an aggregate of 208,200,000 common units of Opco (“</w:t>
      </w:r>
      <w:r>
        <w:rPr>
          <w:rFonts w:ascii="Arial" w:cs="Arial" w:eastAsia="Arial" w:hAnsi="Arial"/>
          <w:sz w:val="16"/>
          <w:szCs w:val="16"/>
          <w:b w:val="1"/>
          <w:bCs w:val="1"/>
          <w:color w:val="auto"/>
        </w:rPr>
        <w:t>Opco Common Units</w:t>
      </w:r>
      <w:r>
        <w:rPr>
          <w:rFonts w:ascii="Arial" w:cs="Arial" w:eastAsia="Arial" w:hAnsi="Arial"/>
          <w:sz w:val="16"/>
          <w:szCs w:val="16"/>
          <w:color w:val="auto"/>
        </w:rPr>
        <w:t>”) and a corresponding number of shares of Class V common stock, par value $0.0001 per share, of the Company (“</w:t>
      </w:r>
      <w:r>
        <w:rPr>
          <w:rFonts w:ascii="Arial" w:cs="Arial" w:eastAsia="Arial" w:hAnsi="Arial"/>
          <w:sz w:val="16"/>
          <w:szCs w:val="16"/>
          <w:b w:val="1"/>
          <w:bCs w:val="1"/>
          <w:color w:val="auto"/>
        </w:rPr>
        <w:t>Class V Common Stock</w:t>
      </w:r>
      <w:r>
        <w:rPr>
          <w:rFonts w:ascii="Arial" w:cs="Arial" w:eastAsia="Arial" w:hAnsi="Arial"/>
          <w:sz w:val="16"/>
          <w:szCs w:val="16"/>
          <w:color w:val="auto"/>
        </w:rPr>
        <w:t>,” and each share of Class V Common Stock, when coupled with one Opco Common Unit, a “</w:t>
      </w:r>
      <w:r>
        <w:rPr>
          <w:rFonts w:ascii="Arial" w:cs="Arial" w:eastAsia="Arial" w:hAnsi="Arial"/>
          <w:sz w:val="16"/>
          <w:szCs w:val="16"/>
          <w:b w:val="1"/>
          <w:bCs w:val="1"/>
          <w:color w:val="auto"/>
        </w:rPr>
        <w:t>Paired</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 or warrants to purchase Opco Common Units and an equal number of Class V Common Stock. Pursuant to the Third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LLC Agreement of Opco (the “</w:t>
      </w:r>
      <w:r>
        <w:rPr>
          <w:rFonts w:ascii="Arial" w:cs="Arial" w:eastAsia="Arial" w:hAnsi="Arial"/>
          <w:sz w:val="16"/>
          <w:szCs w:val="16"/>
          <w:b w:val="1"/>
          <w:bCs w:val="1"/>
          <w:color w:val="auto"/>
        </w:rPr>
        <w:t>Opco LLC Agreement</w:t>
      </w:r>
      <w:r>
        <w:rPr>
          <w:rFonts w:ascii="Arial" w:cs="Arial" w:eastAsia="Arial" w:hAnsi="Arial"/>
          <w:sz w:val="16"/>
          <w:szCs w:val="16"/>
          <w:color w:val="auto"/>
        </w:rPr>
        <w:t>”), and an exchange agreement among the Company, Opco and the Opco Equity Holders (the “</w:t>
      </w:r>
      <w:r>
        <w:rPr>
          <w:rFonts w:ascii="Arial" w:cs="Arial" w:eastAsia="Arial" w:hAnsi="Arial"/>
          <w:sz w:val="16"/>
          <w:szCs w:val="16"/>
          <w:b w:val="1"/>
          <w:bCs w:val="1"/>
          <w:color w:val="auto"/>
        </w:rPr>
        <w:t>Exchange Agreement</w:t>
      </w:r>
      <w:r>
        <w:rPr>
          <w:rFonts w:ascii="Arial" w:cs="Arial" w:eastAsia="Arial" w:hAnsi="Arial"/>
          <w:sz w:val="16"/>
          <w:szCs w:val="16"/>
          <w:color w:val="auto"/>
        </w:rPr>
        <w:t>”), each entered into in connection with the Business Combination, each Paired Interest may be exchanged for one share of Class A Common Stock or a specified cash amount, subject to certain limitations.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connection with the consummation of the Business Combination, certain qualified institutional buyers and accredited investors (the “</w:t>
      </w:r>
      <w:r>
        <w:rPr>
          <w:rFonts w:ascii="Arial" w:cs="Arial" w:eastAsia="Arial" w:hAnsi="Arial"/>
          <w:sz w:val="16"/>
          <w:szCs w:val="16"/>
          <w:b w:val="1"/>
          <w:bCs w:val="1"/>
          <w:color w:val="auto"/>
        </w:rPr>
        <w:t>PIPE</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Investors</w:t>
      </w:r>
      <w:r>
        <w:rPr>
          <w:rFonts w:ascii="Arial" w:cs="Arial" w:eastAsia="Arial" w:hAnsi="Arial"/>
          <w:sz w:val="15"/>
          <w:szCs w:val="15"/>
          <w:color w:val="auto"/>
        </w:rPr>
        <w:t>”) purchased the 32,500,000 PIPE Shares from the Company for a purchase price of $10.00 per share and an aggregate purchase price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$325 million (the “</w:t>
      </w:r>
      <w:r>
        <w:rPr>
          <w:rFonts w:ascii="Arial" w:cs="Arial" w:eastAsia="Arial" w:hAnsi="Arial"/>
          <w:sz w:val="15"/>
          <w:szCs w:val="15"/>
          <w:b w:val="1"/>
          <w:bCs w:val="1"/>
          <w:color w:val="auto"/>
        </w:rPr>
        <w:t>PIPE Financing</w:t>
      </w:r>
      <w:r>
        <w:rPr>
          <w:rFonts w:ascii="Arial" w:cs="Arial" w:eastAsia="Arial" w:hAnsi="Arial"/>
          <w:sz w:val="15"/>
          <w:szCs w:val="15"/>
          <w:color w:val="auto"/>
        </w:rPr>
        <w:t>”), pursuant to Subscription Agreements between the several PIPE Investors and the Company (the “</w:t>
      </w:r>
      <w:r>
        <w:rPr>
          <w:rFonts w:ascii="Arial" w:cs="Arial" w:eastAsia="Arial" w:hAnsi="Arial"/>
          <w:sz w:val="15"/>
          <w:szCs w:val="15"/>
          <w:b w:val="1"/>
          <w:bCs w:val="1"/>
          <w:color w:val="auto"/>
        </w:rPr>
        <w:t>Subscription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Agreements</w:t>
      </w:r>
      <w:r>
        <w:rPr>
          <w:rFonts w:ascii="Arial" w:cs="Arial" w:eastAsia="Arial" w:hAnsi="Arial"/>
          <w:sz w:val="15"/>
          <w:szCs w:val="15"/>
          <w:color w:val="auto"/>
        </w:rPr>
        <w:t>”). Pursuant to the Subscription Agreements, the Company gave certain registration rights to the PIPE Investors with respect to the PIPE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Shares.</w:t>
      </w:r>
    </w:p>
    <w:p>
      <w:pPr>
        <w:spacing w:after="0" w:line="205"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As of the open of trading on October 18, 2021, the Class A Common Stock and the Warrants began trading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under the symbols “BKKT” and “BKKT WS,” respectively.</w:t>
      </w:r>
    </w:p>
    <w:p>
      <w:pPr>
        <w:spacing w:after="0" w:line="159" w:lineRule="exact"/>
        <w:rPr>
          <w:sz w:val="20"/>
          <w:szCs w:val="20"/>
          <w:color w:val="auto"/>
        </w:rPr>
      </w:pPr>
    </w:p>
    <w:p>
      <w:pPr>
        <w:ind w:left="380" w:right="100" w:firstLine="420"/>
        <w:spacing w:after="0" w:line="281" w:lineRule="auto"/>
        <w:rPr>
          <w:sz w:val="20"/>
          <w:szCs w:val="20"/>
          <w:color w:val="auto"/>
        </w:rPr>
      </w:pPr>
      <w:r>
        <w:rPr>
          <w:rFonts w:ascii="Arial" w:cs="Arial" w:eastAsia="Arial" w:hAnsi="Arial"/>
          <w:sz w:val="16"/>
          <w:szCs w:val="16"/>
          <w:color w:val="auto"/>
        </w:rPr>
        <w:t>The Business Combination will be accounted for in accordance with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805, Business Combinations, using the acquisition method, with the Company considered the acquiror and Opco considered the acquiree. For ease of reader understanding, however, because the Company, prior to the Closing, was a shell company with no material assets other than the cash it held in Trust Account (as defined below), unless otherwise noted or the context otherwise requires, references to “we,” “us,” “our,” “Bakkt” and like terms refer (i) prior to the Closing, to Opco and its subsidiaries and (ii) after the Closing, to Bakkt Holdings, Inc. and its subsidiaries, including Opco.</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880"/>
          </w:cols>
          <w:pgMar w:left="320" w:top="471" w:right="6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2"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prospectus may include, for example, statements about:</w:t>
      </w:r>
    </w:p>
    <w:p>
      <w:pPr>
        <w:spacing w:after="0" w:line="99" w:lineRule="exact"/>
        <w:rPr>
          <w:sz w:val="20"/>
          <w:szCs w:val="20"/>
          <w:color w:val="auto"/>
        </w:rPr>
      </w:pPr>
    </w:p>
    <w:p>
      <w:pPr>
        <w:ind w:left="1300" w:hanging="41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future financial performance;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market for our products and services;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expansion plans and opportunities.</w:t>
      </w:r>
    </w:p>
    <w:p>
      <w:pPr>
        <w:spacing w:after="0" w:line="216" w:lineRule="exact"/>
        <w:rPr>
          <w:sz w:val="20"/>
          <w:szCs w:val="20"/>
          <w:color w:val="auto"/>
        </w:rPr>
      </w:pPr>
    </w:p>
    <w:p>
      <w:pPr>
        <w:ind w:left="380" w:right="120" w:firstLine="420"/>
        <w:spacing w:after="0" w:line="259" w:lineRule="auto"/>
        <w:rPr>
          <w:sz w:val="20"/>
          <w:szCs w:val="20"/>
          <w:color w:val="auto"/>
        </w:rPr>
      </w:pPr>
      <w:r>
        <w:rPr>
          <w:rFonts w:ascii="Arial" w:cs="Arial" w:eastAsia="Arial" w:hAnsi="Arial"/>
          <w:sz w:val="17"/>
          <w:szCs w:val="17"/>
          <w:color w:val="auto"/>
        </w:rPr>
        <w:t>These forward-looking statements are based on information available as of the date of this prospectus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0" w:lineRule="exact"/>
        <w:rPr>
          <w:sz w:val="20"/>
          <w:szCs w:val="20"/>
          <w:color w:val="auto"/>
        </w:rPr>
      </w:pPr>
    </w:p>
    <w:p>
      <w:pPr>
        <w:jc w:val="both"/>
        <w:ind w:left="380" w:right="200" w:firstLine="420"/>
        <w:spacing w:after="0" w:line="317" w:lineRule="auto"/>
        <w:rPr>
          <w:sz w:val="20"/>
          <w:szCs w:val="20"/>
          <w:color w:val="auto"/>
        </w:rPr>
      </w:pPr>
      <w:r>
        <w:rPr>
          <w:rFonts w:ascii="Arial" w:cs="Arial" w:eastAsia="Arial" w:hAnsi="Arial"/>
          <w:sz w:val="15"/>
          <w:szCs w:val="15"/>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0" w:lineRule="exact"/>
        <w:rPr>
          <w:sz w:val="20"/>
          <w:szCs w:val="20"/>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and manage growth profitably;</w:t>
      </w:r>
    </w:p>
    <w:p>
      <w:pPr>
        <w:spacing w:after="0" w:line="126" w:lineRule="exact"/>
        <w:rPr>
          <w:rFonts w:ascii="Arial" w:cs="Arial" w:eastAsia="Arial" w:hAnsi="Arial"/>
          <w:sz w:val="17"/>
          <w:szCs w:val="17"/>
          <w:color w:val="auto"/>
        </w:rPr>
      </w:pPr>
    </w:p>
    <w:p>
      <w:pPr>
        <w:ind w:left="1300" w:right="340" w:hanging="410"/>
        <w:spacing w:after="0" w:line="27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market in which we compete, including with respect to our competitive landscape, technology evolution or changes in applicable laws or regulations;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digital asset markets that we target;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to our relationships within the payment ecosystem;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launch new services and products or to profitably expand into new markets and services;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execute our growth strategies, including identifying and executing acquisitions;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develop and maintain effective internal controls and procedures;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exposure to any liability, protracted and costly litigation or reputational damage relating to our data security;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and/or competitive factors;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novel coronavirus pandemic;</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maintain the listing of our Class A Common Stock and Warrants on the NYSE;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risks and uncertainties indicated in this prospectus, including those set forth under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760"/>
          </w:cols>
          <w:pgMar w:left="320" w:top="471" w:right="8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3622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9405" cy="36226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PROSPECTUS SUMMARY</w:t>
      </w:r>
    </w:p>
    <w:p>
      <w:pPr>
        <w:spacing w:after="0" w:line="222" w:lineRule="exact"/>
        <w:rPr>
          <w:sz w:val="20"/>
          <w:szCs w:val="20"/>
          <w:color w:val="auto"/>
        </w:rPr>
      </w:pPr>
    </w:p>
    <w:p>
      <w:pPr>
        <w:ind w:left="540" w:firstLine="406"/>
        <w:spacing w:after="0" w:line="279"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It does not contain all the information you should consider before investing in our Class A Common Stock or Warrants. You should read this entire prospectus carefully, including the sections titled “Risk Factors,” “Management’s Discussion and Analysis of Financial Condition and Results of Operations,” and “Management’s Discussion and Analysis of Financial Condition and Results of Operations of VPC Impact Acquisition Holdings” and our consolidated financial statements and related notes included elsewhere in this prospectus, before making an investment decision.</w:t>
      </w:r>
    </w:p>
    <w:p>
      <w:pPr>
        <w:spacing w:after="0" w:line="26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540" w:right="20" w:firstLine="406"/>
        <w:spacing w:after="0" w:line="296" w:lineRule="auto"/>
        <w:rPr>
          <w:sz w:val="20"/>
          <w:szCs w:val="20"/>
          <w:color w:val="auto"/>
        </w:rPr>
      </w:pPr>
      <w:r>
        <w:rPr>
          <w:rFonts w:ascii="Arial" w:cs="Arial" w:eastAsia="Arial" w:hAnsi="Arial"/>
          <w:sz w:val="15"/>
          <w:szCs w:val="15"/>
          <w:color w:val="auto"/>
        </w:rPr>
        <w:t>Bakkt is a digital asset marketplace headquartered in Alpharetta, Georgia. Bakkt was launched in 2018 by Intercontinental Exchange, Inc. (“</w:t>
      </w:r>
      <w:r>
        <w:rPr>
          <w:rFonts w:ascii="Arial" w:cs="Arial" w:eastAsia="Arial" w:hAnsi="Arial"/>
          <w:sz w:val="15"/>
          <w:szCs w:val="15"/>
          <w:b w:val="1"/>
          <w:bCs w:val="1"/>
          <w:color w:val="auto"/>
        </w:rPr>
        <w:t>ICE</w:t>
      </w:r>
      <w:r>
        <w:rPr>
          <w:rFonts w:ascii="Arial" w:cs="Arial" w:eastAsia="Arial" w:hAnsi="Arial"/>
          <w:sz w:val="15"/>
          <w:szCs w:val="15"/>
          <w:color w:val="auto"/>
        </w:rPr>
        <w:t>”) and a group of investors and strategic partners. Since its founding, Bakkt has developed technology enabling financial institutions, businesses and consumers to buy, sell, convert, spend, store and send digital assets. Bakkt’s platform, available through Bakkt’s consumer app, enables incremental consumer spending, reduces traditional payment costs and bolsters loyalty programs, adding value for all key stakeholders within the payments and digital assets ecosystem. In building its platform, Bakkt leveraged ICE’s ability to create secure and regulated market infrastructure, to make Bakkt a trusted platform for digital assets. Bakkt, through Bakkt Trust Company LLC, a wholly owned subsidiary of Bakkt (“</w:t>
      </w:r>
      <w:r>
        <w:rPr>
          <w:rFonts w:ascii="Arial" w:cs="Arial" w:eastAsia="Arial" w:hAnsi="Arial"/>
          <w:sz w:val="15"/>
          <w:szCs w:val="15"/>
          <w:b w:val="1"/>
          <w:bCs w:val="1"/>
          <w:color w:val="auto"/>
        </w:rPr>
        <w:t>Bakkt Trust</w:t>
      </w:r>
      <w:r>
        <w:rPr>
          <w:rFonts w:ascii="Arial" w:cs="Arial" w:eastAsia="Arial" w:hAnsi="Arial"/>
          <w:sz w:val="15"/>
          <w:szCs w:val="15"/>
          <w:color w:val="auto"/>
        </w:rPr>
        <w:t>”), is chartered as a New York limited purpose trust company, authorized to custody digital assets, including bitcoin, for customers.</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Organizational Structure</w:t>
      </w:r>
    </w:p>
    <w:p>
      <w:pPr>
        <w:spacing w:after="0" w:line="113" w:lineRule="exact"/>
        <w:rPr>
          <w:sz w:val="20"/>
          <w:szCs w:val="20"/>
          <w:color w:val="auto"/>
        </w:rPr>
      </w:pPr>
    </w:p>
    <w:p>
      <w:pPr>
        <w:ind w:left="540" w:right="40" w:firstLine="406"/>
        <w:spacing w:after="0" w:line="290" w:lineRule="auto"/>
        <w:rPr>
          <w:sz w:val="20"/>
          <w:szCs w:val="20"/>
          <w:color w:val="auto"/>
        </w:rPr>
      </w:pPr>
      <w:r>
        <w:rPr>
          <w:rFonts w:ascii="Arial" w:cs="Arial" w:eastAsia="Arial" w:hAnsi="Arial"/>
          <w:sz w:val="15"/>
          <w:szCs w:val="15"/>
          <w:color w:val="auto"/>
        </w:rPr>
        <w:t>The following diagram illustrates our ownership structure as of December 3, 2021. The equity interests reflected in the diagram include (i) 57,164,283 shares of Class A Common Stock that are publicly traded, (ii) 208,200,000 shares of Class V Common Stock (207,406,648 of which are outstanding and 793,352 of which are issuable upon exercise of a warrant, and which, along with an equal number of Opco Units, comprise an equal number of Paired Interests) held by the Opco Equityholders, (iii) 32,500,000 shares of Class A Common Stock held by the PIPE Investors,</w:t>
      </w:r>
    </w:p>
    <w:p>
      <w:pPr>
        <w:spacing w:after="0" w:line="1" w:lineRule="exact"/>
        <w:rPr>
          <w:sz w:val="20"/>
          <w:szCs w:val="20"/>
          <w:color w:val="auto"/>
        </w:rPr>
      </w:pPr>
    </w:p>
    <w:p>
      <w:pPr>
        <w:ind w:left="840" w:hanging="290"/>
        <w:spacing w:after="0"/>
        <w:tabs>
          <w:tab w:leader="none" w:pos="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9,091,662 shares of Class A Common Stock held by the Sponsor and certain directors of the Company prior to the Business Combination and</w:t>
      </w:r>
    </w:p>
    <w:p>
      <w:pPr>
        <w:spacing w:after="0" w:line="33" w:lineRule="exact"/>
        <w:rPr>
          <w:rFonts w:ascii="Arial" w:cs="Arial" w:eastAsia="Arial" w:hAnsi="Arial"/>
          <w:sz w:val="15"/>
          <w:szCs w:val="15"/>
          <w:color w:val="auto"/>
        </w:rPr>
      </w:pPr>
    </w:p>
    <w:p>
      <w:pPr>
        <w:ind w:left="800" w:hanging="250"/>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7,139,969 Warrants that are traded publicly.</w:t>
      </w:r>
    </w:p>
    <w:p>
      <w:pPr>
        <w:spacing w:after="0" w:line="3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320" w:top="471" w:right="95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6481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9405" cy="648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Risk Factors Summary</w:t>
      </w:r>
    </w:p>
    <w:p>
      <w:pPr>
        <w:spacing w:after="0" w:line="119" w:lineRule="exact"/>
        <w:rPr>
          <w:sz w:val="20"/>
          <w:szCs w:val="20"/>
          <w:color w:val="auto"/>
        </w:rPr>
      </w:pPr>
    </w:p>
    <w:p>
      <w:pPr>
        <w:ind w:left="540" w:right="180" w:firstLine="406"/>
        <w:spacing w:after="0" w:line="278" w:lineRule="auto"/>
        <w:rPr>
          <w:sz w:val="20"/>
          <w:szCs w:val="20"/>
          <w:color w:val="auto"/>
        </w:rPr>
      </w:pPr>
      <w:r>
        <w:rPr>
          <w:rFonts w:ascii="Arial" w:cs="Arial" w:eastAsia="Arial" w:hAnsi="Arial"/>
          <w:sz w:val="17"/>
          <w:szCs w:val="17"/>
          <w:color w:val="auto"/>
        </w:rPr>
        <w:t>Our business is subject to numerous risks and uncertainties, including those highlighted in the “Risk Factors” immediately following this prospectus summary. The following is a summary of the principal risks we face:</w:t>
      </w:r>
    </w:p>
    <w:p>
      <w:pPr>
        <w:spacing w:after="0" w:line="75" w:lineRule="exact"/>
        <w:rPr>
          <w:sz w:val="20"/>
          <w:szCs w:val="20"/>
          <w:color w:val="auto"/>
        </w:rPr>
      </w:pPr>
    </w:p>
    <w:p>
      <w:pPr>
        <w:ind w:left="1440" w:right="140" w:hanging="389"/>
        <w:spacing w:after="0" w:line="27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model is newly developed, untested and continually evolving and may encounter additional risks and challenges as it grows and changes.</w:t>
      </w:r>
    </w:p>
    <w:p>
      <w:pPr>
        <w:spacing w:after="0" w:line="74" w:lineRule="exact"/>
        <w:rPr>
          <w:rFonts w:ascii="Arial" w:cs="Arial" w:eastAsia="Arial" w:hAnsi="Arial"/>
          <w:sz w:val="17"/>
          <w:szCs w:val="17"/>
          <w:color w:val="auto"/>
        </w:rPr>
      </w:pPr>
    </w:p>
    <w:p>
      <w:pPr>
        <w:ind w:left="1440" w:hanging="389"/>
        <w:spacing w:after="0" w:line="27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add additional functionalities and digital assets to our platform, our prospects for future growth may be adversely affected.</w:t>
      </w:r>
    </w:p>
    <w:p>
      <w:pPr>
        <w:spacing w:after="0" w:line="74" w:lineRule="exact"/>
        <w:rPr>
          <w:rFonts w:ascii="Arial" w:cs="Arial" w:eastAsia="Arial" w:hAnsi="Arial"/>
          <w:sz w:val="17"/>
          <w:szCs w:val="17"/>
          <w:color w:val="auto"/>
        </w:rPr>
      </w:pPr>
    </w:p>
    <w:p>
      <w:pPr>
        <w:ind w:left="1440" w:right="100" w:hanging="389"/>
        <w:spacing w:after="0" w:line="265"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85" w:lineRule="exact"/>
        <w:rPr>
          <w:rFonts w:ascii="Arial" w:cs="Arial" w:eastAsia="Arial" w:hAnsi="Arial"/>
          <w:sz w:val="17"/>
          <w:szCs w:val="17"/>
          <w:color w:val="auto"/>
        </w:rPr>
      </w:pPr>
    </w:p>
    <w:p>
      <w:pPr>
        <w:ind w:left="1440" w:right="220" w:hanging="389"/>
        <w:spacing w:after="0" w:line="265"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growth included in this prospectus and elsewhere may prove to be inaccurate, and even if the market in which we compete achieves the forecasted growth, our business could fail to grow at similar rates, if at all.</w:t>
      </w:r>
    </w:p>
    <w:p>
      <w:pPr>
        <w:spacing w:after="0" w:line="85" w:lineRule="exact"/>
        <w:rPr>
          <w:rFonts w:ascii="Arial" w:cs="Arial" w:eastAsia="Arial" w:hAnsi="Arial"/>
          <w:sz w:val="17"/>
          <w:szCs w:val="17"/>
          <w:color w:val="auto"/>
        </w:rPr>
      </w:pPr>
    </w:p>
    <w:p>
      <w:pPr>
        <w:ind w:left="1440" w:right="260" w:hanging="389"/>
        <w:spacing w:after="0" w:line="27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and increasingly intense competition worldwide in the loyalty, rewards, payment, cryptoasset and investment industries.</w:t>
      </w:r>
    </w:p>
    <w:p>
      <w:pPr>
        <w:spacing w:after="0" w:line="74" w:lineRule="exact"/>
        <w:rPr>
          <w:rFonts w:ascii="Arial" w:cs="Arial" w:eastAsia="Arial" w:hAnsi="Arial"/>
          <w:sz w:val="17"/>
          <w:szCs w:val="17"/>
          <w:color w:val="auto"/>
        </w:rPr>
      </w:pPr>
    </w:p>
    <w:p>
      <w:pPr>
        <w:ind w:left="1440" w:right="60" w:hanging="389"/>
        <w:spacing w:after="0" w:line="27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maintain a consistently high level of user satisfaction and trust in our brand, our business, financial condition, results of operations and future prospects may be materially and adversely affected.</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40"/>
          </w:cols>
          <w:pgMar w:left="320" w:top="471" w:right="10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5869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9405" cy="58693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440" w:hanging="389"/>
        <w:spacing w:after="0"/>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transition certain services provided to us by ICE in the past, our business could be harmed.</w:t>
      </w:r>
    </w:p>
    <w:p>
      <w:pPr>
        <w:spacing w:after="0" w:line="126" w:lineRule="exact"/>
        <w:rPr>
          <w:rFonts w:ascii="Arial" w:cs="Arial" w:eastAsia="Arial" w:hAnsi="Arial"/>
          <w:sz w:val="17"/>
          <w:szCs w:val="17"/>
          <w:color w:val="auto"/>
        </w:rPr>
      </w:pPr>
    </w:p>
    <w:p>
      <w:pPr>
        <w:ind w:left="1440" w:right="240" w:hanging="389"/>
        <w:spacing w:after="0" w:line="265"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85" w:lineRule="exact"/>
        <w:rPr>
          <w:rFonts w:ascii="Arial" w:cs="Arial" w:eastAsia="Arial" w:hAnsi="Arial"/>
          <w:sz w:val="17"/>
          <w:szCs w:val="17"/>
          <w:color w:val="auto"/>
        </w:rPr>
      </w:pPr>
    </w:p>
    <w:p>
      <w:pPr>
        <w:ind w:left="1440" w:right="20" w:hanging="389"/>
        <w:spacing w:after="0" w:line="278"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experience rapid growth, it may place significant demands on our operational, administrative, and financial resources and it may be difficult to sustain such growth.</w:t>
      </w:r>
    </w:p>
    <w:p>
      <w:pPr>
        <w:spacing w:after="0" w:line="74" w:lineRule="exact"/>
        <w:rPr>
          <w:rFonts w:ascii="Arial" w:cs="Arial" w:eastAsia="Arial" w:hAnsi="Arial"/>
          <w:sz w:val="17"/>
          <w:szCs w:val="17"/>
          <w:color w:val="auto"/>
        </w:rPr>
      </w:pPr>
    </w:p>
    <w:p>
      <w:pPr>
        <w:ind w:left="1440" w:hanging="389"/>
        <w:spacing w:after="0"/>
        <w:tabs>
          <w:tab w:leader="none" w:pos="1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financial condition and results of operations may be adversely affected by the impact of the global outbreak of the coronavirus.</w:t>
      </w:r>
    </w:p>
    <w:p>
      <w:pPr>
        <w:spacing w:after="0" w:line="149" w:lineRule="exact"/>
        <w:rPr>
          <w:rFonts w:ascii="Arial" w:cs="Arial" w:eastAsia="Arial" w:hAnsi="Arial"/>
          <w:sz w:val="15"/>
          <w:szCs w:val="15"/>
          <w:color w:val="auto"/>
        </w:rPr>
      </w:pPr>
    </w:p>
    <w:p>
      <w:pPr>
        <w:ind w:left="1440" w:hanging="389"/>
        <w:spacing w:after="0" w:line="261"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88" w:lineRule="exact"/>
        <w:rPr>
          <w:rFonts w:ascii="Arial" w:cs="Arial" w:eastAsia="Arial" w:hAnsi="Arial"/>
          <w:sz w:val="17"/>
          <w:szCs w:val="17"/>
          <w:color w:val="auto"/>
        </w:rPr>
      </w:pPr>
    </w:p>
    <w:p>
      <w:pPr>
        <w:ind w:left="1440" w:right="100" w:hanging="389"/>
        <w:spacing w:after="0" w:line="265"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85" w:lineRule="exact"/>
        <w:rPr>
          <w:rFonts w:ascii="Arial" w:cs="Arial" w:eastAsia="Arial" w:hAnsi="Arial"/>
          <w:sz w:val="17"/>
          <w:szCs w:val="17"/>
          <w:color w:val="auto"/>
        </w:rPr>
      </w:pPr>
    </w:p>
    <w:p>
      <w:pPr>
        <w:ind w:left="1440" w:hanging="389"/>
        <w:spacing w:after="0" w:line="278"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Corporate Information</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principal executive offices are located at 10000 Avalon Boulevard, Suite 1000, Alpharetta, Georgia 30009. Our telephone number is</w:t>
      </w:r>
    </w:p>
    <w:p>
      <w:pPr>
        <w:spacing w:after="0" w:line="33" w:lineRule="exact"/>
        <w:rPr>
          <w:sz w:val="20"/>
          <w:szCs w:val="20"/>
          <w:color w:val="auto"/>
        </w:rPr>
      </w:pPr>
    </w:p>
    <w:p>
      <w:pPr>
        <w:ind w:left="540" w:right="20" w:firstLine="10"/>
        <w:spacing w:after="0" w:line="296" w:lineRule="auto"/>
        <w:tabs>
          <w:tab w:leader="none" w:pos="954" w:val="left"/>
        </w:tabs>
        <w:numPr>
          <w:ilvl w:val="0"/>
          <w:numId w:val="7"/>
        </w:numPr>
        <w:rPr>
          <w:rFonts w:ascii="Arial" w:cs="Arial" w:eastAsia="Arial" w:hAnsi="Arial"/>
          <w:sz w:val="16"/>
          <w:szCs w:val="16"/>
          <w:color w:val="auto"/>
        </w:rPr>
      </w:pPr>
      <w:r>
        <w:rPr>
          <w:rFonts w:ascii="Arial" w:cs="Arial" w:eastAsia="Arial" w:hAnsi="Arial"/>
          <w:sz w:val="16"/>
          <w:szCs w:val="16"/>
          <w:color w:val="auto"/>
        </w:rPr>
        <w:t>534-5849. Our website is https://www.bakkt.com. Information contained on, or that can be accessed through, our website is not a part of, and is not incorporated into, this prospectus, and the inclusion of our website address in this prospectus is an inactive textual reference only.</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Implications of Being an Emerging Growth Company and a Smaller Reporting Company</w:t>
      </w:r>
    </w:p>
    <w:p>
      <w:pPr>
        <w:spacing w:after="0" w:line="113" w:lineRule="exact"/>
        <w:rPr>
          <w:sz w:val="20"/>
          <w:szCs w:val="20"/>
          <w:color w:val="auto"/>
        </w:rPr>
      </w:pPr>
    </w:p>
    <w:p>
      <w:pPr>
        <w:ind w:left="540" w:right="180" w:firstLine="406"/>
        <w:spacing w:after="0" w:line="356" w:lineRule="auto"/>
        <w:rPr>
          <w:sz w:val="20"/>
          <w:szCs w:val="20"/>
          <w:color w:val="auto"/>
        </w:rPr>
      </w:pPr>
      <w:r>
        <w:rPr>
          <w:rFonts w:ascii="Arial" w:cs="Arial" w:eastAsia="Arial" w:hAnsi="Arial"/>
          <w:sz w:val="15"/>
          <w:szCs w:val="15"/>
          <w:color w:val="auto"/>
        </w:rPr>
        <w:t>We are an “emerging growth company” as defined in the Jumpstart Our Business Startups Act of 2012, as amended, (the “</w:t>
      </w:r>
      <w:r>
        <w:rPr>
          <w:rFonts w:ascii="Arial" w:cs="Arial" w:eastAsia="Arial" w:hAnsi="Arial"/>
          <w:sz w:val="15"/>
          <w:szCs w:val="15"/>
          <w:b w:val="1"/>
          <w:bCs w:val="1"/>
          <w:color w:val="auto"/>
        </w:rPr>
        <w:t>JOBS Act</w:t>
      </w:r>
      <w:r>
        <w:rPr>
          <w:rFonts w:ascii="Arial" w:cs="Arial" w:eastAsia="Arial" w:hAnsi="Arial"/>
          <w:sz w:val="15"/>
          <w:szCs w:val="15"/>
          <w:color w:val="auto"/>
        </w:rPr>
        <w:t>”). As such, we may take advantage of reduced disclosure and other requirements otherwise generally applicable to public companies, including:</w:t>
      </w:r>
    </w:p>
    <w:p>
      <w:pPr>
        <w:spacing w:after="0" w:line="22" w:lineRule="exact"/>
        <w:rPr>
          <w:sz w:val="20"/>
          <w:szCs w:val="20"/>
          <w:color w:val="auto"/>
        </w:rPr>
      </w:pPr>
    </w:p>
    <w:p>
      <w:pPr>
        <w:ind w:left="1440" w:hanging="389"/>
        <w:spacing w:after="0"/>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presentation of only two years of audited financial statements and related financial disclosure;</w:t>
      </w:r>
    </w:p>
    <w:p>
      <w:pPr>
        <w:spacing w:after="0" w:line="126" w:lineRule="exact"/>
        <w:rPr>
          <w:rFonts w:ascii="Arial" w:cs="Arial" w:eastAsia="Arial" w:hAnsi="Arial"/>
          <w:sz w:val="17"/>
          <w:szCs w:val="17"/>
          <w:color w:val="auto"/>
        </w:rPr>
      </w:pPr>
    </w:p>
    <w:p>
      <w:pPr>
        <w:ind w:left="1440" w:right="100" w:hanging="389"/>
        <w:spacing w:after="0" w:line="278" w:lineRule="auto"/>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 from the requirement to have our registered independent public accounting firm attest to management’s assessment of our internal control over financial reporting;</w:t>
      </w:r>
    </w:p>
    <w:p>
      <w:pPr>
        <w:spacing w:after="0" w:line="74" w:lineRule="exact"/>
        <w:rPr>
          <w:rFonts w:ascii="Arial" w:cs="Arial" w:eastAsia="Arial" w:hAnsi="Arial"/>
          <w:sz w:val="17"/>
          <w:szCs w:val="17"/>
          <w:color w:val="auto"/>
        </w:rPr>
      </w:pPr>
    </w:p>
    <w:p>
      <w:pPr>
        <w:ind w:left="1440" w:right="320" w:hanging="389"/>
        <w:spacing w:after="0" w:line="278" w:lineRule="auto"/>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 from compliance with the requirement of the Public Company Accounting Oversight Board, or PCAOB, regarding the communication of critical audit matters in the auditor’s report on the financial statements;</w:t>
      </w:r>
    </w:p>
    <w:p>
      <w:pPr>
        <w:spacing w:after="0" w:line="74" w:lineRule="exact"/>
        <w:rPr>
          <w:rFonts w:ascii="Arial" w:cs="Arial" w:eastAsia="Arial" w:hAnsi="Arial"/>
          <w:sz w:val="17"/>
          <w:szCs w:val="17"/>
          <w:color w:val="auto"/>
        </w:rPr>
      </w:pPr>
    </w:p>
    <w:p>
      <w:pPr>
        <w:ind w:left="1440" w:hanging="389"/>
        <w:spacing w:after="0"/>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and</w:t>
      </w:r>
    </w:p>
    <w:p>
      <w:pPr>
        <w:spacing w:after="0" w:line="126" w:lineRule="exact"/>
        <w:rPr>
          <w:rFonts w:ascii="Arial" w:cs="Arial" w:eastAsia="Arial" w:hAnsi="Arial"/>
          <w:sz w:val="17"/>
          <w:szCs w:val="17"/>
          <w:color w:val="auto"/>
        </w:rPr>
      </w:pPr>
    </w:p>
    <w:p>
      <w:pPr>
        <w:ind w:left="1440" w:hanging="389"/>
        <w:spacing w:after="0"/>
        <w:tabs>
          <w:tab w:leader="none" w:pos="1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the requirement to hold non-binding advisory votes on executive compensation or golden parachute arrangements.</w:t>
      </w:r>
    </w:p>
    <w:p>
      <w:pPr>
        <w:spacing w:after="0" w:line="239" w:lineRule="exact"/>
        <w:rPr>
          <w:sz w:val="20"/>
          <w:szCs w:val="20"/>
          <w:color w:val="auto"/>
        </w:rPr>
      </w:pPr>
    </w:p>
    <w:p>
      <w:pPr>
        <w:ind w:left="540" w:right="560" w:firstLine="406"/>
        <w:spacing w:after="0" w:line="278"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at least $1.07 billion in annual revenue; (2) the date we qualify as a “large accelerated filer,”</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320" w:top="471" w:right="9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1924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9405" cy="19240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40"/>
        <w:spacing w:after="0" w:line="311" w:lineRule="auto"/>
        <w:rPr>
          <w:sz w:val="20"/>
          <w:szCs w:val="20"/>
          <w:color w:val="auto"/>
        </w:rPr>
      </w:pPr>
      <w:r>
        <w:rPr>
          <w:rFonts w:ascii="Arial" w:cs="Arial" w:eastAsia="Arial" w:hAnsi="Arial"/>
          <w:sz w:val="16"/>
          <w:szCs w:val="16"/>
          <w:color w:val="auto"/>
        </w:rPr>
        <w:t>with at least $700.0 million of equity securities held by non-affiliates; (3) the date on which we have issued more than $1.0 billion in non-convertible debt securities during the prior three-year period; and (4) the last day of the fiscal year ending after the fifth anniversary of the IPO.</w:t>
      </w:r>
    </w:p>
    <w:p>
      <w:pPr>
        <w:spacing w:after="0" w:line="141" w:lineRule="exact"/>
        <w:rPr>
          <w:sz w:val="20"/>
          <w:szCs w:val="20"/>
          <w:color w:val="auto"/>
        </w:rPr>
      </w:pPr>
    </w:p>
    <w:p>
      <w:pPr>
        <w:ind w:left="540" w:right="60" w:firstLine="406"/>
        <w:spacing w:after="0" w:line="293" w:lineRule="auto"/>
        <w:rPr>
          <w:sz w:val="20"/>
          <w:szCs w:val="20"/>
          <w:color w:val="auto"/>
        </w:rPr>
      </w:pPr>
      <w:r>
        <w:rPr>
          <w:rFonts w:ascii="Arial" w:cs="Arial" w:eastAsia="Arial" w:hAnsi="Arial"/>
          <w:sz w:val="15"/>
          <w:szCs w:val="15"/>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261"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00"/>
          </w:cols>
          <w:pgMar w:left="320" w:top="471" w:right="8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tbl>
      <w:tblPr>
        <w:tblLayout w:type="fixed"/>
        <w:tblInd w:w="390" w:type="dxa"/>
        <w:tblCellMar>
          <w:top w:w="0" w:type="dxa"/>
          <w:left w:w="0" w:type="dxa"/>
          <w:bottom w:w="0" w:type="dxa"/>
          <w:right w:w="0" w:type="dxa"/>
        </w:tblCellMar>
      </w:tblPr>
      <w:tr>
        <w:trPr>
          <w:trHeight w:val="388"/>
        </w:trPr>
        <w:tc>
          <w:tcPr>
            <w:tcW w:w="3740" w:type="dxa"/>
            <w:vAlign w:val="bottom"/>
            <w:tcBorders>
              <w:top w:val="single" w:sz="8" w:color="auto"/>
              <w:left w:val="single" w:sz="8" w:color="auto"/>
            </w:tcBorders>
          </w:tcPr>
          <w:p>
            <w:pPr>
              <w:spacing w:after="0"/>
              <w:rPr>
                <w:sz w:val="24"/>
                <w:szCs w:val="24"/>
                <w:color w:val="auto"/>
              </w:rPr>
            </w:pPr>
          </w:p>
        </w:tc>
        <w:tc>
          <w:tcPr>
            <w:tcW w:w="67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7"/>
                <w:szCs w:val="17"/>
                <w:b w:val="1"/>
                <w:bCs w:val="1"/>
                <w:color w:val="auto"/>
              </w:rPr>
              <w:t>THE OFFERING</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Shares of Common Stock and Warrants Offered</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5"/>
              </w:rPr>
              <w:t>We are registering the issuance by us, and the resale by the Selling Securityholders, of up</w:t>
            </w:r>
          </w:p>
        </w:tc>
      </w:tr>
      <w:tr>
        <w:trPr>
          <w:trHeight w:val="206"/>
        </w:trPr>
        <w:tc>
          <w:tcPr>
            <w:tcW w:w="37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Hereunder</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to 190,726,638 shares of Class A Common Stock issuable upon the exchange of a</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5"/>
              </w:rPr>
              <w:t>corresponding number of outstanding or issuable Paired Interests. We are also registering</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the resale by the Selling Securityholders of (i) 32,500,000 PIPE Shares, (ii) 5,184,300</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Founder Shares and (iii) 3,967,362 Private Warrant Shares.</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All of the securities offered by the Selling Securityholders pursuant to this prospectus will</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be sold by the Selling Securityholders for their respective accounts. We will not receive</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any of the proceeds from the sale of the securities hereunder. See “</w:t>
            </w:r>
            <w:r>
              <w:rPr>
                <w:rFonts w:ascii="Arial" w:cs="Arial" w:eastAsia="Arial" w:hAnsi="Arial"/>
                <w:sz w:val="17"/>
                <w:szCs w:val="17"/>
                <w:i w:val="1"/>
                <w:iCs w:val="1"/>
                <w:color w:val="auto"/>
                <w:w w:val="96"/>
              </w:rPr>
              <w:t>Use of Proceeds</w:t>
            </w:r>
            <w:r>
              <w:rPr>
                <w:rFonts w:ascii="Arial" w:cs="Arial" w:eastAsia="Arial" w:hAnsi="Arial"/>
                <w:sz w:val="17"/>
                <w:szCs w:val="17"/>
                <w:color w:val="auto"/>
                <w:w w:val="96"/>
              </w:rPr>
              <w:t>” for</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more information.</w:t>
            </w:r>
          </w:p>
        </w:tc>
      </w:tr>
      <w:tr>
        <w:trPr>
          <w:trHeight w:val="553"/>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Common Stock Outstanding</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57,164,283 shares of Class A Common Stock as of December 3, 2021.</w:t>
            </w:r>
          </w:p>
        </w:tc>
      </w:tr>
      <w:tr>
        <w:trPr>
          <w:trHeight w:val="439"/>
        </w:trPr>
        <w:tc>
          <w:tcPr>
            <w:tcW w:w="3740" w:type="dxa"/>
            <w:vAlign w:val="bottom"/>
            <w:tcBorders>
              <w:left w:val="single" w:sz="8" w:color="auto"/>
            </w:tcBorders>
          </w:tcPr>
          <w:p>
            <w:pPr>
              <w:spacing w:after="0"/>
              <w:rPr>
                <w:sz w:val="24"/>
                <w:szCs w:val="24"/>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207,406,648 shares of Class V Common Stock (which, together with an equal number of</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Opco Common Units comprise an equal number of Paired Interests, please see</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i w:val="1"/>
                <w:iCs w:val="1"/>
                <w:color w:val="auto"/>
                <w:w w:val="96"/>
              </w:rPr>
              <w:t>Description of Securities—Common Stock</w:t>
            </w:r>
            <w:r>
              <w:rPr>
                <w:rFonts w:ascii="Arial" w:cs="Arial" w:eastAsia="Arial" w:hAnsi="Arial"/>
                <w:sz w:val="17"/>
                <w:szCs w:val="17"/>
                <w:color w:val="auto"/>
                <w:w w:val="96"/>
              </w:rPr>
              <w:t>” for more information). An additional 793,352</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7"/>
              </w:rPr>
              <w:t>shares of Class V Common Stock (along with an equal number of Opco Common Units)</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are issuable upon the exercise of a warrant.</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Risk Factors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See “</w:t>
            </w:r>
            <w:r>
              <w:rPr>
                <w:rFonts w:ascii="Arial" w:cs="Arial" w:eastAsia="Arial" w:hAnsi="Arial"/>
                <w:sz w:val="17"/>
                <w:szCs w:val="17"/>
                <w:i w:val="1"/>
                <w:iCs w:val="1"/>
                <w:color w:val="auto"/>
                <w:w w:val="98"/>
              </w:rPr>
              <w:t>Risk Factors</w:t>
            </w:r>
            <w:r>
              <w:rPr>
                <w:rFonts w:ascii="Arial" w:cs="Arial" w:eastAsia="Arial" w:hAnsi="Arial"/>
                <w:sz w:val="17"/>
                <w:szCs w:val="17"/>
                <w:color w:val="auto"/>
                <w:w w:val="98"/>
              </w:rPr>
              <w:t>” and other information included in this prospectus for a discussion of</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7"/>
              </w:rPr>
              <w:t>factors that you should consider carefully before deciding to invest in our common stock.</w:t>
            </w:r>
          </w:p>
        </w:tc>
      </w:tr>
      <w:tr>
        <w:trPr>
          <w:trHeight w:val="437"/>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NYSE Symbol</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“BKKT” for our Class A Common Stock and “BKKT WS” for our Warrants.</w:t>
            </w:r>
          </w:p>
        </w:tc>
      </w:tr>
      <w:tr>
        <w:trPr>
          <w:trHeight w:val="439"/>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Lock-Up Restrictions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Pursuant to the Stockholders Agreement and the Insider Letter Agreement (each as</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described in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other than for</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9"/>
              </w:rPr>
              <w:t>certain permitted transfers: (i) Opco Equity Holders may not transfer, or make a public</w:t>
            </w:r>
          </w:p>
        </w:tc>
      </w:tr>
      <w:tr>
        <w:trPr>
          <w:trHeight w:val="200"/>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9"/>
              </w:rPr>
              <w:t>announcement of any intention to transfer, any of our equity securities (other than any</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PIPE Shares) or Opco’s equity securities of Opco before April 15, 2022 (the “</w:t>
            </w:r>
            <w:r>
              <w:rPr>
                <w:rFonts w:ascii="Arial" w:cs="Arial" w:eastAsia="Arial" w:hAnsi="Arial"/>
                <w:sz w:val="17"/>
                <w:szCs w:val="17"/>
                <w:b w:val="1"/>
                <w:bCs w:val="1"/>
                <w:color w:val="auto"/>
              </w:rPr>
              <w:t>Opco</w:t>
            </w:r>
          </w:p>
        </w:tc>
      </w:tr>
      <w:tr>
        <w:trPr>
          <w:trHeight w:val="212"/>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b w:val="1"/>
                <w:bCs w:val="1"/>
                <w:color w:val="auto"/>
                <w:w w:val="95"/>
              </w:rPr>
              <w:t>Lock-Up Period</w:t>
            </w:r>
            <w:r>
              <w:rPr>
                <w:rFonts w:ascii="Arial" w:cs="Arial" w:eastAsia="Arial" w:hAnsi="Arial"/>
                <w:sz w:val="17"/>
                <w:szCs w:val="17"/>
                <w:color w:val="auto"/>
                <w:w w:val="95"/>
              </w:rPr>
              <w:t>”) and (ii) the Sponsor and the Insiders may not transfer, or make a public</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announcement of any intention to transfer any Founder Shares until the earlier of</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 October 15, 2022 and (b) subsequent to the Closing, (i) if the closing price of our</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Class A Common Stock equals or exceeds $12.00 per share (subject to customary</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4"/>
              </w:rPr>
              <w:t>adjustments) for any 20 trading days within any 30-trading day period commencing at least</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150 days after the Closing or (ii) the date on which we complete a liquidation, merger</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amalgamation, capital stock exchange, reorganization or other similar transaction that</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results in the holders</w:t>
            </w:r>
          </w:p>
        </w:tc>
      </w:tr>
      <w:tr>
        <w:trPr>
          <w:trHeight w:val="152"/>
        </w:trPr>
        <w:tc>
          <w:tcPr>
            <w:tcW w:w="374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342"/>
        </w:trPr>
        <w:tc>
          <w:tcPr>
            <w:tcW w:w="3740" w:type="dxa"/>
            <w:vAlign w:val="bottom"/>
          </w:tcPr>
          <w:p>
            <w:pPr>
              <w:spacing w:after="0"/>
              <w:rPr>
                <w:sz w:val="24"/>
                <w:szCs w:val="24"/>
                <w:color w:val="auto"/>
              </w:rPr>
            </w:pPr>
          </w:p>
        </w:tc>
        <w:tc>
          <w:tcPr>
            <w:tcW w:w="6760" w:type="dxa"/>
            <w:vAlign w:val="bottom"/>
          </w:tcPr>
          <w:p>
            <w:pPr>
              <w:ind w:left="1460"/>
              <w:spacing w:after="0"/>
              <w:rPr>
                <w:sz w:val="20"/>
                <w:szCs w:val="20"/>
                <w:color w:val="auto"/>
              </w:rPr>
            </w:pPr>
            <w:r>
              <w:rPr>
                <w:rFonts w:ascii="Arial" w:cs="Arial" w:eastAsia="Arial" w:hAnsi="Arial"/>
                <w:sz w:val="17"/>
                <w:szCs w:val="17"/>
                <w:color w:val="auto"/>
              </w:rPr>
              <w:t>5</w:t>
            </w:r>
          </w:p>
        </w:tc>
      </w:tr>
    </w:tbl>
    <w:p>
      <w:pPr>
        <w:sectPr>
          <w:pgSz w:w="11900" w:h="16838" w:orient="portrait"/>
          <w:cols w:equalWidth="0" w:num="1">
            <w:col w:w="10880"/>
          </w:cols>
          <w:pgMar w:left="320" w:top="471" w:right="6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1148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9405" cy="11480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400"/>
        <w:spacing w:after="0" w:line="257" w:lineRule="auto"/>
        <w:rPr>
          <w:sz w:val="20"/>
          <w:szCs w:val="20"/>
          <w:color w:val="auto"/>
        </w:rPr>
      </w:pPr>
      <w:r>
        <w:rPr>
          <w:rFonts w:ascii="Arial" w:cs="Arial" w:eastAsia="Arial" w:hAnsi="Arial"/>
          <w:sz w:val="17"/>
          <w:szCs w:val="17"/>
          <w:color w:val="auto"/>
        </w:rPr>
        <w:t>of our Class A Common Stock having the right to exchange their Class A Common Stock for cash, securities or other property (the “</w:t>
      </w:r>
      <w:r>
        <w:rPr>
          <w:rFonts w:ascii="Arial" w:cs="Arial" w:eastAsia="Arial" w:hAnsi="Arial"/>
          <w:sz w:val="17"/>
          <w:szCs w:val="17"/>
          <w:b w:val="1"/>
          <w:bCs w:val="1"/>
          <w:color w:val="auto"/>
        </w:rPr>
        <w:t>Founder Shares Lock-Up Period</w:t>
      </w:r>
      <w:r>
        <w:rPr>
          <w:rFonts w:ascii="Arial" w:cs="Arial" w:eastAsia="Arial" w:hAnsi="Arial"/>
          <w:sz w:val="17"/>
          <w:szCs w:val="17"/>
          <w:color w:val="auto"/>
        </w:rPr>
        <w:t>” and, together with the Opco Lock-Up Period, the “</w:t>
      </w:r>
      <w:r>
        <w:rPr>
          <w:rFonts w:ascii="Arial" w:cs="Arial" w:eastAsia="Arial" w:hAnsi="Arial"/>
          <w:sz w:val="17"/>
          <w:szCs w:val="17"/>
          <w:b w:val="1"/>
          <w:bCs w:val="1"/>
          <w:color w:val="auto"/>
        </w:rPr>
        <w:t>Lock-Up Periods</w:t>
      </w:r>
      <w:r>
        <w:rPr>
          <w:rFonts w:ascii="Arial" w:cs="Arial" w:eastAsia="Arial" w:hAnsi="Arial"/>
          <w:sz w:val="17"/>
          <w:szCs w:val="17"/>
          <w:color w:val="auto"/>
        </w:rPr>
        <w:t>”).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Party Transactions—Company Related Person Transactions— Insider Letter Agreement</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 Transactions— Transactions Related to the Business Combination—Stockholders Agreement</w:t>
      </w:r>
      <w:r>
        <w:rPr>
          <w:rFonts w:ascii="Arial" w:cs="Arial" w:eastAsia="Arial" w:hAnsi="Arial"/>
          <w:sz w:val="17"/>
          <w:szCs w:val="17"/>
          <w:color w:val="auto"/>
        </w:rPr>
        <w:t>”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40"/>
          </w:cols>
          <w:pgMar w:left="320" w:top="471" w:right="10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RISK FACTORS</w:t>
      </w:r>
    </w:p>
    <w:p>
      <w:pPr>
        <w:spacing w:after="0" w:line="222" w:lineRule="exact"/>
        <w:rPr>
          <w:sz w:val="20"/>
          <w:szCs w:val="20"/>
          <w:color w:val="auto"/>
        </w:rPr>
      </w:pPr>
    </w:p>
    <w:p>
      <w:pPr>
        <w:ind w:left="380" w:right="100" w:firstLine="420"/>
        <w:spacing w:after="0" w:line="296" w:lineRule="auto"/>
        <w:rPr>
          <w:sz w:val="20"/>
          <w:szCs w:val="20"/>
          <w:color w:val="auto"/>
        </w:rPr>
      </w:pPr>
      <w:r>
        <w:rPr>
          <w:rFonts w:ascii="Arial" w:cs="Arial" w:eastAsia="Arial" w:hAnsi="Arial"/>
          <w:sz w:val="15"/>
          <w:szCs w:val="15"/>
          <w:i w:val="1"/>
          <w:iCs w:val="1"/>
          <w:color w:val="auto"/>
        </w:rPr>
        <w:t>Investing in our securities involves a high degree of risk. Before making an investment decision, you should consider carefully the risks and uncertainties described below, together with all of the other information in this prospectus, including “Management’s Discussion and Analysis of Financial Condition and Results of Operations,” “Management’s Discussion and Analysis of Financial Condition and Results of Operations of VPC Impact Acquisition Holdings” and the Company’s and Opco’s consolidated financial statements and related notes thereto included elsewhere in this prospectus.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Business, Finances and Operations</w:t>
      </w:r>
    </w:p>
    <w:p>
      <w:pPr>
        <w:spacing w:after="0" w:line="119"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b w:val="1"/>
          <w:bCs w:val="1"/>
          <w:i w:val="1"/>
          <w:iCs w:val="1"/>
          <w:color w:val="auto"/>
        </w:rPr>
        <w:t>Our business model is newly developed, untested and continually evolving and may encounter additional risks and challenges as it grows and changes.</w:t>
      </w:r>
    </w:p>
    <w:p>
      <w:pPr>
        <w:spacing w:after="0" w:line="62"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Our vision is that our users, which include consumers, enterprises and financial institutions, will utilize our platform as the go-to solution for buying, selling, converting, spending, redeeming and sending multiple types of digital assets. Our business model assumes that there will be multiple synergies and benefits for users arising out of a single platform to buy, sell, convert, spend, redeem and send digital assets that have traditionally been usable only via individual solutions. Most of the digital assets that we intend to incorporate into our platform are already being handled by incumbent providers, as well as other competitors who have established payment programs. To be successful, our platform must be able to lure users away from the existing solutions and platforms, and failure to achieve acceptance would impede our ability to develop and sustain a commercial business. There can be no assurance that our platform will gain the acceptance of users, consumers or other market participants. Because some of the digital assets that are anticipated to be available on our platform have not previously been available for these types of usage, it is difficult to predict the preferences and requirements of users, consumers or other market participants, and our platform, design and technology may not appeal to such users or others market participants, or be incompatible with new or emerging forms of digital assets or related technologies. Failure to achieve acceptance would impede our ability to develop and sustain a commercial business.</w:t>
      </w:r>
    </w:p>
    <w:p>
      <w:pPr>
        <w:spacing w:after="0" w:line="176" w:lineRule="exact"/>
        <w:rPr>
          <w:sz w:val="20"/>
          <w:szCs w:val="20"/>
          <w:color w:val="auto"/>
        </w:rPr>
      </w:pPr>
    </w:p>
    <w:p>
      <w:pPr>
        <w:ind w:left="380" w:right="60" w:firstLine="420"/>
        <w:spacing w:after="0" w:line="277" w:lineRule="auto"/>
        <w:rPr>
          <w:sz w:val="20"/>
          <w:szCs w:val="20"/>
          <w:color w:val="auto"/>
        </w:rPr>
      </w:pPr>
      <w:r>
        <w:rPr>
          <w:rFonts w:ascii="Arial" w:cs="Arial" w:eastAsia="Arial" w:hAnsi="Arial"/>
          <w:sz w:val="16"/>
          <w:szCs w:val="16"/>
          <w:color w:val="auto"/>
        </w:rPr>
        <w:t>We primarily generate revenue when users buy, sell, convert, spend, redeem and send digital assets through our platform and our success depends in part on transaction volume from consumers. Although we have some recurring revenue, our future revenue will be heavily dependent on transaction fees earned from users buying, selling, converting, redeeming and spending digital assets and the margin we charge in connection with consumer purchase and sale of cryptoassets, unless and until we develop more recurring revenue opportunities for our platform. If we are not able to continue to grow our base of active users, we will not be able to continue to grow our revenues or our business, which could negatively impact our business, financial condition and results of operations and may cause us to be unable to continue as a going concern.</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attractiveness of our platform to users depends upon, among other things:</w:t>
      </w:r>
    </w:p>
    <w:p>
      <w:pPr>
        <w:spacing w:after="0" w:line="126" w:lineRule="exact"/>
        <w:rPr>
          <w:sz w:val="20"/>
          <w:szCs w:val="20"/>
          <w:color w:val="auto"/>
        </w:rPr>
      </w:pPr>
    </w:p>
    <w:p>
      <w:pPr>
        <w:ind w:left="1300" w:hanging="41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and variety of digital assets that users may buy, sell, convert, spend, redeem and send through our platform;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brand and reputation, as well as users’ experience and satisfaction with, and trust and perception of, our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technological innovation;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services and products offered by competitors.</w:t>
      </w:r>
    </w:p>
    <w:p>
      <w:pPr>
        <w:spacing w:after="0" w:line="216"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Moreover, loyalty partners may choose to modify their rewards programs in a way that makes them less appealing to consumers or terminate their programs entirely, either of which could make our platform less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40"/>
          </w:cols>
          <w:pgMar w:left="320" w:top="471" w:right="7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00"/>
        <w:spacing w:after="0" w:line="265" w:lineRule="auto"/>
        <w:rPr>
          <w:sz w:val="20"/>
          <w:szCs w:val="20"/>
          <w:color w:val="auto"/>
        </w:rPr>
      </w:pPr>
      <w:r>
        <w:rPr>
          <w:rFonts w:ascii="Arial" w:cs="Arial" w:eastAsia="Arial" w:hAnsi="Arial"/>
          <w:sz w:val="17"/>
          <w:szCs w:val="17"/>
          <w:color w:val="auto"/>
        </w:rPr>
        <w:t>attractive to consumers. If we fail to retain existing relationships with, or attract new, loyalty partners, enterprises and financial institutions, attract new consumers to our platform, or continually expand usage and transaction volume on our platform, our business, financial condition, results of operations and prospects would be materially and adversely affected.</w:t>
      </w:r>
    </w:p>
    <w:p>
      <w:pPr>
        <w:spacing w:after="0" w:line="176" w:lineRule="exact"/>
        <w:rPr>
          <w:sz w:val="20"/>
          <w:szCs w:val="20"/>
          <w:color w:val="auto"/>
        </w:rPr>
      </w:pPr>
    </w:p>
    <w:p>
      <w:pPr>
        <w:ind w:left="380" w:right="100" w:firstLine="420"/>
        <w:spacing w:after="0" w:line="301" w:lineRule="auto"/>
        <w:rPr>
          <w:sz w:val="20"/>
          <w:szCs w:val="20"/>
          <w:color w:val="auto"/>
        </w:rPr>
      </w:pPr>
      <w:r>
        <w:rPr>
          <w:rFonts w:ascii="Arial" w:cs="Arial" w:eastAsia="Arial" w:hAnsi="Arial"/>
          <w:sz w:val="15"/>
          <w:szCs w:val="15"/>
          <w:color w:val="auto"/>
        </w:rPr>
        <w:t>We will have both increased financial and reputational risks if there is a failure to launch one or more features, or if the launch of a new feature is unsuccessful. Also, there can be no assurance that we will receive support from loyalty partners or enterprises to launch features as planned or that we will operate as anticipated. We may also require regulatory approvals, additional licenses and/or consultation with regulators to add, modify or discontinue certain aspects of our business model, which could lead to delays or other complexities in effectuating such changes and have a materially adverse effect on our business and plan of operations. Furthermore, our business model entails numerous risks, including risks relating to our ability to:</w:t>
      </w:r>
    </w:p>
    <w:p>
      <w:pPr>
        <w:spacing w:after="0" w:line="63" w:lineRule="exact"/>
        <w:rPr>
          <w:sz w:val="20"/>
          <w:szCs w:val="20"/>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manage the complexity of our business model to stay current with the industry and new technologies;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successfully enter new categories, markets and jurisdictions in which we may have limited or no prior experience;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integrate into multiple distributed ledger technologies as they currently exist and as they evolve;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successfully develop and integrate products, systems and personnel into our business operations;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 and maintain required licenses and regulatory approvals for our business.</w:t>
      </w:r>
    </w:p>
    <w:p>
      <w:pPr>
        <w:spacing w:after="0" w:line="319"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b w:val="1"/>
          <w:bCs w:val="1"/>
          <w:i w:val="1"/>
          <w:iCs w:val="1"/>
          <w:color w:val="auto"/>
        </w:rPr>
        <w:t>Our platform is still under development and is largely untested. Any failure by us to successfully execute on the development of our platform would have an adverse effect on our business, results of operations and financial condition.</w:t>
      </w:r>
    </w:p>
    <w:p>
      <w:pPr>
        <w:spacing w:after="0" w:line="62"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We are in the process of developing an integrated platform consisting of a loyalty redemption platform, a digital asset marketplace and an alternative payment method. The first manifestation of this integrated platform is our consumer app, that allows consumers to buy, sell, convert, spend and send digital assets, which include cryptoassets, digital cash, gift cards, loyalty and rewards points, and in the future, upon necessary regulatory approval, securities in electronic form and in-game assets. We are integrating our white-labeled loyalty redemption platform, and other areas of our platform are still under development and largely untested on a commercial scale. Our consumer app was made generally available to the public in March 2021. Additional features planned for the consumer app are still under development. Any failure by us to execute on the development of our platform may have a material adverse effect on our business, financial condition and results of operations. There can be no assurance that our platform and app, and their planned functionality, will be successfully developed. Our platform will require significant additional development in order to add all of the additional functionality and features planned by our management and discussed in this prospectus. There can be no assurance that the additional functionality and features currently planned for our platform will be successfully developed, including those intended to be included in our consumer app, in a timely fashion or at all. Any problems that we encounter with the operation of our platform, including technical, legal and regulatory problems, could have a material adverse effect on our business, financial condition and results of operations.</w:t>
      </w:r>
    </w:p>
    <w:p>
      <w:pPr>
        <w:spacing w:after="0" w:line="269"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If we are unable to add additional functionalities and digital assets to our platform, our prospects for future growth may be adversely affected.</w:t>
      </w:r>
    </w:p>
    <w:p>
      <w:pPr>
        <w:spacing w:after="0" w:line="148"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Our platform will initially reflect a subset of the planned functionalities and digital assets and a limited number of enterprise and loyalty partners and financial institutions. Our ability to attract and retain users to our platform, and therefore increase revenues, depends on our ability to successfully expand our platform’s functionalities and digital assets over time. Accordingly, we intend to add enterprise and additional loyalty partners, financial institutions and digital assets, including additional cryptoassets and equity securities, in the future, but our management has not yet determined either the order that additional partners and digital assets will</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60"/>
          </w:cols>
          <w:pgMar w:left="320" w:top="471" w:right="71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20"/>
        <w:spacing w:after="0" w:line="306" w:lineRule="auto"/>
        <w:rPr>
          <w:sz w:val="20"/>
          <w:szCs w:val="20"/>
          <w:color w:val="auto"/>
        </w:rPr>
      </w:pPr>
      <w:r>
        <w:rPr>
          <w:rFonts w:ascii="Arial" w:cs="Arial" w:eastAsia="Arial" w:hAnsi="Arial"/>
          <w:sz w:val="15"/>
          <w:szCs w:val="15"/>
          <w:color w:val="auto"/>
        </w:rPr>
        <w:t>be included or the timing of any such additions. Any substantial delay in the inclusion of additional partners and digital assets may have an adverse effect on our business, financial condition and results of operations. We will have both increased financial and reputational risks if there is a failure to launch one or more functionalities, or if the launch of a new functionality or digital asset is unsuccessful. Also, there can be no assurance that we will receive the necessary regulatory approvals or support from partners to launch features as planned or that we will operate as anticipated.</w:t>
      </w:r>
    </w:p>
    <w:p>
      <w:pPr>
        <w:spacing w:after="0" w:line="149"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Our success in any field depends on our deep understanding of the industry. To penetrate new markets and add new functionalities, we will need to develop a similar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regulation could limit our ability to introduce new platform opportunities. For instance, the equity securities trading and lending industries are highly regulated. Our proposed operations in these fields could take an extended period of time to be approved by regulatory authorities, or may not be approved at all, and, if approved, would require us to devote additional resources to compliance. Further, as digital assets and distributed ledger technologies evolve, we may add, modify or discontinue certain aspects of our business model relating to the product mix and service offerings. Future additions and modifications to our business will increase the complexity of our business and place significant strain on our management, personnel, operations, systems, technical performance, financial resources and internal financial control and reporting functions. We cannot offer any assurance that these or any other additions or modifications will be successful or will not result in harm to our business. If we fail to penetrate new markets successfully, our revenue may grow at a slower rate than we anticipate and our business, financial condition and results of operations could be materially and adversely affected.</w:t>
      </w:r>
    </w:p>
    <w:p>
      <w:pPr>
        <w:spacing w:after="0" w:line="276" w:lineRule="exact"/>
        <w:rPr>
          <w:sz w:val="20"/>
          <w:szCs w:val="20"/>
          <w:color w:val="auto"/>
        </w:rPr>
      </w:pPr>
    </w:p>
    <w:p>
      <w:pPr>
        <w:jc w:val="both"/>
        <w:ind w:left="380" w:right="420" w:firstLine="420"/>
        <w:spacing w:after="0" w:line="265" w:lineRule="auto"/>
        <w:rPr>
          <w:sz w:val="20"/>
          <w:szCs w:val="20"/>
          <w:color w:val="auto"/>
        </w:rPr>
      </w:pPr>
      <w:r>
        <w:rPr>
          <w:rFonts w:ascii="Arial" w:cs="Arial" w:eastAsia="Arial" w:hAnsi="Arial"/>
          <w:sz w:val="17"/>
          <w:szCs w:val="17"/>
          <w:b w:val="1"/>
          <w:bCs w:val="1"/>
          <w:i w:val="1"/>
          <w:iCs w:val="1"/>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were founded in 2018 and have experienced net losses in the periods from inception through December 31, 2020. Our revenue was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$28.5 million in 2020 and $25.8 million in the nine months ended September 30, 2021, and we generated net losses of $79.6 million in 2020 and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$89.6 million in the nine months ended September 30, 2021. You should not rely on the revenue growth of any prior quarterly or annual period as an</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indication of our future performance. As a result of our limited operating history, our ability to accurately forecast our future results of operations is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limited and subject to a number of uncertainties, including our ability to plan for and model future growth. Our historical revenue was achieved largely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the result of our white-labeled loyalty redemption product to loyalty partners and does not reflect any revenues from the launch of our broader</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or our initial attempt at attracting consumers directly through the launch of our consumer app, and therefore should not be considered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indicative of our future performance.</w:t>
      </w:r>
    </w:p>
    <w:p>
      <w:pPr>
        <w:spacing w:after="0" w:line="205" w:lineRule="exact"/>
        <w:rPr>
          <w:sz w:val="20"/>
          <w:szCs w:val="20"/>
          <w:color w:val="auto"/>
        </w:rPr>
      </w:pPr>
    </w:p>
    <w:p>
      <w:pPr>
        <w:ind w:left="380" w:right="40" w:firstLine="420"/>
        <w:spacing w:after="0" w:line="296" w:lineRule="auto"/>
        <w:rPr>
          <w:sz w:val="20"/>
          <w:szCs w:val="20"/>
          <w:color w:val="auto"/>
        </w:rPr>
      </w:pPr>
      <w:r>
        <w:rPr>
          <w:rFonts w:ascii="Arial" w:cs="Arial" w:eastAsia="Arial" w:hAnsi="Arial"/>
          <w:sz w:val="15"/>
          <w:szCs w:val="15"/>
          <w:color w:val="auto"/>
        </w:rPr>
        <w:t>Because of our limited operating history and the fact that our historical revenue was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57"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We expect our operating costs and expenses to increase substantially in the foreseeable future. In particular, we intend to continue to invest significant resources to further develop our platform and expand our sales,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60"/>
          </w:cols>
          <w:pgMar w:left="320" w:top="471" w:right="7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57" w:lineRule="auto"/>
        <w:rPr>
          <w:sz w:val="20"/>
          <w:szCs w:val="20"/>
          <w:color w:val="auto"/>
        </w:rPr>
      </w:pPr>
      <w:r>
        <w:rPr>
          <w:rFonts w:ascii="Arial" w:cs="Arial" w:eastAsia="Arial" w:hAnsi="Arial"/>
          <w:sz w:val="17"/>
          <w:szCs w:val="17"/>
          <w:color w:val="auto"/>
        </w:rPr>
        <w:t>marketing and professional services teams. We will also incur increased general and administrative expenses associated with our growth, including legal and accounting expenses and costs related to internal systems and operating as a public company. Our efforts to grow our business may be costlier than we expect, or our revenue growth rate may be slower than we expect, and we may not be able to increase our revenue enough to offset the increase in operating expenses resulting from these investments. If we are unable to achieve the revenue growth that we expect from these investments, or achieve profitability, it would have an adverse effect on our business, financial condition and results of operations, and the value of our business and our securities may significantly decrease.</w:t>
      </w:r>
    </w:p>
    <w:p>
      <w:pPr>
        <w:spacing w:after="0" w:line="288" w:lineRule="exact"/>
        <w:rPr>
          <w:sz w:val="20"/>
          <w:szCs w:val="20"/>
          <w:color w:val="auto"/>
        </w:rPr>
      </w:pPr>
    </w:p>
    <w:p>
      <w:pPr>
        <w:ind w:left="380" w:firstLine="420"/>
        <w:spacing w:after="0" w:line="278" w:lineRule="auto"/>
        <w:rPr>
          <w:sz w:val="20"/>
          <w:szCs w:val="20"/>
          <w:color w:val="auto"/>
        </w:rPr>
      </w:pPr>
      <w:r>
        <w:rPr>
          <w:rFonts w:ascii="Arial" w:cs="Arial" w:eastAsia="Arial" w:hAnsi="Arial"/>
          <w:sz w:val="17"/>
          <w:szCs w:val="17"/>
          <w:b w:val="1"/>
          <w:bCs w:val="1"/>
          <w:i w:val="1"/>
          <w:iCs w:val="1"/>
          <w:color w:val="auto"/>
        </w:rPr>
        <w:t>The estimates of market opportunity and forecasts of our expected market growth may prove to be inaccurate, and even if the markets in which we compete achieve the forecasted growth, our business could fail to grow at similar rates, if at all.</w:t>
      </w:r>
    </w:p>
    <w:p>
      <w:pPr>
        <w:spacing w:after="0" w:line="62"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Our market opportunity estimates and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users covered by our market opportunity estimates will participate in our platform or generate any particular level of revenue for us. Any expansion in our market depends on a number of factors, including the cost, performance, and perceived value associated with our platform and the products of our competitors. Even if the markets in which we compete achieve the forecasted growth, our business could fail to grow at similar rates, or at all.</w:t>
      </w:r>
    </w:p>
    <w:p>
      <w:pPr>
        <w:spacing w:after="0" w:line="288" w:lineRule="exact"/>
        <w:rPr>
          <w:sz w:val="20"/>
          <w:szCs w:val="20"/>
          <w:color w:val="auto"/>
        </w:rPr>
      </w:pPr>
    </w:p>
    <w:p>
      <w:pPr>
        <w:jc w:val="both"/>
        <w:ind w:left="380" w:right="120" w:firstLine="420"/>
        <w:spacing w:after="0" w:line="265" w:lineRule="auto"/>
        <w:rPr>
          <w:sz w:val="20"/>
          <w:szCs w:val="20"/>
          <w:color w:val="auto"/>
        </w:rPr>
      </w:pPr>
      <w:r>
        <w:rPr>
          <w:rFonts w:ascii="Arial" w:cs="Arial" w:eastAsia="Arial" w:hAnsi="Arial"/>
          <w:sz w:val="17"/>
          <w:szCs w:val="17"/>
          <w:b w:val="1"/>
          <w:bCs w:val="1"/>
          <w:i w:val="1"/>
          <w:iCs w:val="1"/>
          <w:color w:val="auto"/>
        </w:rPr>
        <w:t>Substantially all of our net revenues each quarter come from transactions during that quarter, which may result in significant fluctuations in our operating results that could adversely affect our business, financial condition, results of operations and cash flows and may not fully reflect the underlying performance of our business.</w:t>
      </w:r>
    </w:p>
    <w:p>
      <w:pPr>
        <w:spacing w:after="0" w:line="73" w:lineRule="exact"/>
        <w:rPr>
          <w:sz w:val="20"/>
          <w:szCs w:val="20"/>
          <w:color w:val="auto"/>
        </w:rPr>
      </w:pPr>
    </w:p>
    <w:p>
      <w:pPr>
        <w:ind w:left="380" w:right="60" w:firstLine="420"/>
        <w:spacing w:after="0" w:line="255" w:lineRule="auto"/>
        <w:rPr>
          <w:sz w:val="20"/>
          <w:szCs w:val="20"/>
          <w:color w:val="auto"/>
        </w:rPr>
      </w:pPr>
      <w:r>
        <w:rPr>
          <w:rFonts w:ascii="Arial" w:cs="Arial" w:eastAsia="Arial" w:hAnsi="Arial"/>
          <w:sz w:val="17"/>
          <w:szCs w:val="17"/>
          <w:color w:val="auto"/>
        </w:rPr>
        <w:t>Although we anticipate growing recurring revenue and intend to develop other products and services that provide recurring revenue, our quarterly results, including revenue, expenses, consumer metrics and other key metrics, will be derived from transactions during that quarter. Accordingly, our quarterly results are likely to fluctuate significantly. It is difficult for us to forecast accurately the level or source of our revenues or earnings, and the results for any one quarter are not necessarily an indication of future performance. Our quarterly results are likely to fluctuate due to a variety of factors, some of which are outside of our control. Due to the inherent difficulty in forecasting revenues, it is also difficult to forecast expenses. Quarterly and annual expenses reflected in our financial statements may be significantly different from historical or projected rates. Fluctuations in quarterly results may adversely affect the price of our securities. In addition, many of the factors that affect our quarterly results are difficult for us to predict. If our revenue, expenses, or key metrics in future quarters fall short of the expectations of our investors and financial analysts, the price of our securities could be adversely affected.</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Other factors that may cause fluctuations in our quarterly results include:</w:t>
      </w:r>
    </w:p>
    <w:p>
      <w:pPr>
        <w:spacing w:after="0" w:line="126" w:lineRule="exact"/>
        <w:rPr>
          <w:sz w:val="20"/>
          <w:szCs w:val="20"/>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attract and retain new users;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transaction volume and mix;</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rates of repeat transaction and fluctuations in usage of our platform, including seasonality;</w:t>
      </w:r>
    </w:p>
    <w:p>
      <w:pPr>
        <w:spacing w:after="0" w:line="126" w:lineRule="exact"/>
        <w:rPr>
          <w:rFonts w:ascii="Arial" w:cs="Arial" w:eastAsia="Arial" w:hAnsi="Arial"/>
          <w:sz w:val="17"/>
          <w:szCs w:val="17"/>
          <w:color w:val="auto"/>
        </w:rPr>
      </w:pPr>
    </w:p>
    <w:p>
      <w:pPr>
        <w:ind w:left="1300" w:right="480" w:hanging="410"/>
        <w:spacing w:after="0" w:line="27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and timing of our expenses related to acquiring users and the maintenance and expansion of our business, operations and infrastructure;</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to our relationships with our enterprise and loyalty partners;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the COVID-19 pandemic;</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emphasis on user experience instead of near-term growth;</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80"/>
          </w:cols>
          <w:pgMar w:left="320" w:top="471" w:right="6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competitive dynamics in the industry in which we operate;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and timing of stock-based compensation expenses;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network outages, cyberattacks, or other actual or perceived security incidents or breaches or data privacy violations;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of and potential outcomes of potential claims or litigation; and</w:t>
      </w:r>
    </w:p>
    <w:p>
      <w:pPr>
        <w:spacing w:after="0" w:line="126" w:lineRule="exact"/>
        <w:rPr>
          <w:rFonts w:ascii="Arial" w:cs="Arial" w:eastAsia="Arial" w:hAnsi="Arial"/>
          <w:sz w:val="17"/>
          <w:szCs w:val="17"/>
          <w:color w:val="auto"/>
        </w:rPr>
      </w:pPr>
    </w:p>
    <w:p>
      <w:pPr>
        <w:ind w:left="1300" w:right="80" w:hanging="410"/>
        <w:spacing w:after="0" w:line="27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of expenses related to the development or acquisition of technologies or businesses and potential future charges for impairment of goodwill from acquired technologies or businesses.</w:t>
      </w:r>
    </w:p>
    <w:p>
      <w:pPr>
        <w:spacing w:after="0" w:line="267" w:lineRule="exact"/>
        <w:rPr>
          <w:sz w:val="20"/>
          <w:szCs w:val="20"/>
          <w:color w:val="auto"/>
        </w:rPr>
      </w:pPr>
    </w:p>
    <w:p>
      <w:pPr>
        <w:ind w:left="380" w:right="160" w:firstLine="420"/>
        <w:spacing w:after="0" w:line="261" w:lineRule="auto"/>
        <w:rPr>
          <w:sz w:val="20"/>
          <w:szCs w:val="20"/>
          <w:color w:val="auto"/>
        </w:rPr>
      </w:pPr>
      <w:r>
        <w:rPr>
          <w:rFonts w:ascii="Arial" w:cs="Arial" w:eastAsia="Arial" w:hAnsi="Arial"/>
          <w:sz w:val="17"/>
          <w:szCs w:val="17"/>
          <w:b w:val="1"/>
          <w:bCs w:val="1"/>
          <w:i w:val="1"/>
          <w:iCs w:val="1"/>
          <w:color w:val="auto"/>
        </w:rPr>
        <w:t>Sales efforts to large enterprise and loyalty partners involve risks that may not be present or that are present to a lesser extent with respect to sales to smaller organizations. If we are unable to attract additional enterprise or loyalty partners and retain and grow our relationships with our existing enterprise or loyalty partners, our business, financial condition, results of operations and future prospects would be materially and adversely affected.</w:t>
      </w:r>
    </w:p>
    <w:p>
      <w:pPr>
        <w:spacing w:after="0" w:line="76"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For our platform to be successful, we must continue our existing, and successfully develop new, partnerships with large enterprise and loyalty partners, such as airlines, hotel chains, ecosystem providers, financial institutions and other organizations that sponsor loyalty and rewards programs, have first party rights to consumers and/or manage digital assets. Our ability to retain and grow our relationships with our enterprise and loyalty partners depends on the willingness of enterprise and loyalty partners to establish a commercial relationship with us. Moreover, our growth plan includes significant marketing expense to incentivize large organizations with whom we develop partnerships to market our consumer app and platform to their customers, which we expect would accelerate consumer adoption of our platform and lower our overall consumer acquisition cost. If large enterprise and loyalty partners with whom we develop partnerships fail to market or do not effectively market our platform to their customers, or consumers fail to adopt our platform through these marketing efforts in such numbers as we have projected, we may be required to increase spending on direct to consumer marketing and adoption efforts, our consumer acquisition costs may increase and our business, financial condition and results of operations may be adversely affected.</w:t>
      </w:r>
    </w:p>
    <w:p>
      <w:pPr>
        <w:spacing w:after="0" w:line="187" w:lineRule="exact"/>
        <w:rPr>
          <w:sz w:val="20"/>
          <w:szCs w:val="20"/>
          <w:color w:val="auto"/>
        </w:rPr>
      </w:pPr>
    </w:p>
    <w:p>
      <w:pPr>
        <w:ind w:left="380" w:firstLine="420"/>
        <w:spacing w:after="0" w:line="294" w:lineRule="auto"/>
        <w:rPr>
          <w:sz w:val="20"/>
          <w:szCs w:val="20"/>
          <w:color w:val="auto"/>
        </w:rPr>
      </w:pPr>
      <w:r>
        <w:rPr>
          <w:rFonts w:ascii="Arial" w:cs="Arial" w:eastAsia="Arial" w:hAnsi="Arial"/>
          <w:sz w:val="15"/>
          <w:szCs w:val="15"/>
          <w:color w:val="auto"/>
        </w:rPr>
        <w:t>Sales to large enterprise and loyalty partners involve risks that may not be present or that are present to a lesser extent with sales to smaller organizations, such as longer sales cycles, more complex partner requirements and substantial upfront sales costs. For example, large enterprise and loyalty partners may require considerable time to evaluate and test our platform prior to making a decision, or may request compensation that may erode our margins. Several factors influence the length and variability of our sales cycle, including the need to educate potential partners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enterprise and loyalty partner, with sales to large enterprises typically taking longer to complete. If we fail to effectively manage the risks associated with sales cycles and sales to large enterprise and loyalty partners, our business, financial condition and results of operations may be adversely affected.</w:t>
      </w:r>
    </w:p>
    <w:p>
      <w:pPr>
        <w:spacing w:after="0" w:line="156" w:lineRule="exact"/>
        <w:rPr>
          <w:sz w:val="20"/>
          <w:szCs w:val="20"/>
          <w:color w:val="auto"/>
        </w:rPr>
      </w:pPr>
    </w:p>
    <w:p>
      <w:pPr>
        <w:jc w:val="both"/>
        <w:ind w:left="380" w:right="80" w:firstLine="420"/>
        <w:spacing w:after="0" w:line="279" w:lineRule="auto"/>
        <w:rPr>
          <w:sz w:val="20"/>
          <w:szCs w:val="20"/>
          <w:color w:val="auto"/>
        </w:rPr>
      </w:pPr>
      <w:r>
        <w:rPr>
          <w:rFonts w:ascii="Arial" w:cs="Arial" w:eastAsia="Arial" w:hAnsi="Arial"/>
          <w:sz w:val="16"/>
          <w:szCs w:val="16"/>
          <w:color w:val="auto"/>
        </w:rPr>
        <w:t>Additionally, certain of our recently announced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agree upon such agreements and/or otherwise memorialize terms, and to do so on terms sufficiently favorable to us. While we continue to negotiate partnership terms, we may be unable to agree to terms with such partners on commercially advantageous terms or at all, which may adversely affect our business and prospects.</w:t>
      </w:r>
    </w:p>
    <w:p>
      <w:pPr>
        <w:spacing w:after="0" w:line="10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40"/>
          </w:cols>
          <w:pgMar w:left="320" w:top="471" w:right="7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Moreover, even when we execute an agreement with a large partner, we are still dependent on such partner to deploy our platform. Large partners often delay deployment for a lengthy period of time after executing an agreement. Even when large enterprise and loyalty partners begin their integration into our platform and consumer app, they do so on a limited basis but nevertheless demand implementation services, which may include customization and controls that limit the functionality of our platform, and negotiate pricing discounts, which increases our upfront investment in the sales effort with no guarantee that sales to these partners will justify our substantial upfront investment. If a large partner delays deployment for lengthy periods of time, our consumer and revenue growth may not achieve expectations and our business, financial condition and results of operations may be adversely affected.</w:t>
      </w:r>
    </w:p>
    <w:p>
      <w:pPr>
        <w:spacing w:after="0" w:line="181"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Our agreements with our enterprise and loyalty partners have terms that range from approximately three to five years, and our existing partners can generally terminate these agreements without cause upon 30 to 90 days’ prior written notice. The termination of one or more of our agreements with a partner would result in a reduction in transaction volume and revenue and our business, financial condition, results of operations and future prospects would be materially and adversely affected.</w:t>
      </w:r>
    </w:p>
    <w:p>
      <w:pPr>
        <w:spacing w:after="0" w:line="179"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Large enterprise and loyalty partners, including future prospects we are pursuing, that have been adversely impacted by the ongoing COVID-19 pandemic have slowed all new business integrations, particularly those in the travel and hospitality industries. Their willingness to expend resources to integrate into our platform or support the consumer app is hampered by the uncertainty resulting from the COVID-19 pandemic. Additionally, existing enterprise and loyalty partners may seek financial relief from obligations to us, or choose to cancel contracts with us, as a result of the COVID-19 pandemic.</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We face substantial and increasingly intense competition worldwide in the loyalty, rewards, payment, cryptoasset and investment industries.</w:t>
      </w:r>
    </w:p>
    <w:p>
      <w:pPr>
        <w:spacing w:after="0" w:line="136"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The loyalty, rewards, payment, cryptoasset and investment industries are highly competitive, rapidly changing, highly innovative, and increasingly subject to regulatory scrutiny and oversight. Although we do not believe that we have any single direct competitor for the full range of products we will provide through our platform, we compete against a wide range of businesses in the loyalty, rewards, payment and investment industries generally, including those that are larger than us, have greater name recognition, longer operating histories, or a dominant or more secure position, or offer other products and services to users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compete primarily on the basis of the following:</w:t>
      </w:r>
    </w:p>
    <w:p>
      <w:pPr>
        <w:spacing w:after="0" w:line="126" w:lineRule="exact"/>
        <w:rPr>
          <w:sz w:val="20"/>
          <w:szCs w:val="20"/>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attract, retain and engage users on our platform;</w:t>
      </w:r>
    </w:p>
    <w:p>
      <w:pPr>
        <w:spacing w:after="0" w:line="126" w:lineRule="exact"/>
        <w:rPr>
          <w:rFonts w:ascii="Arial" w:cs="Arial" w:eastAsia="Arial" w:hAnsi="Arial"/>
          <w:sz w:val="17"/>
          <w:szCs w:val="17"/>
          <w:color w:val="auto"/>
        </w:rPr>
      </w:pPr>
    </w:p>
    <w:p>
      <w:pPr>
        <w:ind w:left="1300" w:right="240" w:hanging="410"/>
        <w:spacing w:after="0" w:line="27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demonstrate to enterprise and loyalty partners that they may achieve incremental sales and attract new customers by using and offering our services to consumers;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strength of our integrated solution over other potential coalitions of disparate point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consumers’ confidence in the safety, security, privacy and control of their information on our platform;</w:t>
      </w:r>
    </w:p>
    <w:p>
      <w:pPr>
        <w:spacing w:after="0" w:line="126" w:lineRule="exact"/>
        <w:rPr>
          <w:rFonts w:ascii="Arial" w:cs="Arial" w:eastAsia="Arial" w:hAnsi="Arial"/>
          <w:sz w:val="17"/>
          <w:szCs w:val="17"/>
          <w:color w:val="auto"/>
        </w:rPr>
      </w:pPr>
    </w:p>
    <w:p>
      <w:pPr>
        <w:ind w:left="1300" w:right="260" w:hanging="410"/>
        <w:spacing w:after="0" w:line="27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develop products and services across multiple commerce channels, including mobile payments, payments at the retail point of sale, cryptoassets and loyalty/rewards points; and</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system reliability, regulatory compliance and data security.</w:t>
      </w:r>
    </w:p>
    <w:p>
      <w:pPr>
        <w:spacing w:after="0" w:line="216"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We partner with many businesses and consider the ability to continue establishing these partnerships important to our business. Competition for relationships with these enterprise and loyalty partners is intense and</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60"/>
          </w:cols>
          <w:pgMar w:left="320" w:top="471" w:right="71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can be no assurance that we will be able to continue to establish, grow, or maintain these partner relationships.</w:t>
      </w:r>
    </w:p>
    <w:p>
      <w:pPr>
        <w:spacing w:after="0" w:line="216" w:lineRule="exact"/>
        <w:rPr>
          <w:sz w:val="20"/>
          <w:szCs w:val="20"/>
          <w:color w:val="auto"/>
        </w:rPr>
      </w:pPr>
    </w:p>
    <w:p>
      <w:pPr>
        <w:ind w:left="380" w:right="40" w:firstLine="420"/>
        <w:spacing w:after="0" w:line="306" w:lineRule="auto"/>
        <w:rPr>
          <w:sz w:val="20"/>
          <w:szCs w:val="20"/>
          <w:color w:val="auto"/>
        </w:rPr>
      </w:pPr>
      <w:r>
        <w:rPr>
          <w:rFonts w:ascii="Arial" w:cs="Arial" w:eastAsia="Arial" w:hAnsi="Arial"/>
          <w:sz w:val="15"/>
          <w:szCs w:val="15"/>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149"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If we are not able to differentiate our products and services from those of our competitors, drive value for our users, or effectively and efficiently align our resources with our goals and objectives, we may not be able to compete effectively in the market.</w:t>
      </w:r>
    </w:p>
    <w:p>
      <w:pPr>
        <w:spacing w:after="0" w:line="267"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If we fail to promote, protect and maintain our brand in a cost-effective manner, we may lose market share and our revenue may decrease.</w:t>
      </w:r>
    </w:p>
    <w:p>
      <w:pPr>
        <w:spacing w:after="0" w:line="136"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Our ability to further develop our business depends on our ability to build a strong and trusted brand. We are in the process of building our brand, and once achieved, we believe that developing, protecting and maintaining awareness of our brand in a cost-effective manner is critical to attracting new and retaining existing users to our platform. To the extent our brand exists today, it is largely visible with respect to loyalty providers, financial institutions and institutional investment products and services. Successful promotion of our brand will entail broadening our brand to consumers and will depend largely on the effectiveness of our marketing efforts (including co-marketing efforts with partners) and the experience of users.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users to our competitors or be unable to attract new users. Any such loss of existing users, or inability to attract new users, directly or through our partners, would have an adverse effect on our business, financial condition and results of operations.</w:t>
      </w:r>
    </w:p>
    <w:p>
      <w:pPr>
        <w:spacing w:after="0" w:line="276" w:lineRule="exact"/>
        <w:rPr>
          <w:sz w:val="20"/>
          <w:szCs w:val="20"/>
          <w:color w:val="auto"/>
        </w:rPr>
      </w:pPr>
    </w:p>
    <w:p>
      <w:pPr>
        <w:ind w:left="380" w:right="660" w:firstLine="420"/>
        <w:spacing w:after="0" w:line="278" w:lineRule="auto"/>
        <w:rPr>
          <w:sz w:val="20"/>
          <w:szCs w:val="20"/>
          <w:color w:val="auto"/>
        </w:rPr>
      </w:pPr>
      <w:r>
        <w:rPr>
          <w:rFonts w:ascii="Arial" w:cs="Arial" w:eastAsia="Arial" w:hAnsi="Arial"/>
          <w:sz w:val="17"/>
          <w:szCs w:val="17"/>
          <w:b w:val="1"/>
          <w:bCs w:val="1"/>
          <w:i w:val="1"/>
          <w:iCs w:val="1"/>
          <w:color w:val="auto"/>
        </w:rPr>
        <w:t>If we fail to maintain a consistently high level of user satisfaction and trust in our brand, our business, financial condition, results of operations and future prospects may be materially and adversely affected.</w:t>
      </w:r>
    </w:p>
    <w:p>
      <w:pPr>
        <w:spacing w:after="0" w:line="62" w:lineRule="exact"/>
        <w:rPr>
          <w:sz w:val="20"/>
          <w:szCs w:val="20"/>
          <w:color w:val="auto"/>
        </w:rPr>
      </w:pPr>
    </w:p>
    <w:p>
      <w:pPr>
        <w:ind w:left="380" w:right="60" w:firstLine="420"/>
        <w:spacing w:after="0" w:line="275" w:lineRule="auto"/>
        <w:rPr>
          <w:sz w:val="20"/>
          <w:szCs w:val="20"/>
          <w:color w:val="auto"/>
        </w:rPr>
      </w:pPr>
      <w:r>
        <w:rPr>
          <w:rFonts w:ascii="Arial" w:cs="Arial" w:eastAsia="Arial" w:hAnsi="Arial"/>
          <w:sz w:val="16"/>
          <w:szCs w:val="16"/>
          <w:color w:val="auto"/>
        </w:rPr>
        <w:t>If consumers do not trust our brand or do not have a positive experience, they may not use our platform. If enterprise and loyalty partners and financial institutions do not participate in our platform, our platform cannot attract or retain consumers, and vice versa. As a result, we have invested heavily in both our technology and our support team. If we are unable to maintain a consistently high level of positive user experience, we may lose existing users and consumers. In addition, our ability to attract new users is highly dependent on our reputation and on positive recommendations from our existing users and the partners we serve. Any failure to maintain a consistently high level of service, or a market perception that we do not maintain high-quality service, may adversely affect our reputation and the number of positive referrals that we receive. As a result, our business, financial condition, results of operations and future prospects may be materially and adversely affected.</w:t>
      </w:r>
    </w:p>
    <w:p>
      <w:pPr>
        <w:spacing w:after="0" w:line="274"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If we fail to transition certain services provided to us by ICE in the past, our business could be harmed.</w:t>
      </w:r>
    </w:p>
    <w:p>
      <w:pPr>
        <w:spacing w:after="0" w:line="113" w:lineRule="exact"/>
        <w:rPr>
          <w:sz w:val="20"/>
          <w:szCs w:val="20"/>
          <w:color w:val="auto"/>
        </w:rPr>
      </w:pPr>
    </w:p>
    <w:p>
      <w:pPr>
        <w:ind w:left="380" w:right="360" w:firstLine="420"/>
        <w:spacing w:after="0" w:line="278" w:lineRule="auto"/>
        <w:rPr>
          <w:sz w:val="20"/>
          <w:szCs w:val="20"/>
          <w:color w:val="auto"/>
        </w:rPr>
      </w:pPr>
      <w:r>
        <w:rPr>
          <w:rFonts w:ascii="Arial" w:cs="Arial" w:eastAsia="Arial" w:hAnsi="Arial"/>
          <w:sz w:val="17"/>
          <w:szCs w:val="17"/>
          <w:color w:val="auto"/>
        </w:rPr>
        <w:t>We have historically relied on ICE, a significant stockholder, to provide services with respect to certain aspects of our business, including the following:</w:t>
      </w:r>
    </w:p>
    <w:p>
      <w:pPr>
        <w:spacing w:after="0" w:line="75" w:lineRule="exact"/>
        <w:rPr>
          <w:sz w:val="20"/>
          <w:szCs w:val="20"/>
          <w:color w:val="auto"/>
        </w:rPr>
      </w:pPr>
    </w:p>
    <w:p>
      <w:pPr>
        <w:ind w:left="5540" w:right="4120" w:hanging="4650"/>
        <w:spacing w:after="0" w:line="452" w:lineRule="auto"/>
        <w:tabs>
          <w:tab w:leader="none" w:pos="1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credibility, regulatory and industry expertise and infrastructure support; 13</w:t>
      </w:r>
    </w:p>
    <w:p>
      <w:pPr>
        <w:sectPr>
          <w:pgSz w:w="11900" w:h="16838" w:orient="portrait"/>
          <w:cols w:equalWidth="0" w:num="1">
            <w:col w:w="10840"/>
          </w:cols>
          <w:pgMar w:left="320" w:top="471" w:right="7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critical infrastructure for custody of our cryptoassets;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institutional-grade services to support our custody arrangements, which leverage ICE’s robust platform of security protocols.</w:t>
      </w:r>
    </w:p>
    <w:p>
      <w:pPr>
        <w:spacing w:after="0" w:line="210"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Pursuant to a transition services agreement (the “</w:t>
      </w:r>
      <w:r>
        <w:rPr>
          <w:rFonts w:ascii="Arial" w:cs="Arial" w:eastAsia="Arial" w:hAnsi="Arial"/>
          <w:sz w:val="17"/>
          <w:szCs w:val="17"/>
          <w:b w:val="1"/>
          <w:bCs w:val="1"/>
          <w:color w:val="auto"/>
        </w:rPr>
        <w:t>Transition Services Agreement</w:t>
      </w:r>
      <w:r>
        <w:rPr>
          <w:rFonts w:ascii="Arial" w:cs="Arial" w:eastAsia="Arial" w:hAnsi="Arial"/>
          <w:sz w:val="17"/>
          <w:szCs w:val="17"/>
          <w:color w:val="auto"/>
        </w:rPr>
        <w:t>”) we signed with ICE on November 10, 2021, we have agreed to transition certain services, including technology and data center services, away from ICE that have been provided under an intercompany services agreement (“ISA”). There can be no assurance that we will be able to timely, efficiently or economically develop these capacities or provide these services without ICE, or that we will be able to procure alternative services from third parties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may also be unable to provide the services at the level that they have historically been provided by ICE, or at all. For more information, see “Certain Relationships and Related Person Transactions—Opco Related Person Transactions—Transition Services Agreement.”</w:t>
      </w:r>
    </w:p>
    <w:p>
      <w:pPr>
        <w:spacing w:after="0" w:line="181"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In the interim, because we rely on ICE to provide support services and to facilitate certain of our business activities, we may face increased operational risk. Over time, we anticipate that ICE may sell down its ownership interest in us, thereby reducing the alignment of interests between us and ICE. With or without this sell down, ICE may be subject to financial, legal, regulatory and labor issues, cyberattacks, security incidents, privacy breaches, service terminations, disruptions or interruptions, or other problems, which may impose additional costs or requirements on us or prevent ICE from providing services to us or our users on our behalf, which could harm our business. In addition, ICE may disagree with our interpretation of contract terms or applicable laws and regulations, fail or refuse to process transactions or provide other services adequately, take actions that degrade the functionality of our services, impose additional costs or requirements on us or our users, or give preferential treatment to competitive services. As a result, we may be subject to business disruptions, losses related to costs to remediate any deficiencies, consumer dissatisfaction, reputational damage, legal or regulatory proceedings, or other adverse consequences, any of which could harm our business.</w:t>
      </w:r>
    </w:p>
    <w:p>
      <w:pPr>
        <w:spacing w:after="0" w:line="277" w:lineRule="exact"/>
        <w:rPr>
          <w:sz w:val="20"/>
          <w:szCs w:val="20"/>
          <w:color w:val="auto"/>
        </w:rPr>
      </w:pPr>
    </w:p>
    <w:p>
      <w:pPr>
        <w:ind w:left="380" w:right="80" w:firstLine="420"/>
        <w:spacing w:after="0" w:line="347" w:lineRule="auto"/>
        <w:rPr>
          <w:sz w:val="20"/>
          <w:szCs w:val="20"/>
          <w:color w:val="auto"/>
        </w:rPr>
      </w:pPr>
      <w:r>
        <w:rPr>
          <w:rFonts w:ascii="Arial" w:cs="Arial" w:eastAsia="Arial" w:hAnsi="Arial"/>
          <w:sz w:val="15"/>
          <w:szCs w:val="15"/>
          <w:b w:val="1"/>
          <w:bCs w:val="1"/>
          <w:i w:val="1"/>
          <w:iCs w:val="1"/>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16"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We have significant vendors that, among other things, provide us with financial, technology and other services to support our platforms and other activities, including, for example, marketing services, fulfillment services, cloud-based computer and data storage and other IT solutions and payment processing.</w:t>
      </w:r>
    </w:p>
    <w:p>
      <w:pPr>
        <w:spacing w:after="0" w:line="176"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Because we rely on third parties to provide certain of our services and to facilitate certain of our business activities, we face increased operational risk. 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users on our behalf, which could harm our business. Additionally, the Consumer Financial Protection Bureau (“</w:t>
      </w:r>
      <w:r>
        <w:rPr>
          <w:rFonts w:ascii="Arial" w:cs="Arial" w:eastAsia="Arial" w:hAnsi="Arial"/>
          <w:sz w:val="16"/>
          <w:szCs w:val="16"/>
          <w:b w:val="1"/>
          <w:bCs w:val="1"/>
          <w:color w:val="auto"/>
        </w:rPr>
        <w:t>CFPB</w:t>
      </w:r>
      <w:r>
        <w:rPr>
          <w:rFonts w:ascii="Arial" w:cs="Arial" w:eastAsia="Arial" w:hAnsi="Arial"/>
          <w:sz w:val="16"/>
          <w:szCs w:val="16"/>
          <w:color w:val="auto"/>
        </w:rPr>
        <w:t>”)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71"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and other regulatory enforcement actions, claims from third parties, including our consumers, and</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60"/>
          </w:cols>
          <w:pgMar w:left="320" w:top="471" w:right="7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00"/>
        <w:spacing w:after="0" w:line="278" w:lineRule="auto"/>
        <w:rPr>
          <w:sz w:val="20"/>
          <w:szCs w:val="20"/>
          <w:color w:val="auto"/>
        </w:rPr>
      </w:pPr>
      <w:r>
        <w:rPr>
          <w:rFonts w:ascii="Arial" w:cs="Arial" w:eastAsia="Arial" w:hAnsi="Arial"/>
          <w:sz w:val="17"/>
          <w:szCs w:val="17"/>
          <w:color w:val="auto"/>
        </w:rPr>
        <w:t>suffer economic and reputational harm that could have an adverse effect on our business. Further, we may incur significant costs to resolve any such disruptions in service, which could adversely affect our business.</w:t>
      </w:r>
    </w:p>
    <w:p>
      <w:pPr>
        <w:spacing w:after="0" w:line="267"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b w:val="1"/>
          <w:bCs w:val="1"/>
          <w:i w:val="1"/>
          <w:iCs w:val="1"/>
          <w:color w:val="auto"/>
        </w:rPr>
        <w:t>If the availability of our platform does not meet our service level commitments, our current and future revenue and reputation may be negatively impacted.</w:t>
      </w:r>
    </w:p>
    <w:p>
      <w:pPr>
        <w:spacing w:after="0" w:line="62"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We typically commit, through service level agreements or otherwise, to maintaining a minimum service level of availability with respect to functionality, availability and response time. If we are unable to meet these commitments, we may be obligated to provide users, including customers of our custody business and customers of ICE Futures U.S., Inc. (“</w:t>
      </w:r>
      <w:r>
        <w:rPr>
          <w:rFonts w:ascii="Arial" w:cs="Arial" w:eastAsia="Arial" w:hAnsi="Arial"/>
          <w:sz w:val="17"/>
          <w:szCs w:val="17"/>
          <w:b w:val="1"/>
          <w:bCs w:val="1"/>
          <w:color w:val="auto"/>
        </w:rPr>
        <w:t>IFUS</w:t>
      </w:r>
      <w:r>
        <w:rPr>
          <w:rFonts w:ascii="Arial" w:cs="Arial" w:eastAsia="Arial" w:hAnsi="Arial"/>
          <w:sz w:val="17"/>
          <w:szCs w:val="17"/>
          <w:color w:val="auto"/>
        </w:rPr>
        <w:t>”) and ICE Clear US, Inc. (“</w:t>
      </w:r>
      <w:r>
        <w:rPr>
          <w:rFonts w:ascii="Arial" w:cs="Arial" w:eastAsia="Arial" w:hAnsi="Arial"/>
          <w:sz w:val="17"/>
          <w:szCs w:val="17"/>
          <w:b w:val="1"/>
          <w:bCs w:val="1"/>
          <w:color w:val="auto"/>
        </w:rPr>
        <w:t>ICUS</w:t>
      </w:r>
      <w:r>
        <w:rPr>
          <w:rFonts w:ascii="Arial" w:cs="Arial" w:eastAsia="Arial" w:hAnsi="Arial"/>
          <w:sz w:val="17"/>
          <w:szCs w:val="17"/>
          <w:color w:val="auto"/>
        </w:rPr>
        <w:t>”) under our digital currency trading, clearing and custody services agreement with IFUS and ICUS (the “</w:t>
      </w:r>
      <w:r>
        <w:rPr>
          <w:rFonts w:ascii="Arial" w:cs="Arial" w:eastAsia="Arial" w:hAnsi="Arial"/>
          <w:sz w:val="17"/>
          <w:szCs w:val="17"/>
          <w:b w:val="1"/>
          <w:bCs w:val="1"/>
          <w:color w:val="auto"/>
        </w:rPr>
        <w:t>Triparty Agreement</w:t>
      </w:r>
      <w:r>
        <w:rPr>
          <w:rFonts w:ascii="Arial" w:cs="Arial" w:eastAsia="Arial" w:hAnsi="Arial"/>
          <w:sz w:val="17"/>
          <w:szCs w:val="17"/>
          <w:color w:val="auto"/>
        </w:rPr>
        <w:t>”), with additional capacity at our expense. A failure to meet service level commitments for a relatively short duration could cause us to be contractually obligated to issue credits or refunds to a large number of affected institutions and consumers or result in the loss of institutions and consumers. In addition, we cannot predict whether our institutions and consumer participants will accept these credits, refunds, termination or extension rights in lieu of other legal remedies that may be available to them. Our failure to meet our commitments could also result in substantial consumer dissatisfaction or loss. Because of the loss of future revenues through the issuance of credits or the loss institutions and of consumers or other potential liabilities, our revenue could be significantly impacted if we cannot meet our service level commitments.</w:t>
      </w:r>
    </w:p>
    <w:p>
      <w:pPr>
        <w:spacing w:after="0" w:line="187" w:lineRule="exact"/>
        <w:rPr>
          <w:sz w:val="20"/>
          <w:szCs w:val="20"/>
          <w:color w:val="auto"/>
        </w:rPr>
      </w:pPr>
    </w:p>
    <w:p>
      <w:pPr>
        <w:jc w:val="both"/>
        <w:ind w:left="380" w:right="180" w:firstLine="420"/>
        <w:spacing w:after="0" w:line="265" w:lineRule="auto"/>
        <w:rPr>
          <w:sz w:val="20"/>
          <w:szCs w:val="20"/>
          <w:color w:val="auto"/>
        </w:rPr>
      </w:pPr>
      <w:r>
        <w:rPr>
          <w:rFonts w:ascii="Arial" w:cs="Arial" w:eastAsia="Arial" w:hAnsi="Arial"/>
          <w:sz w:val="17"/>
          <w:szCs w:val="17"/>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76" w:lineRule="exact"/>
        <w:rPr>
          <w:sz w:val="20"/>
          <w:szCs w:val="20"/>
          <w:color w:val="auto"/>
        </w:rPr>
      </w:pPr>
    </w:p>
    <w:p>
      <w:pPr>
        <w:jc w:val="both"/>
        <w:ind w:left="380" w:firstLine="420"/>
        <w:spacing w:after="0" w:line="347" w:lineRule="auto"/>
        <w:rPr>
          <w:sz w:val="20"/>
          <w:szCs w:val="20"/>
          <w:color w:val="auto"/>
        </w:rPr>
      </w:pPr>
      <w:r>
        <w:rPr>
          <w:rFonts w:ascii="Arial" w:cs="Arial" w:eastAsia="Arial" w:hAnsi="Arial"/>
          <w:sz w:val="15"/>
          <w:szCs w:val="15"/>
          <w:color w:val="auto"/>
        </w:rPr>
        <w:t>Any of the above circumstances or events may harm our reputation, impair our ability to develop our platform and grow our base of users, subject us to financial penalties and liabilities under our service level agreements and otherwise harm our business, financial condition and results of operations.</w:t>
      </w:r>
    </w:p>
    <w:p>
      <w:pPr>
        <w:spacing w:after="0" w:line="222"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b w:val="1"/>
          <w:bCs w:val="1"/>
          <w:i w:val="1"/>
          <w:iCs w:val="1"/>
          <w:color w:val="auto"/>
        </w:rPr>
        <w:t>If we cannot keep pace with rapid technological developments to provide new and innovative products and services, the use of our products and services and, consequently, our revenues could decline.</w:t>
      </w:r>
    </w:p>
    <w:p>
      <w:pPr>
        <w:spacing w:after="0" w:line="62" w:lineRule="exact"/>
        <w:rPr>
          <w:sz w:val="20"/>
          <w:szCs w:val="20"/>
          <w:color w:val="auto"/>
        </w:rPr>
      </w:pPr>
    </w:p>
    <w:p>
      <w:pPr>
        <w:ind w:left="380" w:right="40" w:firstLine="420"/>
        <w:spacing w:after="0" w:line="271" w:lineRule="auto"/>
        <w:rPr>
          <w:sz w:val="20"/>
          <w:szCs w:val="20"/>
          <w:color w:val="auto"/>
        </w:rPr>
      </w:pPr>
      <w:r>
        <w:rPr>
          <w:rFonts w:ascii="Arial" w:cs="Arial" w:eastAsia="Arial" w:hAnsi="Arial"/>
          <w:sz w:val="16"/>
          <w:szCs w:val="16"/>
          <w:color w:val="auto"/>
        </w:rPr>
        <w:t>Rapid, significant and disruptive technological changes impact the industries in which we operate,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users,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40"/>
          </w:cols>
          <w:pgMar w:left="320" w:top="471" w:right="7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firstLine="420"/>
        <w:spacing w:after="0" w:line="347" w:lineRule="auto"/>
        <w:rPr>
          <w:sz w:val="20"/>
          <w:szCs w:val="20"/>
          <w:color w:val="auto"/>
        </w:rPr>
      </w:pPr>
      <w:r>
        <w:rPr>
          <w:rFonts w:ascii="Arial" w:cs="Arial" w:eastAsia="Arial" w:hAnsi="Arial"/>
          <w:sz w:val="15"/>
          <w:szCs w:val="15"/>
          <w:b w:val="1"/>
          <w:bCs w:val="1"/>
          <w:i w:val="1"/>
          <w:iCs w:val="1"/>
          <w:color w:val="auto"/>
        </w:rPr>
        <w:t>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16"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The concentration of a significant portion of our business and transaction volume with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Any such loss could make our platform less appealing to existing and potential users. In addition, because our business model anticipates revenue synergies between our loyalty redemption, alternative payment method and digital asset marketplace aspects, the loss of a significant partner in one aspect would have negative repercussions across the three separate revenue streams. Accordingly, the loss of any significant enterprise or loyalty partner or financial institution relationship could materially and adversely affect our business, results of operations, financial condition and future prospects.</w:t>
      </w:r>
    </w:p>
    <w:p>
      <w:pPr>
        <w:spacing w:after="0" w:line="260"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b w:val="1"/>
          <w:bCs w:val="1"/>
          <w:i w:val="1"/>
          <w:iCs w:val="1"/>
          <w:color w:val="auto"/>
        </w:rPr>
        <w:t>Failure to deal effectively with fraud, fictitious transactions, bad transactions and negative consumer experiences could increase our loss rate and harm our business and could severely diminish user confidence in and use of our platform.</w:t>
      </w:r>
    </w:p>
    <w:p>
      <w:pPr>
        <w:spacing w:after="0" w:line="62"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It is expected that our platform will process a significant volume and dollar value of transactions daily. In the event that enterprise or loyalty partners do not fulfill their obligations to consumers on our platform, we may incur substantial losses as a result of claims from consumers. We will seek to recover such losses from the partner, but we may not fully recover them if the partner is unwilling or unable to pay. In addition, in the event of the bankruptcy or other business interruption of a partner that sells goods or services in advance of the date of their delivery or use (e.g., airline, cruise or concert tickets, custom-made goods and subscriptions), we could be liable to consumers who buy such goods or services, through chargebacks. Furthermore, any reserves we generate to offset transaction losses may be insufficient.</w:t>
      </w:r>
    </w:p>
    <w:p>
      <w:pPr>
        <w:spacing w:after="0" w:line="167"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We may also incur substantial losses from claims that a consumer did not authorize fraudulent or erroneous transactions. We have taken measures to detect and reduce the risk of fraud on our platform, but these measures require continuous improvement and may not be effective in detecting and preventing fraud, particularly new and continually evolving forms of fraud or in connection with new or expanded product offerings. If these measures do not succeed, our business could be negatively impacted.</w:t>
      </w:r>
    </w:p>
    <w:p>
      <w:pPr>
        <w:spacing w:after="0" w:line="282"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b w:val="1"/>
          <w:bCs w:val="1"/>
          <w:i w:val="1"/>
          <w:iCs w:val="1"/>
          <w:color w:val="auto"/>
        </w:rPr>
        <w:t>Our failure to correctly cause the settlement of transactions running through our platform, or the failure of a third party to correctly follow instructions regarding settlement of such transactions, could harm our business.</w:t>
      </w:r>
    </w:p>
    <w:p>
      <w:pPr>
        <w:spacing w:after="0" w:line="62" w:lineRule="exact"/>
        <w:rPr>
          <w:sz w:val="20"/>
          <w:szCs w:val="20"/>
          <w:color w:val="auto"/>
        </w:rPr>
      </w:pPr>
    </w:p>
    <w:p>
      <w:pPr>
        <w:ind w:left="380" w:firstLine="420"/>
        <w:spacing w:after="0" w:line="274" w:lineRule="auto"/>
        <w:rPr>
          <w:sz w:val="20"/>
          <w:szCs w:val="20"/>
          <w:color w:val="auto"/>
        </w:rPr>
      </w:pPr>
      <w:r>
        <w:rPr>
          <w:rFonts w:ascii="Arial" w:cs="Arial" w:eastAsia="Arial" w:hAnsi="Arial"/>
          <w:sz w:val="16"/>
          <w:szCs w:val="16"/>
          <w:color w:val="auto"/>
        </w:rPr>
        <w:t>As our platform develops, we will be required to settle large amounts of user transactions on behalf of consumers and on behalf of or through enterprise and loyalty partners via their APIs. Our ability to correctly cause transaction settlement requires a high level of internal controls and to some degree requires the involvement and technology of our enterprise and loyalty partners. Since our platform is in its development stage, we have neither an established operating history nor proven management experience in developing or maintaining the necessary internal controls. Our success will require significant public confidence in our ability to handle large and growing transaction volumes and the cooperation of our enterprise and loyalty partners. Any failure by us, or by any third party, to maintain the necessary controls or to effect or cause settlement of transactions running through our platform accurately and in compliance with applicable regulatory requirements could result in reputational harm, lead users to discontinue or reduce their use of our platform and result in significant penalties and fines, any of which could materially harm our business.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60"/>
          </w:cols>
          <w:pgMar w:left="320" w:top="471" w:right="71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b w:val="1"/>
          <w:bCs w:val="1"/>
          <w:i w:val="1"/>
          <w:iCs w:val="1"/>
          <w:color w:val="auto"/>
        </w:rPr>
        <w:t>If we experience rapid growth, it may place significant demands on our operational, administrative and financial resources and it may be difficult to sustain such growth.</w:t>
      </w:r>
    </w:p>
    <w:p>
      <w:pPr>
        <w:spacing w:after="0" w:line="62" w:lineRule="exact"/>
        <w:rPr>
          <w:sz w:val="20"/>
          <w:szCs w:val="20"/>
          <w:color w:val="auto"/>
        </w:rPr>
      </w:pPr>
    </w:p>
    <w:p>
      <w:pPr>
        <w:jc w:val="both"/>
        <w:ind w:left="380" w:right="260" w:firstLine="420"/>
        <w:spacing w:after="0" w:line="289" w:lineRule="auto"/>
        <w:rPr>
          <w:sz w:val="20"/>
          <w:szCs w:val="20"/>
          <w:color w:val="auto"/>
        </w:rPr>
      </w:pPr>
      <w:r>
        <w:rPr>
          <w:rFonts w:ascii="Arial" w:cs="Arial" w:eastAsia="Arial" w:hAnsi="Arial"/>
          <w:sz w:val="16"/>
          <w:szCs w:val="16"/>
          <w:color w:val="auto"/>
        </w:rPr>
        <w:t>We have a relatively limited operating history even at our current scale and our projected growth in future periods following the launch of our consumer app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a result of our growth, we face significant challenges in:</w:t>
      </w:r>
    </w:p>
    <w:p>
      <w:pPr>
        <w:spacing w:after="0" w:line="126" w:lineRule="exact"/>
        <w:rPr>
          <w:sz w:val="20"/>
          <w:szCs w:val="20"/>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increasing the number of consumers on, and the volume of transactions facilitated through, our platform;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and developing relationships with existing and new enterprise and loyalty partners and financial institutions;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securing funding to maintain our operations and future growth;</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adequate financial, business and risk controls;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implementing new or updated information and financial risk controls and procedures;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navigating complex and evolving regulatory and competitive environments;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attracting, integrating and retaining an appropriate number of qualified employees of an adequate technological skill level;</w:t>
      </w:r>
    </w:p>
    <w:p>
      <w:pPr>
        <w:spacing w:after="0" w:line="126" w:lineRule="exact"/>
        <w:rPr>
          <w:rFonts w:ascii="Arial" w:cs="Arial" w:eastAsia="Arial" w:hAnsi="Arial"/>
          <w:sz w:val="17"/>
          <w:szCs w:val="17"/>
          <w:color w:val="auto"/>
        </w:rPr>
      </w:pPr>
    </w:p>
    <w:p>
      <w:pPr>
        <w:ind w:left="1300" w:right="460" w:hanging="410"/>
        <w:spacing w:after="0" w:line="27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particularly in the COVID-19 environment, training, managing and appropriately sizing our workforce and other components of our business on a timely and cost-effective basis;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expanding within existing markets;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entering new markets and introducing new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continuing to develop, maintain, protect and scale our platform;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using limited personnel and technology resources; and</w:t>
      </w:r>
    </w:p>
    <w:p>
      <w:pPr>
        <w:spacing w:after="0" w:line="126" w:lineRule="exact"/>
        <w:rPr>
          <w:rFonts w:ascii="Arial" w:cs="Arial" w:eastAsia="Arial" w:hAnsi="Arial"/>
          <w:sz w:val="17"/>
          <w:szCs w:val="17"/>
          <w:color w:val="auto"/>
        </w:rPr>
      </w:pPr>
    </w:p>
    <w:p>
      <w:pPr>
        <w:ind w:left="1300" w:right="40" w:hanging="410"/>
        <w:spacing w:after="0" w:line="27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the security of our platform and the confidentiality of the information, including personally identifiable information, provided and utilized across our platform.</w:t>
      </w:r>
    </w:p>
    <w:p>
      <w:pPr>
        <w:spacing w:after="0" w:line="165"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We may not be able to properly manage and scale our expanding operations effectively, and any failure to do so could adversely affect our ability to generate revenue and control our expenses, and would materially and adversely affect our business, financial condition, results of operations and future prospects.</w:t>
      </w:r>
    </w:p>
    <w:p>
      <w:pPr>
        <w:spacing w:after="0" w:line="279" w:lineRule="exact"/>
        <w:rPr>
          <w:sz w:val="20"/>
          <w:szCs w:val="20"/>
          <w:color w:val="auto"/>
        </w:rPr>
      </w:pPr>
    </w:p>
    <w:p>
      <w:pPr>
        <w:ind w:left="380" w:right="100" w:firstLine="420"/>
        <w:spacing w:after="0" w:line="383" w:lineRule="auto"/>
        <w:rPr>
          <w:sz w:val="20"/>
          <w:szCs w:val="20"/>
          <w:color w:val="auto"/>
        </w:rPr>
      </w:pPr>
      <w:r>
        <w:rPr>
          <w:rFonts w:ascii="Arial" w:cs="Arial" w:eastAsia="Arial" w:hAnsi="Arial"/>
          <w:sz w:val="14"/>
          <w:szCs w:val="14"/>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We have in the past and may in the future seek to acquire or invest in businesses, joint ventures and platform technologies that we believe could complement or expand our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or if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results of operations.</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20"/>
          </w:cols>
          <w:pgMar w:left="320" w:top="471" w:right="7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such capital might not be available on acceptable terms, if at all.</w:t>
      </w:r>
    </w:p>
    <w:p>
      <w:pPr>
        <w:spacing w:after="0" w:line="148"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Other than the proceeds received from the Business Combination, 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financial condition and results of operations may be adversely affected by the impact of the global outbreak of the coronavirus.</w:t>
      </w:r>
    </w:p>
    <w:p>
      <w:pPr>
        <w:spacing w:after="0" w:line="125"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For example, the deadly global outbreak and continuing spread of COVID-19 (including its variants) could have an adverse effect on the value, operating results and financial condition of our business. In addition, the impact of COVID-19 is likely to cause substantial changes in consumer behavior and has caused restrictions on business and individual activities, which are likely to lead to reduced economic activity. These effects could be exacerbated or prolonged by the emergence of COVID-19 variants, including the “delta” variant. Extraordinary actions taken by international, federal, state and local public health and governmental authorities to contain and combat the outbreak and spread of COVID-19 (including its variants) in regions throughout the world, including travel bans, quarantines, “stay-at-home” orders and similar mandates for many individuals and businesses to substantially restrict daily activities has had and may continue to have an adverse effect on our financial condition and results of operations. The extent and duration of the economic slowdown attributable to COVID-19 (including its variants) remains uncertain at this time. A continued significant economic slowdown, or periodic resurgences due to COVID-19 variants and/or the failure to achieve appropriate vaccination or immunity rates, or the potential fading effect of certain vaccines, could have a substantial adverse effect on our financial condition, liquidity and results of operations.</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Cryptoassets</w:t>
      </w:r>
    </w:p>
    <w:p>
      <w:pPr>
        <w:spacing w:after="0" w:line="119" w:lineRule="exact"/>
        <w:rPr>
          <w:sz w:val="20"/>
          <w:szCs w:val="20"/>
          <w:color w:val="auto"/>
        </w:rPr>
      </w:pPr>
    </w:p>
    <w:p>
      <w:pPr>
        <w:jc w:val="both"/>
        <w:ind w:left="380" w:right="20" w:firstLine="420"/>
        <w:spacing w:after="0" w:line="348" w:lineRule="auto"/>
        <w:rPr>
          <w:sz w:val="20"/>
          <w:szCs w:val="20"/>
          <w:color w:val="auto"/>
        </w:rPr>
      </w:pPr>
      <w:r>
        <w:rPr>
          <w:rFonts w:ascii="Arial" w:cs="Arial" w:eastAsia="Arial" w:hAnsi="Arial"/>
          <w:sz w:val="14"/>
          <w:szCs w:val="14"/>
          <w:b w:val="1"/>
          <w:bCs w:val="1"/>
          <w:i w:val="1"/>
          <w:iCs w:val="1"/>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20" w:lineRule="exact"/>
        <w:rPr>
          <w:sz w:val="20"/>
          <w:szCs w:val="20"/>
          <w:color w:val="auto"/>
        </w:rPr>
      </w:pPr>
    </w:p>
    <w:p>
      <w:pPr>
        <w:ind w:left="380" w:right="240" w:firstLine="420"/>
        <w:spacing w:after="0" w:line="257" w:lineRule="auto"/>
        <w:rPr>
          <w:sz w:val="20"/>
          <w:szCs w:val="20"/>
          <w:color w:val="auto"/>
        </w:rPr>
      </w:pPr>
      <w:r>
        <w:rPr>
          <w:rFonts w:ascii="Arial" w:cs="Arial" w:eastAsia="Arial" w:hAnsi="Arial"/>
          <w:sz w:val="17"/>
          <w:szCs w:val="17"/>
          <w:color w:val="auto"/>
        </w:rPr>
        <w:t>Our systems and custodial solutions involve the processing, storage and transmission of cryptoassets and data. While we contractually limit the amount of exposure we have in the event that cryptoassets are stolen or misappropriated, we cannot guarantee that these limits will protect us from additional liability and other damage. The theft or misappropriation of cryptoassets held in custody by us would likely result in financial loss, reputational damage, potential lack of trust from our users, negative press coverage and diversion of our management’s time and focus. The secure storage and transmission of cryptoassets and data over networks will be a critical element of our operations. Despite the defensive measures we may take, these threats may come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860"/>
          </w:cols>
          <w:pgMar w:left="320" w:top="471" w:right="7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0"/>
        <w:spacing w:after="0" w:line="347" w:lineRule="auto"/>
        <w:rPr>
          <w:sz w:val="20"/>
          <w:szCs w:val="20"/>
          <w:color w:val="auto"/>
        </w:rPr>
      </w:pPr>
      <w:r>
        <w:rPr>
          <w:rFonts w:ascii="Arial" w:cs="Arial" w:eastAsia="Arial" w:hAnsi="Arial"/>
          <w:sz w:val="15"/>
          <w:szCs w:val="15"/>
          <w:color w:val="auto"/>
        </w:rPr>
        <w:t>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19" w:lineRule="exact"/>
        <w:rPr>
          <w:sz w:val="20"/>
          <w:szCs w:val="20"/>
          <w:color w:val="auto"/>
        </w:rPr>
      </w:pPr>
    </w:p>
    <w:p>
      <w:pPr>
        <w:ind w:left="380" w:right="60" w:firstLine="420"/>
        <w:spacing w:after="0" w:line="259" w:lineRule="auto"/>
        <w:rPr>
          <w:sz w:val="20"/>
          <w:szCs w:val="20"/>
          <w:color w:val="auto"/>
        </w:rPr>
      </w:pPr>
      <w:r>
        <w:rPr>
          <w:rFonts w:ascii="Arial" w:cs="Arial" w:eastAsia="Arial" w:hAnsi="Arial"/>
          <w:sz w:val="17"/>
          <w:szCs w:val="17"/>
          <w:color w:val="auto"/>
        </w:rPr>
        <w:t>Cryptoasset transactions may be irrevocable, and stolen or incorrectly transferred cryptoassets may be irretrievable. Once a transaction has been verified and recorded in a block that is added to the distributed ledger, an incorrect transfer of a cryptoasset generally will not be reversible, and we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our ability to continue as a going concern.</w:t>
      </w:r>
    </w:p>
    <w:p>
      <w:pPr>
        <w:spacing w:after="0" w:line="180" w:lineRule="exact"/>
        <w:rPr>
          <w:sz w:val="20"/>
          <w:szCs w:val="20"/>
          <w:color w:val="auto"/>
        </w:rPr>
      </w:pPr>
    </w:p>
    <w:p>
      <w:pPr>
        <w:ind w:left="380" w:right="20" w:firstLine="420"/>
        <w:spacing w:after="0" w:line="256" w:lineRule="auto"/>
        <w:rPr>
          <w:sz w:val="20"/>
          <w:szCs w:val="20"/>
          <w:color w:val="auto"/>
        </w:rPr>
      </w:pPr>
      <w:r>
        <w:rPr>
          <w:rFonts w:ascii="Arial" w:cs="Arial" w:eastAsia="Arial" w:hAnsi="Arial"/>
          <w:sz w:val="17"/>
          <w:szCs w:val="17"/>
          <w:color w:val="auto"/>
        </w:rPr>
        <w:t>Cryptoassets are controllable only by the possessor of private keys relating to the distributed ledger through which the cryptoassets are held. While the distributed ledgers require a public key relating to a digital asset to be published when used in a transaction, private keys must be safeguarded and kept private in order to prevent a third party from accessing the cryptoassets. To the extent our private keys are lost, destroyed, or otherwise compromised and no backups of the private keys are accessible, we will be unable to access the cryptoassets held through the distributed ledger. Any loss of private keys relating to, or hack or other compromise of, our cryptoassets could adversely affect our consumers’ ability to access or sell their cryptoassets and could harm consumers’ trust in us and our products. Additionally, any loss of private keys relating to, or hack or other compromise of, the distributed ledger through which third parties store cryptoassets could have negative reputational effects on us and harm consumers’ trust in us and our products.</w:t>
      </w:r>
    </w:p>
    <w:p>
      <w:pPr>
        <w:spacing w:after="0" w:line="184"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While we maintain insurance policies, those policies may not be adequate to reimburse us for losses caused by security breaches, and we may lose cryptoassets valued in excess of the insurance policy without any recourse. Unlike bank accounts or accounts at some other financial institutions, in the event of loss or loss of utility value, there is no public insurer to offer recourse to us or to any consumer and the misappropriated cryptoassets may not be easily traced to the bad actor.</w:t>
      </w:r>
    </w:p>
    <w:p>
      <w:pPr>
        <w:spacing w:after="0" w:line="179" w:lineRule="exact"/>
        <w:rPr>
          <w:sz w:val="20"/>
          <w:szCs w:val="20"/>
          <w:color w:val="auto"/>
        </w:rPr>
      </w:pPr>
    </w:p>
    <w:p>
      <w:pPr>
        <w:ind w:left="380" w:right="140" w:firstLine="420"/>
        <w:spacing w:after="0" w:line="265" w:lineRule="auto"/>
        <w:rPr>
          <w:sz w:val="20"/>
          <w:szCs w:val="20"/>
          <w:color w:val="auto"/>
        </w:rPr>
      </w:pPr>
      <w:r>
        <w:rPr>
          <w:rFonts w:ascii="Arial" w:cs="Arial" w:eastAsia="Arial" w:hAnsi="Arial"/>
          <w:sz w:val="17"/>
          <w:szCs w:val="17"/>
          <w:color w:val="auto"/>
        </w:rPr>
        <w:t>Further, when cryptoasset custodial solutions or transfer venues, whether involving our systems or others, experience system failures or other operational issues, such events could result in a reduction in cryptoasset prices or confidence and impact our success and have a material adverse effect on our ability to continue as a going concern.</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cryptoasset business’s pricing model and incentive arrangements may create conflicts of interest and affect our revenues.</w:t>
      </w:r>
    </w:p>
    <w:p>
      <w:pPr>
        <w:spacing w:after="0" w:line="119" w:lineRule="exact"/>
        <w:rPr>
          <w:sz w:val="20"/>
          <w:szCs w:val="20"/>
          <w:color w:val="auto"/>
        </w:rPr>
      </w:pPr>
    </w:p>
    <w:p>
      <w:pPr>
        <w:ind w:left="380" w:right="100" w:firstLine="420"/>
        <w:spacing w:after="0" w:line="256" w:lineRule="auto"/>
        <w:rPr>
          <w:sz w:val="20"/>
          <w:szCs w:val="20"/>
          <w:color w:val="auto"/>
        </w:rPr>
      </w:pPr>
      <w:r>
        <w:rPr>
          <w:rFonts w:ascii="Arial" w:cs="Arial" w:eastAsia="Arial" w:hAnsi="Arial"/>
          <w:sz w:val="17"/>
          <w:szCs w:val="17"/>
          <w:color w:val="auto"/>
        </w:rPr>
        <w:t>In our cryptoasset business, our subsidiary, Bakkt Marketplace, LLC (“</w:t>
      </w:r>
      <w:r>
        <w:rPr>
          <w:rFonts w:ascii="Arial" w:cs="Arial" w:eastAsia="Arial" w:hAnsi="Arial"/>
          <w:sz w:val="17"/>
          <w:szCs w:val="17"/>
          <w:b w:val="1"/>
          <w:bCs w:val="1"/>
          <w:color w:val="auto"/>
        </w:rPr>
        <w:t>Bakkt Marketplace</w:t>
      </w:r>
      <w:r>
        <w:rPr>
          <w:rFonts w:ascii="Arial" w:cs="Arial" w:eastAsia="Arial" w:hAnsi="Arial"/>
          <w:sz w:val="17"/>
          <w:szCs w:val="17"/>
          <w:color w:val="auto"/>
        </w:rPr>
        <w:t>”), will transact with consumers on its platform for its own account, at a price determined by us, which will reflect a margin or other compensation to us. Bakkt Marketplace is not acting as broker on behalf of the consumer, and there is no assurance that prices on its platform will be as favorable to consumers as prices that may be available from other sources. To facilitate consumer transactions, we will enter into transactions in cryptoassets with trading counterparties. The prices at which we are able to transact with trading counterparties may affect the prices at which we buy or sell from or to consumers. In addition, we may enter into arrangements that give it an incentive to use certain trading counterparties for this purpose, which may also affect the price at which Bakkt Marketplace is willing to transact with its consumers. These arrangements may present conflicts of interest. Some consumers may object to our pricing model, as well as our arrangements with trading counterparties, and any negative views of users or market participants regarding our pricing and such arrangements could adversely affect our business.</w:t>
      </w:r>
    </w:p>
    <w:p>
      <w:pPr>
        <w:spacing w:after="0" w:line="290" w:lineRule="exact"/>
        <w:rPr>
          <w:sz w:val="20"/>
          <w:szCs w:val="20"/>
          <w:color w:val="auto"/>
        </w:rPr>
      </w:pPr>
    </w:p>
    <w:p>
      <w:pPr>
        <w:ind w:left="380" w:right="280" w:firstLine="420"/>
        <w:spacing w:after="0" w:line="278" w:lineRule="auto"/>
        <w:rPr>
          <w:sz w:val="20"/>
          <w:szCs w:val="20"/>
          <w:color w:val="auto"/>
        </w:rPr>
      </w:pPr>
      <w:r>
        <w:rPr>
          <w:rFonts w:ascii="Arial" w:cs="Arial" w:eastAsia="Arial" w:hAnsi="Arial"/>
          <w:sz w:val="17"/>
          <w:szCs w:val="17"/>
          <w:b w:val="1"/>
          <w:bCs w:val="1"/>
          <w:i w:val="1"/>
          <w:iCs w:val="1"/>
          <w:color w:val="auto"/>
        </w:rPr>
        <w:t>There may be a general perception among regulators and others that cryptoassets are used to facilitate illegal activity such as fraud, money laundering, tax evasion and ransomware scams. Because we provide the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80"/>
          </w:cols>
          <w:pgMar w:left="320" w:top="471" w:right="6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80"/>
        <w:spacing w:after="0" w:line="278" w:lineRule="auto"/>
        <w:rPr>
          <w:sz w:val="20"/>
          <w:szCs w:val="20"/>
          <w:color w:val="auto"/>
        </w:rPr>
      </w:pPr>
      <w:r>
        <w:rPr>
          <w:rFonts w:ascii="Arial" w:cs="Arial" w:eastAsia="Arial" w:hAnsi="Arial"/>
          <w:sz w:val="17"/>
          <w:szCs w:val="17"/>
          <w:b w:val="1"/>
          <w:bCs w:val="1"/>
          <w:i w:val="1"/>
          <w:iCs w:val="1"/>
          <w:color w:val="auto"/>
        </w:rPr>
        <w:t>ability to buy, sell, convert, spend and send certain cryptoassets, any negative perceptions associated with cryptoassets could harm our reputation and brand.</w:t>
      </w:r>
    </w:p>
    <w:p>
      <w:pPr>
        <w:spacing w:after="0" w:line="62"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to facilitate other illegal activity. Because our platform allows certain individuals and institutions that are direct customers of Bakkt Trust (we sometimes refer to the custody operations conducted by Bakkt Trust as the “</w:t>
      </w:r>
      <w:r>
        <w:rPr>
          <w:rFonts w:ascii="Arial" w:cs="Arial" w:eastAsia="Arial" w:hAnsi="Arial"/>
          <w:sz w:val="16"/>
          <w:szCs w:val="16"/>
          <w:b w:val="1"/>
          <w:bCs w:val="1"/>
          <w:color w:val="auto"/>
        </w:rPr>
        <w:t>Bakkt Warehouse</w:t>
      </w:r>
      <w:r>
        <w:rPr>
          <w:rFonts w:ascii="Arial" w:cs="Arial" w:eastAsia="Arial" w:hAnsi="Arial"/>
          <w:sz w:val="16"/>
          <w:szCs w:val="16"/>
          <w:color w:val="auto"/>
        </w:rPr>
        <w:t>”) to deposit and withdraw cryptoassets, and our platform allows consumers to buy, sell, convert, spend and send cryptoassets, this perception may harm our reputation and brand because it could be viewed as facilitating, or could otherwise become associated with, these illegal activities. Any such negative perception of our brand and reputation could harm our business. Further, banks may not provide banking services, or may cut off banking services, to businesses that provide cryptoasset-related services, which could dampen liquidity in the market and damage the public perception of cryptoassets generally or any one digital asset in particular, such as bitcoin, which could decrease the trading volume of cryptoassets.</w:t>
      </w:r>
    </w:p>
    <w:p>
      <w:pPr>
        <w:spacing w:after="0" w:line="279" w:lineRule="exact"/>
        <w:rPr>
          <w:sz w:val="20"/>
          <w:szCs w:val="20"/>
          <w:color w:val="auto"/>
        </w:rPr>
      </w:pPr>
    </w:p>
    <w:p>
      <w:pPr>
        <w:ind w:left="380" w:right="220" w:firstLine="420"/>
        <w:spacing w:after="0" w:line="347" w:lineRule="auto"/>
        <w:rPr>
          <w:sz w:val="20"/>
          <w:szCs w:val="20"/>
          <w:color w:val="auto"/>
        </w:rPr>
      </w:pPr>
      <w:r>
        <w:rPr>
          <w:rFonts w:ascii="Arial" w:cs="Arial" w:eastAsia="Arial" w:hAnsi="Arial"/>
          <w:sz w:val="15"/>
          <w:szCs w:val="15"/>
          <w:b w:val="1"/>
          <w:bCs w:val="1"/>
          <w:i w:val="1"/>
          <w:iCs w:val="1"/>
          <w:color w:val="auto"/>
        </w:rPr>
        <w:t>Cryptoassets, such as bitcoin, do not have extensive historical precedence and distributed ledger technology continues to rapidly evolve. The unique characteristics of these digital assets present risks and challenges to us that could have a material adverse effect on our business.</w:t>
      </w:r>
    </w:p>
    <w:p>
      <w:pPr>
        <w:spacing w:after="0" w:line="16" w:lineRule="exact"/>
        <w:rPr>
          <w:sz w:val="20"/>
          <w:szCs w:val="20"/>
          <w:color w:val="auto"/>
        </w:rPr>
      </w:pPr>
    </w:p>
    <w:p>
      <w:pPr>
        <w:ind w:left="380" w:right="20" w:firstLine="420"/>
        <w:spacing w:after="0" w:line="291" w:lineRule="auto"/>
        <w:rPr>
          <w:sz w:val="20"/>
          <w:szCs w:val="20"/>
          <w:color w:val="auto"/>
        </w:rPr>
      </w:pPr>
      <w:r>
        <w:rPr>
          <w:rFonts w:ascii="Arial" w:cs="Arial" w:eastAsia="Arial" w:hAnsi="Arial"/>
          <w:sz w:val="15"/>
          <w:szCs w:val="15"/>
          <w:color w:val="auto"/>
        </w:rPr>
        <w:t>Cryptoassets, such as bitcoin, do not have extensive historical precedence, and distributed ledger technology continues to rapidly evolve. Given the infancy of the development of cryptoasset networks, parties may be unwilling to transact in cryptoassets, which would dampen the growth, if any, of cryptoasset networks. In our capacity as a cryptoasset custodian, our platform holds cryptoassets for individual and institutional consumers, and buys, sells, sends and receives cryptoassets to fulfill buy and sell orders of such consumers, which it then holds on behalf of the consumers through the Bakkt Warehouse. The rate of change of cryptoasset networks can present technological challenges and require us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our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our cryptoasset and custody business.</w:t>
      </w:r>
    </w:p>
    <w:p>
      <w:pPr>
        <w:spacing w:after="0" w:line="262" w:lineRule="exact"/>
        <w:rPr>
          <w:sz w:val="20"/>
          <w:szCs w:val="20"/>
          <w:color w:val="auto"/>
        </w:rPr>
      </w:pPr>
    </w:p>
    <w:p>
      <w:pPr>
        <w:ind w:left="380" w:right="380" w:firstLine="420"/>
        <w:spacing w:after="0" w:line="278" w:lineRule="auto"/>
        <w:rPr>
          <w:sz w:val="20"/>
          <w:szCs w:val="20"/>
          <w:color w:val="auto"/>
        </w:rPr>
      </w:pPr>
      <w:r>
        <w:rPr>
          <w:rFonts w:ascii="Arial" w:cs="Arial" w:eastAsia="Arial" w:hAnsi="Arial"/>
          <w:sz w:val="17"/>
          <w:szCs w:val="17"/>
          <w:b w:val="1"/>
          <w:bCs w:val="1"/>
          <w:i w:val="1"/>
          <w:iCs w:val="1"/>
          <w:color w:val="auto"/>
        </w:rPr>
        <w:t>Our financial results and the market price of our securities may be adversely affected if price volatility of cryptoassets causes our internal market maker algorithm to malfunction.</w:t>
      </w:r>
    </w:p>
    <w:p>
      <w:pPr>
        <w:spacing w:after="0" w:line="62" w:lineRule="exact"/>
        <w:rPr>
          <w:sz w:val="20"/>
          <w:szCs w:val="20"/>
          <w:color w:val="auto"/>
        </w:rPr>
      </w:pPr>
    </w:p>
    <w:p>
      <w:pPr>
        <w:ind w:left="380" w:right="100" w:firstLine="420"/>
        <w:spacing w:after="0" w:line="259" w:lineRule="auto"/>
        <w:rPr>
          <w:sz w:val="20"/>
          <w:szCs w:val="20"/>
          <w:color w:val="auto"/>
        </w:rPr>
      </w:pPr>
      <w:r>
        <w:rPr>
          <w:rFonts w:ascii="Arial" w:cs="Arial" w:eastAsia="Arial" w:hAnsi="Arial"/>
          <w:sz w:val="17"/>
          <w:szCs w:val="17"/>
          <w:color w:val="auto"/>
        </w:rPr>
        <w:t>We hold cryptoassets for consumers through a consumer account at the Bakkt Warehouse, and we use a proprietary algorithm that automatically maintains the appropriate level of cryptoassets in our treasury (proprietary) account for the purposes of maintaining our desired proprietary balance of cryptoassets and fulfilling the buy and sell orders of cryptoasset consumers. The price of cryptoassets have historically been subject to dramatic price fluctuations and are highly volatile and the value of our cryptoasset holdings could be affected. Additionally, it is possible that our algorithm could fail, for example, as a result of such dramatic price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60"/>
          </w:cols>
          <w:pgMar w:left="320" w:top="471" w:right="71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spacing w:after="0" w:line="273" w:lineRule="auto"/>
        <w:rPr>
          <w:sz w:val="20"/>
          <w:szCs w:val="20"/>
          <w:color w:val="auto"/>
        </w:rPr>
      </w:pPr>
      <w:r>
        <w:rPr>
          <w:rFonts w:ascii="Arial" w:cs="Arial" w:eastAsia="Arial" w:hAnsi="Arial"/>
          <w:sz w:val="16"/>
          <w:szCs w:val="16"/>
          <w:color w:val="auto"/>
        </w:rPr>
        <w:t>fluctuations, and cause us to have to buy or sell one or more cryptoassets for a loss relative to the price at which we bought or sold such cryptoassets from or to consumers. Further, our algorithm could malfunction and buy or sell far more or far fewer cryptoassets than is necessary for the purposes of maintaining our desired proprietary balance of cryptoassets and fulfilling the buy and sell orders of cryptoasset consumers. Such a malfunction could cause us to hold dramatically more cryptoassets than we should hold or that we have the capital to acquire, or cause us to be unable to fulfill the buy orders of consumers, all of which may cause us to experience damage to our reputation as well as financial losses. Any such losses caused by a malfunction of our algorithm may create significant volatility in our reported earnings. Any decrease in reported earnings or increased volatility of such earnings due to such losses could have a material adverse effect on the market price of our securities. Further, any future changes in U.S. generally accepted accounting principles (“GAAP”) that require us to change the manner in which we account for our cryptoassets in our own account could have a material adverse effect on our financial results and the market price of our securities.</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The loss of the services of our senior management could adversely affect our business.</w:t>
      </w:r>
    </w:p>
    <w:p>
      <w:pPr>
        <w:spacing w:after="0" w:line="113" w:lineRule="exact"/>
        <w:rPr>
          <w:sz w:val="20"/>
          <w:szCs w:val="20"/>
          <w:color w:val="auto"/>
        </w:rPr>
      </w:pPr>
    </w:p>
    <w:p>
      <w:pPr>
        <w:ind w:left="380" w:firstLine="420"/>
        <w:spacing w:after="0" w:line="296" w:lineRule="auto"/>
        <w:rPr>
          <w:sz w:val="20"/>
          <w:szCs w:val="20"/>
          <w:color w:val="auto"/>
        </w:rPr>
      </w:pPr>
      <w:r>
        <w:rPr>
          <w:rFonts w:ascii="Arial" w:cs="Arial" w:eastAsia="Arial" w:hAnsi="Arial"/>
          <w:sz w:val="15"/>
          <w:szCs w:val="15"/>
          <w:color w:val="auto"/>
        </w:rPr>
        <w:t>The experience of our senior management is a valuable asset to us. If we are unable to retain members of our core senior management team, including our Chief Executive Officer, Gavin Michael,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in the digital assets, payments, loyalty and institutional trading businesses, is responsible for many of our core competencies, and would be difficult to replace. Competition for senior executives in these businesses, especially in the unique manner in which we combine such competencies,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business would suffer if we fail to attract and retain highly skilled employees.</w:t>
      </w:r>
    </w:p>
    <w:p>
      <w:pPr>
        <w:spacing w:after="0" w:line="113"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Regulation, Taxation and Laws</w:t>
      </w:r>
    </w:p>
    <w:p>
      <w:pPr>
        <w:spacing w:after="0" w:line="119" w:lineRule="exact"/>
        <w:rPr>
          <w:sz w:val="20"/>
          <w:szCs w:val="20"/>
          <w:color w:val="auto"/>
        </w:rPr>
      </w:pPr>
    </w:p>
    <w:p>
      <w:pPr>
        <w:ind w:left="380" w:right="140" w:firstLine="420"/>
        <w:spacing w:after="0" w:line="311" w:lineRule="auto"/>
        <w:rPr>
          <w:sz w:val="20"/>
          <w:szCs w:val="20"/>
          <w:color w:val="auto"/>
        </w:rPr>
      </w:pPr>
      <w:r>
        <w:rPr>
          <w:rFonts w:ascii="Arial" w:cs="Arial" w:eastAsia="Arial" w:hAnsi="Arial"/>
          <w:sz w:val="16"/>
          <w:szCs w:val="16"/>
          <w:b w:val="1"/>
          <w:bCs w:val="1"/>
          <w:i w:val="1"/>
          <w:iCs w:val="1"/>
          <w:color w:val="auto"/>
        </w:rPr>
        <w:t>We are a holding company and our only material asset is our interest in Opco, and it is accordingly dependent upon distributions made by its subsidiaries to pay taxes and expenses, make payments under the Tax Receivable Agreement and pay dividends.</w:t>
      </w:r>
    </w:p>
    <w:p>
      <w:pPr>
        <w:spacing w:after="0" w:line="38" w:lineRule="exact"/>
        <w:rPr>
          <w:sz w:val="20"/>
          <w:szCs w:val="20"/>
          <w:color w:val="auto"/>
        </w:rPr>
      </w:pPr>
    </w:p>
    <w:p>
      <w:pPr>
        <w:ind w:left="380" w:right="60" w:firstLine="420"/>
        <w:spacing w:after="0" w:line="275" w:lineRule="auto"/>
        <w:rPr>
          <w:sz w:val="20"/>
          <w:szCs w:val="20"/>
          <w:color w:val="auto"/>
        </w:rPr>
      </w:pPr>
      <w:r>
        <w:rPr>
          <w:rFonts w:ascii="Arial" w:cs="Arial" w:eastAsia="Arial" w:hAnsi="Arial"/>
          <w:sz w:val="16"/>
          <w:szCs w:val="16"/>
          <w:color w:val="auto"/>
        </w:rPr>
        <w:t>We are a holding company with no material assets other than our ownership of Opco Common Units and our managing member interest in Opco. As a result, we have no independent means of generating revenue or cash flow. Our ability to pay taxes and operating expenses, make payments under the Tax Receivable Agreement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and pay dividends (if any) will depend on the financial results and cash flows of Opco and its subsidiaries and the distributions we receive from Opco. Deterioration in the financial condition, earnings or cash flow of Opco and its subsidiaries for any reason could limit or impair Opco’s ability to pay such distributions. Additionally, to the extent we need funds and Opco and/or any of its subsidiaries are restricted from making such distributions under applicable law or regulation or under the terms of any financing arrangements, or Opco is otherwise unable to provide such funds, it could materially adversely affect our liquidity and financial condition.</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860"/>
          </w:cols>
          <w:pgMar w:left="320" w:top="471" w:right="7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71" w:lineRule="auto"/>
        <w:rPr>
          <w:sz w:val="20"/>
          <w:szCs w:val="20"/>
          <w:color w:val="auto"/>
        </w:rPr>
      </w:pPr>
      <w:r>
        <w:rPr>
          <w:rFonts w:ascii="Arial" w:cs="Arial" w:eastAsia="Arial" w:hAnsi="Arial"/>
          <w:sz w:val="16"/>
          <w:szCs w:val="16"/>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Arial" w:cs="Arial" w:eastAsia="Arial" w:hAnsi="Arial"/>
          <w:sz w:val="16"/>
          <w:szCs w:val="16"/>
          <w:i w:val="1"/>
          <w:iCs w:val="1"/>
          <w:color w:val="auto"/>
        </w:rPr>
        <w:t>pro rata</w:t>
      </w:r>
      <w:r>
        <w:rPr>
          <w:rFonts w:ascii="Arial" w:cs="Arial" w:eastAsia="Arial" w:hAnsi="Arial"/>
          <w:sz w:val="16"/>
          <w:szCs w:val="16"/>
          <w:color w:val="auto"/>
        </w:rPr>
        <w:t>, in aggregate amounts sufficient to cover all of our applicable income taxes, payments required to be made by us under the Tax Receivable Agreement and dividends, if any, declared us. However, as discussed below,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177" w:lineRule="exact"/>
        <w:rPr>
          <w:sz w:val="20"/>
          <w:szCs w:val="20"/>
          <w:color w:val="auto"/>
        </w:rPr>
      </w:pPr>
    </w:p>
    <w:p>
      <w:pPr>
        <w:jc w:val="both"/>
        <w:ind w:left="380" w:right="40" w:firstLine="420"/>
        <w:spacing w:after="0" w:line="317" w:lineRule="auto"/>
        <w:rPr>
          <w:sz w:val="20"/>
          <w:szCs w:val="20"/>
          <w:color w:val="auto"/>
        </w:rPr>
      </w:pPr>
      <w:r>
        <w:rPr>
          <w:rFonts w:ascii="Arial" w:cs="Arial" w:eastAsia="Arial" w:hAnsi="Arial"/>
          <w:sz w:val="15"/>
          <w:szCs w:val="15"/>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140" w:lineRule="exact"/>
        <w:rPr>
          <w:sz w:val="20"/>
          <w:szCs w:val="20"/>
          <w:color w:val="auto"/>
        </w:rPr>
      </w:pPr>
    </w:p>
    <w:p>
      <w:pPr>
        <w:ind w:left="380" w:firstLine="420"/>
        <w:spacing w:after="0" w:line="294" w:lineRule="auto"/>
        <w:rPr>
          <w:sz w:val="20"/>
          <w:szCs w:val="20"/>
          <w:color w:val="auto"/>
        </w:rPr>
      </w:pPr>
      <w:r>
        <w:rPr>
          <w:rFonts w:ascii="Arial" w:cs="Arial" w:eastAsia="Arial" w:hAnsi="Arial"/>
          <w:sz w:val="15"/>
          <w:szCs w:val="15"/>
          <w:color w:val="auto"/>
        </w:rPr>
        <w:t>We anticipate that the distributions we will receive from Opco may, in certain periods, exceed our actual tax liabilities and obligations to make payments under the Tax Receivable Agreement. Our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56"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Dividends on our common stock, if any, will be paid at the discretion of the Board,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 If Opco does not have sufficient funds to make distributions, our ability to declare and pay cash dividends may also be restricted or impaired.</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860"/>
          </w:cols>
          <w:pgMar w:left="320" w:top="471" w:right="71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73" w:lineRule="exact"/>
        <w:rPr>
          <w:sz w:val="20"/>
          <w:szCs w:val="20"/>
          <w:color w:val="auto"/>
        </w:rPr>
      </w:pPr>
    </w:p>
    <w:p>
      <w:pPr>
        <w:ind w:left="380" w:right="140" w:firstLine="420"/>
        <w:spacing w:after="0" w:line="301" w:lineRule="auto"/>
        <w:rPr>
          <w:sz w:val="20"/>
          <w:szCs w:val="20"/>
          <w:color w:val="auto"/>
        </w:rPr>
      </w:pPr>
      <w:r>
        <w:rPr>
          <w:rFonts w:ascii="Arial" w:cs="Arial" w:eastAsia="Arial" w:hAnsi="Arial"/>
          <w:sz w:val="15"/>
          <w:szCs w:val="15"/>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53" w:lineRule="exact"/>
        <w:rPr>
          <w:sz w:val="20"/>
          <w:szCs w:val="20"/>
          <w:color w:val="auto"/>
        </w:rPr>
      </w:pPr>
    </w:p>
    <w:p>
      <w:pPr>
        <w:ind w:left="380" w:firstLine="420"/>
        <w:spacing w:after="0" w:line="270" w:lineRule="auto"/>
        <w:rPr>
          <w:sz w:val="20"/>
          <w:szCs w:val="20"/>
          <w:color w:val="auto"/>
        </w:rPr>
      </w:pPr>
      <w:r>
        <w:rPr>
          <w:rFonts w:ascii="Arial" w:cs="Arial" w:eastAsia="Arial" w:hAnsi="Arial"/>
          <w:sz w:val="16"/>
          <w:szCs w:val="16"/>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84" w:lineRule="exact"/>
        <w:rPr>
          <w:sz w:val="20"/>
          <w:szCs w:val="20"/>
          <w:color w:val="auto"/>
        </w:rPr>
      </w:pPr>
    </w:p>
    <w:p>
      <w:pPr>
        <w:ind w:left="380" w:right="520" w:firstLine="420"/>
        <w:spacing w:after="0" w:line="278"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may exceed the actual tax benefits we realize or such payments may be accelerated.</w:t>
      </w:r>
    </w:p>
    <w:p>
      <w:pPr>
        <w:spacing w:after="0" w:line="62" w:lineRule="exact"/>
        <w:rPr>
          <w:sz w:val="20"/>
          <w:szCs w:val="20"/>
          <w:color w:val="auto"/>
        </w:rPr>
      </w:pPr>
    </w:p>
    <w:p>
      <w:pPr>
        <w:ind w:left="380" w:right="140" w:firstLine="420"/>
        <w:spacing w:after="0" w:line="298" w:lineRule="auto"/>
        <w:rPr>
          <w:sz w:val="20"/>
          <w:szCs w:val="20"/>
          <w:color w:val="auto"/>
        </w:rPr>
      </w:pPr>
      <w:r>
        <w:rPr>
          <w:rFonts w:ascii="Arial" w:cs="Arial" w:eastAsia="Arial" w:hAnsi="Arial"/>
          <w:sz w:val="15"/>
          <w:szCs w:val="15"/>
          <w:color w:val="auto"/>
        </w:rPr>
        <w:t>Payments under the Tax Receivable Agreement will be based on the tax reporting positions that we determine, and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860"/>
          </w:cols>
          <w:pgMar w:left="320" w:top="471" w:right="7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82" w:lineRule="auto"/>
        <w:rPr>
          <w:sz w:val="20"/>
          <w:szCs w:val="20"/>
          <w:color w:val="auto"/>
        </w:rPr>
      </w:pPr>
      <w:r>
        <w:rPr>
          <w:rFonts w:ascii="Arial" w:cs="Arial" w:eastAsia="Arial" w:hAnsi="Arial"/>
          <w:sz w:val="16"/>
          <w:szCs w:val="16"/>
          <w:color w:val="auto"/>
        </w:rPr>
        <w:t>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164" w:lineRule="exact"/>
        <w:rPr>
          <w:sz w:val="20"/>
          <w:szCs w:val="20"/>
          <w:color w:val="auto"/>
        </w:rPr>
      </w:pPr>
    </w:p>
    <w:p>
      <w:pPr>
        <w:ind w:left="380" w:right="80" w:firstLine="420"/>
        <w:spacing w:after="0" w:line="293" w:lineRule="auto"/>
        <w:rPr>
          <w:sz w:val="20"/>
          <w:szCs w:val="20"/>
          <w:color w:val="auto"/>
        </w:rPr>
      </w:pPr>
      <w:r>
        <w:rPr>
          <w:rFonts w:ascii="Arial" w:cs="Arial" w:eastAsia="Arial" w:hAnsi="Arial"/>
          <w:sz w:val="15"/>
          <w:szCs w:val="15"/>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58"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288"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We may have to constrain our business activities to avoid being deemed an investment company under the Investment Company Act.</w:t>
      </w:r>
    </w:p>
    <w:p>
      <w:pPr>
        <w:spacing w:after="0" w:line="136"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259" w:lineRule="exact"/>
        <w:rPr>
          <w:sz w:val="20"/>
          <w:szCs w:val="20"/>
          <w:color w:val="auto"/>
        </w:rPr>
      </w:pPr>
    </w:p>
    <w:p>
      <w:pPr>
        <w:ind w:left="380" w:right="40" w:firstLine="420"/>
        <w:spacing w:after="0" w:line="347" w:lineRule="auto"/>
        <w:rPr>
          <w:sz w:val="20"/>
          <w:szCs w:val="20"/>
          <w:color w:val="auto"/>
        </w:rPr>
      </w:pPr>
      <w:r>
        <w:rPr>
          <w:rFonts w:ascii="Arial" w:cs="Arial" w:eastAsia="Arial" w:hAnsi="Arial"/>
          <w:sz w:val="15"/>
          <w:szCs w:val="15"/>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6"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Our business is subject to laws, rules, regulations, policies and legal interpretations in the markets in which we operate, including, but not limited to, those governing:</w:t>
      </w:r>
    </w:p>
    <w:p>
      <w:pPr>
        <w:spacing w:after="0" w:line="75" w:lineRule="exact"/>
        <w:rPr>
          <w:sz w:val="20"/>
          <w:szCs w:val="20"/>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money transmission;</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860"/>
          </w:cols>
          <w:pgMar w:left="320" w:top="471" w:right="71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virtual currency business activity;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prepaid access;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consumer protection;</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anti-money laundering;</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counter-terrorist financing;</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privacy and data protection;</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cybersecurity;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economic and trade sanctions;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commodities;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derivatives;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securities.</w:t>
      </w:r>
    </w:p>
    <w:p>
      <w:pPr>
        <w:spacing w:after="0" w:line="216"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w:t>
      </w:r>
    </w:p>
    <w:p>
      <w:pPr>
        <w:spacing w:after="0" w:line="15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Our success and increased visibility may result in increased regulatory oversight and enforcement and more restrictive rules and regulations that apply to our business. As we expand our business activities, both as to the products and services offered and into jurisdictions beyond the United States, we will become increasingly obligated to comply with new laws and regulations, including those of any additional countries or markets in which we operate.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U.S. anti-money laundering or counter-terrorist financing regulations.</w:t>
      </w:r>
    </w:p>
    <w:p>
      <w:pPr>
        <w:spacing w:after="0" w:line="181" w:lineRule="exact"/>
        <w:rPr>
          <w:sz w:val="20"/>
          <w:szCs w:val="20"/>
          <w:color w:val="auto"/>
        </w:rPr>
      </w:pPr>
    </w:p>
    <w:p>
      <w:pPr>
        <w:ind w:left="380" w:right="40" w:firstLine="420"/>
        <w:spacing w:after="0" w:line="274" w:lineRule="auto"/>
        <w:rPr>
          <w:sz w:val="20"/>
          <w:szCs w:val="20"/>
          <w:color w:val="auto"/>
        </w:rPr>
      </w:pPr>
      <w:r>
        <w:rPr>
          <w:rFonts w:ascii="Arial" w:cs="Arial" w:eastAsia="Arial" w:hAnsi="Arial"/>
          <w:sz w:val="16"/>
          <w:szCs w:val="16"/>
          <w:color w:val="auto"/>
        </w:rPr>
        <w:t>Additionally, significant parts of our business, such as our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 future regulatory actions may impact our ability to continue to operate, and such actions could affect our ability to continue as a going concern, which would have a material adverse effect on our business, prospects or 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 sanction. Federal or state regulators may also take regulatory action that may increase the cost and/or subject companies that custody or facilitate the trading of digital assets to additional regulation.</w:t>
      </w:r>
    </w:p>
    <w:p>
      <w:pPr>
        <w:spacing w:after="0" w:line="172" w:lineRule="exact"/>
        <w:rPr>
          <w:sz w:val="20"/>
          <w:szCs w:val="20"/>
          <w:color w:val="auto"/>
        </w:rPr>
      </w:pPr>
    </w:p>
    <w:p>
      <w:pPr>
        <w:ind w:left="380" w:right="460" w:firstLine="420"/>
        <w:spacing w:after="0" w:line="265" w:lineRule="auto"/>
        <w:rPr>
          <w:sz w:val="20"/>
          <w:szCs w:val="20"/>
          <w:color w:val="auto"/>
        </w:rPr>
      </w:pPr>
      <w:r>
        <w:rPr>
          <w:rFonts w:ascii="Arial" w:cs="Arial" w:eastAsia="Arial" w:hAnsi="Arial"/>
          <w:sz w:val="17"/>
          <w:szCs w:val="17"/>
          <w:color w:val="auto"/>
        </w:rPr>
        <w:t>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us to liability, significant fines, penalties,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80"/>
          </w:cols>
          <w:pgMar w:left="320" w:top="471" w:right="6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95" w:lineRule="auto"/>
        <w:rPr>
          <w:sz w:val="20"/>
          <w:szCs w:val="20"/>
          <w:color w:val="auto"/>
        </w:rPr>
      </w:pPr>
      <w:r>
        <w:rPr>
          <w:rFonts w:ascii="Arial" w:cs="Arial" w:eastAsia="Arial" w:hAnsi="Arial"/>
          <w:sz w:val="15"/>
          <w:szCs w:val="15"/>
          <w:color w:val="auto"/>
        </w:rPr>
        <w:t>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We have implemented policies and procedures designed to help ensure compliance with applicable laws and regulations, but there can be no assurance that our employees, contractors, or agents will not violate such laws and regulations.</w:t>
      </w:r>
    </w:p>
    <w:p>
      <w:pPr>
        <w:spacing w:after="0" w:line="259" w:lineRule="exact"/>
        <w:rPr>
          <w:sz w:val="20"/>
          <w:szCs w:val="20"/>
          <w:color w:val="auto"/>
        </w:rPr>
      </w:pPr>
    </w:p>
    <w:p>
      <w:pPr>
        <w:ind w:left="380" w:right="280" w:firstLine="420"/>
        <w:spacing w:after="0" w:line="278" w:lineRule="auto"/>
        <w:rPr>
          <w:sz w:val="20"/>
          <w:szCs w:val="20"/>
          <w:color w:val="auto"/>
        </w:rPr>
      </w:pPr>
      <w:r>
        <w:rPr>
          <w:rFonts w:ascii="Arial" w:cs="Arial" w:eastAsia="Arial" w:hAnsi="Arial"/>
          <w:sz w:val="17"/>
          <w:szCs w:val="17"/>
          <w:b w:val="1"/>
          <w:bCs w:val="1"/>
          <w:i w:val="1"/>
          <w:iCs w:val="1"/>
          <w:color w:val="auto"/>
        </w:rPr>
        <w:t>The U.S. state and federal regulatory regime governing blockchain technologies and cryptocurrencies is uncertain, and new regulations or policies may alter our business practices with respect to cryptocurrencies.</w:t>
      </w:r>
    </w:p>
    <w:p>
      <w:pPr>
        <w:spacing w:after="0" w:line="62" w:lineRule="exact"/>
        <w:rPr>
          <w:sz w:val="20"/>
          <w:szCs w:val="20"/>
          <w:color w:val="auto"/>
        </w:rPr>
      </w:pPr>
    </w:p>
    <w:p>
      <w:pPr>
        <w:ind w:left="380" w:firstLine="420"/>
        <w:spacing w:after="0" w:line="271" w:lineRule="auto"/>
        <w:rPr>
          <w:sz w:val="20"/>
          <w:szCs w:val="20"/>
          <w:color w:val="auto"/>
        </w:rPr>
      </w:pPr>
      <w:r>
        <w:rPr>
          <w:rFonts w:ascii="Arial" w:cs="Arial" w:eastAsia="Arial" w:hAnsi="Arial"/>
          <w:sz w:val="16"/>
          <w:szCs w:val="16"/>
          <w:color w:val="auto"/>
        </w:rPr>
        <w:t>We currently offer, and will continue to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the Financial Crimes Enforcement Network (“</w:t>
      </w:r>
      <w:r>
        <w:rPr>
          <w:rFonts w:ascii="Arial" w:cs="Arial" w:eastAsia="Arial" w:hAnsi="Arial"/>
          <w:sz w:val="16"/>
          <w:szCs w:val="16"/>
          <w:b w:val="1"/>
          <w:bCs w:val="1"/>
          <w:color w:val="auto"/>
        </w:rPr>
        <w:t>FinCEN</w:t>
      </w:r>
      <w:r>
        <w:rPr>
          <w:rFonts w:ascii="Arial" w:cs="Arial" w:eastAsia="Arial" w:hAnsi="Arial"/>
          <w:sz w:val="16"/>
          <w:szCs w:val="16"/>
          <w:color w:val="auto"/>
        </w:rPr>
        <w:t>”), the IRS and certain state regulators have made official pronouncements or issued guidance or rules regarding the treatment of bitcoin and other cryptocurrencies. However, there remain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cryptoasset businesses, there remain some uncertainties about the application of this guidance to certain cryptoasset businesses. Changes to FinCEN’s rules, regulations and guidance could subject us to increased scrutiny and/or require updates to our policies and procedures and compliance programs. The IRS released guidance treating virtual currency as property that is not currency for U.S. federal income tax purposes, although there is no indication yet whether other courts or federal or state regulators will follow this classification.</w:t>
      </w:r>
    </w:p>
    <w:p>
      <w:pPr>
        <w:spacing w:after="0" w:line="173"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color w:val="auto"/>
        </w:rPr>
        <w:t>Meanwhile, certain state regulators, such as the New York State Department of Financial Services (“</w:t>
      </w:r>
      <w:r>
        <w:rPr>
          <w:rFonts w:ascii="Arial" w:cs="Arial" w:eastAsia="Arial" w:hAnsi="Arial"/>
          <w:sz w:val="16"/>
          <w:szCs w:val="16"/>
          <w:b w:val="1"/>
          <w:bCs w:val="1"/>
          <w:color w:val="auto"/>
        </w:rPr>
        <w:t>NYSDFS</w:t>
      </w:r>
      <w:r>
        <w:rPr>
          <w:rFonts w:ascii="Arial" w:cs="Arial" w:eastAsia="Arial" w:hAnsi="Arial"/>
          <w:sz w:val="16"/>
          <w:szCs w:val="16"/>
          <w:color w:val="auto"/>
        </w:rPr>
        <w:t>”), have created or are in the process of creating new regulatory frameworks with respect to virtual currency. For example, in 2015, the NYSDFS adopted the first U.S. regulatory framework for licensing participants in virtual currency business activity. The regulation, known informally as the “</w:t>
      </w:r>
      <w:r>
        <w:rPr>
          <w:rFonts w:ascii="Arial" w:cs="Arial" w:eastAsia="Arial" w:hAnsi="Arial"/>
          <w:sz w:val="16"/>
          <w:szCs w:val="16"/>
          <w:b w:val="1"/>
          <w:bCs w:val="1"/>
          <w:color w:val="auto"/>
        </w:rPr>
        <w:t>BitLicense</w:t>
      </w:r>
      <w:r>
        <w:rPr>
          <w:rFonts w:ascii="Arial" w:cs="Arial" w:eastAsia="Arial" w:hAnsi="Arial"/>
          <w:sz w:val="16"/>
          <w:szCs w:val="16"/>
          <w:color w:val="auto"/>
        </w:rPr>
        <w:t>,” regulates the conduct of businesses that are involved in virtual currencies in New York or with New York customers and prohibits any person or entity involved in such activity from conducting such activities without a license. Bakkt Marketplace currently operates under a BitLicense.</w:t>
      </w:r>
    </w:p>
    <w:p>
      <w:pPr>
        <w:spacing w:after="0" w:line="164" w:lineRule="exact"/>
        <w:rPr>
          <w:sz w:val="20"/>
          <w:szCs w:val="20"/>
          <w:color w:val="auto"/>
        </w:rPr>
      </w:pPr>
    </w:p>
    <w:p>
      <w:pPr>
        <w:ind w:left="380" w:right="120" w:firstLine="420"/>
        <w:spacing w:after="0" w:line="275" w:lineRule="auto"/>
        <w:rPr>
          <w:sz w:val="20"/>
          <w:szCs w:val="20"/>
          <w:color w:val="auto"/>
        </w:rPr>
      </w:pPr>
      <w:r>
        <w:rPr>
          <w:rFonts w:ascii="Arial" w:cs="Arial" w:eastAsia="Arial" w:hAnsi="Arial"/>
          <w:sz w:val="16"/>
          <w:szCs w:val="16"/>
          <w:color w:val="auto"/>
        </w:rPr>
        <w:t>Other states may adopt similar statutes and regulations that will require us or our subsidiaries to obtain a license to conduct cryptocurrency activities. For example, in July 2020, Louisiana adopted the Virtual Currency Business Act, which will require operators of virtual currency businesses to obtain a virtual currency license in order to conduct business in Louisiana in accordance with a rule, which is expected to be issued by the Louisiana Office of Financial Institutions.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860"/>
          </w:cols>
          <w:pgMar w:left="320" w:top="471" w:right="71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firstLine="420"/>
        <w:spacing w:after="0" w:line="293" w:lineRule="auto"/>
        <w:rPr>
          <w:sz w:val="20"/>
          <w:szCs w:val="20"/>
          <w:color w:val="auto"/>
        </w:rPr>
      </w:pPr>
      <w:r>
        <w:rPr>
          <w:rFonts w:ascii="Arial" w:cs="Arial" w:eastAsia="Arial" w:hAnsi="Arial"/>
          <w:sz w:val="15"/>
          <w:szCs w:val="15"/>
          <w:color w:val="auto"/>
        </w:rPr>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w:t>
      </w:r>
      <w:r>
        <w:rPr>
          <w:rFonts w:ascii="Arial" w:cs="Arial" w:eastAsia="Arial" w:hAnsi="Arial"/>
          <w:sz w:val="15"/>
          <w:szCs w:val="15"/>
          <w:b w:val="1"/>
          <w:bCs w:val="1"/>
          <w:color w:val="auto"/>
        </w:rPr>
        <w:t>CFTC</w:t>
      </w:r>
      <w:r>
        <w:rPr>
          <w:rFonts w:ascii="Arial" w:cs="Arial" w:eastAsia="Arial" w:hAnsi="Arial"/>
          <w:sz w:val="15"/>
          <w:szCs w:val="15"/>
          <w:color w:val="auto"/>
        </w:rPr>
        <w:t>”) staff has publicly taken the position that certain virtual currencies, which can include cryptocurrencies,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w:t>
      </w:r>
      <w:r>
        <w:rPr>
          <w:rFonts w:ascii="Arial" w:cs="Arial" w:eastAsia="Arial" w:hAnsi="Arial"/>
          <w:sz w:val="15"/>
          <w:szCs w:val="15"/>
          <w:b w:val="1"/>
          <w:bCs w:val="1"/>
          <w:color w:val="auto"/>
        </w:rPr>
        <w:t>CEA</w:t>
      </w:r>
      <w:r>
        <w:rPr>
          <w:rFonts w:ascii="Arial" w:cs="Arial" w:eastAsia="Arial" w:hAnsi="Arial"/>
          <w:sz w:val="15"/>
          <w:szCs w:val="15"/>
          <w:color w:val="auto"/>
        </w:rPr>
        <w:t>”), we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our bitcoin futures contract is traded, it may have a significant adverse impact on our business and plan of operations.</w:t>
      </w:r>
    </w:p>
    <w:p>
      <w:pPr>
        <w:spacing w:after="0" w:line="158"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we currently conduct some aspect of our business.</w:t>
      </w:r>
    </w:p>
    <w:p>
      <w:pPr>
        <w:spacing w:after="0" w:line="267" w:lineRule="exact"/>
        <w:rPr>
          <w:sz w:val="20"/>
          <w:szCs w:val="20"/>
          <w:color w:val="auto"/>
        </w:rPr>
      </w:pPr>
    </w:p>
    <w:p>
      <w:pPr>
        <w:jc w:val="both"/>
        <w:ind w:left="380" w:right="20" w:firstLine="420"/>
        <w:spacing w:after="0" w:line="265" w:lineRule="auto"/>
        <w:rPr>
          <w:sz w:val="20"/>
          <w:szCs w:val="20"/>
          <w:color w:val="auto"/>
        </w:rPr>
      </w:pPr>
      <w:r>
        <w:rPr>
          <w:rFonts w:ascii="Arial" w:cs="Arial" w:eastAsia="Arial" w:hAnsi="Arial"/>
          <w:sz w:val="17"/>
          <w:szCs w:val="17"/>
          <w:b w:val="1"/>
          <w:bCs w:val="1"/>
          <w:i w:val="1"/>
          <w:iCs w:val="1"/>
          <w:color w:val="auto"/>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spacing w:after="0" w:line="73"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47" w:lineRule="exact"/>
        <w:rPr>
          <w:sz w:val="20"/>
          <w:szCs w:val="20"/>
          <w:color w:val="auto"/>
        </w:rPr>
      </w:pPr>
    </w:p>
    <w:p>
      <w:pPr>
        <w:ind w:left="380" w:right="280" w:firstLine="420"/>
        <w:spacing w:after="0" w:line="259" w:lineRule="auto"/>
        <w:rPr>
          <w:sz w:val="20"/>
          <w:szCs w:val="20"/>
          <w:color w:val="auto"/>
        </w:rPr>
      </w:pPr>
      <w:r>
        <w:rPr>
          <w:rFonts w:ascii="Arial" w:cs="Arial" w:eastAsia="Arial" w:hAnsi="Arial"/>
          <w:sz w:val="17"/>
          <w:szCs w:val="17"/>
          <w:color w:val="auto"/>
        </w:rPr>
        <w:t>The United States is also a member of the Financial Action Task Force (“</w:t>
      </w:r>
      <w:r>
        <w:rPr>
          <w:rFonts w:ascii="Arial" w:cs="Arial" w:eastAsia="Arial" w:hAnsi="Arial"/>
          <w:sz w:val="17"/>
          <w:szCs w:val="17"/>
          <w:b w:val="1"/>
          <w:bCs w:val="1"/>
          <w:color w:val="auto"/>
        </w:rPr>
        <w:t>FATF</w:t>
      </w:r>
      <w:r>
        <w:rPr>
          <w:rFonts w:ascii="Arial" w:cs="Arial" w:eastAsia="Arial" w:hAnsi="Arial"/>
          <w:sz w:val="17"/>
          <w:szCs w:val="17"/>
          <w:color w:val="auto"/>
        </w:rPr>
        <w:t>”),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Virtual Assets and Virtual Asset Service Providers (“</w:t>
      </w:r>
      <w:r>
        <w:rPr>
          <w:rFonts w:ascii="Arial" w:cs="Arial" w:eastAsia="Arial" w:hAnsi="Arial"/>
          <w:sz w:val="17"/>
          <w:szCs w:val="17"/>
          <w:b w:val="1"/>
          <w:bCs w:val="1"/>
          <w:color w:val="auto"/>
        </w:rPr>
        <w:t>FATF Guidance</w:t>
      </w:r>
      <w:r>
        <w:rPr>
          <w:rFonts w:ascii="Arial" w:cs="Arial" w:eastAsia="Arial" w:hAnsi="Arial"/>
          <w:sz w:val="17"/>
          <w:szCs w:val="17"/>
          <w:color w:val="auto"/>
        </w:rPr>
        <w:t>”) which provides additional details regarding expectations for cryptoasset businesses, including those related to due diligence, transmission of transaction data and reporting. We are digesting the impact of this FATF Guidance, which we also expect to evolve over time.</w:t>
      </w:r>
    </w:p>
    <w:p>
      <w:pPr>
        <w:spacing w:after="0" w:line="181"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have implemented policies and procedures designed to help ensure compliance with these laws and regulations. However, 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Our failure to comply with such laws and regulations, as required by our regulators, may expose us to liability or enforcement actions.</w:t>
      </w:r>
    </w:p>
    <w:p>
      <w:pPr>
        <w:spacing w:after="0" w:line="185"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There also can be no assurance that our employees or agents will not violate such anti-money laundering and counter terrorist financing laws and regulations. A failure by us or our employees or agents to comply with</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60"/>
          </w:cols>
          <w:pgMar w:left="320" w:top="471" w:right="71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60"/>
        <w:spacing w:after="0" w:line="278" w:lineRule="auto"/>
        <w:rPr>
          <w:sz w:val="20"/>
          <w:szCs w:val="20"/>
          <w:color w:val="auto"/>
        </w:rPr>
      </w:pPr>
      <w:r>
        <w:rPr>
          <w:rFonts w:ascii="Arial" w:cs="Arial" w:eastAsia="Arial" w:hAnsi="Arial"/>
          <w:sz w:val="17"/>
          <w:szCs w:val="17"/>
          <w:color w:val="auto"/>
        </w:rPr>
        <w:t>such laws and regulations and subsequent judgment or settlement against us under these laws could subject us to monetary penalties, damages and/or have a significant reputational impact.</w:t>
      </w:r>
    </w:p>
    <w:p>
      <w:pPr>
        <w:spacing w:after="0" w:line="267" w:lineRule="exact"/>
        <w:rPr>
          <w:sz w:val="20"/>
          <w:szCs w:val="20"/>
          <w:color w:val="auto"/>
        </w:rPr>
      </w:pPr>
    </w:p>
    <w:p>
      <w:pPr>
        <w:ind w:left="380" w:right="220" w:firstLine="420"/>
        <w:spacing w:after="0" w:line="257" w:lineRule="auto"/>
        <w:rPr>
          <w:sz w:val="20"/>
          <w:szCs w:val="20"/>
          <w:color w:val="auto"/>
        </w:rPr>
      </w:pPr>
      <w:r>
        <w:rPr>
          <w:rFonts w:ascii="Arial" w:cs="Arial" w:eastAsia="Arial" w:hAnsi="Arial"/>
          <w:sz w:val="17"/>
          <w:szCs w:val="17"/>
          <w:b w:val="1"/>
          <w:bCs w:val="1"/>
          <w:i w:val="1"/>
          <w:iCs w:val="1"/>
          <w:color w:val="auto"/>
        </w:rPr>
        <w:t>Digital assets are currently subject to many different, and potentially overlapping, regulatory regimes, and may in the future be subject to different regulatory regimes than those that are currently in effect. There can be no assurance that we will be able to comply with all of the regulatory regimes that currently apply or may be applied in the future to digital assets. In particular, a cryptoasset’s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w:t>
      </w:r>
    </w:p>
    <w:p>
      <w:pPr>
        <w:spacing w:after="0" w:line="82"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The digital assets that we currently intend to include in our platform include cryptoassets, consumer loyalty and rewards programs, merchant closed-loop gift cards and in-game payments. We plan to enable trading of traditional equity securities on our platform, but only through a registered broker-dealer. We do not presently plan to include cryptoasset securities in our platform. Each of the digital assets that we intend to include within our platform is currently subject to certain regulatory regimes and may in the future be subject to different regulatory regimes than those that are currently in effect. There can also be no assurance that we will be able to comply with all of the regulatory regimes that currently apply or may be applied in the future to these digital assets. In addition, it is possible that certain regulatory regimes will make it prohibitively expensive or impossible for us to provide our planned functionality for one or more digital assets.</w:t>
      </w:r>
    </w:p>
    <w:p>
      <w:pPr>
        <w:spacing w:after="0" w:line="171" w:lineRule="exact"/>
        <w:rPr>
          <w:sz w:val="20"/>
          <w:szCs w:val="20"/>
          <w:color w:val="auto"/>
        </w:rPr>
      </w:pPr>
    </w:p>
    <w:p>
      <w:pPr>
        <w:ind w:left="380" w:right="340" w:firstLine="420"/>
        <w:spacing w:after="0" w:line="289" w:lineRule="auto"/>
        <w:rPr>
          <w:sz w:val="20"/>
          <w:szCs w:val="20"/>
          <w:color w:val="auto"/>
        </w:rPr>
      </w:pPr>
      <w:r>
        <w:rPr>
          <w:rFonts w:ascii="Arial" w:cs="Arial" w:eastAsia="Arial" w:hAnsi="Arial"/>
          <w:sz w:val="16"/>
          <w:szCs w:val="16"/>
          <w:color w:val="auto"/>
        </w:rPr>
        <w:t>We evaluate which cryptoassets to include on our platform pursuant to a new cryptoasset listing policy, which includes review by operational, legal and compliance functions. While we plan to enable traditional equity securities trading on our platform through a broker-dealer, we do not currently intend to include cryptoassets that are securities among the digital assets offered through Bakkt Marketplace.</w:t>
      </w:r>
    </w:p>
    <w:p>
      <w:pPr>
        <w:spacing w:after="0" w:line="159" w:lineRule="exact"/>
        <w:rPr>
          <w:sz w:val="20"/>
          <w:szCs w:val="20"/>
          <w:color w:val="auto"/>
        </w:rPr>
      </w:pPr>
    </w:p>
    <w:p>
      <w:pPr>
        <w:ind w:left="380" w:right="20" w:firstLine="420"/>
        <w:spacing w:after="0" w:line="270" w:lineRule="auto"/>
        <w:rPr>
          <w:sz w:val="20"/>
          <w:szCs w:val="20"/>
          <w:color w:val="auto"/>
        </w:rPr>
      </w:pPr>
      <w:r>
        <w:rPr>
          <w:rFonts w:ascii="Arial" w:cs="Arial" w:eastAsia="Arial" w:hAnsi="Arial"/>
          <w:sz w:val="16"/>
          <w:szCs w:val="16"/>
          <w:color w:val="auto"/>
        </w:rPr>
        <w:t>The SEC and its staff have taken the position that certain cryptoassets fall within the definition of a “security” under the U.S. federal securities laws, and it is possible the SEC may take this position with respect to other assets that may be bought, sold, converted, spent and sent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 cryptoasset or other 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With that said, the current SEC Chairman, Gary Gensler, has repeatedly indicated in remarks to various forums, including the U.S. Congress, that some cryptoassets and related products and services may qualify as securities and accordingly be subject to SEC oversight and regulation. Chairman Gensler further referred to the cryptoasset industry as the “Wild West” and called for more consistent and clear regulation of this sector. The SEC, as well as other regulators, seem increasingly fixated on the regulation of cryptoassets, which may impact our business. There also remains significant unclarity over whether individual cryptocurrencies or cryptoassets backed by local currencies (stablecoins) will be deemed as “securities.”</w:t>
      </w:r>
    </w:p>
    <w:p>
      <w:pPr>
        <w:spacing w:after="0" w:line="185"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While we currently operate only in the United States, we intend to expand internationally and will be required to comply with the securities (and other) laws of those jurisdictions as we do so. Foreign jurisdictions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60"/>
          </w:cols>
          <w:pgMar w:left="320" w:top="471" w:right="7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have varying approaches to classifying cryptoassets as “securities,” and certain cryptoassets and other assets may be deemed to be a “security” under the laws of some jurisdictions, but not others. Various non-U.S. jurisdictions may, in the future, adopt additional laws, regulations, or directives that affect the characterization of cryptoassets and other assets as “securities.”</w:t>
      </w:r>
    </w:p>
    <w:p>
      <w:pPr>
        <w:spacing w:after="0" w:line="176"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67"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alternative trading system (“</w:t>
      </w:r>
      <w:r>
        <w:rPr>
          <w:rFonts w:ascii="Arial" w:cs="Arial" w:eastAsia="Arial" w:hAnsi="Arial"/>
          <w:sz w:val="16"/>
          <w:szCs w:val="16"/>
          <w:b w:val="1"/>
          <w:bCs w:val="1"/>
          <w:color w:val="auto"/>
        </w:rPr>
        <w:t>ATS</w:t>
      </w:r>
      <w:r>
        <w:rPr>
          <w:rFonts w:ascii="Arial" w:cs="Arial" w:eastAsia="Arial" w:hAnsi="Arial"/>
          <w:sz w:val="16"/>
          <w:szCs w:val="16"/>
          <w:color w:val="auto"/>
        </w:rPr>
        <w:t>”) (or foreign equivalents), and we do not seek to register or rely on an exemption from such registration or license to facilitate the offer and sale of cryptoassets on our platform, we currently only permit transactions in digital 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 Our process will reflect a comprehensive and thoughtful analysis and will be reasonably designed to facilitate consistent application of available legal guidance to facilitate informed risk-based business judgment.</w:t>
      </w:r>
    </w:p>
    <w:p>
      <w:pPr>
        <w:spacing w:after="0" w:line="175"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However, the application of securities laws to the specific facts and circumstances of cryptoassets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digital asset, which had been in the public domain since 2012. We expect our risk assessment policies and procedures to continuously evolve to take into account developments in case law, facts and developments in technology, regulatory clarity and changes in market acceptance and adoption of these digital assets.</w:t>
      </w:r>
    </w:p>
    <w:p>
      <w:pPr>
        <w:spacing w:after="0" w:line="185"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There can be no assurances that we will properly characterize any given cryptoasset, or other digital asset, as a security or non-security for purposes of determining if that cryptoasset or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or other digital asset to be offered, sold, or traded on our platform in the future is a security, we would not be able to offer such cryptoasset or other digital asset for trading until we are able to do so in a compliant manner, such as through an alternative trading system approved to trade cryptoassets or other digital assets that constitute securities, and such determination may have adverse consequences for such supported cryptoasset or other digital asset.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40"/>
          </w:cols>
          <w:pgMar w:left="320" w:top="471" w:right="7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317" w:lineRule="auto"/>
        <w:rPr>
          <w:sz w:val="20"/>
          <w:szCs w:val="20"/>
          <w:color w:val="auto"/>
        </w:rPr>
      </w:pPr>
      <w:r>
        <w:rPr>
          <w:rFonts w:ascii="Arial" w:cs="Arial" w:eastAsia="Arial" w:hAnsi="Arial"/>
          <w:sz w:val="15"/>
          <w:szCs w:val="15"/>
          <w:color w:val="auto"/>
        </w:rPr>
        <w:t>could also seek to rescind a transaction that we facilitated on the basis that it was conducted in violation of applicable law, which could subject us to significant liability. Furthermore, if we remove any assets from trading on our platform, our decision may be unpopular with users and may reduce our ability to attract and retain customers, especially if such assets remain traded on unregulated exchanges, which includes many of our competitors.</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plan to offer equity securities through our platform, which may expose us to significant regulatory and legal scrutiny and risk.</w:t>
      </w:r>
    </w:p>
    <w:p>
      <w:pPr>
        <w:spacing w:after="0" w:line="125"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We plan to add equity securities trading functionality for our customers on our platform in the future. To do so, we plan to register as a broker-dealer with the SEC and become a member of FINRA and register in those states in which we expect to conduct our broker-dealer activities (“</w:t>
      </w:r>
      <w:r>
        <w:rPr>
          <w:rFonts w:ascii="Arial" w:cs="Arial" w:eastAsia="Arial" w:hAnsi="Arial"/>
          <w:sz w:val="17"/>
          <w:szCs w:val="17"/>
          <w:b w:val="1"/>
          <w:bCs w:val="1"/>
          <w:color w:val="auto"/>
        </w:rPr>
        <w:t>States</w:t>
      </w:r>
      <w:r>
        <w:rPr>
          <w:rFonts w:ascii="Arial" w:cs="Arial" w:eastAsia="Arial" w:hAnsi="Arial"/>
          <w:sz w:val="17"/>
          <w:szCs w:val="17"/>
          <w:color w:val="auto"/>
        </w:rPr>
        <w:t>”), in 2022. We expect that this process will be lengthy and there can be no guarantee that we will be successful in obtaining our broker-dealer license. As a registered broker-dealer, we would become subject to the rules and regulations of the SEC, the states and FINRA, which will be material to our business and likely to impose substantial costs. The regulations applicable to broker-dealers cover all aspect of their securities business, including sales practices, use and safekeeping of customers’ funds and securities, capital adequacy, record-keeping and the conduct and qualification of directors, officers, employees and other related parties. As part of the regulatory process, we would be subject to examinations and inspections by the SEC, the States and FINRA.</w:t>
      </w:r>
    </w:p>
    <w:p>
      <w:pPr>
        <w:spacing w:after="0" w:line="184"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For us to add equity securities trading functionality to our platform in the future, we may also need to conduct our business with the assistance of another licensed broker-dealer. Should we enter into such an arrangement, we may be exposed to certain regulatory and legal risks, either as a result of our own actions or the actions of the licensed broker-dealer.</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Failure to comply with anti-bribery and anti-corruption laws and similar laws, could subject us to penalties and other adverse consequences.</w:t>
      </w:r>
    </w:p>
    <w:p>
      <w:pPr>
        <w:spacing w:after="0" w:line="142" w:lineRule="exact"/>
        <w:rPr>
          <w:sz w:val="20"/>
          <w:szCs w:val="20"/>
          <w:color w:val="auto"/>
        </w:rPr>
      </w:pPr>
    </w:p>
    <w:p>
      <w:pPr>
        <w:jc w:val="both"/>
        <w:ind w:left="380" w:right="100" w:firstLine="420"/>
        <w:spacing w:after="0" w:line="261" w:lineRule="auto"/>
        <w:rPr>
          <w:sz w:val="20"/>
          <w:szCs w:val="20"/>
          <w:color w:val="auto"/>
        </w:rPr>
      </w:pPr>
      <w:r>
        <w:rPr>
          <w:rFonts w:ascii="Arial" w:cs="Arial" w:eastAsia="Arial" w:hAnsi="Arial"/>
          <w:sz w:val="17"/>
          <w:szCs w:val="17"/>
          <w:color w:val="auto"/>
        </w:rPr>
        <w:t>We are subject to the U.S. Foreign Corrupt Practices Act of 1977 (the “</w:t>
      </w:r>
      <w:r>
        <w:rPr>
          <w:rFonts w:ascii="Arial" w:cs="Arial" w:eastAsia="Arial" w:hAnsi="Arial"/>
          <w:sz w:val="17"/>
          <w:szCs w:val="17"/>
          <w:b w:val="1"/>
          <w:bCs w:val="1"/>
          <w:color w:val="auto"/>
        </w:rPr>
        <w:t>FCPA</w:t>
      </w:r>
      <w:r>
        <w:rPr>
          <w:rFonts w:ascii="Arial" w:cs="Arial" w:eastAsia="Arial" w:hAnsi="Arial"/>
          <w:sz w:val="17"/>
          <w:szCs w:val="17"/>
          <w:color w:val="auto"/>
        </w:rPr>
        <w:t>”), the U.S. domestic bribery statute contained in 18 U.S.C. § 201, and possibly other anti-bribery and anti-corruption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78"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We may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167" w:lineRule="exact"/>
        <w:rPr>
          <w:sz w:val="20"/>
          <w:szCs w:val="20"/>
          <w:color w:val="auto"/>
        </w:rPr>
      </w:pPr>
    </w:p>
    <w:p>
      <w:pPr>
        <w:jc w:val="both"/>
        <w:ind w:left="380" w:right="120" w:firstLine="420"/>
        <w:spacing w:after="0" w:line="261" w:lineRule="auto"/>
        <w:rPr>
          <w:sz w:val="20"/>
          <w:szCs w:val="20"/>
          <w:color w:val="auto"/>
        </w:rPr>
      </w:pPr>
      <w:r>
        <w:rPr>
          <w:rFonts w:ascii="Arial" w:cs="Arial" w:eastAsia="Arial" w:hAnsi="Arial"/>
          <w:sz w:val="17"/>
          <w:szCs w:val="17"/>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business partners or third-party intermediaries will not violate our policies or applicable laws and regulations, for which we may be ultimately held responsible.</w:t>
      </w:r>
    </w:p>
    <w:p>
      <w:pPr>
        <w:spacing w:after="0" w:line="179" w:lineRule="exact"/>
        <w:rPr>
          <w:sz w:val="20"/>
          <w:szCs w:val="20"/>
          <w:color w:val="auto"/>
        </w:rPr>
      </w:pPr>
    </w:p>
    <w:p>
      <w:pPr>
        <w:jc w:val="both"/>
        <w:ind w:left="380" w:right="440" w:firstLine="420"/>
        <w:spacing w:after="0" w:line="265" w:lineRule="auto"/>
        <w:rPr>
          <w:sz w:val="20"/>
          <w:szCs w:val="20"/>
          <w:color w:val="auto"/>
        </w:rPr>
      </w:pPr>
      <w:r>
        <w:rPr>
          <w:rFonts w:ascii="Arial" w:cs="Arial" w:eastAsia="Arial" w:hAnsi="Arial"/>
          <w:sz w:val="17"/>
          <w:szCs w:val="17"/>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20"/>
          </w:cols>
          <w:pgMar w:left="320" w:top="471" w:right="7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279" w:lineRule="exact"/>
        <w:rPr>
          <w:sz w:val="20"/>
          <w:szCs w:val="20"/>
          <w:color w:val="auto"/>
        </w:rPr>
      </w:pPr>
    </w:p>
    <w:p>
      <w:pPr>
        <w:ind w:left="380" w:right="340" w:firstLine="420"/>
        <w:spacing w:after="0" w:line="383" w:lineRule="auto"/>
        <w:rPr>
          <w:sz w:val="20"/>
          <w:szCs w:val="20"/>
          <w:color w:val="auto"/>
        </w:rPr>
      </w:pPr>
      <w:r>
        <w:rPr>
          <w:rFonts w:ascii="Arial" w:cs="Arial" w:eastAsia="Arial" w:hAnsi="Arial"/>
          <w:sz w:val="14"/>
          <w:szCs w:val="14"/>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 w:lineRule="exact"/>
        <w:rPr>
          <w:sz w:val="20"/>
          <w:szCs w:val="20"/>
          <w:color w:val="auto"/>
        </w:rPr>
      </w:pPr>
    </w:p>
    <w:p>
      <w:pPr>
        <w:ind w:left="380" w:right="40" w:firstLine="420"/>
        <w:spacing w:after="0" w:line="271" w:lineRule="auto"/>
        <w:rPr>
          <w:sz w:val="20"/>
          <w:szCs w:val="20"/>
          <w:color w:val="auto"/>
        </w:rPr>
      </w:pPr>
      <w:r>
        <w:rPr>
          <w:rFonts w:ascii="Arial" w:cs="Arial" w:eastAsia="Arial" w:hAnsi="Arial"/>
          <w:sz w:val="16"/>
          <w:szCs w:val="16"/>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w:t>
      </w:r>
      <w:r>
        <w:rPr>
          <w:rFonts w:ascii="Arial" w:cs="Arial" w:eastAsia="Arial" w:hAnsi="Arial"/>
          <w:sz w:val="16"/>
          <w:szCs w:val="16"/>
          <w:b w:val="1"/>
          <w:bCs w:val="1"/>
          <w:color w:val="auto"/>
        </w:rPr>
        <w:t>EFTA</w:t>
      </w:r>
      <w:r>
        <w:rPr>
          <w:rFonts w:ascii="Arial" w:cs="Arial" w:eastAsia="Arial" w:hAnsi="Arial"/>
          <w:sz w:val="16"/>
          <w:szCs w:val="16"/>
          <w:color w:val="auto"/>
        </w:rPr>
        <w:t>”)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cryptoassets.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179" w:lineRule="exact"/>
        <w:rPr>
          <w:sz w:val="20"/>
          <w:szCs w:val="20"/>
          <w:color w:val="auto"/>
        </w:rPr>
      </w:pPr>
    </w:p>
    <w:p>
      <w:pPr>
        <w:ind w:left="380" w:right="40" w:firstLine="420"/>
        <w:spacing w:after="0" w:line="272" w:lineRule="auto"/>
        <w:rPr>
          <w:sz w:val="20"/>
          <w:szCs w:val="20"/>
          <w:color w:val="auto"/>
        </w:rPr>
      </w:pPr>
      <w:r>
        <w:rPr>
          <w:rFonts w:ascii="Arial" w:cs="Arial" w:eastAsia="Arial" w:hAnsi="Arial"/>
          <w:sz w:val="16"/>
          <w:szCs w:val="16"/>
          <w:color w:val="auto"/>
        </w:rPr>
        <w:t>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We have implemented certain changes to comply with the final rule,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279" w:lineRule="exact"/>
        <w:rPr>
          <w:sz w:val="20"/>
          <w:szCs w:val="20"/>
          <w:color w:val="auto"/>
        </w:rPr>
      </w:pPr>
    </w:p>
    <w:p>
      <w:pPr>
        <w:ind w:left="380" w:right="640" w:firstLine="420"/>
        <w:spacing w:after="0" w:line="347" w:lineRule="auto"/>
        <w:rPr>
          <w:sz w:val="20"/>
          <w:szCs w:val="20"/>
          <w:color w:val="auto"/>
        </w:rPr>
      </w:pPr>
      <w:r>
        <w:rPr>
          <w:rFonts w:ascii="Arial" w:cs="Arial" w:eastAsia="Arial" w:hAnsi="Arial"/>
          <w:sz w:val="15"/>
          <w:szCs w:val="15"/>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0" w:lineRule="exact"/>
        <w:rPr>
          <w:sz w:val="20"/>
          <w:szCs w:val="20"/>
          <w:color w:val="auto"/>
        </w:rPr>
      </w:pPr>
    </w:p>
    <w:p>
      <w:pPr>
        <w:ind w:left="380" w:firstLine="420"/>
        <w:spacing w:after="0" w:line="293" w:lineRule="auto"/>
        <w:rPr>
          <w:sz w:val="20"/>
          <w:szCs w:val="20"/>
          <w:color w:val="auto"/>
        </w:rPr>
      </w:pPr>
      <w:r>
        <w:rPr>
          <w:rFonts w:ascii="Arial" w:cs="Arial" w:eastAsia="Arial" w:hAnsi="Arial"/>
          <w:sz w:val="16"/>
          <w:szCs w:val="16"/>
          <w:color w:val="auto"/>
        </w:rPr>
        <w:t>We are subject to a number of laws, rules, directives and regulations (“</w:t>
      </w:r>
      <w:r>
        <w:rPr>
          <w:rFonts w:ascii="Arial" w:cs="Arial" w:eastAsia="Arial" w:hAnsi="Arial"/>
          <w:sz w:val="16"/>
          <w:szCs w:val="16"/>
          <w:b w:val="1"/>
          <w:bCs w:val="1"/>
          <w:color w:val="auto"/>
        </w:rPr>
        <w:t>privacy laws</w:t>
      </w:r>
      <w:r>
        <w:rPr>
          <w:rFonts w:ascii="Arial" w:cs="Arial" w:eastAsia="Arial" w:hAnsi="Arial"/>
          <w:sz w:val="16"/>
          <w:szCs w:val="16"/>
          <w:color w:val="auto"/>
        </w:rPr>
        <w:t>”) relating to the collection, use, retention, security, processing and transfer of personally identifiable information about our consumers, employees, and other individuals (“</w:t>
      </w:r>
      <w:r>
        <w:rPr>
          <w:rFonts w:ascii="Arial" w:cs="Arial" w:eastAsia="Arial" w:hAnsi="Arial"/>
          <w:sz w:val="16"/>
          <w:szCs w:val="16"/>
          <w:b w:val="1"/>
          <w:bCs w:val="1"/>
          <w:color w:val="auto"/>
        </w:rPr>
        <w:t>personal data</w:t>
      </w:r>
      <w:r>
        <w:rPr>
          <w:rFonts w:ascii="Arial" w:cs="Arial" w:eastAsia="Arial" w:hAnsi="Arial"/>
          <w:sz w:val="16"/>
          <w:szCs w:val="16"/>
          <w:color w:val="auto"/>
        </w:rPr>
        <w:t>”) in the jurisdictions where we operate. Our business relies on the processing of data and the movement of data, and, as a result, much of the personal data</w:t>
      </w:r>
    </w:p>
    <w:p>
      <w:pPr>
        <w:spacing w:after="0" w:line="9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60"/>
          </w:cols>
          <w:pgMar w:left="320" w:top="471" w:right="7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spacing w:after="0" w:line="317" w:lineRule="auto"/>
        <w:rPr>
          <w:sz w:val="20"/>
          <w:szCs w:val="20"/>
          <w:color w:val="auto"/>
        </w:rPr>
      </w:pPr>
      <w:r>
        <w:rPr>
          <w:rFonts w:ascii="Arial" w:cs="Arial" w:eastAsia="Arial" w:hAnsi="Arial"/>
          <w:sz w:val="15"/>
          <w:szCs w:val="15"/>
          <w:color w:val="auto"/>
        </w:rPr>
        <w:t>that we process, especially financial information, may be 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spacing w:after="0" w:line="140"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Furthermore, laws relating to privacy and data protection,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80" w:lineRule="exact"/>
        <w:rPr>
          <w:sz w:val="20"/>
          <w:szCs w:val="20"/>
          <w:color w:val="auto"/>
        </w:rPr>
      </w:pPr>
    </w:p>
    <w:p>
      <w:pPr>
        <w:ind w:left="1300" w:right="160" w:hanging="410"/>
        <w:spacing w:after="0" w:line="269"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January 2020, the California Consumer Privacy Act (“</w:t>
      </w:r>
      <w:r>
        <w:rPr>
          <w:rFonts w:ascii="Arial" w:cs="Arial" w:eastAsia="Arial" w:hAnsi="Arial"/>
          <w:sz w:val="17"/>
          <w:szCs w:val="17"/>
          <w:b w:val="1"/>
          <w:bCs w:val="1"/>
          <w:color w:val="auto"/>
        </w:rPr>
        <w:t>CCPA</w:t>
      </w:r>
      <w:r>
        <w:rPr>
          <w:rFonts w:ascii="Arial" w:cs="Arial" w:eastAsia="Arial" w:hAnsi="Arial"/>
          <w:sz w:val="17"/>
          <w:szCs w:val="17"/>
          <w:color w:val="auto"/>
        </w:rPr>
        <w:t>”) took effect, providing California residents increased privacy rights and protections, including the ability to opt out of sales of their personal information. The CCPA may increase our compliance costs and exposure to liability.</w:t>
      </w:r>
    </w:p>
    <w:p>
      <w:pPr>
        <w:spacing w:after="0" w:line="75" w:lineRule="exact"/>
        <w:rPr>
          <w:rFonts w:ascii="Arial" w:cs="Arial" w:eastAsia="Arial" w:hAnsi="Arial"/>
          <w:sz w:val="17"/>
          <w:szCs w:val="17"/>
          <w:color w:val="auto"/>
        </w:rPr>
      </w:pPr>
    </w:p>
    <w:p>
      <w:pPr>
        <w:ind w:left="1300" w:right="20" w:hanging="410"/>
        <w:spacing w:after="0" w:line="309"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November 2021, the California Privacy Rights (“</w:t>
      </w:r>
      <w:r>
        <w:rPr>
          <w:rFonts w:ascii="Arial" w:cs="Arial" w:eastAsia="Arial" w:hAnsi="Arial"/>
          <w:sz w:val="15"/>
          <w:szCs w:val="15"/>
          <w:b w:val="1"/>
          <w:bCs w:val="1"/>
          <w:color w:val="auto"/>
        </w:rPr>
        <w:t>CPRA</w:t>
      </w:r>
      <w:r>
        <w:rPr>
          <w:rFonts w:ascii="Arial" w:cs="Arial" w:eastAsia="Arial" w:hAnsi="Arial"/>
          <w:sz w:val="15"/>
          <w:szCs w:val="15"/>
          <w:color w:val="auto"/>
        </w:rPr>
        <w:t>”) was approved by California voters. The CPRA significantly modifies the CCPA, including by imposing additional obligations on covered business and expanding consumers’ rights with respect to certain sensitive personal information, potentially resulting in further uncertainty and requiring us to incur additional costs and expenses in an effort to comply. The CPRA also creates a new state agency that will be vested with authority to implement and enforce the CCPA and the CPRA.</w:t>
      </w:r>
    </w:p>
    <w:p>
      <w:pPr>
        <w:spacing w:after="0" w:line="50" w:lineRule="exact"/>
        <w:rPr>
          <w:rFonts w:ascii="Arial" w:cs="Arial" w:eastAsia="Arial" w:hAnsi="Arial"/>
          <w:sz w:val="15"/>
          <w:szCs w:val="15"/>
          <w:color w:val="auto"/>
        </w:rPr>
      </w:pPr>
    </w:p>
    <w:p>
      <w:pPr>
        <w:ind w:left="1300" w:right="280" w:hanging="410"/>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March 2021, the Governor of Virginia signed into law the Virginia Consumer Data Protection Act (“</w:t>
      </w:r>
      <w:r>
        <w:rPr>
          <w:rFonts w:ascii="Arial" w:cs="Arial" w:eastAsia="Arial" w:hAnsi="Arial"/>
          <w:sz w:val="17"/>
          <w:szCs w:val="17"/>
          <w:b w:val="1"/>
          <w:bCs w:val="1"/>
          <w:color w:val="auto"/>
        </w:rPr>
        <w:t>VCDPA</w:t>
      </w:r>
      <w:r>
        <w:rPr>
          <w:rFonts w:ascii="Arial" w:cs="Arial" w:eastAsia="Arial" w:hAnsi="Arial"/>
          <w:sz w:val="17"/>
          <w:szCs w:val="17"/>
          <w:color w:val="auto"/>
        </w:rPr>
        <w:t>”). The VCDPA creates consumer rights similar to the CCPA, but also imposes security and assessment requirements for businesses.</w:t>
      </w:r>
    </w:p>
    <w:p>
      <w:pPr>
        <w:spacing w:after="0" w:line="67" w:lineRule="exact"/>
        <w:rPr>
          <w:rFonts w:ascii="Arial" w:cs="Arial" w:eastAsia="Arial" w:hAnsi="Arial"/>
          <w:sz w:val="17"/>
          <w:szCs w:val="17"/>
          <w:color w:val="auto"/>
        </w:rPr>
      </w:pPr>
    </w:p>
    <w:p>
      <w:pPr>
        <w:ind w:left="1300" w:right="40" w:hanging="410"/>
        <w:spacing w:after="0" w:line="27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July 2021, Colorado enacted the Colorado Privacy Act, which closely resembles the VCDPA, and, like the VCDPA, will be enforced by the state Attorney General and district attorney.</w:t>
      </w:r>
    </w:p>
    <w:p>
      <w:pPr>
        <w:spacing w:after="0" w:line="74" w:lineRule="exact"/>
        <w:rPr>
          <w:rFonts w:ascii="Arial" w:cs="Arial" w:eastAsia="Arial" w:hAnsi="Arial"/>
          <w:sz w:val="17"/>
          <w:szCs w:val="17"/>
          <w:color w:val="auto"/>
        </w:rPr>
      </w:pPr>
    </w:p>
    <w:p>
      <w:pPr>
        <w:ind w:left="1300" w:right="200" w:hanging="410"/>
        <w:spacing w:after="0" w:line="27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U.S. states are considering adopting similar laws. The enactment of such laws could have potentially conflicting requirements that would make compliance challenging.</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United States government is considering regulating artificial intelligence and machine learning.</w:t>
      </w:r>
    </w:p>
    <w:p>
      <w:pPr>
        <w:spacing w:after="0" w:line="126"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certifications we maintain and the standards we comply with, including the Payment Card Industry Data Security Standard, among others, are becoming more stringent.</w:t>
      </w:r>
    </w:p>
    <w:p>
      <w:pPr>
        <w:spacing w:after="0" w:line="165"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These and other similar legal and regulatory developments could contribute to legal and economic uncertainty, affect how we design, market, sell and operate our platform, how our merchant partners, consumers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merchant partners relating to their own compliance with applicable laws and regulations, and to establish and maintain internal policies, self-certifications and third-party certifications supporting our compliance programs. Our merchant partners may delegate their obligations relating to these or other laws or regulations to us via contract, and we may otherwise be required to expend resources to assist our merchant partners with such compliance obligations. In addition, any actual or perceived non-compliance with applicable laws, regulations, policies, industry data protections, security standards and certifications could result in proceedings, investigations, or claims against us by regulatory authorities, consumers, merchant partners, or others, leading to reputational harm, significant fines, litigation costs and damages. All of these impacts could have a material adverse effect on our business, financial condition and results of operations.</w:t>
      </w:r>
    </w:p>
    <w:p>
      <w:pPr>
        <w:spacing w:after="0" w:line="171" w:lineRule="exact"/>
        <w:rPr>
          <w:sz w:val="20"/>
          <w:szCs w:val="20"/>
          <w:color w:val="auto"/>
        </w:rPr>
      </w:pPr>
    </w:p>
    <w:p>
      <w:pPr>
        <w:ind w:left="380" w:firstLine="420"/>
        <w:spacing w:after="0" w:line="289" w:lineRule="auto"/>
        <w:rPr>
          <w:sz w:val="20"/>
          <w:szCs w:val="20"/>
          <w:color w:val="auto"/>
        </w:rPr>
      </w:pPr>
      <w:r>
        <w:rPr>
          <w:rFonts w:ascii="Arial" w:cs="Arial" w:eastAsia="Arial" w:hAnsi="Arial"/>
          <w:sz w:val="16"/>
          <w:szCs w:val="16"/>
          <w:color w:val="auto"/>
        </w:rPr>
        <w:t>We publish privacy policies and other documentation regarding our collection, processing, use and disclosure of personal data, including credit card information, and certain other information. Although we endeavor to comply with our published policies, certifications and documentation, we may at times fail to do so or may be perceived to have failed to do so. Moreover, despite our efforts, we may not be successful in achieving</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60"/>
          </w:cols>
          <w:pgMar w:left="320" w:top="471" w:right="7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20"/>
        <w:spacing w:after="0" w:line="311" w:lineRule="auto"/>
        <w:rPr>
          <w:sz w:val="20"/>
          <w:szCs w:val="20"/>
          <w:color w:val="auto"/>
        </w:rPr>
      </w:pPr>
      <w:r>
        <w:rPr>
          <w:rFonts w:ascii="Arial" w:cs="Arial" w:eastAsia="Arial" w:hAnsi="Arial"/>
          <w:sz w:val="16"/>
          <w:szCs w:val="16"/>
          <w:color w:val="auto"/>
        </w:rPr>
        <w:t>compliance if our employees or vendors fail to comply with our published policies, certifications and documentation. Such failures can subject us to potential local, state and federal action if they are found to be deceptive, unfair, or misrepresentative of our actual practices.</w:t>
      </w:r>
    </w:p>
    <w:p>
      <w:pPr>
        <w:spacing w:after="0" w:line="141" w:lineRule="exact"/>
        <w:rPr>
          <w:sz w:val="20"/>
          <w:szCs w:val="20"/>
          <w:color w:val="auto"/>
        </w:rPr>
      </w:pPr>
    </w:p>
    <w:p>
      <w:pPr>
        <w:ind w:left="380" w:right="100" w:firstLine="420"/>
        <w:spacing w:after="0" w:line="295" w:lineRule="auto"/>
        <w:rPr>
          <w:sz w:val="20"/>
          <w:szCs w:val="20"/>
          <w:color w:val="auto"/>
        </w:rPr>
      </w:pPr>
      <w:r>
        <w:rPr>
          <w:rFonts w:ascii="Arial" w:cs="Arial" w:eastAsia="Arial" w:hAnsi="Arial"/>
          <w:sz w:val="15"/>
          <w:szCs w:val="15"/>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w:t>
      </w:r>
      <w:r>
        <w:rPr>
          <w:rFonts w:ascii="Arial" w:cs="Arial" w:eastAsia="Arial" w:hAnsi="Arial"/>
          <w:sz w:val="15"/>
          <w:szCs w:val="15"/>
          <w:b w:val="1"/>
          <w:bCs w:val="1"/>
          <w:color w:val="auto"/>
        </w:rPr>
        <w:t>TCPA</w:t>
      </w:r>
      <w:r>
        <w:rPr>
          <w:rFonts w:ascii="Arial" w:cs="Arial" w:eastAsia="Arial" w:hAnsi="Arial"/>
          <w:sz w:val="15"/>
          <w:szCs w:val="15"/>
          <w:color w:val="auto"/>
        </w:rPr>
        <w:t>”),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259"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b w:val="1"/>
          <w:bCs w:val="1"/>
          <w:i w:val="1"/>
          <w:iCs w:val="1"/>
          <w:color w:val="auto"/>
        </w:rPr>
        <w:t>We are subject to significant litigation risk and risk of regulatory liability and penalties. Any future litigation against us could be costly and time-consuming to defend.</w:t>
      </w:r>
    </w:p>
    <w:p>
      <w:pPr>
        <w:spacing w:after="0" w:line="62"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Many aspects of our business involve substantial litigation risks. These risks include, among others, potential liability from disputes over terms of a trade, the claim that a system failure or delay caused monetary losses to a user,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consumer order execution, the settlement of consumer orders or other matters relating to our services. We may become subject to these claims as a result of failures or malfunctions of our systems and the services we provide. More generally, we may become subject to legal proceedings and claims that arise in the ordinary course of business, such as claims brought by our users in connection with commercial disputes, employment claims made by our current or former employees and securities class action litigation or other shareholder action litigation.</w:t>
      </w:r>
    </w:p>
    <w:p>
      <w:pPr>
        <w:spacing w:after="0" w:line="184" w:lineRule="exact"/>
        <w:rPr>
          <w:sz w:val="20"/>
          <w:szCs w:val="20"/>
          <w:color w:val="auto"/>
        </w:rPr>
      </w:pPr>
    </w:p>
    <w:p>
      <w:pPr>
        <w:ind w:left="380" w:right="40" w:firstLine="420"/>
        <w:spacing w:after="0" w:line="273" w:lineRule="auto"/>
        <w:rPr>
          <w:sz w:val="20"/>
          <w:szCs w:val="20"/>
          <w:color w:val="auto"/>
        </w:rPr>
      </w:pPr>
      <w:r>
        <w:rPr>
          <w:rFonts w:ascii="Arial" w:cs="Arial" w:eastAsia="Arial" w:hAnsi="Arial"/>
          <w:sz w:val="16"/>
          <w:szCs w:val="16"/>
          <w:color w:val="auto"/>
        </w:rPr>
        <w:t>Litigation, even claims without merit,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 Further,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74"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agree to indemnify enterprise and loyalty partners and other third parties, which exposes us to substantial potential liability.</w:t>
      </w:r>
    </w:p>
    <w:p>
      <w:pPr>
        <w:spacing w:after="0" w:line="125"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Our contracts with enterprise and loyalty partners, investors and other third parties generally include indemnification provisions under which we agree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enterprise and loyalty partners or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60"/>
          </w:cols>
          <w:pgMar w:left="320" w:top="471" w:right="7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40"/>
        <w:spacing w:after="0" w:line="265" w:lineRule="auto"/>
        <w:rPr>
          <w:sz w:val="20"/>
          <w:szCs w:val="20"/>
          <w:color w:val="auto"/>
        </w:rPr>
      </w:pPr>
      <w:r>
        <w:rPr>
          <w:rFonts w:ascii="Arial" w:cs="Arial" w:eastAsia="Arial" w:hAnsi="Arial"/>
          <w:sz w:val="17"/>
          <w:szCs w:val="17"/>
          <w:color w:val="auto"/>
        </w:rPr>
        <w:t>other third parties. We may be liable for up to the full amount of the indemnified claims, which could result in substantial liability or material disruption to our business or could negatively impact our relationships with loyalty partners , enterprises or other third parties, reduce demand for our products and adversely affect our business, financial condition and results of operations.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We are subject to patent litigation.</w:t>
      </w:r>
    </w:p>
    <w:p>
      <w:pPr>
        <w:spacing w:after="0" w:line="113"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color w:val="auto"/>
        </w:rPr>
        <w:t>We have been sued for allegedly infringing other parties’ patents and may continue to be subject to patent infringement claims because, among other reasons:</w:t>
      </w:r>
    </w:p>
    <w:p>
      <w:pPr>
        <w:spacing w:after="0" w:line="75" w:lineRule="exact"/>
        <w:rPr>
          <w:sz w:val="20"/>
          <w:szCs w:val="20"/>
          <w:color w:val="auto"/>
        </w:rPr>
      </w:pPr>
    </w:p>
    <w:p>
      <w:pPr>
        <w:ind w:left="1300" w:right="240" w:hanging="410"/>
        <w:spacing w:after="0" w:line="27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products and services continue to expand in scope and complexity and to converge with technologies not previously associated with the payments and loyalty points space;</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products and services may be designed, developed and delivered without thorough due diligence of prior works covered by legitimate patent protections;</w:t>
      </w:r>
    </w:p>
    <w:p>
      <w:pPr>
        <w:spacing w:after="0" w:line="74" w:lineRule="exact"/>
        <w:rPr>
          <w:rFonts w:ascii="Arial" w:cs="Arial" w:eastAsia="Arial" w:hAnsi="Arial"/>
          <w:sz w:val="17"/>
          <w:szCs w:val="17"/>
          <w:color w:val="auto"/>
        </w:rPr>
      </w:pPr>
    </w:p>
    <w:p>
      <w:pPr>
        <w:ind w:left="1300" w:right="260" w:hanging="410"/>
        <w:spacing w:after="0" w:line="27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products and services may be designed, developed or delivered by bad actors knowingly using intellectual property from a previous employer or vendor;</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continue to expand into new business areas, including through acquisitions; and</w:t>
      </w:r>
    </w:p>
    <w:p>
      <w:pPr>
        <w:spacing w:after="0" w:line="126" w:lineRule="exact"/>
        <w:rPr>
          <w:rFonts w:ascii="Arial" w:cs="Arial" w:eastAsia="Arial" w:hAnsi="Arial"/>
          <w:sz w:val="17"/>
          <w:szCs w:val="17"/>
          <w:color w:val="auto"/>
        </w:rPr>
      </w:pPr>
    </w:p>
    <w:p>
      <w:pPr>
        <w:ind w:left="1300" w:right="460" w:hanging="410"/>
        <w:spacing w:after="0" w:line="311"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patent owners who may claim that we, or any of the companies we have acquired, or our enterprise or loyalty partners infringe their patents, and the aggregate number of patents controlled by such patent owners, continues to increase.</w:t>
      </w:r>
    </w:p>
    <w:p>
      <w:pPr>
        <w:spacing w:after="0" w:line="141" w:lineRule="exact"/>
        <w:rPr>
          <w:sz w:val="20"/>
          <w:szCs w:val="20"/>
          <w:color w:val="auto"/>
        </w:rPr>
      </w:pPr>
    </w:p>
    <w:p>
      <w:pPr>
        <w:ind w:left="380" w:firstLine="420"/>
        <w:spacing w:after="0" w:line="274" w:lineRule="auto"/>
        <w:rPr>
          <w:sz w:val="20"/>
          <w:szCs w:val="20"/>
          <w:color w:val="auto"/>
        </w:rPr>
      </w:pPr>
      <w:r>
        <w:rPr>
          <w:rFonts w:ascii="Arial" w:cs="Arial" w:eastAsia="Arial" w:hAnsi="Arial"/>
          <w:sz w:val="16"/>
          <w:szCs w:val="16"/>
          <w:color w:val="auto"/>
        </w:rPr>
        <w:t>Such claims may be brought directly against us or against our enterprise and loyalty partners, who we may be required to indemnify due to contractual obligations or as a business matter. We believe that many of the claims against us and other technology companies have been, and continue to be, initiated by third parties whose sole or primary business is to assert such claims. We expect to vigorously defend against patent infringement claims. In addition, 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us to make expensive changes in our methods of doing business, enter into costly royalty or licensing agreements, make substantial payments to satisfy adverse judgments, settle claims or proceedings, or cease conducting certain operations, which would harm our business, results of operations, financial condition and future prospects.</w:t>
      </w:r>
    </w:p>
    <w:p>
      <w:pPr>
        <w:spacing w:after="0" w:line="275"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b w:val="1"/>
          <w:bCs w:val="1"/>
          <w:i w:val="1"/>
          <w:iCs w:val="1"/>
          <w:color w:val="auto"/>
        </w:rPr>
        <w:t>We may be unable to sufficiently protect our proprietary rights and may encounter disputes from time to time relating to our use of the intellectual property of third parties.</w:t>
      </w:r>
    </w:p>
    <w:p>
      <w:pPr>
        <w:spacing w:after="0" w:line="62" w:lineRule="exact"/>
        <w:rPr>
          <w:sz w:val="20"/>
          <w:szCs w:val="20"/>
          <w:color w:val="auto"/>
        </w:rPr>
      </w:pPr>
    </w:p>
    <w:p>
      <w:pPr>
        <w:ind w:left="380" w:right="340" w:firstLine="420"/>
        <w:spacing w:after="0" w:line="265" w:lineRule="auto"/>
        <w:rPr>
          <w:sz w:val="20"/>
          <w:szCs w:val="20"/>
          <w:color w:val="auto"/>
        </w:rPr>
      </w:pPr>
      <w:r>
        <w:rPr>
          <w:rFonts w:ascii="Arial" w:cs="Arial" w:eastAsia="Arial" w:hAnsi="Arial"/>
          <w:sz w:val="17"/>
          <w:szCs w:val="17"/>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76"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9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60"/>
          </w:cols>
          <w:pgMar w:left="320" w:top="471" w:right="71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84"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62"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164" w:lineRule="exact"/>
        <w:rPr>
          <w:sz w:val="20"/>
          <w:szCs w:val="20"/>
          <w:color w:val="auto"/>
        </w:rPr>
      </w:pPr>
    </w:p>
    <w:p>
      <w:pPr>
        <w:ind w:left="380" w:right="60" w:firstLine="420"/>
        <w:spacing w:after="0" w:line="259" w:lineRule="auto"/>
        <w:rPr>
          <w:sz w:val="20"/>
          <w:szCs w:val="20"/>
          <w:color w:val="auto"/>
        </w:rPr>
      </w:pPr>
      <w:r>
        <w:rPr>
          <w:rFonts w:ascii="Arial" w:cs="Arial" w:eastAsia="Arial" w:hAnsi="Arial"/>
          <w:sz w:val="17"/>
          <w:szCs w:val="17"/>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Our tax information reporting obligations with respect to transactions involving loyalty points or other incentives are subject to change.</w:t>
      </w:r>
    </w:p>
    <w:p>
      <w:pPr>
        <w:spacing w:after="0" w:line="136"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Under the current law, we do not believe that we are required to file any information returns with taxing authorities with respect to the issuance by our partners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users.</w:t>
      </w:r>
    </w:p>
    <w:p>
      <w:pPr>
        <w:spacing w:after="0" w:line="164" w:lineRule="exact"/>
        <w:rPr>
          <w:sz w:val="20"/>
          <w:szCs w:val="20"/>
          <w:color w:val="auto"/>
        </w:rPr>
      </w:pPr>
    </w:p>
    <w:p>
      <w:pPr>
        <w:ind w:left="380" w:right="240" w:firstLine="420"/>
        <w:spacing w:after="0" w:line="273" w:lineRule="auto"/>
        <w:rPr>
          <w:sz w:val="20"/>
          <w:szCs w:val="20"/>
          <w:color w:val="auto"/>
        </w:rPr>
      </w:pPr>
      <w:r>
        <w:rPr>
          <w:rFonts w:ascii="Arial" w:cs="Arial" w:eastAsia="Arial" w:hAnsi="Arial"/>
          <w:sz w:val="16"/>
          <w:szCs w:val="16"/>
          <w:color w:val="auto"/>
        </w:rPr>
        <w:t>It is unclear whether the conversion to cash or cryptoassets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cash or cryptoassets is subject to information reporting obligations, we could potentially be subject to penalties for any failure to satisfy such information reporting obligations. Additionally, changes in applicable laws and administrative guidance could impose such obligations on us.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860"/>
          </w:cols>
          <w:pgMar w:left="320" w:top="471" w:right="7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80" w:firstLine="420"/>
        <w:spacing w:after="0" w:line="265" w:lineRule="auto"/>
        <w:rPr>
          <w:sz w:val="20"/>
          <w:szCs w:val="20"/>
          <w:color w:val="auto"/>
        </w:rPr>
      </w:pPr>
      <w:r>
        <w:rPr>
          <w:rFonts w:ascii="Arial" w:cs="Arial" w:eastAsia="Arial" w:hAnsi="Arial"/>
          <w:sz w:val="17"/>
          <w:szCs w:val="17"/>
          <w:color w:val="auto"/>
        </w:rPr>
        <w:t>Such changes in our tax information reporting obligations may have a negative effect on the experience of our users and may significantly increase our compliance costs. As a result of the foregoing, our planned business model may be adversely affected or it may incur additional costs in connection therewith.</w:t>
      </w:r>
    </w:p>
    <w:p>
      <w:pPr>
        <w:spacing w:after="0" w:line="279"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b w:val="1"/>
          <w:bCs w:val="1"/>
          <w:i w:val="1"/>
          <w:iCs w:val="1"/>
          <w:color w:val="auto"/>
        </w:rPr>
        <w:t>Changes in tax laws or their judicial or administrative interpretations, or becoming subject to additional taxes that cannot be passed through to our loyalty users, could negatively affect our business, financial condition and results of operations.</w:t>
      </w:r>
    </w:p>
    <w:p>
      <w:pPr>
        <w:spacing w:after="0" w:line="62"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users, our costs would increase and our net income would be reduced, which could have a material adverse effect on our business, financial condition and results of operations.</w:t>
      </w:r>
    </w:p>
    <w:p>
      <w:pPr>
        <w:spacing w:after="0" w:line="260"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b w:val="1"/>
          <w:bCs w:val="1"/>
          <w:i w:val="1"/>
          <w:iCs w:val="1"/>
          <w:color w:val="auto"/>
        </w:rPr>
        <w:t>Because there is limited guidance for tax reporting or accounting of bitcoin and other cryptoasset transactions, the determination that we have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our reputation.</w:t>
      </w:r>
    </w:p>
    <w:p>
      <w:pPr>
        <w:spacing w:after="0" w:line="61" w:lineRule="exact"/>
        <w:rPr>
          <w:sz w:val="20"/>
          <w:szCs w:val="20"/>
          <w:color w:val="auto"/>
        </w:rPr>
      </w:pPr>
    </w:p>
    <w:p>
      <w:pPr>
        <w:ind w:left="380" w:firstLine="420"/>
        <w:spacing w:after="0" w:line="271" w:lineRule="auto"/>
        <w:rPr>
          <w:sz w:val="20"/>
          <w:szCs w:val="20"/>
          <w:color w:val="auto"/>
        </w:rPr>
      </w:pPr>
      <w:r>
        <w:rPr>
          <w:rFonts w:ascii="Arial" w:cs="Arial" w:eastAsia="Arial" w:hAnsi="Arial"/>
          <w:sz w:val="16"/>
          <w:szCs w:val="16"/>
          <w:color w:val="auto"/>
        </w:rPr>
        <w:t>Because there has been limited guidance for the tax reporting or accounting of cryptoassets and limited guidance has been provided by the IRS, it is unclear how cryptoasset transactions or other actions related to cryptoassets (such as forks, provision of staking rewards and other cryptoasset incentives and rewards products or other similar items) and related tax consequences should be accounted for or reported for tax purposes. In 2014, the IRS released Notice 2014-21, IRB 2014-16, or IRS Notice, discussing certain aspects of “convertible virtual currency” (that is, digital currency that has an equivalent value in real (or fiat) currency or that acts as a substitute for fiat currency) for U.S. federal income tax purposes. IRS stated that such digital currency is treated as “property”, not “currency” for purposes of the rules relating to foreign currency gain or loss, and may be held as a capital asset. In 2019, the IRS released Revenue Ruling 2019-24 and a set of “Frequently Asked Questions”, or the Revenue Ruling &amp; FAQs, that provide some additional guidance, including guidance to the effect that, under certain circumstances, hard forks of digital currencies are taxable events giving rise to ordinary income and guidance with respect to the determination of the tax basis of digital currency. However, the IRS Notice and the Revenue Ruling &amp; FAQs do not address other significant aspects of the U.S. federal income tax treatment of cryptoassets and related transactions. Moreover, although the Revenue Ruling &amp; FAQs address the treatment of forks, there continues to be uncertainty with respect to the timing and amount of income inclusions for various cryptoasset transactions including, but not limited to, staking rewards and other cryptoasset products. Furthermore, the accounting treatment for revenues from cryptocurrency transactions is currently under review and subject to change. Failure to properly account for and report the transactions and other items related to the cryptoassets held by our consumers to relevant tax authorities, such as the IRS, could have negative outcomes for us and harm our reputation with consumers and others.</w:t>
      </w:r>
    </w:p>
    <w:p>
      <w:pPr>
        <w:spacing w:after="0" w:line="17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There can be no assurance that the IRS or other foreign tax authority will not alter its existing positions with respect to cryptoassets in the future or that a court would uphold the treatment set forth in the existing IRS guidance. It is also unclear what additional guidance may be issued in the future on the treatment of existing cryptoasset transactions and future cryptoasset innovations for purposes of U.S. federal income tax or other foreign tax regulations. Any such alteration of existing IRS and foreign tax authority positions or additional guidance regarding cryptoasset products and transactions could result in adverse tax consequences for holders of cryptoassets and could have an adverse effect on the value of cryptoassets and the broader cryptoassets markets.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60"/>
          </w:cols>
          <w:pgMar w:left="320" w:top="471" w:right="7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360"/>
        <w:spacing w:after="0" w:line="265" w:lineRule="auto"/>
        <w:rPr>
          <w:sz w:val="20"/>
          <w:szCs w:val="20"/>
          <w:color w:val="auto"/>
        </w:rPr>
      </w:pPr>
      <w:r>
        <w:rPr>
          <w:rFonts w:ascii="Arial" w:cs="Arial" w:eastAsia="Arial" w:hAnsi="Arial"/>
          <w:sz w:val="17"/>
          <w:szCs w:val="17"/>
          <w:color w:val="auto"/>
        </w:rPr>
        <w:t>Future technological and operational developments that may arise with respect to digital currencies may increase the uncertainty with respect to the treatment of digital currencies for U.S. federal income and foreign tax purposes. The uncertainty regarding tax treatment of cryptoasset transactions impacts our customers, and could impact our business, both domestically and abroad.</w:t>
      </w:r>
    </w:p>
    <w:p>
      <w:pPr>
        <w:spacing w:after="0" w:line="27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b w:val="1"/>
          <w:bCs w:val="1"/>
          <w:i w:val="1"/>
          <w:iCs w:val="1"/>
          <w:color w:val="auto"/>
        </w:rPr>
        <w:t>Our ability to use any current or future net operating loss to offset future taxable income may be subject to certain limitations under U.S. or foreign tax law.</w:t>
      </w:r>
    </w:p>
    <w:p>
      <w:pPr>
        <w:spacing w:after="0" w:line="56"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Under Section 382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In addition, under the 2017 Tax Cuts and Jobs Act, or Tax Act, future tax losses may be utilized to offset no more than 80% of taxable income annually. Under the Coronavirus Aid, Relief, and Economic Security, or CARES Act, signed into law in March 2020, the limitation on the deduction of NOLs to 80% of current year taxable income is eliminated for taxable years beginning before January 1, 2021. Notwithstanding the CARES Act,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It is uncertain if and to what extent various states will conform to the Tax Act, as modified by the CARES Act. For these reasons, we may not be able to realize a tax benefit from the use of any future NOLs we generate, whether or not we attain profitability.</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Information Technology and Data</w:t>
      </w:r>
    </w:p>
    <w:p>
      <w:pPr>
        <w:spacing w:after="0" w:line="119"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b w:val="1"/>
          <w:bCs w:val="1"/>
          <w:i w:val="1"/>
          <w:iCs w:val="1"/>
          <w:color w:val="auto"/>
        </w:rPr>
        <w:t>Actual or perceived cyberattacks, security incidents, or breaches could result in serious harm to our reputation, business and financial condition.</w:t>
      </w:r>
    </w:p>
    <w:p>
      <w:pPr>
        <w:spacing w:after="0" w:line="62"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Our business involves the collection, storage, processing and transmission of confidential information and consumers’ personal data, including financial information and information about how consumers interact with our platform. We have built our reputation on the premise that we offer consumers a secure and convenient way to manage their digital assets.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81"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users or vendors, and attempting to fraudulently induce users of our systems (including employees and consumers) into disclosing user names, passwords, payment card information, or other sensitive information, which may in turn be used to access our information technology systems, or to steal digital assets stored by our users.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persistent cyberattacks, cyberextortion, ransomware, denial-or service attacks, spear phishing and</w:t>
      </w:r>
    </w:p>
    <w:p>
      <w:pPr>
        <w:spacing w:after="0" w:line="10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60"/>
          </w:cols>
          <w:pgMar w:left="320" w:top="471" w:right="7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301" w:lineRule="auto"/>
        <w:rPr>
          <w:sz w:val="20"/>
          <w:szCs w:val="20"/>
          <w:color w:val="auto"/>
        </w:rPr>
      </w:pPr>
      <w:r>
        <w:rPr>
          <w:rFonts w:ascii="Arial" w:cs="Arial" w:eastAsia="Arial" w:hAnsi="Arial"/>
          <w:sz w:val="15"/>
          <w:szCs w:val="15"/>
          <w:color w:val="auto"/>
        </w:rPr>
        <w:t>social engineering schemes, the introduction of computer viruses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prevent breaches, security incidents or attacks.</w:t>
      </w:r>
    </w:p>
    <w:p>
      <w:pPr>
        <w:spacing w:after="0" w:line="153"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Our information technology and infrastructure and those of our vendors (including data center and cloud computing providers) may be vulnerable to cyberattacks, security incidents and breaches and third parties may be able to access our users’ personal data and/or proprietary information, banking, digital asset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irregularities. Actual or perceived breaches of our or our vendors’ security could, among other things:</w:t>
      </w:r>
    </w:p>
    <w:p>
      <w:pPr>
        <w:spacing w:after="0" w:line="95" w:lineRule="exact"/>
        <w:rPr>
          <w:sz w:val="20"/>
          <w:szCs w:val="20"/>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interrupt our operations;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 in our systems or services being unavailable or degraded;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improper disclosure of information (including consumers’ personal data) and violations of applicable privacy and other laws;</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materially harm our reputation and brand;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significant liability claims, litigation, regulatory scrutiny, investigations, fines, penalties and other legal and financial exposure;</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cause us to incur significant remediation costs;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lead to loss or theft of user digital assets, such as rewards points;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lead to loss of user confidence in, or decreased use of, our products and services;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divert the attention of management from the operation of our business;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significant compensation or contractual penalties from us to our users as a result of losses to them or claims by them; and</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adversely affect our business and results of operations.</w:t>
      </w:r>
    </w:p>
    <w:p>
      <w:pPr>
        <w:spacing w:after="0" w:line="216" w:lineRule="exact"/>
        <w:rPr>
          <w:sz w:val="20"/>
          <w:szCs w:val="20"/>
          <w:color w:val="auto"/>
        </w:rPr>
      </w:pPr>
    </w:p>
    <w:p>
      <w:pPr>
        <w:ind w:left="380" w:right="20" w:firstLine="420"/>
        <w:spacing w:after="0" w:line="291" w:lineRule="auto"/>
        <w:rPr>
          <w:sz w:val="20"/>
          <w:szCs w:val="20"/>
          <w:color w:val="auto"/>
        </w:rPr>
      </w:pPr>
      <w:r>
        <w:rPr>
          <w:rFonts w:ascii="Arial" w:cs="Arial" w:eastAsia="Arial" w:hAnsi="Arial"/>
          <w:sz w:val="15"/>
          <w:szCs w:val="15"/>
          <w:color w:val="auto"/>
        </w:rPr>
        <w:t>We expect to expend significant resources to protect against security incidents and privacy breaches and may be required to redress problems caused by security incidents or breaches. We have implemented remote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Although many of these risks are not unique to the remote working environment, they have been heightened by the dramatic increase in the numbers of our employees who have been and are continuing to work from home as a result of government requirements or guidelines and internal policies that have been put in place in response to the COVID-19 pandemic.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20"/>
          </w:cols>
          <w:pgMar w:left="320" w:top="471" w:right="7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firstLine="420"/>
        <w:spacing w:after="0" w:line="295" w:lineRule="auto"/>
        <w:rPr>
          <w:sz w:val="20"/>
          <w:szCs w:val="20"/>
          <w:color w:val="auto"/>
        </w:rPr>
      </w:pPr>
      <w:r>
        <w:rPr>
          <w:rFonts w:ascii="Arial" w:cs="Arial" w:eastAsia="Arial" w:hAnsi="Arial"/>
          <w:sz w:val="15"/>
          <w:szCs w:val="15"/>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While we maintain insurance policies, they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Systems failures and resulting interruptions in the availability of our websites, applications, products, or services could harm our business.</w:t>
      </w:r>
    </w:p>
    <w:p>
      <w:pPr>
        <w:spacing w:after="0" w:line="13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Our systems and those of our service providers, enterprise and loyalty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terrorist attacks, computer viruses or other malware, or other events. We have experienced from time to time, and may experience in the future, disruptions in our systems. In addition, as a provider of payments solutions and digital assets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71"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The full-time availability and expeditious delivery of our products and services is critical to our goal of gaining widespread acceptance among users for digital payments. Frequent or persistent interruptions in our services could cause current or potential users to believe that our systems are unreliable, leading them to switch to competitors or to avoid or reduce the use of our platform, and could permanently harm our reputation and brand. Moreover, if any system failure or similar event results in damages to our users, these users could seek significant compensation or contractual penalties from us for their losses, and those claims, even if unsuccessful, would likely be time-consuming and costly for us to address, and could have other consequences described in this “Risk Factors” section under the caption “</w:t>
      </w:r>
      <w:r>
        <w:rPr>
          <w:rFonts w:ascii="Arial" w:cs="Arial" w:eastAsia="Arial" w:hAnsi="Arial"/>
          <w:sz w:val="16"/>
          <w:szCs w:val="16"/>
          <w:i w:val="1"/>
          <w:iCs w:val="1"/>
          <w:color w:val="auto"/>
        </w:rPr>
        <w:t>Actual or perceived cyberattacks,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incidents or breaches could result in serious harm to our reputation, business and financial condition</w:t>
      </w:r>
      <w:r>
        <w:rPr>
          <w:rFonts w:ascii="Arial" w:cs="Arial" w:eastAsia="Arial" w:hAnsi="Arial"/>
          <w:sz w:val="16"/>
          <w:szCs w:val="16"/>
          <w:color w:val="auto"/>
        </w:rPr>
        <w:t>.” Further, frequent or persistent site</w:t>
      </w:r>
      <w:r>
        <w:rPr>
          <w:rFonts w:ascii="Arial" w:cs="Arial" w:eastAsia="Arial" w:hAnsi="Arial"/>
          <w:sz w:val="16"/>
          <w:szCs w:val="16"/>
          <w:i w:val="1"/>
          <w:iCs w:val="1"/>
          <w:color w:val="auto"/>
        </w:rPr>
        <w:t xml:space="preserve"> </w:t>
      </w:r>
      <w:r>
        <w:rPr>
          <w:rFonts w:ascii="Arial" w:cs="Arial" w:eastAsia="Arial" w:hAnsi="Arial"/>
          <w:sz w:val="16"/>
          <w:szCs w:val="16"/>
          <w:color w:val="auto"/>
        </w:rPr>
        <w:t>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1" w:lineRule="exact"/>
        <w:rPr>
          <w:sz w:val="20"/>
          <w:szCs w:val="20"/>
          <w:color w:val="auto"/>
        </w:rPr>
      </w:pPr>
    </w:p>
    <w:p>
      <w:pPr>
        <w:ind w:left="380" w:right="60" w:firstLine="420"/>
        <w:spacing w:after="0" w:line="275" w:lineRule="auto"/>
        <w:rPr>
          <w:sz w:val="20"/>
          <w:szCs w:val="20"/>
          <w:color w:val="auto"/>
        </w:rPr>
      </w:pPr>
      <w:r>
        <w:rPr>
          <w:rFonts w:ascii="Arial" w:cs="Arial" w:eastAsia="Arial" w:hAnsi="Arial"/>
          <w:sz w:val="16"/>
          <w:szCs w:val="16"/>
          <w:color w:val="auto"/>
        </w:rPr>
        <w:t>We also rely on facilities, components, applications and services supplied by third parties, including data center facilities and cloud storage services, which subjects us to risks in the nature of those discussed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under the caption “</w:t>
      </w:r>
      <w:r>
        <w:rPr>
          <w:rFonts w:ascii="Arial" w:cs="Arial" w:eastAsia="Arial" w:hAnsi="Arial"/>
          <w:sz w:val="16"/>
          <w:szCs w:val="16"/>
          <w:i w:val="1"/>
          <w:iCs w:val="1"/>
          <w:color w:val="auto"/>
        </w:rPr>
        <w:t>We rely on third parties, over which</w:t>
      </w:r>
      <w:r>
        <w:rPr>
          <w:rFonts w:ascii="Arial" w:cs="Arial" w:eastAsia="Arial" w:hAnsi="Arial"/>
          <w:sz w:val="16"/>
          <w:szCs w:val="16"/>
          <w:color w:val="auto"/>
        </w:rPr>
        <w:t xml:space="preserve"> </w:t>
      </w:r>
      <w:r>
        <w:rPr>
          <w:rFonts w:ascii="Arial" w:cs="Arial" w:eastAsia="Arial" w:hAnsi="Arial"/>
          <w:sz w:val="16"/>
          <w:szCs w:val="16"/>
          <w:i w:val="1"/>
          <w:iCs w:val="1"/>
          <w:color w:val="auto"/>
        </w:rPr>
        <w:t>we have no control, in many aspects of our business which creates additional risk, including risks related to the failure of third parties to provide various services that are important to our operations or to comply with legal or regulatory requirements.</w:t>
      </w:r>
      <w:r>
        <w:rPr>
          <w:rFonts w:ascii="Arial" w:cs="Arial" w:eastAsia="Arial" w:hAnsi="Arial"/>
          <w:sz w:val="16"/>
          <w:szCs w:val="16"/>
          <w:color w:val="auto"/>
        </w:rPr>
        <w:t>” From time to time, such third parties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cease to provide us with 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880"/>
          </w:cols>
          <w:pgMar w:left="320" w:top="471" w:right="6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20"/>
        <w:spacing w:after="0" w:line="265" w:lineRule="auto"/>
        <w:rPr>
          <w:sz w:val="20"/>
          <w:szCs w:val="20"/>
          <w:color w:val="auto"/>
        </w:rPr>
      </w:pPr>
      <w:r>
        <w:rPr>
          <w:rFonts w:ascii="Arial" w:cs="Arial" w:eastAsia="Arial" w:hAnsi="Arial"/>
          <w:sz w:val="17"/>
          <w:szCs w:val="17"/>
          <w:color w:val="auto"/>
        </w:rPr>
        <w:t>dissatisfaction, regulatory scrutiny and damage to our reputation and brands and materially and adversely affect our business. While we maintain business interruption insurance, our coverage may be insufficient to compensate us for all losses that may result from interruptions in our service as a result of systems failures and similar events.</w:t>
      </w:r>
    </w:p>
    <w:p>
      <w:pPr>
        <w:spacing w:after="0" w:line="176"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283"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62"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or app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Risk Management and Financial Reporting</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Real or perceived inaccuracies in our key operating metrics may harm our reputation and negatively affect our business.</w:t>
      </w:r>
    </w:p>
    <w:p>
      <w:pPr>
        <w:spacing w:after="0" w:line="113" w:lineRule="exact"/>
        <w:rPr>
          <w:sz w:val="20"/>
          <w:szCs w:val="20"/>
          <w:color w:val="auto"/>
        </w:rPr>
      </w:pPr>
    </w:p>
    <w:p>
      <w:pPr>
        <w:ind w:left="380" w:right="120" w:firstLine="420"/>
        <w:spacing w:after="0" w:line="256" w:lineRule="auto"/>
        <w:rPr>
          <w:sz w:val="20"/>
          <w:szCs w:val="20"/>
          <w:color w:val="auto"/>
        </w:rPr>
      </w:pPr>
      <w:r>
        <w:rPr>
          <w:rFonts w:ascii="Arial" w:cs="Arial" w:eastAsia="Arial" w:hAnsi="Arial"/>
          <w:sz w:val="17"/>
          <w:szCs w:val="17"/>
          <w:color w:val="auto"/>
        </w:rPr>
        <w:t>We track certain key operating metrics with internal systems and tools that are not independently verified by any third party. While the metrics presented in this prospectus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87" w:lineRule="exact"/>
        <w:rPr>
          <w:sz w:val="20"/>
          <w:szCs w:val="20"/>
          <w:color w:val="auto"/>
        </w:rPr>
      </w:pPr>
    </w:p>
    <w:p>
      <w:pPr>
        <w:ind w:left="380" w:right="560" w:firstLine="420"/>
        <w:spacing w:after="0" w:line="278" w:lineRule="auto"/>
        <w:rPr>
          <w:sz w:val="20"/>
          <w:szCs w:val="20"/>
          <w:color w:val="auto"/>
        </w:rPr>
      </w:pPr>
      <w:r>
        <w:rPr>
          <w:rFonts w:ascii="Arial" w:cs="Arial" w:eastAsia="Arial" w:hAnsi="Arial"/>
          <w:sz w:val="17"/>
          <w:szCs w:val="17"/>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62" w:lineRule="exact"/>
        <w:rPr>
          <w:sz w:val="20"/>
          <w:szCs w:val="20"/>
          <w:color w:val="auto"/>
        </w:rPr>
      </w:pPr>
    </w:p>
    <w:p>
      <w:pPr>
        <w:jc w:val="both"/>
        <w:ind w:left="380" w:right="20" w:firstLine="420"/>
        <w:spacing w:after="0" w:line="265" w:lineRule="auto"/>
        <w:rPr>
          <w:sz w:val="20"/>
          <w:szCs w:val="20"/>
          <w:color w:val="auto"/>
        </w:rPr>
      </w:pPr>
      <w:r>
        <w:rPr>
          <w:rFonts w:ascii="Arial" w:cs="Arial" w:eastAsia="Arial" w:hAnsi="Arial"/>
          <w:sz w:val="17"/>
          <w:szCs w:val="17"/>
          <w:color w:val="auto"/>
        </w:rPr>
        <w:t>We have limited accounting and finance personnel and other resources and must develop our own internal controls and procedures consistent with PCAOB standards. We intend to continue to evaluate actions to enhance our internal controls over financial reporting, but there is no assurance that we will identify control deficiencies or material weaknesses in the future.</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40"/>
          </w:cols>
          <w:pgMar w:left="320" w:top="471" w:right="7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To comply with Section 404 of the Sarbanes-Oxley Act,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81" w:lineRule="exact"/>
        <w:rPr>
          <w:sz w:val="20"/>
          <w:szCs w:val="20"/>
          <w:color w:val="auto"/>
        </w:rPr>
      </w:pPr>
    </w:p>
    <w:p>
      <w:pPr>
        <w:jc w:val="both"/>
        <w:ind w:left="380" w:right="300" w:firstLine="420"/>
        <w:spacing w:after="0" w:line="265" w:lineRule="auto"/>
        <w:rPr>
          <w:sz w:val="20"/>
          <w:szCs w:val="20"/>
          <w:color w:val="auto"/>
        </w:rPr>
      </w:pPr>
      <w:r>
        <w:rPr>
          <w:rFonts w:ascii="Arial" w:cs="Arial" w:eastAsia="Arial" w:hAnsi="Arial"/>
          <w:sz w:val="17"/>
          <w:szCs w:val="17"/>
          <w:color w:val="auto"/>
        </w:rPr>
        <w:t>Pursuant to the Sarbanes-Oxley Act we will be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76"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267"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b w:val="1"/>
          <w:bCs w:val="1"/>
          <w:i w:val="1"/>
          <w:iCs w:val="1"/>
          <w:color w:val="auto"/>
        </w:rPr>
        <w:t>The unaudited pro forma financial information included elsewhere in this prospectus may not be indicative of what our actual financial position or results of operations would have been.</w:t>
      </w:r>
    </w:p>
    <w:p>
      <w:pPr>
        <w:spacing w:after="0" w:line="62"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The unaudited pro forma combined financial information included elsewhere in this prospectus is presented for illustrative purposes only and does not necessarily reflect what our financial condition or results of operations would have been had the Merger and PIPE Investment occurred on the dates indicated. Further, the unaudited pro forma combined financial information also may not be useful in predicting our future financial condition and results of operations. Our actual financial position and results of operations may differ significantly from the pro forma amounts reflected herein due to a variety of factors. Our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259"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our results of operations could be adversely affected.</w:t>
      </w:r>
    </w:p>
    <w:p>
      <w:pPr>
        <w:spacing w:after="0" w:line="62"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prospectus.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60"/>
          </w:cols>
          <w:pgMar w:left="320" w:top="471" w:right="7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management has limited experience in operating a public company.</w:t>
      </w:r>
    </w:p>
    <w:p>
      <w:pPr>
        <w:spacing w:after="0" w:line="113" w:lineRule="exact"/>
        <w:rPr>
          <w:sz w:val="20"/>
          <w:szCs w:val="20"/>
          <w:color w:val="auto"/>
        </w:rPr>
      </w:pPr>
    </w:p>
    <w:p>
      <w:pPr>
        <w:ind w:left="380" w:right="20" w:firstLine="945"/>
        <w:spacing w:after="0" w:line="277" w:lineRule="auto"/>
        <w:rPr>
          <w:sz w:val="20"/>
          <w:szCs w:val="20"/>
          <w:color w:val="auto"/>
        </w:rPr>
      </w:pPr>
      <w:r>
        <w:rPr>
          <w:rFonts w:ascii="Arial" w:cs="Arial" w:eastAsia="Arial" w:hAnsi="Arial"/>
          <w:sz w:val="16"/>
          <w:szCs w:val="16"/>
          <w:color w:val="auto"/>
        </w:rPr>
        <w:t>Our executive officers and directors have limited experience in the management of a publicly traded company. Our management team may not successfully or effectively manage being a public company, and we are subject to significant regulatory oversight and reporting obligations under federal securities laws. Our executive officers’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It is likely that we will be required to expand our employee base and hire additional employees to support our operations as a public company, which will increase our operating costs in future periods.</w:t>
      </w:r>
    </w:p>
    <w:p>
      <w:pPr>
        <w:spacing w:after="0" w:line="269" w:lineRule="exact"/>
        <w:rPr>
          <w:sz w:val="20"/>
          <w:szCs w:val="20"/>
          <w:color w:val="auto"/>
        </w:rPr>
      </w:pPr>
    </w:p>
    <w:p>
      <w:pPr>
        <w:jc w:val="both"/>
        <w:ind w:left="380" w:right="160" w:firstLine="420"/>
        <w:spacing w:after="0" w:line="265" w:lineRule="auto"/>
        <w:rPr>
          <w:sz w:val="20"/>
          <w:szCs w:val="20"/>
          <w:color w:val="auto"/>
        </w:rPr>
      </w:pPr>
      <w:r>
        <w:rPr>
          <w:rFonts w:ascii="Arial" w:cs="Arial" w:eastAsia="Arial" w:hAnsi="Arial"/>
          <w:sz w:val="17"/>
          <w:szCs w:val="17"/>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profits and make it more difficult to run our business.</w:t>
      </w:r>
    </w:p>
    <w:p>
      <w:pPr>
        <w:spacing w:after="0" w:line="73"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As a public company, we expect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176"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Furthermore, if we are unable to satisfy its obligations as a public company, we could be subject to delisting of our securities, fines, sanctions and other regulatory action and potentially civil litigation.</w:t>
      </w:r>
    </w:p>
    <w:p>
      <w:pPr>
        <w:spacing w:after="0" w:line="267"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b w:val="1"/>
          <w:bCs w:val="1"/>
          <w:i w:val="1"/>
          <w:iCs w:val="1"/>
          <w:color w:val="auto"/>
        </w:rPr>
        <w:t>We are an “emerging growth company” and any decision to comply with certain reduced reporting and disclosure requirements applicable to emerging growth companies could make our securities less attractive to investors.</w:t>
      </w:r>
    </w:p>
    <w:p>
      <w:pPr>
        <w:spacing w:after="0" w:line="62" w:lineRule="exact"/>
        <w:rPr>
          <w:sz w:val="20"/>
          <w:szCs w:val="20"/>
          <w:color w:val="auto"/>
        </w:rPr>
      </w:pPr>
    </w:p>
    <w:p>
      <w:pPr>
        <w:ind w:left="380" w:right="420" w:firstLine="420"/>
        <w:spacing w:after="0" w:line="265"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86" w:lineRule="exact"/>
        <w:rPr>
          <w:sz w:val="20"/>
          <w:szCs w:val="20"/>
          <w:color w:val="auto"/>
        </w:rPr>
      </w:pPr>
    </w:p>
    <w:p>
      <w:pPr>
        <w:ind w:left="1300" w:right="520" w:hanging="410"/>
        <w:spacing w:after="0" w:line="27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being required to have an independent registered public accounting firm audit our internal control over financial reporting under Section 404 of the Sarbanes-Oxley Act;</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126" w:lineRule="exact"/>
        <w:rPr>
          <w:rFonts w:ascii="Arial" w:cs="Arial" w:eastAsia="Arial" w:hAnsi="Arial"/>
          <w:sz w:val="17"/>
          <w:szCs w:val="17"/>
          <w:color w:val="auto"/>
        </w:rPr>
      </w:pPr>
    </w:p>
    <w:p>
      <w:pPr>
        <w:ind w:left="1300" w:right="380" w:hanging="410"/>
        <w:spacing w:after="0" w:line="27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and stockholder approval of any golden parachute payments not previously approved.</w:t>
      </w:r>
    </w:p>
    <w:p>
      <w:pPr>
        <w:spacing w:after="0" w:line="165"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As a result, our stockholders may not have access to certain information that they may deem important. Our status as an emerging growth company will end as soon as any of the following takes place:</w:t>
      </w:r>
    </w:p>
    <w:p>
      <w:pPr>
        <w:spacing w:after="0" w:line="75" w:lineRule="exact"/>
        <w:rPr>
          <w:sz w:val="20"/>
          <w:szCs w:val="20"/>
          <w:color w:val="auto"/>
        </w:rPr>
      </w:pPr>
    </w:p>
    <w:p>
      <w:pPr>
        <w:ind w:left="5540" w:right="3680" w:hanging="4650"/>
        <w:spacing w:after="0" w:line="452" w:lineRule="auto"/>
        <w:tabs>
          <w:tab w:leader="none" w:pos="13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last day of the fiscal year in which we had at least $1.07 billion in annual revenue; 42</w:t>
      </w:r>
    </w:p>
    <w:p>
      <w:pPr>
        <w:sectPr>
          <w:pgSz w:w="11900" w:h="16838" w:orient="portrait"/>
          <w:cols w:equalWidth="0" w:num="1">
            <w:col w:w="10880"/>
          </w:cols>
          <w:pgMar w:left="320" w:top="471" w:right="6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we qualify as a “large accelerated filer,” with at least $700.0 million of equity securities held by non-affiliates;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on which we have issued, in any three-year period, more than $1.0 billion in non-convertible debt securities; 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December 31, 2025.</w:t>
      </w:r>
    </w:p>
    <w:p>
      <w:pPr>
        <w:spacing w:after="0" w:line="216" w:lineRule="exact"/>
        <w:rPr>
          <w:sz w:val="20"/>
          <w:szCs w:val="20"/>
          <w:color w:val="auto"/>
        </w:rPr>
      </w:pPr>
    </w:p>
    <w:p>
      <w:pPr>
        <w:ind w:left="380" w:right="80" w:firstLine="945"/>
        <w:spacing w:after="0" w:line="26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ind w:left="380" w:right="240" w:firstLine="945"/>
        <w:spacing w:after="0" w:line="265" w:lineRule="auto"/>
        <w:rPr>
          <w:sz w:val="20"/>
          <w:szCs w:val="20"/>
          <w:color w:val="auto"/>
        </w:rPr>
      </w:pPr>
      <w:r>
        <w:rPr>
          <w:rFonts w:ascii="Arial" w:cs="Arial" w:eastAsia="Arial" w:hAnsi="Arial"/>
          <w:sz w:val="17"/>
          <w:szCs w:val="17"/>
          <w:color w:val="auto"/>
        </w:rPr>
        <w:t>We cannot predict if investors will find our securities less attractive if we choose to rely on any of the exemptions afforded emerging growth companies. If some investors find our securities less attractive because we rely on any of these exemptions, there may be a less active trading market for such securities and the market price of such securities may be more volatile and may decline.</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Future changes in financial accounting standards may significantly change our reported results of operations.</w:t>
      </w:r>
    </w:p>
    <w:p>
      <w:pPr>
        <w:spacing w:after="0" w:line="107" w:lineRule="exact"/>
        <w:rPr>
          <w:sz w:val="20"/>
          <w:szCs w:val="20"/>
          <w:color w:val="auto"/>
        </w:rPr>
      </w:pPr>
    </w:p>
    <w:p>
      <w:pPr>
        <w:ind w:left="380" w:right="20" w:firstLine="420"/>
        <w:spacing w:after="0" w:line="276" w:lineRule="auto"/>
        <w:rPr>
          <w:sz w:val="20"/>
          <w:szCs w:val="20"/>
          <w:color w:val="auto"/>
        </w:rPr>
      </w:pPr>
      <w:r>
        <w:rPr>
          <w:rFonts w:ascii="Arial" w:cs="Arial" w:eastAsia="Arial" w:hAnsi="Arial"/>
          <w:sz w:val="16"/>
          <w:szCs w:val="16"/>
          <w:color w:val="auto"/>
        </w:rPr>
        <w:t>GAAP is subject to standard setting or interpretation by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the SEC and various bodies formed to promulgate and interpret appropriate accounting principles. A change in these principles or interpretations could have a significant effect on our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274" w:lineRule="exact"/>
        <w:rPr>
          <w:sz w:val="20"/>
          <w:szCs w:val="20"/>
          <w:color w:val="auto"/>
        </w:rPr>
      </w:pPr>
    </w:p>
    <w:p>
      <w:pPr>
        <w:ind w:left="380" w:right="200" w:firstLine="4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38"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identified a material weakness in our internal control over financial reporting related the accounting for</w:t>
      </w:r>
    </w:p>
    <w:p>
      <w:pPr>
        <w:spacing w:after="0" w:line="21" w:lineRule="exact"/>
        <w:rPr>
          <w:sz w:val="20"/>
          <w:szCs w:val="20"/>
          <w:color w:val="auto"/>
        </w:rPr>
      </w:pPr>
    </w:p>
    <w:p>
      <w:pPr>
        <w:ind w:left="380" w:right="180"/>
        <w:spacing w:after="0" w:line="256" w:lineRule="auto"/>
        <w:rPr>
          <w:sz w:val="20"/>
          <w:szCs w:val="20"/>
          <w:color w:val="auto"/>
        </w:rPr>
      </w:pPr>
      <w:r>
        <w:rPr>
          <w:rFonts w:ascii="Arial" w:cs="Arial" w:eastAsia="Arial" w:hAnsi="Arial"/>
          <w:sz w:val="17"/>
          <w:szCs w:val="17"/>
          <w:color w:val="auto"/>
        </w:rPr>
        <w:t>complex financial instruments. As a result of this material weakness, our management concluded that our internal control over financial reporting was not effective as of December 31, 2020. The material weakness resulted in a material misstatement of our warrant liabilities, change in fair value of warrant liabilities, Class A Common Stock subject to possible redemption, additional paid-in capital, accumulated deficit, and earnings per share and related financial disclosures as of and for the period ended December 31, 2020.</w:t>
      </w:r>
    </w:p>
    <w:p>
      <w:pPr>
        <w:spacing w:after="0" w:line="184"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To respond to this material weakness, we have devoted significant effort and resources to the remediation and improvement of our internal control over financial reporting. For more information, see “Note 2—Restatement of</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40"/>
          </w:cols>
          <w:pgMar w:left="320" w:top="471" w:right="7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Previously Issued Financial Statements” to the accompanying consolidated financial statements, as well as Part II, Item 9A, “Controls and Procedures” and Part I, Item 4, “Controls and Procedures” included in our Annual Report on Form 10-K for the year ended December 31, 2020 and our Quarterly Report on Form 10-Q for the quarterly period ended September 30, 2021.</w:t>
      </w:r>
    </w:p>
    <w:p>
      <w:pPr>
        <w:spacing w:after="0" w:line="176" w:lineRule="exact"/>
        <w:rPr>
          <w:sz w:val="20"/>
          <w:szCs w:val="20"/>
          <w:color w:val="auto"/>
        </w:rPr>
      </w:pPr>
    </w:p>
    <w:p>
      <w:pPr>
        <w:ind w:left="380" w:right="60" w:firstLine="420"/>
        <w:spacing w:after="0" w:line="301" w:lineRule="auto"/>
        <w:rPr>
          <w:sz w:val="20"/>
          <w:szCs w:val="20"/>
          <w:color w:val="auto"/>
        </w:rPr>
      </w:pPr>
      <w:r>
        <w:rPr>
          <w:rFonts w:ascii="Arial" w:cs="Arial" w:eastAsia="Arial" w:hAnsi="Arial"/>
          <w:sz w:val="15"/>
          <w:szCs w:val="15"/>
          <w:color w:val="auto"/>
        </w:rPr>
        <w:t>Efforts to remediate this material weakness may not be effective or prevent any future material weakness or significant deficiency in our internal control over financial reporting. If our efforts are not successful or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securities.</w:t>
      </w:r>
    </w:p>
    <w:p>
      <w:pPr>
        <w:spacing w:after="0" w:line="15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We can give no assurance that the measures we have taken or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merchant partners may be subject to sales reporting and record-keeping obligations.</w:t>
      </w:r>
    </w:p>
    <w:p>
      <w:pPr>
        <w:spacing w:after="0" w:line="113" w:lineRule="exact"/>
        <w:rPr>
          <w:sz w:val="20"/>
          <w:szCs w:val="20"/>
          <w:color w:val="auto"/>
        </w:rPr>
      </w:pPr>
    </w:p>
    <w:p>
      <w:pPr>
        <w:ind w:left="380" w:right="200" w:firstLine="420"/>
        <w:spacing w:after="0" w:line="298" w:lineRule="auto"/>
        <w:rPr>
          <w:sz w:val="20"/>
          <w:szCs w:val="20"/>
          <w:color w:val="auto"/>
        </w:rPr>
      </w:pPr>
      <w:r>
        <w:rPr>
          <w:rFonts w:ascii="Arial" w:cs="Arial" w:eastAsia="Arial" w:hAnsi="Arial"/>
          <w:sz w:val="15"/>
          <w:szCs w:val="15"/>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We may be required to modify our systems to comply with future requirements, which may negatively impact our consumer experience and increase operational costs.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Our Securities</w:t>
      </w:r>
    </w:p>
    <w:p>
      <w:pPr>
        <w:spacing w:after="0" w:line="119" w:lineRule="exact"/>
        <w:rPr>
          <w:sz w:val="20"/>
          <w:szCs w:val="20"/>
          <w:color w:val="auto"/>
        </w:rPr>
      </w:pPr>
    </w:p>
    <w:p>
      <w:pPr>
        <w:ind w:left="380" w:right="420" w:firstLine="420"/>
        <w:spacing w:after="0" w:line="311" w:lineRule="auto"/>
        <w:rPr>
          <w:sz w:val="20"/>
          <w:szCs w:val="20"/>
          <w:color w:val="auto"/>
        </w:rPr>
      </w:pPr>
      <w:r>
        <w:rPr>
          <w:rFonts w:ascii="Arial" w:cs="Arial" w:eastAsia="Arial" w:hAnsi="Arial"/>
          <w:sz w:val="16"/>
          <w:szCs w:val="16"/>
          <w:b w:val="1"/>
          <w:bCs w:val="1"/>
          <w:i w:val="1"/>
          <w:iCs w:val="1"/>
          <w:color w:val="auto"/>
        </w:rPr>
        <w:t>A significant portion of our total outstanding securities are restricted from immediate resale but may be sold into the market in the near future. This could cause the market price of our securities to drop significantly, even if our business is doing well.</w:t>
      </w:r>
    </w:p>
    <w:p>
      <w:pPr>
        <w:spacing w:after="0" w:line="38"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Pursuant to our Stockholders Agreement with the Sponsor and the Opco Equity Holders, up to 208,200,000 shares of Class A Common Stock issuable upon the exchange of Paired Interests held by Opco Equity Holders are subject to a six-month lock-up following the Closing. Additionally, the Sponsor and Insiders have agreed not to transfer, assign or sell any of their 5,184,300 shares of Class A Common Stock acquired in connection with the Domestication until the earlier of (i) one year after the Closing and (ii) subsequent to the Merger, (x) if the closing price of our Class A Common Stock equals or exceeds $12.00 per share (subject to adjustment) for any 20 trading days within any 30-trading day period commencing at least 150 days after the Closing or (y) the date on which we complete a liquidation, merger, amalgamation, capital stock exchange, reorganization or other similar transaction that results in all holders of Class A Common Stock having the right to exchange their Class A Common Stock for cash, securities or other property.</w:t>
      </w:r>
    </w:p>
    <w:p>
      <w:pPr>
        <w:spacing w:after="0" w:line="184" w:lineRule="exact"/>
        <w:rPr>
          <w:sz w:val="20"/>
          <w:szCs w:val="20"/>
          <w:color w:val="auto"/>
        </w:rPr>
      </w:pPr>
    </w:p>
    <w:p>
      <w:pPr>
        <w:ind w:left="380" w:right="40" w:firstLine="420"/>
        <w:spacing w:after="0" w:line="317" w:lineRule="auto"/>
        <w:rPr>
          <w:sz w:val="20"/>
          <w:szCs w:val="20"/>
          <w:color w:val="auto"/>
        </w:rPr>
      </w:pPr>
      <w:r>
        <w:rPr>
          <w:rFonts w:ascii="Arial" w:cs="Arial" w:eastAsia="Arial" w:hAnsi="Arial"/>
          <w:sz w:val="15"/>
          <w:szCs w:val="15"/>
          <w:color w:val="auto"/>
        </w:rPr>
        <w:t>Upon expiration of the applicable lock-up restrictions described above, holders of our securities that are currently restricted, which in the aggregate represent 82% of our outstanding shares of Class A Common Stock (assuming that all outstanding or issuable Paired Interests are exchanged for shares of Class A Common Stock and that no outstanding Warrants are exercised), could sell such securities pursuant to the registration statement</w:t>
      </w:r>
    </w:p>
    <w:p>
      <w:pPr>
        <w:spacing w:after="0" w:line="7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780"/>
          </w:cols>
          <w:pgMar w:left="320" w:top="471" w:right="7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0"/>
        <w:spacing w:after="0" w:line="278" w:lineRule="auto"/>
        <w:rPr>
          <w:sz w:val="20"/>
          <w:szCs w:val="20"/>
          <w:color w:val="auto"/>
        </w:rPr>
      </w:pPr>
      <w:r>
        <w:rPr>
          <w:rFonts w:ascii="Arial" w:cs="Arial" w:eastAsia="Arial" w:hAnsi="Arial"/>
          <w:sz w:val="17"/>
          <w:szCs w:val="17"/>
          <w:color w:val="auto"/>
        </w:rPr>
        <w:t>of which this prospectus forms a part or in privately negotiated transactions. The market price of our securities could decline if holders of currently restricted shares and/or warrants sell them or are perceived by the market as intending to sell them.</w:t>
      </w:r>
    </w:p>
    <w:p>
      <w:pPr>
        <w:spacing w:after="0" w:line="165" w:lineRule="exact"/>
        <w:rPr>
          <w:sz w:val="20"/>
          <w:szCs w:val="20"/>
          <w:color w:val="auto"/>
        </w:rPr>
      </w:pPr>
    </w:p>
    <w:p>
      <w:pPr>
        <w:ind w:left="380" w:right="60" w:firstLine="420"/>
        <w:spacing w:after="0" w:line="298" w:lineRule="auto"/>
        <w:rPr>
          <w:sz w:val="20"/>
          <w:szCs w:val="20"/>
          <w:color w:val="auto"/>
        </w:rPr>
      </w:pPr>
      <w:r>
        <w:rPr>
          <w:rFonts w:ascii="Arial" w:cs="Arial" w:eastAsia="Arial" w:hAnsi="Arial"/>
          <w:sz w:val="15"/>
          <w:szCs w:val="15"/>
          <w:color w:val="auto"/>
        </w:rPr>
        <w:t>Further, pursuant to the Business Combination, holders of 41,651,662 shares of Class A Common Stock and 190,726,638 shares of Class V Common Stock, or warrants to purchase shares of Class V Common Stock (convertible into an equal number of shares of Class A Common Stock) have rights, subject to certain conditions, to require us to maintain effective the registration statement of which this prospectus forms a part, or otherwise file and maintain effective registration statements for the public resale of the shares of Class A Common Stock they hold or will hold upon the exchange of Paired Interests, or to include such shares in registration statements that we may file for us or other stockholders. Any registration statement we file to register additional shares, whether as a result of registration rights or otherwise, could cause volatility in the market price of our securities.</w:t>
      </w:r>
    </w:p>
    <w:p>
      <w:pPr>
        <w:spacing w:after="0" w:line="259" w:lineRule="exact"/>
        <w:rPr>
          <w:sz w:val="20"/>
          <w:szCs w:val="20"/>
          <w:color w:val="auto"/>
        </w:rPr>
      </w:pPr>
    </w:p>
    <w:p>
      <w:pPr>
        <w:ind w:left="380" w:right="220" w:firstLine="420"/>
        <w:spacing w:after="0" w:line="347" w:lineRule="auto"/>
        <w:rPr>
          <w:sz w:val="20"/>
          <w:szCs w:val="20"/>
          <w:color w:val="auto"/>
        </w:rPr>
      </w:pPr>
      <w:r>
        <w:rPr>
          <w:rFonts w:ascii="Arial" w:cs="Arial" w:eastAsia="Arial" w:hAnsi="Arial"/>
          <w:sz w:val="15"/>
          <w:szCs w:val="15"/>
          <w:b w:val="1"/>
          <w:bCs w:val="1"/>
          <w:i w:val="1"/>
          <w:iCs w:val="1"/>
          <w:color w:val="auto"/>
        </w:rPr>
        <w:t>Warrants that prior to the Business Combination were exchangeable for Class A Ordinary Shares are now exercisable for Class A Common Stock, which increases the number of shares eligible for future resale in the public market and results in dilution to our stockholders.</w:t>
      </w:r>
    </w:p>
    <w:p>
      <w:pPr>
        <w:spacing w:after="0" w:line="16"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Upon completion of the Business Combination, outstanding warrants to purchase an aggregate of 16,516,041 shares of Class A Common Stock became exercisable in accordance with the terms of the warrant agreement governing those securities. As of December 3, 2021, 7,139,969 warrants to purchase shares of Class A Common Stock were outstanding and an aggregate of 7,194,823 shares of Class A Common Stock had been issued upon exercise of the remaining warrants. The exercise price of the remaining warrants to purchase Class A Common Stock is $11.50 per share.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74"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b w:val="1"/>
          <w:bCs w:val="1"/>
          <w:i w:val="1"/>
          <w:iCs w:val="1"/>
          <w:color w:val="auto"/>
        </w:rPr>
        <w:t>We may issue additional shares of common stock or other equity securities without stockholder approval, which would dilute stockholders’ ownership interest in us and may reduce the market price of our securities.</w:t>
      </w:r>
    </w:p>
    <w:p>
      <w:pPr>
        <w:spacing w:after="0" w:line="62"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We may issue additional shares of our Class A Common Stock or other equity securities in the future in connection with, among other things, future acquisitions, repayment of outstanding indebtedness or grants under the 2021 Omnibus Incentive Plan (the “</w:t>
      </w:r>
      <w:r>
        <w:rPr>
          <w:rFonts w:ascii="Arial" w:cs="Arial" w:eastAsia="Arial" w:hAnsi="Arial"/>
          <w:sz w:val="17"/>
          <w:szCs w:val="17"/>
          <w:b w:val="1"/>
          <w:bCs w:val="1"/>
          <w:color w:val="auto"/>
        </w:rPr>
        <w:t>Equity Incentive Plan</w:t>
      </w:r>
      <w:r>
        <w:rPr>
          <w:rFonts w:ascii="Arial" w:cs="Arial" w:eastAsia="Arial" w:hAnsi="Arial"/>
          <w:sz w:val="17"/>
          <w:szCs w:val="17"/>
          <w:color w:val="auto"/>
        </w:rPr>
        <w:t>”) without stockholder approval in a number of circumstances. The issuance of additional Class A Common Stock or other equity securities could have one or more of the following effects:</w:t>
      </w:r>
    </w:p>
    <w:p>
      <w:pPr>
        <w:spacing w:after="0" w:line="89" w:lineRule="exact"/>
        <w:rPr>
          <w:sz w:val="20"/>
          <w:szCs w:val="20"/>
          <w:color w:val="auto"/>
        </w:rPr>
      </w:pPr>
    </w:p>
    <w:p>
      <w:pPr>
        <w:ind w:left="1300" w:hanging="41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existing stockholders’ proportionate ownership interest will decrease;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of cash available per share, including for payment of dividends in the future, may decrease;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relative voting strength of each previously outstanding share of our common stock may be diminished;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market price of our Class A Common Stock and/or Warrants may decline.</w:t>
      </w:r>
    </w:p>
    <w:p>
      <w:pPr>
        <w:spacing w:after="0" w:line="319"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62" w:lineRule="exact"/>
        <w:rPr>
          <w:sz w:val="20"/>
          <w:szCs w:val="20"/>
          <w:color w:val="auto"/>
        </w:rPr>
      </w:pPr>
    </w:p>
    <w:p>
      <w:pPr>
        <w:jc w:val="both"/>
        <w:ind w:left="380" w:right="20" w:firstLine="420"/>
        <w:spacing w:after="0" w:line="282" w:lineRule="auto"/>
        <w:rPr>
          <w:sz w:val="20"/>
          <w:szCs w:val="20"/>
          <w:color w:val="auto"/>
        </w:rPr>
      </w:pPr>
      <w:r>
        <w:rPr>
          <w:rFonts w:ascii="Arial" w:cs="Arial" w:eastAsia="Arial" w:hAnsi="Arial"/>
          <w:sz w:val="16"/>
          <w:szCs w:val="16"/>
          <w:color w:val="auto"/>
        </w:rPr>
        <w:t>The trading market for our securities will depend, in part, on the research and reports that securities and industry analysts publish about us and our business. Securities and industry analysts do not currently, and may never, cover us. If securities and industry analysts do not commence coverage of us, the market price of our securities would likely be negatively impacted. In the event securities or industry analysts initiate coverage, if one or more of the analysts who cover us downgrade our securities or publish inaccurate or unfavorable research</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60"/>
          </w:cols>
          <w:pgMar w:left="320" w:top="471" w:right="7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311" w:lineRule="auto"/>
        <w:rPr>
          <w:sz w:val="20"/>
          <w:szCs w:val="20"/>
          <w:color w:val="auto"/>
        </w:rPr>
      </w:pPr>
      <w:r>
        <w:rPr>
          <w:rFonts w:ascii="Arial" w:cs="Arial" w:eastAsia="Arial" w:hAnsi="Arial"/>
          <w:sz w:val="16"/>
          <w:szCs w:val="16"/>
          <w:color w:val="auto"/>
        </w:rPr>
        <w:t>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243" w:lineRule="exact"/>
        <w:rPr>
          <w:sz w:val="20"/>
          <w:szCs w:val="20"/>
          <w:color w:val="auto"/>
        </w:rPr>
      </w:pPr>
    </w:p>
    <w:p>
      <w:pPr>
        <w:ind w:left="380" w:right="200" w:firstLine="420"/>
        <w:spacing w:after="0" w:line="347" w:lineRule="auto"/>
        <w:rPr>
          <w:sz w:val="20"/>
          <w:szCs w:val="20"/>
          <w:color w:val="auto"/>
        </w:rPr>
      </w:pPr>
      <w:r>
        <w:rPr>
          <w:rFonts w:ascii="Arial" w:cs="Arial" w:eastAsia="Arial" w:hAnsi="Arial"/>
          <w:sz w:val="15"/>
          <w:szCs w:val="15"/>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13"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Our certificate of incorporation (the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and our by-laws (the “</w:t>
      </w:r>
      <w:r>
        <w:rPr>
          <w:rFonts w:ascii="Arial" w:cs="Arial" w:eastAsia="Arial" w:hAnsi="Arial"/>
          <w:sz w:val="17"/>
          <w:szCs w:val="17"/>
          <w:b w:val="1"/>
          <w:bCs w:val="1"/>
          <w:color w:val="auto"/>
        </w:rPr>
        <w:t>By-Laws</w:t>
      </w:r>
      <w:r>
        <w:rPr>
          <w:rFonts w:ascii="Arial" w:cs="Arial" w:eastAsia="Arial" w:hAnsi="Arial"/>
          <w:sz w:val="17"/>
          <w:szCs w:val="17"/>
          <w:color w:val="auto"/>
        </w:rPr>
        <w:t>”)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88" w:lineRule="exact"/>
        <w:rPr>
          <w:sz w:val="20"/>
          <w:szCs w:val="20"/>
          <w:color w:val="auto"/>
        </w:rPr>
      </w:pPr>
    </w:p>
    <w:p>
      <w:pPr>
        <w:ind w:left="1300" w:hanging="410"/>
        <w:spacing w:after="0" w:line="27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classified Board with three-year staggered terms, which could delay the ability of stockholders to change the membership of a majority of the Board;</w:t>
      </w:r>
    </w:p>
    <w:p>
      <w:pPr>
        <w:spacing w:after="0" w:line="74" w:lineRule="exact"/>
        <w:rPr>
          <w:rFonts w:ascii="Arial" w:cs="Arial" w:eastAsia="Arial" w:hAnsi="Arial"/>
          <w:sz w:val="17"/>
          <w:szCs w:val="17"/>
          <w:color w:val="auto"/>
        </w:rPr>
      </w:pPr>
    </w:p>
    <w:p>
      <w:pPr>
        <w:ind w:left="1300" w:right="20" w:hanging="410"/>
        <w:spacing w:after="0" w:line="265"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limitation of the liability of, and the indemnification of, our directors and officers;</w:t>
      </w:r>
    </w:p>
    <w:p>
      <w:pPr>
        <w:spacing w:after="0" w:line="126"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74"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requirement that directors may only be removed from the Board for cause and upon the affirmative vote of the holders of at least 66 2/3% of the total voting power of then outstanding Class A Common Stock;</w:t>
      </w:r>
    </w:p>
    <w:p>
      <w:pPr>
        <w:spacing w:after="0" w:line="74" w:lineRule="exact"/>
        <w:rPr>
          <w:rFonts w:ascii="Arial" w:cs="Arial" w:eastAsia="Arial" w:hAnsi="Arial"/>
          <w:sz w:val="17"/>
          <w:szCs w:val="17"/>
          <w:color w:val="auto"/>
        </w:rPr>
      </w:pPr>
    </w:p>
    <w:p>
      <w:pPr>
        <w:ind w:left="1300" w:right="20" w:hanging="410"/>
        <w:spacing w:after="0" w:line="317" w:lineRule="auto"/>
        <w:tabs>
          <w:tab w:leader="none" w:pos="1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49" w:lineRule="exact"/>
        <w:rPr>
          <w:rFonts w:ascii="Arial" w:cs="Arial" w:eastAsia="Arial" w:hAnsi="Arial"/>
          <w:sz w:val="15"/>
          <w:szCs w:val="15"/>
          <w:color w:val="auto"/>
        </w:rPr>
      </w:pPr>
    </w:p>
    <w:p>
      <w:pPr>
        <w:ind w:left="1300" w:right="80" w:hanging="410"/>
        <w:spacing w:after="0" w:line="265"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controlling the procedures for the conduct and scheduling of the Board and stockholder meetings;</w:t>
      </w:r>
    </w:p>
    <w:p>
      <w:pPr>
        <w:spacing w:after="0" w:line="126" w:lineRule="exact"/>
        <w:rPr>
          <w:rFonts w:ascii="Arial" w:cs="Arial" w:eastAsia="Arial" w:hAnsi="Arial"/>
          <w:sz w:val="17"/>
          <w:szCs w:val="17"/>
          <w:color w:val="auto"/>
        </w:rPr>
      </w:pPr>
    </w:p>
    <w:p>
      <w:pPr>
        <w:ind w:left="1300" w:right="60" w:hanging="410"/>
        <w:spacing w:after="0" w:line="306" w:lineRule="auto"/>
        <w:tabs>
          <w:tab w:leader="none" w:pos="1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59" w:lineRule="exact"/>
        <w:rPr>
          <w:rFonts w:ascii="Arial" w:cs="Arial" w:eastAsia="Arial" w:hAnsi="Arial"/>
          <w:sz w:val="15"/>
          <w:szCs w:val="15"/>
          <w:color w:val="auto"/>
        </w:rPr>
      </w:pPr>
    </w:p>
    <w:p>
      <w:pPr>
        <w:ind w:left="1300" w:right="280" w:hanging="410"/>
        <w:spacing w:after="0" w:line="31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50" w:lineRule="exact"/>
        <w:rPr>
          <w:rFonts w:ascii="Arial" w:cs="Arial" w:eastAsia="Arial" w:hAnsi="Arial"/>
          <w:sz w:val="16"/>
          <w:szCs w:val="16"/>
          <w:color w:val="auto"/>
        </w:rPr>
      </w:pPr>
    </w:p>
    <w:p>
      <w:pPr>
        <w:ind w:left="1300" w:right="20" w:hanging="410"/>
        <w:spacing w:after="0" w:line="261"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80"/>
          </w:cols>
          <w:pgMar w:left="320" w:top="471" w:right="6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the Board or management.</w:t>
      </w:r>
    </w:p>
    <w:p>
      <w:pPr>
        <w:spacing w:after="0" w:line="331"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3"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75" w:lineRule="exact"/>
        <w:rPr>
          <w:sz w:val="20"/>
          <w:szCs w:val="20"/>
          <w:color w:val="auto"/>
        </w:rPr>
      </w:pPr>
    </w:p>
    <w:p>
      <w:pPr>
        <w:ind w:left="380" w:right="80" w:firstLine="420"/>
        <w:spacing w:after="0" w:line="272"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Securities Exchange Act of 1934 (the “</w:t>
      </w:r>
      <w:r>
        <w:rPr>
          <w:rFonts w:ascii="Arial" w:cs="Arial" w:eastAsia="Arial" w:hAnsi="Arial"/>
          <w:sz w:val="16"/>
          <w:szCs w:val="16"/>
          <w:b w:val="1"/>
          <w:bCs w:val="1"/>
          <w:color w:val="auto"/>
        </w:rPr>
        <w:t>Exchange Act</w:t>
      </w:r>
      <w:r>
        <w:rPr>
          <w:rFonts w:ascii="Arial" w:cs="Arial" w:eastAsia="Arial" w:hAnsi="Arial"/>
          <w:sz w:val="16"/>
          <w:szCs w:val="16"/>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76" w:lineRule="exact"/>
        <w:rPr>
          <w:sz w:val="20"/>
          <w:szCs w:val="20"/>
          <w:color w:val="auto"/>
        </w:rPr>
      </w:pPr>
    </w:p>
    <w:p>
      <w:pPr>
        <w:ind w:left="380" w:right="60" w:firstLine="420"/>
        <w:spacing w:after="0" w:line="259" w:lineRule="auto"/>
        <w:rPr>
          <w:sz w:val="20"/>
          <w:szCs w:val="20"/>
          <w:color w:val="auto"/>
        </w:rPr>
      </w:pPr>
      <w:r>
        <w:rPr>
          <w:rFonts w:ascii="Arial" w:cs="Arial" w:eastAsia="Arial" w:hAnsi="Arial"/>
          <w:sz w:val="17"/>
          <w:szCs w:val="17"/>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Certificate of Incorporation does not limit the ability of ICE to compete with us.</w:t>
      </w:r>
    </w:p>
    <w:p>
      <w:pPr>
        <w:spacing w:after="0" w:line="113" w:lineRule="exact"/>
        <w:rPr>
          <w:sz w:val="20"/>
          <w:szCs w:val="20"/>
          <w:color w:val="auto"/>
        </w:rPr>
      </w:pPr>
    </w:p>
    <w:p>
      <w:pPr>
        <w:ind w:left="380" w:right="280" w:firstLine="420"/>
        <w:spacing w:after="0" w:line="298" w:lineRule="auto"/>
        <w:rPr>
          <w:sz w:val="20"/>
          <w:szCs w:val="20"/>
          <w:color w:val="auto"/>
        </w:rPr>
      </w:pPr>
      <w:r>
        <w:rPr>
          <w:rFonts w:ascii="Arial" w:cs="Arial" w:eastAsia="Arial" w:hAnsi="Arial"/>
          <w:sz w:val="15"/>
          <w:szCs w:val="15"/>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60"/>
          </w:cols>
          <w:pgMar w:left="320" w:top="471" w:right="7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40"/>
        <w:spacing w:after="0" w:line="301" w:lineRule="auto"/>
        <w:rPr>
          <w:sz w:val="20"/>
          <w:szCs w:val="20"/>
          <w:color w:val="auto"/>
        </w:rPr>
      </w:pPr>
      <w:r>
        <w:rPr>
          <w:rFonts w:ascii="Arial" w:cs="Arial" w:eastAsia="Arial" w:hAnsi="Arial"/>
          <w:sz w:val="15"/>
          <w:szCs w:val="15"/>
          <w:color w:val="auto"/>
        </w:rPr>
        <w:t>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256"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b w:val="1"/>
          <w:bCs w:val="1"/>
          <w:i w:val="1"/>
          <w:iCs w:val="1"/>
          <w:color w:val="auto"/>
        </w:rPr>
        <w:t>Certain significant stockholders and members of management whose interests may differ from those of other stockholders have the ability to significantly influence our business and management.</w:t>
      </w:r>
    </w:p>
    <w:p>
      <w:pPr>
        <w:spacing w:after="0" w:line="62" w:lineRule="exact"/>
        <w:rPr>
          <w:sz w:val="20"/>
          <w:szCs w:val="20"/>
          <w:color w:val="auto"/>
        </w:rPr>
      </w:pPr>
    </w:p>
    <w:p>
      <w:pPr>
        <w:ind w:left="380" w:right="120" w:firstLine="420"/>
        <w:spacing w:after="0" w:line="296" w:lineRule="auto"/>
        <w:rPr>
          <w:sz w:val="20"/>
          <w:szCs w:val="20"/>
          <w:color w:val="auto"/>
        </w:rPr>
      </w:pPr>
      <w:r>
        <w:rPr>
          <w:rFonts w:ascii="Arial" w:cs="Arial" w:eastAsia="Arial" w:hAnsi="Arial"/>
          <w:sz w:val="15"/>
          <w:szCs w:val="15"/>
          <w:color w:val="auto"/>
        </w:rPr>
        <w:t>Pursuant to the Stockholders Agreement that the that we entered into with the Sponsor and the Opco Equity Holders, the Sponsor and the Opco Equity Holders agreed to designate one director nominated by the Sponsor, one director nominated by Opco, and the remaining three to six directors jointly nominated by the Sponsor and Opco. Our Board is divided into three classes of directors: Class I directors (“</w:t>
      </w:r>
      <w:r>
        <w:rPr>
          <w:rFonts w:ascii="Arial" w:cs="Arial" w:eastAsia="Arial" w:hAnsi="Arial"/>
          <w:sz w:val="15"/>
          <w:szCs w:val="15"/>
          <w:b w:val="1"/>
          <w:bCs w:val="1"/>
          <w:color w:val="auto"/>
        </w:rPr>
        <w:t>Class I Directors</w:t>
      </w:r>
      <w:r>
        <w:rPr>
          <w:rFonts w:ascii="Arial" w:cs="Arial" w:eastAsia="Arial" w:hAnsi="Arial"/>
          <w:sz w:val="15"/>
          <w:szCs w:val="15"/>
          <w:color w:val="auto"/>
        </w:rPr>
        <w:t>”) will initially serve for a term expiring at our 2022 annual meeting of stockholders, Class II directors (“</w:t>
      </w:r>
      <w:r>
        <w:rPr>
          <w:rFonts w:ascii="Arial" w:cs="Arial" w:eastAsia="Arial" w:hAnsi="Arial"/>
          <w:sz w:val="15"/>
          <w:szCs w:val="15"/>
          <w:b w:val="1"/>
          <w:bCs w:val="1"/>
          <w:color w:val="auto"/>
        </w:rPr>
        <w:t>Class II Directors</w:t>
      </w:r>
      <w:r>
        <w:rPr>
          <w:rFonts w:ascii="Arial" w:cs="Arial" w:eastAsia="Arial" w:hAnsi="Arial"/>
          <w:sz w:val="15"/>
          <w:szCs w:val="15"/>
          <w:color w:val="auto"/>
        </w:rPr>
        <w:t>”) will initially serve for a term expiring at our 2023 annual meeting of stockholders and Class III directors (“</w:t>
      </w:r>
      <w:r>
        <w:rPr>
          <w:rFonts w:ascii="Arial" w:cs="Arial" w:eastAsia="Arial" w:hAnsi="Arial"/>
          <w:sz w:val="15"/>
          <w:szCs w:val="15"/>
          <w:b w:val="1"/>
          <w:bCs w:val="1"/>
          <w:color w:val="auto"/>
        </w:rPr>
        <w:t>Class III Directors</w:t>
      </w:r>
      <w:r>
        <w:rPr>
          <w:rFonts w:ascii="Arial" w:cs="Arial" w:eastAsia="Arial" w:hAnsi="Arial"/>
          <w:sz w:val="15"/>
          <w:szCs w:val="15"/>
          <w:color w:val="auto"/>
        </w:rPr>
        <w:t>”) will initially serve for a term expiring at our 2024 annual meeting of stockholders following the effectiveness of the Certificate of Incorporation. At each succeeding annual meeting, successors to the class of directors whose term expires at that annual meeting shall be elected for a term expiring at the third succeeding annual meeting of stockholders.</w:t>
      </w:r>
    </w:p>
    <w:p>
      <w:pPr>
        <w:spacing w:after="0" w:line="157" w:lineRule="exact"/>
        <w:rPr>
          <w:sz w:val="20"/>
          <w:szCs w:val="20"/>
          <w:color w:val="auto"/>
        </w:rPr>
      </w:pPr>
    </w:p>
    <w:p>
      <w:pPr>
        <w:jc w:val="both"/>
        <w:ind w:left="380" w:right="240" w:firstLine="420"/>
        <w:spacing w:after="0" w:line="317" w:lineRule="auto"/>
        <w:rPr>
          <w:sz w:val="20"/>
          <w:szCs w:val="20"/>
          <w:color w:val="auto"/>
        </w:rPr>
      </w:pPr>
      <w:r>
        <w:rPr>
          <w:rFonts w:ascii="Arial" w:cs="Arial" w:eastAsia="Arial" w:hAnsi="Arial"/>
          <w:sz w:val="15"/>
          <w:szCs w:val="15"/>
          <w:color w:val="auto"/>
        </w:rPr>
        <w:t>Accordingly, the parties to the Stockholders Agreement will be able to designate all of the members of the Board. Such stockholders will retain such influence with respect to our management, business plans and policies, including the appointment and removal of our officers. In particular, the parties to the Stockholders Agreement could influence whether acquisitions, dispositions and other change of control transactions are approved.</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ICE may exert significant influence over us and its interests may conflict with yours or those of other stockholders in the future.</w:t>
      </w:r>
    </w:p>
    <w:p>
      <w:pPr>
        <w:spacing w:after="0" w:line="125"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Each share of Class A Common Stock and each Class V Share initially entitles its holders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290"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The price of our securities may be volatile.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price of our securities may fluctuate due to a variety of factors, including:</w:t>
      </w:r>
    </w:p>
    <w:p>
      <w:pPr>
        <w:spacing w:after="0" w:line="126" w:lineRule="exact"/>
        <w:rPr>
          <w:sz w:val="20"/>
          <w:szCs w:val="20"/>
          <w:color w:val="auto"/>
        </w:rPr>
      </w:pPr>
    </w:p>
    <w:p>
      <w:pPr>
        <w:ind w:left="1300" w:hanging="41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industries in which we operate;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developments involving our competitors;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126" w:lineRule="exact"/>
        <w:rPr>
          <w:rFonts w:ascii="Arial" w:cs="Arial" w:eastAsia="Arial" w:hAnsi="Arial"/>
          <w:sz w:val="17"/>
          <w:szCs w:val="17"/>
          <w:color w:val="auto"/>
        </w:rPr>
      </w:pPr>
    </w:p>
    <w:p>
      <w:pPr>
        <w:ind w:left="5540" w:right="3300" w:hanging="4650"/>
        <w:spacing w:after="0" w:line="452" w:lineRule="auto"/>
        <w:tabs>
          <w:tab w:leader="none" w:pos="13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variations in our operating performance and the performance of our competitors in general; 48</w:t>
      </w:r>
    </w:p>
    <w:p>
      <w:pPr>
        <w:sectPr>
          <w:pgSz w:w="11900" w:h="16838" w:orient="portrait"/>
          <w:cols w:equalWidth="0" w:num="1">
            <w:col w:w="10860"/>
          </w:cols>
          <w:pgMar w:left="320" w:top="471" w:right="7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or annual operating results;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publication of research reports by securities analysts about us or our competitors or our industry;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actions by stockholders, including the sale by the PIPE Investors of any of their holdings;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commencement of, or involvement in, litigation involving the combined companies;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or the incurrence of debt;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volume of our Class A Common Stock available for public sale; and</w:t>
      </w:r>
    </w:p>
    <w:p>
      <w:pPr>
        <w:spacing w:after="0" w:line="126" w:lineRule="exact"/>
        <w:rPr>
          <w:rFonts w:ascii="Arial" w:cs="Arial" w:eastAsia="Arial" w:hAnsi="Arial"/>
          <w:sz w:val="17"/>
          <w:szCs w:val="17"/>
          <w:color w:val="auto"/>
        </w:rPr>
      </w:pPr>
    </w:p>
    <w:p>
      <w:pPr>
        <w:ind w:left="1300" w:right="360" w:hanging="410"/>
        <w:spacing w:after="0" w:line="265"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These market and industry factors may materially reduce the market price of our securities regardless of our operating performance.</w:t>
      </w:r>
    </w:p>
    <w:p>
      <w:pPr>
        <w:spacing w:after="0" w:line="31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Recent market volatility could impact the stock price and trading volume of our securities.</w:t>
      </w:r>
    </w:p>
    <w:p>
      <w:pPr>
        <w:spacing w:after="0" w:line="113" w:lineRule="exact"/>
        <w:rPr>
          <w:sz w:val="20"/>
          <w:szCs w:val="20"/>
          <w:color w:val="auto"/>
        </w:rPr>
      </w:pPr>
    </w:p>
    <w:p>
      <w:pPr>
        <w:jc w:val="both"/>
        <w:ind w:left="380" w:firstLine="420"/>
        <w:spacing w:after="0" w:line="317" w:lineRule="auto"/>
        <w:rPr>
          <w:sz w:val="20"/>
          <w:szCs w:val="20"/>
          <w:color w:val="auto"/>
        </w:rPr>
      </w:pPr>
      <w:r>
        <w:rPr>
          <w:rFonts w:ascii="Arial" w:cs="Arial" w:eastAsia="Arial" w:hAnsi="Arial"/>
          <w:sz w:val="15"/>
          <w:szCs w:val="15"/>
          <w:color w:val="auto"/>
        </w:rPr>
        <w:t>The trading market for our securities could be impacted by recent market volatility. While we do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our securities.</w:t>
      </w:r>
    </w:p>
    <w:p>
      <w:pPr>
        <w:spacing w:after="0" w:line="140"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A possible “short squeeze” due to a sudden increase in demand of our securities that largely exceeds supply may lead to price volatility in our securities. Investors may purchase our securities to hedge existing exposure or to speculate on the price of our securities. Speculation on the price of our securities may involve both long and short exposures. To the extent aggregate short exposure exceeds the number of our securities available for purchase (for example, in the event that large redemption requests dramatically affect liquidity), investors with short exposure may have to pay a premium to repurchase our securities for delivery to lenders. Those repurchases may in turn, dramatically increase the price of our securities. This is often referred to as a “short squeeze.” A short squeeze could lead to volatile price movements in our securities that are not directly correlated to our operating performance.</w:t>
      </w:r>
    </w:p>
    <w:p>
      <w:pPr>
        <w:spacing w:after="0" w:line="284" w:lineRule="exact"/>
        <w:rPr>
          <w:sz w:val="20"/>
          <w:szCs w:val="20"/>
          <w:color w:val="auto"/>
        </w:rPr>
      </w:pPr>
    </w:p>
    <w:p>
      <w:pPr>
        <w:ind w:left="380" w:right="220" w:firstLine="420"/>
        <w:spacing w:after="0" w:line="311" w:lineRule="auto"/>
        <w:rPr>
          <w:sz w:val="20"/>
          <w:szCs w:val="20"/>
          <w:color w:val="auto"/>
        </w:rPr>
      </w:pPr>
      <w:r>
        <w:rPr>
          <w:rFonts w:ascii="Arial" w:cs="Arial" w:eastAsia="Arial" w:hAnsi="Arial"/>
          <w:sz w:val="16"/>
          <w:szCs w:val="16"/>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38" w:lineRule="exact"/>
        <w:rPr>
          <w:sz w:val="20"/>
          <w:szCs w:val="20"/>
          <w:color w:val="auto"/>
        </w:rPr>
      </w:pPr>
    </w:p>
    <w:p>
      <w:pPr>
        <w:ind w:left="380" w:right="100" w:firstLine="420"/>
        <w:spacing w:after="0" w:line="257"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it and such other factors as the Board may deem relevant. As a result, you may not receive any return on an investment in Class A Common Stock unless you sell your Class A Common Stock for a price greater than that which you paid for it.</w:t>
      </w:r>
    </w:p>
    <w:p>
      <w:pPr>
        <w:spacing w:after="0" w:line="284"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380" w:right="420" w:firstLine="420"/>
        <w:spacing w:after="0" w:line="278" w:lineRule="auto"/>
        <w:rPr>
          <w:sz w:val="20"/>
          <w:szCs w:val="20"/>
          <w:color w:val="auto"/>
        </w:rPr>
      </w:pPr>
      <w:r>
        <w:rPr>
          <w:rFonts w:ascii="Arial" w:cs="Arial" w:eastAsia="Arial" w:hAnsi="Arial"/>
          <w:sz w:val="17"/>
          <w:szCs w:val="17"/>
          <w:color w:val="auto"/>
        </w:rPr>
        <w:t>Our securities are currently listed on NYSE. However, we cannot assure you that our securities will continue to be listed on the NYSE in the future. We are required to demonstrate compliance with the NYSE’s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860"/>
          </w:cols>
          <w:pgMar w:left="320" w:top="471" w:right="71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40"/>
        <w:spacing w:after="0" w:line="289" w:lineRule="auto"/>
        <w:rPr>
          <w:sz w:val="20"/>
          <w:szCs w:val="20"/>
          <w:color w:val="auto"/>
        </w:rPr>
      </w:pPr>
      <w:r>
        <w:rPr>
          <w:rFonts w:ascii="Arial" w:cs="Arial" w:eastAsia="Arial" w:hAnsi="Arial"/>
          <w:sz w:val="16"/>
          <w:szCs w:val="16"/>
          <w:color w:val="auto"/>
        </w:rPr>
        <w:t>initial listing requirements, which are more rigorous than the NYSE’s continued listing requirements, in order to continue to maintain the listing of our securities on the NYSE. In addition to the listing requirements for common stock, the NYSE imposes listing standards on warrants. We cannot assure you that we will be able to meet those initial listing requirements or continued listing requirements in the future.</w:t>
      </w:r>
    </w:p>
    <w:p>
      <w:pPr>
        <w:spacing w:after="0" w:line="159"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86" w:lineRule="exact"/>
        <w:rPr>
          <w:sz w:val="20"/>
          <w:szCs w:val="20"/>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limited availability of market quotations for our securities;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liquidity for our securities;</w:t>
      </w:r>
    </w:p>
    <w:p>
      <w:pPr>
        <w:spacing w:after="0" w:line="126" w:lineRule="exact"/>
        <w:rPr>
          <w:rFonts w:ascii="Arial" w:cs="Arial" w:eastAsia="Arial" w:hAnsi="Arial"/>
          <w:sz w:val="17"/>
          <w:szCs w:val="17"/>
          <w:color w:val="auto"/>
        </w:rPr>
      </w:pPr>
    </w:p>
    <w:p>
      <w:pPr>
        <w:ind w:left="1300" w:right="280" w:hanging="410"/>
        <w:spacing w:after="0" w:line="31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50" w:lineRule="exact"/>
        <w:rPr>
          <w:rFonts w:ascii="Arial" w:cs="Arial" w:eastAsia="Arial" w:hAnsi="Arial"/>
          <w:sz w:val="16"/>
          <w:szCs w:val="16"/>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limited amount of news and analyst coverage;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15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40"/>
          </w:cols>
          <w:pgMar w:left="320" w:top="471" w:right="7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UNAUDITED PRO FORMA CONDENSED COMBINED FINANCIAL INFORMATION</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Introduction</w:t>
      </w:r>
    </w:p>
    <w:p>
      <w:pPr>
        <w:spacing w:after="0" w:line="119"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The unaudited pro forma condensed combined financial information is prepared in accordance with Article 11 of Regulation S-X. The unaudited pro forma condensed combined financial information presents the pro forma effects of the following transactions:</w:t>
      </w:r>
    </w:p>
    <w:p>
      <w:pPr>
        <w:spacing w:after="0" w:line="75" w:lineRule="exact"/>
        <w:rPr>
          <w:sz w:val="20"/>
          <w:szCs w:val="20"/>
          <w:color w:val="auto"/>
        </w:rPr>
      </w:pPr>
    </w:p>
    <w:p>
      <w:pPr>
        <w:ind w:left="1300" w:right="20" w:hanging="410"/>
        <w:spacing w:after="0" w:line="265"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acquisition of Opco by the Company on October 15, 2021, which resulted in the reorganization of the Company into an umbrella partnership C corporation structure (“</w:t>
      </w:r>
      <w:r>
        <w:rPr>
          <w:rFonts w:ascii="Arial" w:cs="Arial" w:eastAsia="Arial" w:hAnsi="Arial"/>
          <w:sz w:val="17"/>
          <w:szCs w:val="17"/>
          <w:b w:val="1"/>
          <w:bCs w:val="1"/>
          <w:color w:val="auto"/>
        </w:rPr>
        <w:t>Up-C</w:t>
      </w:r>
      <w:r>
        <w:rPr>
          <w:rFonts w:ascii="Arial" w:cs="Arial" w:eastAsia="Arial" w:hAnsi="Arial"/>
          <w:sz w:val="17"/>
          <w:szCs w:val="17"/>
          <w:color w:val="auto"/>
        </w:rPr>
        <w:t>”), and the related entrance into other agreements entered into as part of the Merger Agreement; and</w:t>
      </w:r>
    </w:p>
    <w:p>
      <w:pPr>
        <w:spacing w:after="0" w:line="85" w:lineRule="exact"/>
        <w:rPr>
          <w:rFonts w:ascii="Arial" w:cs="Arial" w:eastAsia="Arial" w:hAnsi="Arial"/>
          <w:sz w:val="17"/>
          <w:szCs w:val="17"/>
          <w:color w:val="auto"/>
        </w:rPr>
      </w:pPr>
    </w:p>
    <w:p>
      <w:pPr>
        <w:ind w:left="1300" w:right="200" w:hanging="410"/>
        <w:spacing w:after="0" w:line="259"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acquisition of Bridge2 Solutions, LLC and its related companies (“Bridge2 Solutions”) by Intercontinental Exchange Holdings, Inc. (“</w:t>
      </w:r>
      <w:r>
        <w:rPr>
          <w:rFonts w:ascii="Arial" w:cs="Arial" w:eastAsia="Arial" w:hAnsi="Arial"/>
          <w:sz w:val="17"/>
          <w:szCs w:val="17"/>
          <w:b w:val="1"/>
          <w:bCs w:val="1"/>
          <w:color w:val="auto"/>
        </w:rPr>
        <w:t>ICEH</w:t>
      </w:r>
      <w:r>
        <w:rPr>
          <w:rFonts w:ascii="Arial" w:cs="Arial" w:eastAsia="Arial" w:hAnsi="Arial"/>
          <w:sz w:val="17"/>
          <w:szCs w:val="17"/>
          <w:color w:val="auto"/>
        </w:rPr>
        <w:t>”) on February 21, 2020 and the subsequent contribution of substantially all of the assets and liabilities of Bridge2 Solutions to Opco at a value of approximately $261 million on March 12, 2020 (the “B2S Acquisition”), which Opco accounted for as a common control transaction under ASC 805, as Bridge2 Solutions was owned by ICEH, the entity that controlled Opco, prior to its combination with Opco.</w:t>
      </w:r>
    </w:p>
    <w:p>
      <w:pPr>
        <w:spacing w:after="0" w:line="180" w:lineRule="exact"/>
        <w:rPr>
          <w:sz w:val="20"/>
          <w:szCs w:val="20"/>
          <w:color w:val="auto"/>
        </w:rPr>
      </w:pPr>
    </w:p>
    <w:p>
      <w:pPr>
        <w:ind w:left="380" w:firstLine="420"/>
        <w:spacing w:after="0" w:line="270" w:lineRule="auto"/>
        <w:rPr>
          <w:sz w:val="20"/>
          <w:szCs w:val="20"/>
          <w:color w:val="auto"/>
        </w:rPr>
      </w:pPr>
      <w:r>
        <w:rPr>
          <w:rFonts w:ascii="Arial" w:cs="Arial" w:eastAsia="Arial" w:hAnsi="Arial"/>
          <w:sz w:val="16"/>
          <w:szCs w:val="16"/>
          <w:color w:val="auto"/>
        </w:rPr>
        <w:t>The Company was a blank check company incorporated on July 31, 2020 (inception) as a Cayman Islands exempted company for the purpose of effecting a merger, share exchange, asset acquisition, share purchase, reorganization or similar business combination with one or more businesses. On August 3, 2020, the Sponsor paid approximately $0.004 per share, for an aggregate price of $25,000 to cover certain offering and formation costs of the Company in consideration for 5,750,000 Class B Ordinary Shares (i.e., the Founder Shares). In September 2020, the Sponsor transferred an aggregate of 60,000 Founder Shares to then-members of the Board, resulting in the Sponsor holding an aggregate of 5,690,000 Founder Shares. On September 25, 2020, the Company consummated the IPO of 20,000,000 of its units (each a “</w:t>
      </w:r>
      <w:r>
        <w:rPr>
          <w:rFonts w:ascii="Arial" w:cs="Arial" w:eastAsia="Arial" w:hAnsi="Arial"/>
          <w:sz w:val="16"/>
          <w:szCs w:val="16"/>
          <w:b w:val="1"/>
          <w:bCs w:val="1"/>
          <w:color w:val="auto"/>
        </w:rPr>
        <w:t>Unit</w:t>
      </w:r>
      <w:r>
        <w:rPr>
          <w:rFonts w:ascii="Arial" w:cs="Arial" w:eastAsia="Arial" w:hAnsi="Arial"/>
          <w:sz w:val="16"/>
          <w:szCs w:val="16"/>
          <w:color w:val="auto"/>
        </w:rPr>
        <w:t>” and collectively, the “</w:t>
      </w:r>
      <w:r>
        <w:rPr>
          <w:rFonts w:ascii="Arial" w:cs="Arial" w:eastAsia="Arial" w:hAnsi="Arial"/>
          <w:sz w:val="16"/>
          <w:szCs w:val="16"/>
          <w:b w:val="1"/>
          <w:bCs w:val="1"/>
          <w:color w:val="auto"/>
        </w:rPr>
        <w:t>Units</w:t>
      </w:r>
      <w:r>
        <w:rPr>
          <w:rFonts w:ascii="Arial" w:cs="Arial" w:eastAsia="Arial" w:hAnsi="Arial"/>
          <w:sz w:val="16"/>
          <w:szCs w:val="16"/>
          <w:color w:val="auto"/>
        </w:rPr>
        <w:t>”), with each Unit consisting of one Class A Ordinary Share and one-half of one warrant, with each such whole warrant entitling the holder thereof to purchase one Class A Ordinary Share for $11.50 per share. The Units were sold at a price of $10.00 per Unit, generating gross proceeds to the Company of $200,000,000. The underwriters in the IPO, on October 1, 2020, partially exercised their over-allotment option and purchased 737,202 Units, generating gross proceeds of $7,372,020. As a result of the over-allotment not being exercised in full, the Sponsor forfeited 565,700 Founder Shares back to the Company, resulting the Company having an aggregate of 5,184,300 Founder Shares issued and outstanding. In addition, the Company completed the sale to the Sponsor of 6,147,440 Private Placement Warrants at a price of $1.00 per warrant, generating gross proceeds of $6,147,440. A total of $207,372,020 of the net proceeds from the IPO and the Private Placement Warrants were deposited in a trust account established at the consummation of the IPO (the “</w:t>
      </w:r>
      <w:r>
        <w:rPr>
          <w:rFonts w:ascii="Arial" w:cs="Arial" w:eastAsia="Arial" w:hAnsi="Arial"/>
          <w:sz w:val="16"/>
          <w:szCs w:val="16"/>
          <w:b w:val="1"/>
          <w:bCs w:val="1"/>
          <w:color w:val="auto"/>
        </w:rPr>
        <w:t>Trust Account</w:t>
      </w:r>
      <w:r>
        <w:rPr>
          <w:rFonts w:ascii="Arial" w:cs="Arial" w:eastAsia="Arial" w:hAnsi="Arial"/>
          <w:sz w:val="16"/>
          <w:szCs w:val="16"/>
          <w:color w:val="auto"/>
        </w:rPr>
        <w:t>”) for the benefit of the holders of Class A Ordinary Shares sold in the IPO (such Class A Ordinary Shares, the “</w:t>
      </w:r>
      <w:r>
        <w:rPr>
          <w:rFonts w:ascii="Arial" w:cs="Arial" w:eastAsia="Arial" w:hAnsi="Arial"/>
          <w:sz w:val="16"/>
          <w:szCs w:val="16"/>
          <w:b w:val="1"/>
          <w:bCs w:val="1"/>
          <w:color w:val="auto"/>
        </w:rPr>
        <w:t>Public Shares</w:t>
      </w:r>
      <w:r>
        <w:rPr>
          <w:rFonts w:ascii="Arial" w:cs="Arial" w:eastAsia="Arial" w:hAnsi="Arial"/>
          <w:sz w:val="16"/>
          <w:szCs w:val="16"/>
          <w:color w:val="auto"/>
        </w:rPr>
        <w:t>” and, such holders, the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and the remaining proceeds became available to be used to provide for business, legal and accounting due diligence on prospective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combinations and continuing general and administrative expenses. The net proceeds deposited into the Trust Account remained on deposit in the Trust Account earning interest except those certain amounts withdrawn in order to pay tax obligations. As of the Closing, there was approximately $207.4 million held in the Trust Account.</w:t>
      </w:r>
    </w:p>
    <w:p>
      <w:pPr>
        <w:spacing w:after="0" w:line="185"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Opco is a digital asset platform that enables consumers to buy, sell, store and spend digital assets. Opco’s consumer platform, now available through the recently released app and to partners through its Bakkt platform, amplifies consumer spending and bolsters loyalty programs, adding value for all key stakeholders within the Bakkt payments and digital assets ecosystem. Launched in 2018, Opco is headquartered in Alpharetta, GA. On February 21, 2020, Opco consummated the B2S Acquisition in order to expand Opco’s loyalty conversion offerings within Opco’s digital asset marketplace.</w:t>
      </w:r>
    </w:p>
    <w:p>
      <w:pPr>
        <w:spacing w:after="0" w:line="180" w:lineRule="exact"/>
        <w:rPr>
          <w:sz w:val="20"/>
          <w:szCs w:val="20"/>
          <w:color w:val="auto"/>
        </w:rPr>
      </w:pPr>
    </w:p>
    <w:p>
      <w:pPr>
        <w:ind w:left="380" w:right="180" w:firstLine="420"/>
        <w:spacing w:after="0" w:line="265" w:lineRule="auto"/>
        <w:rPr>
          <w:sz w:val="20"/>
          <w:szCs w:val="20"/>
          <w:color w:val="auto"/>
        </w:rPr>
      </w:pPr>
      <w:r>
        <w:rPr>
          <w:rFonts w:ascii="Arial" w:cs="Arial" w:eastAsia="Arial" w:hAnsi="Arial"/>
          <w:sz w:val="17"/>
          <w:szCs w:val="17"/>
          <w:color w:val="auto"/>
        </w:rPr>
        <w:t>The organizational structure following the completion of the Business Combination, as described above, is commonly referred to as an Up-C structure in which substantially all of the assets and the business of the Company are held by Opco and its subsidiaries, and the Company’s only direct assets consist of Opco Common</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60"/>
          </w:cols>
          <w:pgMar w:left="320" w:top="471" w:right="7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301" w:lineRule="auto"/>
        <w:rPr>
          <w:sz w:val="20"/>
          <w:szCs w:val="20"/>
          <w:color w:val="auto"/>
        </w:rPr>
      </w:pPr>
      <w:r>
        <w:rPr>
          <w:rFonts w:ascii="Arial" w:cs="Arial" w:eastAsia="Arial" w:hAnsi="Arial"/>
          <w:sz w:val="15"/>
          <w:szCs w:val="15"/>
          <w:color w:val="auto"/>
        </w:rPr>
        <w:t>Units, which are non-voting interests in Opco, and the managing member interest in Opco. This organizational structure allows the Opco Equity Holders to retain their equity ownership in Opco, which is an entity that is classified as a partnership for U.S. federal income tax purposes. Those investors who, prior to the Business Combination, held Class A Ordinary Shares or Class B Ordinary Shares, by contrast, continue to hold their equity ownership in the Company, which is a domestic corporation for U.S. federal income tax purposes. The Company believes that it is advantageous for the Opco Equity Holders to continue to hold their equity interests in an entity that is not taxable as a corporation for U.S. federal income tax purposes.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does not believe that the Up-C organizational structure gives rise to any significant business or strategic benefit or detriment.</w:t>
      </w:r>
    </w:p>
    <w:p>
      <w:pPr>
        <w:spacing w:after="0" w:line="228" w:lineRule="exact"/>
        <w:rPr>
          <w:sz w:val="20"/>
          <w:szCs w:val="20"/>
          <w:color w:val="auto"/>
        </w:rPr>
      </w:pPr>
    </w:p>
    <w:p>
      <w:pPr>
        <w:ind w:left="380" w:right="20" w:firstLine="420"/>
        <w:spacing w:after="0" w:line="275" w:lineRule="auto"/>
        <w:rPr>
          <w:sz w:val="20"/>
          <w:szCs w:val="20"/>
          <w:color w:val="auto"/>
        </w:rPr>
      </w:pPr>
      <w:r>
        <w:rPr>
          <w:rFonts w:ascii="Arial" w:cs="Arial" w:eastAsia="Arial" w:hAnsi="Arial"/>
          <w:sz w:val="16"/>
          <w:szCs w:val="16"/>
          <w:color w:val="auto"/>
        </w:rPr>
        <w:t>The unaudited pro forma condensed combined financial information is based upon, and should be read in conjunction with, the historical financial statements and related notes of the Company and Opco. The pro forma financial statements have been presented for information purposes only and are not necessarily indicative of what the Company’s balance sheet or statement of operations actually would have been had the Business Combination or B2S Acquisition been completed as of the dates indicated, nor do they purport to project the future financial position or operating results of the Company.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B2S Acquisition.</w:t>
      </w:r>
    </w:p>
    <w:p>
      <w:pPr>
        <w:spacing w:after="0" w:line="171"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The unaudited pro forma condensed combined balance sheet combines Opco’s unaudited historical consolidated balance sheet as of September 30, 2021 and the Company’s unaudited historical consolidated balance sheet as of September 30, 2021, giving effect to the Business Combination as if it had been consummated on September 30, 2021. The unaudited pro forma condensed combined statements of operations for the nine months ended September 30, 2021 and for the year ended December 31, 2020 give pro forma effect of the Business Combination and B2S Acquisition as if each had been consummated on January 1, 2020.</w:t>
      </w:r>
    </w:p>
    <w:p>
      <w:pPr>
        <w:spacing w:after="0" w:line="180"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We refer to the unaudited pro forma condensed combined balance sheet and the unaudited pro forma condensed combined statement of operations as the “pro forma financial statements.”</w:t>
      </w:r>
    </w:p>
    <w:p>
      <w:pPr>
        <w:spacing w:after="0" w:line="165" w:lineRule="exact"/>
        <w:rPr>
          <w:sz w:val="20"/>
          <w:szCs w:val="20"/>
          <w:color w:val="auto"/>
        </w:rPr>
      </w:pPr>
    </w:p>
    <w:p>
      <w:pPr>
        <w:ind w:left="380" w:right="60" w:firstLine="420"/>
        <w:spacing w:after="0" w:line="282" w:lineRule="auto"/>
        <w:rPr>
          <w:sz w:val="20"/>
          <w:szCs w:val="20"/>
          <w:color w:val="auto"/>
        </w:rPr>
      </w:pPr>
      <w:r>
        <w:rPr>
          <w:rFonts w:ascii="Arial" w:cs="Arial" w:eastAsia="Arial" w:hAnsi="Arial"/>
          <w:sz w:val="16"/>
          <w:szCs w:val="16"/>
          <w:color w:val="auto"/>
        </w:rPr>
        <w:t>The pro forma financial statements were prepared using the acquisition method of accounting under the provisions of ASC 805 on the basis of the Company as the accounting acquirer and Opco as the accounting acquiree. The ultimate determination of the accounting acquirer is a qualitative and quantitative assessment that requires careful consideration, of which the final determination will occur after the consummation of the Business Combination. The Company has been determined to be the accounting acquirer based on evaluation of the following factors:</w:t>
      </w:r>
    </w:p>
    <w:p>
      <w:pPr>
        <w:spacing w:after="0" w:line="74" w:lineRule="exact"/>
        <w:rPr>
          <w:sz w:val="20"/>
          <w:szCs w:val="20"/>
          <w:color w:val="auto"/>
        </w:rPr>
      </w:pPr>
    </w:p>
    <w:p>
      <w:pPr>
        <w:ind w:left="1300" w:right="280" w:hanging="410"/>
        <w:spacing w:after="0" w:line="311"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is the sole managing member of Opco, the managing member has full and complete charge of all affairs of Opco and the existing non-managing member Opco Equity Holders of Opco do not have substantive participating or kick out rights;</w:t>
      </w:r>
    </w:p>
    <w:p>
      <w:pPr>
        <w:spacing w:after="0" w:line="50" w:lineRule="exact"/>
        <w:rPr>
          <w:rFonts w:ascii="Arial" w:cs="Arial" w:eastAsia="Arial" w:hAnsi="Arial"/>
          <w:sz w:val="16"/>
          <w:szCs w:val="16"/>
          <w:color w:val="auto"/>
        </w:rPr>
      </w:pPr>
    </w:p>
    <w:p>
      <w:pPr>
        <w:ind w:left="1300" w:hanging="410"/>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Sponsor and Opco jointly designated six of the initial eight members of the Board; and</w:t>
      </w:r>
    </w:p>
    <w:p>
      <w:pPr>
        <w:spacing w:after="0" w:line="126" w:lineRule="exact"/>
        <w:rPr>
          <w:rFonts w:ascii="Arial" w:cs="Arial" w:eastAsia="Arial" w:hAnsi="Arial"/>
          <w:sz w:val="17"/>
          <w:szCs w:val="17"/>
          <w:color w:val="auto"/>
        </w:rPr>
      </w:pPr>
    </w:p>
    <w:p>
      <w:pPr>
        <w:ind w:left="1300" w:right="40" w:hanging="410"/>
        <w:spacing w:after="0" w:line="257"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Opco Equity Holders do not hold a controlling interest in the Company or Opco due to (i) the limitation imposed by the Voting Agreement on ICEH and its affiliates’ voting power to 30% of the total voting power of all shares of Class A Common Stock and Class V Common Stock (collectively, the “</w:t>
      </w:r>
      <w:r>
        <w:rPr>
          <w:rFonts w:ascii="Arial" w:cs="Arial" w:eastAsia="Arial" w:hAnsi="Arial"/>
          <w:sz w:val="17"/>
          <w:szCs w:val="17"/>
          <w:b w:val="1"/>
          <w:bCs w:val="1"/>
          <w:color w:val="auto"/>
        </w:rPr>
        <w:t>Common Stock</w:t>
      </w:r>
      <w:r>
        <w:rPr>
          <w:rFonts w:ascii="Arial" w:cs="Arial" w:eastAsia="Arial" w:hAnsi="Arial"/>
          <w:sz w:val="17"/>
          <w:szCs w:val="17"/>
          <w:color w:val="auto"/>
        </w:rPr>
        <w:t>”) that are issued and outstanding and entitled to vote as of the relevant record date so long as it owns shares of Common Stock representing more than 50% of the total voting power of the Company, and (ii) ICEH and its affiliates do not unilaterally control the Board, as only one out of the eight members of the Board is affiliated with ICEH, and the majority of the Board are independent directors not affiliated with ICEH.</w:t>
      </w:r>
    </w:p>
    <w:p>
      <w:pPr>
        <w:spacing w:after="0" w:line="185"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The factors discussed above support the conclusion that the Company acquired a controlling interest in Opco and is the accounting acquirer. The Company is the primary beneficiary of Opco, which is a variable</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60"/>
          </w:cols>
          <w:pgMar w:left="320" w:top="471" w:right="7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spacing w:after="0" w:line="275" w:lineRule="auto"/>
        <w:rPr>
          <w:sz w:val="20"/>
          <w:szCs w:val="20"/>
          <w:color w:val="auto"/>
        </w:rPr>
      </w:pPr>
      <w:r>
        <w:rPr>
          <w:rFonts w:ascii="Arial" w:cs="Arial" w:eastAsia="Arial" w:hAnsi="Arial"/>
          <w:sz w:val="16"/>
          <w:szCs w:val="16"/>
          <w:color w:val="auto"/>
        </w:rPr>
        <w:t>interest entity, since it has the power to direct the activities of Opco that most significantly impact Opco’s economic performance through the Company’s role as the managing member, and its ownership of Opco, which results in the right (and obligation) to receive benefits (and absorb losses) of Opco that could potentially be significant to the Company. Therefore, the Business Combination constituted a change in control and was accounted for using the acquisition method. Under the acquisition method of accounting, the purchase price is allocated to the tangible and identifiable intangible assets acquired and liabilities assumed of Opco, based on their estimated acquisition-date fair values. These estimates are determined through established and generally accepted valuation techniques. Estimated transaction costs incurred are expensed in the pro forma condensed combined statements of operation as if the Closing occurred on January 1, 2020.</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summarizes the pro forma ownership of Class A Common Stock following the Closing:</w:t>
      </w:r>
    </w:p>
    <w:p>
      <w:pPr>
        <w:sectPr>
          <w:pgSz w:w="11900" w:h="16838" w:orient="portrait"/>
          <w:cols w:equalWidth="0" w:num="1">
            <w:col w:w="10820"/>
          </w:cols>
          <w:pgMar w:left="320" w:top="471" w:right="759" w:bottom="1440" w:gutter="0" w:footer="0" w:header="0"/>
        </w:sectPr>
      </w:pPr>
    </w:p>
    <w:p>
      <w:pPr>
        <w:spacing w:after="0" w:line="232" w:lineRule="exact"/>
        <w:rPr>
          <w:sz w:val="20"/>
          <w:szCs w:val="20"/>
          <w:color w:val="auto"/>
        </w:rPr>
      </w:pPr>
    </w:p>
    <w:p>
      <w:pPr>
        <w:ind w:left="1640"/>
        <w:spacing w:after="0"/>
        <w:rPr>
          <w:sz w:val="20"/>
          <w:szCs w:val="20"/>
          <w:color w:val="auto"/>
        </w:rPr>
      </w:pPr>
      <w:r>
        <w:rPr>
          <w:rFonts w:ascii="Arial" w:cs="Arial" w:eastAsia="Arial" w:hAnsi="Arial"/>
          <w:sz w:val="13"/>
          <w:szCs w:val="13"/>
          <w:b w:val="1"/>
          <w:bCs w:val="1"/>
          <w:u w:val="single" w:color="auto"/>
          <w:color w:val="auto"/>
        </w:rPr>
        <w:t>Equity Capitalization Summary (shares in millions)</w:t>
      </w:r>
    </w:p>
    <w:p>
      <w:pPr>
        <w:ind w:left="1640"/>
        <w:spacing w:after="0" w:line="226" w:lineRule="auto"/>
        <w:rPr>
          <w:sz w:val="20"/>
          <w:szCs w:val="20"/>
          <w:color w:val="auto"/>
        </w:rPr>
      </w:pPr>
      <w:r>
        <w:rPr>
          <w:rFonts w:ascii="Arial" w:cs="Arial" w:eastAsia="Arial" w:hAnsi="Arial"/>
          <w:sz w:val="17"/>
          <w:szCs w:val="17"/>
          <w:color w:val="auto"/>
        </w:rPr>
        <w:t>Public Shareholders</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-139065</wp:posOffset>
            </wp:positionV>
            <wp:extent cx="5064125" cy="139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64125" cy="139065"/>
                    </a:xfrm>
                    <a:prstGeom prst="rect">
                      <a:avLst/>
                    </a:prstGeom>
                    <a:noFill/>
                  </pic:spPr>
                </pic:pic>
              </a:graphicData>
            </a:graphic>
          </wp:anchor>
        </w:drawing>
      </w:r>
    </w:p>
    <w:p>
      <w:pPr>
        <w:ind w:left="1640"/>
        <w:spacing w:after="0" w:line="187" w:lineRule="auto"/>
        <w:rPr>
          <w:sz w:val="20"/>
          <w:szCs w:val="20"/>
          <w:color w:val="auto"/>
        </w:rPr>
      </w:pPr>
      <w:r>
        <w:rPr>
          <w:rFonts w:ascii="Arial" w:cs="Arial" w:eastAsia="Arial" w:hAnsi="Arial"/>
          <w:sz w:val="17"/>
          <w:szCs w:val="17"/>
          <w:color w:val="auto"/>
        </w:rPr>
        <w:t>Founder Shares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0</wp:posOffset>
            </wp:positionV>
            <wp:extent cx="5064125" cy="1308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ind w:left="1640"/>
        <w:spacing w:after="0" w:line="181" w:lineRule="auto"/>
        <w:rPr>
          <w:sz w:val="20"/>
          <w:szCs w:val="20"/>
          <w:color w:val="auto"/>
        </w:rPr>
      </w:pPr>
      <w:r>
        <w:rPr>
          <w:rFonts w:ascii="Arial" w:cs="Arial" w:eastAsia="Arial" w:hAnsi="Arial"/>
          <w:sz w:val="17"/>
          <w:szCs w:val="17"/>
          <w:color w:val="auto"/>
        </w:rPr>
        <w:t>PIPE Investors</w:t>
      </w:r>
      <w:r>
        <w:rPr>
          <w:rFonts w:ascii="Arial" w:cs="Arial" w:eastAsia="Arial" w:hAnsi="Arial"/>
          <w:sz w:val="23"/>
          <w:szCs w:val="23"/>
          <w:color w:val="auto"/>
          <w:vertAlign w:val="superscript"/>
        </w:rPr>
        <w:t>(3)</w:t>
      </w:r>
    </w:p>
    <w:p>
      <w:pPr>
        <w:ind w:left="1640"/>
        <w:spacing w:after="0" w:line="209" w:lineRule="auto"/>
        <w:rPr>
          <w:sz w:val="20"/>
          <w:szCs w:val="20"/>
          <w:color w:val="auto"/>
        </w:rPr>
      </w:pPr>
      <w:r>
        <w:rPr>
          <w:rFonts w:ascii="Arial" w:cs="Arial" w:eastAsia="Arial" w:hAnsi="Arial"/>
          <w:sz w:val="15"/>
          <w:szCs w:val="15"/>
          <w:color w:val="auto"/>
        </w:rPr>
        <w:t>Opco Equity Holders interest in the Company</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86"/>
        </w:trPr>
        <w:tc>
          <w:tcPr>
            <w:tcW w:w="42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12.3</w:t>
            </w:r>
          </w:p>
        </w:tc>
        <w:tc>
          <w:tcPr>
            <w:tcW w:w="360" w:type="dxa"/>
            <w:vAlign w:val="bottom"/>
          </w:tcPr>
          <w:p>
            <w:pPr>
              <w:spacing w:after="0"/>
              <w:rPr>
                <w:sz w:val="16"/>
                <w:szCs w:val="16"/>
                <w:color w:val="auto"/>
              </w:rPr>
            </w:pPr>
          </w:p>
        </w:tc>
        <w:tc>
          <w:tcPr>
            <w:tcW w:w="440" w:type="dxa"/>
            <w:vAlign w:val="bottom"/>
            <w:tcBorders>
              <w:top w:val="single" w:sz="8" w:color="auto"/>
            </w:tcBorders>
          </w:tcPr>
          <w:p>
            <w:pPr>
              <w:ind w:left="140"/>
              <w:spacing w:after="0" w:line="186" w:lineRule="exact"/>
              <w:rPr>
                <w:sz w:val="20"/>
                <w:szCs w:val="20"/>
                <w:color w:val="auto"/>
              </w:rPr>
            </w:pPr>
            <w:r>
              <w:rPr>
                <w:rFonts w:ascii="Arial" w:cs="Arial" w:eastAsia="Arial" w:hAnsi="Arial"/>
                <w:sz w:val="17"/>
                <w:szCs w:val="17"/>
                <w:color w:val="auto"/>
                <w:w w:val="84"/>
              </w:rPr>
              <w:t>24.6</w:t>
            </w:r>
          </w:p>
        </w:tc>
        <w:tc>
          <w:tcPr>
            <w:tcW w:w="20" w:type="dxa"/>
            <w:vAlign w:val="bottom"/>
          </w:tcPr>
          <w:p>
            <w:pPr>
              <w:spacing w:after="0"/>
              <w:rPr>
                <w:sz w:val="16"/>
                <w:szCs w:val="16"/>
                <w:color w:val="auto"/>
              </w:rPr>
            </w:pPr>
          </w:p>
        </w:tc>
      </w:tr>
      <w:tr>
        <w:trPr>
          <w:trHeight w:val="206"/>
        </w:trPr>
        <w:tc>
          <w:tcPr>
            <w:tcW w:w="420" w:type="dxa"/>
            <w:vAlign w:val="bottom"/>
          </w:tcPr>
          <w:p>
            <w:pPr>
              <w:jc w:val="right"/>
              <w:spacing w:after="0"/>
              <w:rPr>
                <w:sz w:val="20"/>
                <w:szCs w:val="20"/>
                <w:color w:val="auto"/>
              </w:rPr>
            </w:pPr>
            <w:r>
              <w:rPr>
                <w:rFonts w:ascii="Arial" w:cs="Arial" w:eastAsia="Arial" w:hAnsi="Arial"/>
                <w:sz w:val="17"/>
                <w:szCs w:val="17"/>
                <w:color w:val="auto"/>
              </w:rPr>
              <w:t>5.2</w:t>
            </w:r>
          </w:p>
        </w:tc>
        <w:tc>
          <w:tcPr>
            <w:tcW w:w="36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w w:val="90"/>
              </w:rPr>
              <w:t>10.4</w:t>
            </w:r>
          </w:p>
        </w:tc>
      </w:tr>
      <w:tr>
        <w:trPr>
          <w:trHeight w:val="206"/>
        </w:trPr>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32.5</w:t>
            </w:r>
          </w:p>
        </w:tc>
        <w:tc>
          <w:tcPr>
            <w:tcW w:w="460" w:type="dxa"/>
            <w:vAlign w:val="bottom"/>
            <w:gridSpan w:val="2"/>
          </w:tcPr>
          <w:p>
            <w:pPr>
              <w:ind w:left="140"/>
              <w:spacing w:after="0"/>
              <w:rPr>
                <w:sz w:val="20"/>
                <w:szCs w:val="20"/>
                <w:color w:val="auto"/>
              </w:rPr>
            </w:pPr>
            <w:r>
              <w:rPr>
                <w:rFonts w:ascii="Arial" w:cs="Arial" w:eastAsia="Arial" w:hAnsi="Arial"/>
                <w:sz w:val="17"/>
                <w:szCs w:val="17"/>
                <w:color w:val="auto"/>
                <w:w w:val="90"/>
              </w:rPr>
              <w:t>65.0</w:t>
            </w:r>
          </w:p>
        </w:tc>
      </w:tr>
      <w:tr>
        <w:trPr>
          <w:trHeight w:val="217"/>
        </w:trPr>
        <w:tc>
          <w:tcPr>
            <w:tcW w:w="7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200"/>
              <w:spacing w:after="0"/>
              <w:rPr>
                <w:sz w:val="20"/>
                <w:szCs w:val="20"/>
                <w:color w:val="auto"/>
              </w:rPr>
            </w:pPr>
            <w:r>
              <w:rPr>
                <w:rFonts w:ascii="Arial" w:cs="Arial" w:eastAsia="Arial" w:hAnsi="Arial"/>
                <w:sz w:val="17"/>
                <w:szCs w:val="17"/>
                <w:color w:val="auto"/>
              </w:rPr>
              <w:t>—</w:t>
            </w:r>
          </w:p>
        </w:tc>
      </w:tr>
    </w:tbl>
    <w:p>
      <w:pPr>
        <w:spacing w:after="0" w:line="21" w:lineRule="exact"/>
        <w:rPr>
          <w:sz w:val="20"/>
          <w:szCs w:val="20"/>
          <w:color w:val="auto"/>
        </w:rPr>
      </w:pPr>
    </w:p>
    <w:p>
      <w:pPr>
        <w:sectPr>
          <w:pgSz w:w="11900" w:h="16838" w:orient="portrait"/>
          <w:cols w:equalWidth="0" w:num="2">
            <w:col w:w="7600" w:space="720"/>
            <w:col w:w="2500"/>
          </w:cols>
          <w:pgMar w:left="320" w:top="471" w:right="759" w:bottom="1440" w:gutter="0" w:footer="0" w:header="0"/>
          <w:type w:val="continuous"/>
        </w:sectPr>
      </w:pPr>
    </w:p>
    <w:tbl>
      <w:tblPr>
        <w:tblLayout w:type="fixed"/>
        <w:tblInd w:w="1640" w:type="dxa"/>
        <w:tblCellMar>
          <w:top w:w="0" w:type="dxa"/>
          <w:left w:w="0" w:type="dxa"/>
          <w:bottom w:w="0" w:type="dxa"/>
          <w:right w:w="0" w:type="dxa"/>
        </w:tblCellMar>
      </w:tblPr>
      <w:tr>
        <w:trPr>
          <w:trHeight w:val="20"/>
        </w:trPr>
        <w:tc>
          <w:tcPr>
            <w:tcW w:w="6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68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Total Class A Common Stock</w:t>
            </w:r>
          </w:p>
        </w:tc>
        <w:tc>
          <w:tcPr>
            <w:tcW w:w="4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50.0</w:t>
            </w: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b w:val="1"/>
                <w:bCs w:val="1"/>
                <w:color w:val="auto"/>
                <w:w w:val="98"/>
              </w:rPr>
              <w:t>100.0</w:t>
            </w:r>
          </w:p>
        </w:tc>
      </w:tr>
    </w:tbl>
    <w:p>
      <w:pPr>
        <w:spacing w:after="0" w:line="219" w:lineRule="exact"/>
        <w:rPr>
          <w:sz w:val="20"/>
          <w:szCs w:val="20"/>
          <w:color w:val="auto"/>
        </w:rPr>
      </w:pPr>
    </w:p>
    <w:p>
      <w:pPr>
        <w:ind w:left="780" w:right="100" w:hanging="404"/>
        <w:spacing w:after="0" w:line="259" w:lineRule="auto"/>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8,452,042 Public Shares that were redeemed by shareholders for $84.5 million at approximately $10.01 per share in connection with the Business Combination.</w:t>
      </w:r>
    </w:p>
    <w:p>
      <w:pPr>
        <w:ind w:left="780" w:right="660" w:hanging="404"/>
        <w:spacing w:after="0" w:line="252" w:lineRule="auto"/>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5,184,300 shares of Class A Common Stock issued upon the automatic conversion of the existing Class B Ordinary Shares in connection with the closing of the Business Combination.</w:t>
      </w:r>
    </w:p>
    <w:p>
      <w:pPr>
        <w:spacing w:after="0" w:line="1" w:lineRule="exact"/>
        <w:rPr>
          <w:rFonts w:ascii="Arial" w:cs="Arial" w:eastAsia="Arial" w:hAnsi="Arial"/>
          <w:sz w:val="17"/>
          <w:szCs w:val="17"/>
          <w:color w:val="auto"/>
        </w:rPr>
      </w:pPr>
    </w:p>
    <w:p>
      <w:pPr>
        <w:ind w:left="780" w:right="100" w:hanging="404"/>
        <w:spacing w:after="0" w:line="252" w:lineRule="auto"/>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32,500,000 PIPE Shares purchased by certain investors at a price of $10.00 per share in a private placement that closed in connection with the Closing.</w:t>
      </w:r>
    </w:p>
    <w:p>
      <w:pPr>
        <w:spacing w:after="0" w:line="1" w:lineRule="exact"/>
        <w:rPr>
          <w:rFonts w:ascii="Arial" w:cs="Arial" w:eastAsia="Arial" w:hAnsi="Arial"/>
          <w:sz w:val="17"/>
          <w:szCs w:val="17"/>
          <w:color w:val="auto"/>
        </w:rPr>
      </w:pPr>
    </w:p>
    <w:p>
      <w:pPr>
        <w:ind w:left="780" w:right="280" w:hanging="404"/>
        <w:spacing w:after="0" w:line="256" w:lineRule="auto"/>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Equity Capitalization Summary table excludes Opco Equity Holders’ noncontrolling economic interest in Opco Common Units, which is exchangeable (together with the cancellation of an equal number of shares of voting, non-economic Class V Common Stock) into Class A Common Stock on a 1-for-1 basis subject to certain exceptions. The table below presents the Opco Common Units and noncontrolling interest percentage:</w:t>
      </w:r>
    </w:p>
    <w:p>
      <w:pPr>
        <w:spacing w:after="0" w:line="213"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66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Shares</w:t>
            </w:r>
            <w:r>
              <w:rPr>
                <w:rFonts w:ascii="Arial" w:cs="Arial" w:eastAsia="Arial" w:hAnsi="Arial"/>
                <w:sz w:val="9"/>
                <w:szCs w:val="9"/>
                <w:b w:val="1"/>
                <w:bCs w:val="1"/>
                <w:color w:val="auto"/>
                <w:w w:val="86"/>
              </w:rPr>
              <w:t>(1)</w:t>
            </w:r>
          </w:p>
        </w:tc>
        <w:tc>
          <w:tcPr>
            <w:tcW w:w="360" w:type="dxa"/>
            <w:vAlign w:val="bottom"/>
          </w:tcPr>
          <w:p>
            <w:pPr>
              <w:jc w:val="right"/>
              <w:ind w:right="4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73"/>
        </w:trPr>
        <w:tc>
          <w:tcPr>
            <w:tcW w:w="66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Opco Equity Holders’ noncontrolling interest</w:t>
            </w: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8"/>
        </w:trPr>
        <w:tc>
          <w:tcPr>
            <w:tcW w:w="6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(shares in millions)</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198.7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79.9</w:t>
            </w:r>
          </w:p>
        </w:tc>
      </w:tr>
    </w:tbl>
    <w:p>
      <w:pPr>
        <w:spacing w:after="0" w:line="219" w:lineRule="exact"/>
        <w:rPr>
          <w:sz w:val="20"/>
          <w:szCs w:val="20"/>
          <w:color w:val="auto"/>
        </w:rPr>
      </w:pPr>
    </w:p>
    <w:p>
      <w:pPr>
        <w:ind w:left="1300" w:right="40" w:hanging="512"/>
        <w:spacing w:after="0" w:line="279"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208.2 million Opco Common Units issued to Opco Equity Holders, net of 8.7 million common incentive units or preferred incentive units issued by Opco to its management, subject to the terms and conditions of the Bakkt Holdings, LLC Amended and Restated Bakkt Equity Incentive Plan (the “</w:t>
      </w:r>
      <w:r>
        <w:rPr>
          <w:rFonts w:ascii="Arial" w:cs="Arial" w:eastAsia="Arial" w:hAnsi="Arial"/>
          <w:sz w:val="16"/>
          <w:szCs w:val="16"/>
          <w:b w:val="1"/>
          <w:bCs w:val="1"/>
          <w:color w:val="auto"/>
        </w:rPr>
        <w:t>Opco Incentive Units</w:t>
      </w:r>
      <w:r>
        <w:rPr>
          <w:rFonts w:ascii="Arial" w:cs="Arial" w:eastAsia="Arial" w:hAnsi="Arial"/>
          <w:sz w:val="16"/>
          <w:szCs w:val="16"/>
          <w:color w:val="auto"/>
        </w:rPr>
        <w:t>” and the “</w:t>
      </w:r>
      <w:r>
        <w:rPr>
          <w:rFonts w:ascii="Arial" w:cs="Arial" w:eastAsia="Arial" w:hAnsi="Arial"/>
          <w:sz w:val="16"/>
          <w:szCs w:val="16"/>
          <w:b w:val="1"/>
          <w:bCs w:val="1"/>
          <w:color w:val="auto"/>
        </w:rPr>
        <w:t>Opco Plan</w:t>
      </w:r>
      <w:r>
        <w:rPr>
          <w:rFonts w:ascii="Arial" w:cs="Arial" w:eastAsia="Arial" w:hAnsi="Arial"/>
          <w:sz w:val="16"/>
          <w:szCs w:val="16"/>
          <w:color w:val="auto"/>
        </w:rPr>
        <w:t>,” respectively), which vest on each of the first and second anniversaries of the effective time of the Closing, and 0.8 million units issuable upon the exercise of the warrant issued to a minority investor to purchase a certain number of Opco’s Class C voting units (the “</w:t>
      </w:r>
      <w:r>
        <w:rPr>
          <w:rFonts w:ascii="Arial" w:cs="Arial" w:eastAsia="Arial" w:hAnsi="Arial"/>
          <w:sz w:val="16"/>
          <w:szCs w:val="16"/>
          <w:b w:val="1"/>
          <w:bCs w:val="1"/>
          <w:color w:val="auto"/>
        </w:rPr>
        <w:t>Opco Warrant</w:t>
      </w:r>
      <w:r>
        <w:rPr>
          <w:rFonts w:ascii="Arial" w:cs="Arial" w:eastAsia="Arial" w:hAnsi="Arial"/>
          <w:sz w:val="16"/>
          <w:szCs w:val="16"/>
          <w:color w:val="auto"/>
        </w:rPr>
        <w:t>”).</w:t>
      </w:r>
    </w:p>
    <w:p>
      <w:pPr>
        <w:spacing w:after="0" w:line="16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following unaudited pro forma condensed combined balance sheet as of September 30, 2021 and the unaudited pro forma condensed combined statements of operations for the year ended December 31, 2020 and for the nine months ended September 30, 2021 are based on the historical financial statements of the Company, Opco and Bridge2 Solutions, each as filed with the SEC.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820"/>
          </w:cols>
          <w:pgMar w:left="320" w:top="471" w:right="759" w:bottom="1440" w:gutter="0" w:footer="0" w:header="0"/>
          <w:type w:val="continuous"/>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Unaudited Pro Forma Condensed Combined Balance Sheet as of September 30, 2021</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Historical Financials</w:t>
            </w:r>
          </w:p>
        </w:tc>
        <w:tc>
          <w:tcPr>
            <w:tcW w:w="200" w:type="dxa"/>
            <w:vAlign w:val="bottom"/>
          </w:tcPr>
          <w:p>
            <w:pPr>
              <w:spacing w:after="0"/>
              <w:rPr>
                <w:sz w:val="14"/>
                <w:szCs w:val="14"/>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Transaction</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12"/>
        </w:trPr>
        <w:tc>
          <w:tcPr>
            <w:tcW w:w="4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440"/>
              <w:spacing w:after="0" w:line="112" w:lineRule="exact"/>
              <w:rPr>
                <w:sz w:val="20"/>
                <w:szCs w:val="20"/>
                <w:color w:val="auto"/>
              </w:rPr>
            </w:pPr>
            <w:r>
              <w:rPr>
                <w:rFonts w:ascii="Arial" w:cs="Arial" w:eastAsia="Arial" w:hAnsi="Arial"/>
                <w:sz w:val="11"/>
                <w:szCs w:val="11"/>
                <w:b w:val="1"/>
                <w:bCs w:val="1"/>
                <w:color w:val="auto"/>
              </w:rPr>
              <w:t>Company</w:t>
            </w: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215"/>
              <w:spacing w:after="0" w:line="112" w:lineRule="exact"/>
              <w:rPr>
                <w:sz w:val="20"/>
                <w:szCs w:val="20"/>
                <w:color w:val="auto"/>
              </w:rPr>
            </w:pPr>
            <w:r>
              <w:rPr>
                <w:rFonts w:ascii="Arial" w:cs="Arial" w:eastAsia="Arial" w:hAnsi="Arial"/>
                <w:sz w:val="11"/>
                <w:szCs w:val="11"/>
                <w:b w:val="1"/>
                <w:bCs w:val="1"/>
                <w:color w:val="auto"/>
              </w:rPr>
              <w:t>Opco</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720" w:type="dxa"/>
            <w:vAlign w:val="bottom"/>
          </w:tcPr>
          <w:p>
            <w:pPr>
              <w:spacing w:after="0"/>
              <w:rPr>
                <w:sz w:val="12"/>
                <w:szCs w:val="12"/>
                <w:color w:val="auto"/>
              </w:rPr>
            </w:pPr>
          </w:p>
        </w:tc>
        <w:tc>
          <w:tcPr>
            <w:tcW w:w="12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as of</w:t>
            </w:r>
          </w:p>
        </w:tc>
        <w:tc>
          <w:tcPr>
            <w:tcW w:w="180" w:type="dxa"/>
            <w:vAlign w:val="bottom"/>
          </w:tcPr>
          <w:p>
            <w:pPr>
              <w:spacing w:after="0"/>
              <w:rPr>
                <w:sz w:val="12"/>
                <w:szCs w:val="12"/>
                <w:color w:val="auto"/>
              </w:rPr>
            </w:pPr>
          </w:p>
        </w:tc>
        <w:tc>
          <w:tcPr>
            <w:tcW w:w="12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(Historical as of</w:t>
            </w:r>
          </w:p>
        </w:tc>
        <w:tc>
          <w:tcPr>
            <w:tcW w:w="200" w:type="dxa"/>
            <w:vAlign w:val="bottom"/>
          </w:tcPr>
          <w:p>
            <w:pPr>
              <w:spacing w:after="0"/>
              <w:rPr>
                <w:sz w:val="12"/>
                <w:szCs w:val="12"/>
                <w:color w:val="auto"/>
              </w:rPr>
            </w:pPr>
          </w:p>
        </w:tc>
        <w:tc>
          <w:tcPr>
            <w:tcW w:w="1040" w:type="dxa"/>
            <w:vAlign w:val="bottom"/>
            <w:gridSpan w:val="3"/>
          </w:tcPr>
          <w:p>
            <w:pPr>
              <w:jc w:val="right"/>
              <w:ind w:right="320"/>
              <w:spacing w:after="0" w:line="141" w:lineRule="exact"/>
              <w:rPr>
                <w:sz w:val="20"/>
                <w:szCs w:val="20"/>
                <w:color w:val="auto"/>
              </w:rPr>
            </w:pPr>
            <w:r>
              <w:rPr>
                <w:rFonts w:ascii="Arial" w:cs="Arial" w:eastAsia="Arial" w:hAnsi="Arial"/>
                <w:sz w:val="14"/>
                <w:szCs w:val="14"/>
                <w:b w:val="1"/>
                <w:bCs w:val="1"/>
                <w:color w:val="auto"/>
                <w:w w:val="90"/>
              </w:rPr>
              <w:t>Accounting</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64"/>
        </w:trPr>
        <w:tc>
          <w:tcPr>
            <w:tcW w:w="44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9/30/21)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9/30/21)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A</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Restricted cash</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Customer funds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390.0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Cash and investments held in Trust Account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207.4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(207.4)</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B</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Property, equipment and software,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233.4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1,119.0</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C</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1,352.4</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Intangible assets,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57.3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517.3</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C</w:t>
            </w: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clearinghouse affiliate, noncurrent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Other assets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1,428.9</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8"/>
              </w:rPr>
              <w:t>1,974.5</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1,818.9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2,424.8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E</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Customer funds payable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Due to affiliates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b w:val="1"/>
                <w:bCs w:val="1"/>
                <w:color w:val="auto"/>
              </w:rPr>
              <w:t>Current liabilities</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66.6</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(11.7)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61.0</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Warrant liability</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fee payable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E</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6.0</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F</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b w:val="1"/>
                <w:bCs w:val="1"/>
                <w:color w:val="auto"/>
              </w:rPr>
              <w:t>Non-current liabilities</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74.0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(13.1)</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103.9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(207.3)</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Incentive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b w:val="1"/>
                <w:bCs w:val="1"/>
                <w:color w:val="auto"/>
              </w:rPr>
              <w:t>Mezzanine equity</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207.3</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23.5</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(230.8)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A voting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B voting units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187.9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(187.9)</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C voting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C warrant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513.7</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(0.2)</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171.6</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shareholders’ equity</w:t>
            </w: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183.0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1,879.8</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H</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1,879.8</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equity</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2,062.8</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2,320.9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&amp; equity</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208.2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397.7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1,818.9</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8"/>
              </w:rPr>
              <w:t>2,424.8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4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Unaudited Pro Forma Condensed Combined Statement of Operations for the Nine Months Ended September 30, 2021</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Historical Financials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420"/>
              <w:spacing w:after="0" w:line="112" w:lineRule="exact"/>
              <w:rPr>
                <w:sz w:val="20"/>
                <w:szCs w:val="20"/>
                <w:color w:val="auto"/>
              </w:rPr>
            </w:pPr>
            <w:r>
              <w:rPr>
                <w:rFonts w:ascii="Arial" w:cs="Arial" w:eastAsia="Arial" w:hAnsi="Arial"/>
                <w:sz w:val="11"/>
                <w:szCs w:val="11"/>
                <w:b w:val="1"/>
                <w:bCs w:val="1"/>
                <w:color w:val="auto"/>
              </w:rPr>
              <w:t>Company</w:t>
            </w: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77"/>
              <w:spacing w:after="0" w:line="112" w:lineRule="exact"/>
              <w:rPr>
                <w:sz w:val="20"/>
                <w:szCs w:val="20"/>
                <w:color w:val="auto"/>
              </w:rPr>
            </w:pPr>
            <w:r>
              <w:rPr>
                <w:rFonts w:ascii="Arial" w:cs="Arial" w:eastAsia="Arial" w:hAnsi="Arial"/>
                <w:sz w:val="11"/>
                <w:szCs w:val="11"/>
                <w:b w:val="1"/>
                <w:bCs w:val="1"/>
                <w:color w:val="auto"/>
              </w:rPr>
              <w:t>Opco</w:t>
            </w:r>
          </w:p>
        </w:tc>
        <w:tc>
          <w:tcPr>
            <w:tcW w:w="520" w:type="dxa"/>
            <w:vAlign w:val="bottom"/>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Nine</w:t>
            </w:r>
          </w:p>
        </w:tc>
        <w:tc>
          <w:tcPr>
            <w:tcW w:w="240" w:type="dxa"/>
            <w:vAlign w:val="bottom"/>
          </w:tcPr>
          <w:p>
            <w:pPr>
              <w:spacing w:after="0"/>
              <w:rPr>
                <w:sz w:val="12"/>
                <w:szCs w:val="12"/>
                <w:color w:val="auto"/>
              </w:rPr>
            </w:pPr>
          </w:p>
        </w:tc>
        <w:tc>
          <w:tcPr>
            <w:tcW w:w="146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91"/>
              </w:rPr>
              <w:t>(Historical Nine</w:t>
            </w:r>
          </w:p>
        </w:tc>
        <w:tc>
          <w:tcPr>
            <w:tcW w:w="106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20" w:type="dxa"/>
            <w:vAlign w:val="bottom"/>
            <w:gridSpan w:val="3"/>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months Ended</w:t>
            </w:r>
          </w:p>
        </w:tc>
        <w:tc>
          <w:tcPr>
            <w:tcW w:w="240" w:type="dxa"/>
            <w:vAlign w:val="bottom"/>
          </w:tcPr>
          <w:p>
            <w:pPr>
              <w:spacing w:after="0"/>
              <w:rPr>
                <w:sz w:val="12"/>
                <w:szCs w:val="12"/>
                <w:color w:val="auto"/>
              </w:rPr>
            </w:pPr>
          </w:p>
        </w:tc>
        <w:tc>
          <w:tcPr>
            <w:tcW w:w="146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88"/>
              </w:rPr>
              <w:t>months Ended</w:t>
            </w:r>
          </w:p>
        </w:tc>
        <w:tc>
          <w:tcPr>
            <w:tcW w:w="106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Accounting</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6"/>
              <w:spacing w:after="0" w:line="118" w:lineRule="exact"/>
              <w:rPr>
                <w:sz w:val="20"/>
                <w:szCs w:val="20"/>
                <w:color w:val="auto"/>
              </w:rPr>
            </w:pPr>
            <w:r>
              <w:rPr>
                <w:rFonts w:ascii="Arial" w:cs="Arial" w:eastAsia="Arial" w:hAnsi="Arial"/>
                <w:sz w:val="13"/>
                <w:szCs w:val="13"/>
                <w:b w:val="1"/>
                <w:bCs w:val="1"/>
                <w:color w:val="auto"/>
                <w:w w:val="96"/>
              </w:rPr>
              <w:t>9/30/21)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7"/>
              <w:spacing w:after="0" w:line="118" w:lineRule="exact"/>
              <w:rPr>
                <w:sz w:val="20"/>
                <w:szCs w:val="20"/>
                <w:color w:val="auto"/>
              </w:rPr>
            </w:pPr>
            <w:r>
              <w:rPr>
                <w:rFonts w:ascii="Arial" w:cs="Arial" w:eastAsia="Arial" w:hAnsi="Arial"/>
                <w:sz w:val="13"/>
                <w:szCs w:val="13"/>
                <w:b w:val="1"/>
                <w:bCs w:val="1"/>
                <w:color w:val="auto"/>
                <w:w w:val="96"/>
              </w:rPr>
              <w:t>9/30/21)</w:t>
            </w:r>
          </w:p>
        </w:tc>
        <w:tc>
          <w:tcPr>
            <w:tcW w:w="520" w:type="dxa"/>
            <w:vAlign w:val="bottom"/>
          </w:tcPr>
          <w:p>
            <w:pPr>
              <w:spacing w:after="0"/>
              <w:rPr>
                <w:sz w:val="12"/>
                <w:szCs w:val="12"/>
                <w:color w:val="auto"/>
              </w:rPr>
            </w:pPr>
          </w:p>
        </w:tc>
        <w:tc>
          <w:tcPr>
            <w:tcW w:w="10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Adjustments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Revenue</w:t>
            </w: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25.8</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center"/>
              <w:ind w:left="74"/>
              <w:spacing w:after="0" w:line="185" w:lineRule="exact"/>
              <w:rPr>
                <w:sz w:val="20"/>
                <w:szCs w:val="20"/>
                <w:color w:val="auto"/>
              </w:rPr>
            </w:pPr>
            <w:r>
              <w:rPr>
                <w:rFonts w:ascii="Arial" w:cs="Arial" w:eastAsia="Arial" w:hAnsi="Arial"/>
                <w:sz w:val="17"/>
                <w:szCs w:val="17"/>
                <w:color w:val="auto"/>
                <w:w w:val="93"/>
              </w:rPr>
              <w:t>—</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25.8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DDD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9.9</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12.7</w:t>
            </w:r>
          </w:p>
        </w:tc>
        <w:tc>
          <w:tcPr>
            <w:tcW w:w="860" w:type="dxa"/>
            <w:vAlign w:val="bottom"/>
          </w:tcPr>
          <w:p>
            <w:pPr>
              <w:jc w:val="right"/>
              <w:ind w:right="134"/>
              <w:spacing w:after="0"/>
              <w:rPr>
                <w:sz w:val="20"/>
                <w:szCs w:val="20"/>
                <w:color w:val="auto"/>
              </w:rPr>
            </w:pPr>
            <w:r>
              <w:rPr>
                <w:rFonts w:ascii="Arial" w:cs="Arial" w:eastAsia="Arial" w:hAnsi="Arial"/>
                <w:sz w:val="17"/>
                <w:szCs w:val="17"/>
                <w:b w:val="1"/>
                <w:bCs w:val="1"/>
                <w:color w:val="auto"/>
              </w:rPr>
              <w:t>AAA</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Impairment of long-lived assets</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operating costs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115.4</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(89.6)</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(14.6)</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(110.0)</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7"/>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warrant liability</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center"/>
              <w:ind w:left="74"/>
              <w:spacing w:after="0"/>
              <w:rPr>
                <w:sz w:val="20"/>
                <w:szCs w:val="20"/>
                <w:color w:val="auto"/>
              </w:rPr>
            </w:pPr>
            <w:r>
              <w:rPr>
                <w:rFonts w:ascii="Arial" w:cs="Arial" w:eastAsia="Arial" w:hAnsi="Arial"/>
                <w:sz w:val="17"/>
                <w:szCs w:val="17"/>
                <w:color w:val="auto"/>
                <w:w w:val="93"/>
              </w:rPr>
              <w: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rPr>
              <w:t>0.2</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b w:val="1"/>
                <w:bCs w:val="1"/>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(89.4)</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center"/>
              <w:ind w:left="74"/>
              <w:spacing w:after="0"/>
              <w:rPr>
                <w:sz w:val="20"/>
                <w:szCs w:val="20"/>
                <w:color w:val="auto"/>
              </w:rPr>
            </w:pPr>
            <w:r>
              <w:rPr>
                <w:rFonts w:ascii="Arial" w:cs="Arial" w:eastAsia="Arial" w:hAnsi="Arial"/>
                <w:sz w:val="17"/>
                <w:szCs w:val="17"/>
                <w:b w:val="1"/>
                <w:bCs w:val="1"/>
                <w:color w:val="auto"/>
                <w:w w:val="80"/>
              </w:rPr>
              <w:t>(14.6)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(116.9)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(0.2)</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BBB</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(89.6)</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(112.2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(93.0)</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CCC</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7"/>
                <w:szCs w:val="17"/>
                <w:color w:val="auto"/>
              </w:rPr>
              <w:t>Net loss attributable to controlling interest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(89.6)</w:t>
            </w:r>
          </w:p>
        </w:tc>
        <w:tc>
          <w:tcPr>
            <w:tcW w:w="2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83.3</w:t>
            </w:r>
          </w:p>
        </w:tc>
        <w:tc>
          <w:tcPr>
            <w:tcW w:w="860" w:type="dxa"/>
            <w:vAlign w:val="bottom"/>
          </w:tcPr>
          <w:p>
            <w:pPr>
              <w:jc w:val="right"/>
              <w:ind w:right="134"/>
              <w:spacing w:after="0"/>
              <w:rPr>
                <w:sz w:val="20"/>
                <w:szCs w:val="20"/>
                <w:color w:val="auto"/>
              </w:rPr>
            </w:pPr>
            <w:r>
              <w:rPr>
                <w:rFonts w:ascii="Arial" w:cs="Arial" w:eastAsia="Arial" w:hAnsi="Arial"/>
                <w:sz w:val="17"/>
                <w:szCs w:val="17"/>
                <w:b w:val="1"/>
                <w:bCs w:val="1"/>
                <w:color w:val="auto"/>
              </w:rPr>
              <w:t>CCC</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basic</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20,737,202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diluted</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20,737,202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basic</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5,184,300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diluted</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5,184,300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96"/>
              <w:spacing w:after="0"/>
              <w:rPr>
                <w:sz w:val="20"/>
                <w:szCs w:val="20"/>
                <w:color w:val="auto"/>
              </w:rPr>
            </w:pPr>
            <w:r>
              <w:rPr>
                <w:rFonts w:ascii="Arial" w:cs="Arial" w:eastAsia="Arial" w:hAnsi="Arial"/>
                <w:sz w:val="17"/>
                <w:szCs w:val="17"/>
                <w:color w:val="auto"/>
              </w:rPr>
              <w:t>55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Unaudited Pro Forma Condensed Combined Statement of Operations for Year Ended December 31, 2020</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1"/>
              </w:rPr>
              <w:t>Historical Financials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222"/>
              <w:spacing w:after="0"/>
              <w:rPr>
                <w:sz w:val="20"/>
                <w:szCs w:val="20"/>
                <w:color w:val="auto"/>
              </w:rPr>
            </w:pPr>
            <w:r>
              <w:rPr>
                <w:rFonts w:ascii="Arial" w:cs="Arial" w:eastAsia="Arial" w:hAnsi="Arial"/>
                <w:sz w:val="14"/>
                <w:szCs w:val="14"/>
                <w:b w:val="1"/>
                <w:bCs w:val="1"/>
                <w:color w:val="auto"/>
                <w:w w:val="83"/>
              </w:rPr>
              <w:t>Opco</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Bridge2</w:t>
            </w:r>
          </w:p>
        </w:tc>
        <w:tc>
          <w:tcPr>
            <w:tcW w:w="680" w:type="dxa"/>
            <w:vAlign w:val="bottom"/>
            <w:gridSpan w:val="2"/>
          </w:tcPr>
          <w:p>
            <w:pPr>
              <w:jc w:val="center"/>
              <w:spacing w:after="0" w:line="112" w:lineRule="exact"/>
              <w:rPr>
                <w:sz w:val="20"/>
                <w:szCs w:val="20"/>
                <w:color w:val="auto"/>
              </w:rPr>
            </w:pPr>
            <w:r>
              <w:rPr>
                <w:rFonts w:ascii="Arial" w:cs="Arial" w:eastAsia="Arial" w:hAnsi="Arial"/>
                <w:sz w:val="11"/>
                <w:szCs w:val="11"/>
                <w:b w:val="1"/>
                <w:bCs w:val="1"/>
                <w:color w:val="auto"/>
              </w:rPr>
              <w:t>Combined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84"/>
              </w:rPr>
              <w:t>Solutions</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Company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(Historical</w:t>
            </w:r>
          </w:p>
        </w:tc>
        <w:tc>
          <w:tcPr>
            <w:tcW w:w="160" w:type="dxa"/>
            <w:vAlign w:val="bottom"/>
          </w:tcPr>
          <w:p>
            <w:pPr>
              <w:spacing w:after="0"/>
              <w:rPr>
                <w:sz w:val="12"/>
                <w:szCs w:val="12"/>
                <w:color w:val="auto"/>
              </w:rPr>
            </w:pPr>
          </w:p>
        </w:tc>
        <w:tc>
          <w:tcPr>
            <w:tcW w:w="86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(Historical</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Transaction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from 7/31/20</w:t>
            </w:r>
          </w:p>
        </w:tc>
        <w:tc>
          <w:tcPr>
            <w:tcW w:w="160" w:type="dxa"/>
            <w:vAlign w:val="bottom"/>
          </w:tcPr>
          <w:p>
            <w:pPr>
              <w:spacing w:after="0"/>
              <w:rPr>
                <w:sz w:val="12"/>
                <w:szCs w:val="12"/>
                <w:color w:val="auto"/>
              </w:rPr>
            </w:pPr>
          </w:p>
        </w:tc>
        <w:tc>
          <w:tcPr>
            <w:tcW w:w="86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89"/>
              </w:rPr>
              <w:t>from 1/1/20</w:t>
            </w: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91"/>
              </w:rPr>
              <w:t>from 1/1/20</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from 1/1/20</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0"/>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2"/>
              <w:spacing w:after="0" w:line="141" w:lineRule="exact"/>
              <w:rPr>
                <w:sz w:val="20"/>
                <w:szCs w:val="20"/>
                <w:color w:val="auto"/>
              </w:rPr>
            </w:pPr>
            <w:r>
              <w:rPr>
                <w:rFonts w:ascii="Arial" w:cs="Arial" w:eastAsia="Arial" w:hAnsi="Arial"/>
                <w:sz w:val="14"/>
                <w:szCs w:val="14"/>
                <w:b w:val="1"/>
                <w:bCs w:val="1"/>
                <w:color w:val="auto"/>
                <w:w w:val="86"/>
              </w:rPr>
              <w:t>through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96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
              <w:spacing w:after="0" w:line="118" w:lineRule="exact"/>
              <w:rPr>
                <w:sz w:val="20"/>
                <w:szCs w:val="20"/>
                <w:color w:val="auto"/>
              </w:rPr>
            </w:pPr>
            <w:r>
              <w:rPr>
                <w:rFonts w:ascii="Arial" w:cs="Arial" w:eastAsia="Arial" w:hAnsi="Arial"/>
                <w:sz w:val="13"/>
                <w:szCs w:val="13"/>
                <w:b w:val="1"/>
                <w:bCs w:val="1"/>
                <w:color w:val="auto"/>
                <w:w w:val="98"/>
              </w:rPr>
              <w:t>12/31/20)</w:t>
            </w:r>
          </w:p>
        </w:tc>
        <w:tc>
          <w:tcPr>
            <w:tcW w:w="120" w:type="dxa"/>
            <w:vAlign w:val="bottom"/>
          </w:tcPr>
          <w:p>
            <w:pPr>
              <w:spacing w:after="0"/>
              <w:rPr>
                <w:sz w:val="12"/>
                <w:szCs w:val="12"/>
                <w:color w:val="auto"/>
              </w:rPr>
            </w:pPr>
          </w:p>
        </w:tc>
        <w:tc>
          <w:tcPr>
            <w:tcW w:w="860" w:type="dxa"/>
            <w:vAlign w:val="bottom"/>
            <w:gridSpan w:val="3"/>
          </w:tcPr>
          <w:p>
            <w:pPr>
              <w:jc w:val="right"/>
              <w:spacing w:after="0" w:line="118" w:lineRule="exact"/>
              <w:rPr>
                <w:sz w:val="20"/>
                <w:szCs w:val="20"/>
                <w:color w:val="auto"/>
              </w:rPr>
            </w:pPr>
            <w:r>
              <w:rPr>
                <w:rFonts w:ascii="Arial" w:cs="Arial" w:eastAsia="Arial" w:hAnsi="Arial"/>
                <w:sz w:val="13"/>
                <w:szCs w:val="13"/>
                <w:b w:val="1"/>
                <w:bCs w:val="1"/>
                <w:color w:val="auto"/>
              </w:rPr>
              <w:t>12/31/20)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7"/>
              <w:spacing w:after="0" w:line="118" w:lineRule="exact"/>
              <w:rPr>
                <w:sz w:val="20"/>
                <w:szCs w:val="20"/>
                <w:color w:val="auto"/>
              </w:rPr>
            </w:pPr>
            <w:r>
              <w:rPr>
                <w:rFonts w:ascii="Arial" w:cs="Arial" w:eastAsia="Arial" w:hAnsi="Arial"/>
                <w:sz w:val="13"/>
                <w:szCs w:val="13"/>
                <w:b w:val="1"/>
                <w:bCs w:val="1"/>
                <w:color w:val="auto"/>
                <w:w w:val="96"/>
              </w:rPr>
              <w:t>2/21/20)</w:t>
            </w:r>
          </w:p>
        </w:tc>
        <w:tc>
          <w:tcPr>
            <w:tcW w:w="280" w:type="dxa"/>
            <w:vAlign w:val="bottom"/>
          </w:tcPr>
          <w:p>
            <w:pPr>
              <w:spacing w:after="0"/>
              <w:rPr>
                <w:sz w:val="12"/>
                <w:szCs w:val="12"/>
                <w:color w:val="auto"/>
              </w:rPr>
            </w:pPr>
          </w:p>
        </w:tc>
        <w:tc>
          <w:tcPr>
            <w:tcW w:w="68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4"/>
              </w:rPr>
              <w:t>12/31/20)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Adjustments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28.5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5.7</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34.2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76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b w:val="1"/>
                <w:bCs w:val="1"/>
                <w:color w:val="auto"/>
              </w:rPr>
              <w:t>(0.1)</w:t>
            </w:r>
          </w:p>
        </w:tc>
        <w:tc>
          <w:tcPr>
            <w:tcW w:w="520" w:type="dxa"/>
            <w:vAlign w:val="bottom"/>
            <w:shd w:val="clear" w:color="auto" w:fill="CCEEFF"/>
          </w:tcPr>
          <w:p>
            <w:pPr>
              <w:jc w:val="right"/>
              <w:ind w:right="34"/>
              <w:spacing w:after="0" w:line="185" w:lineRule="exact"/>
              <w:rPr>
                <w:sz w:val="20"/>
                <w:szCs w:val="20"/>
                <w:color w:val="auto"/>
              </w:rPr>
            </w:pPr>
            <w:r>
              <w:rPr>
                <w:rFonts w:ascii="Arial" w:cs="Arial" w:eastAsia="Arial" w:hAnsi="Arial"/>
                <w:sz w:val="17"/>
                <w:szCs w:val="17"/>
                <w:b w:val="1"/>
                <w:bCs w:val="1"/>
                <w:color w:val="auto"/>
              </w:rPr>
              <w:t>AA</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34.1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43.1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24.4</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FF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Professional services</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24.5</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CC</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20.6</w:t>
            </w:r>
          </w:p>
        </w:tc>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rPr>
              <w:t>BB</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Impairment of long-lived assets</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operating costs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b w:val="1"/>
                <w:bCs w:val="1"/>
                <w:color w:val="auto"/>
              </w:rPr>
              <w:t>(79.1)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(69.6)</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(149.9)</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warrant liability</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Transaction costs—warrants</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expense—warrants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b w:val="1"/>
                <w:bCs w:val="1"/>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(69.6)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DD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(80.0</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(148.1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(123.1)</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EE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7"/>
                <w:szCs w:val="17"/>
                <w:color w:val="auto"/>
              </w:rPr>
              <w:t>Net loss attributable to controlling interest</w:t>
            </w: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7"/>
                <w:szCs w:val="17"/>
                <w:color w:val="auto"/>
              </w:rPr>
              <w:t>(79.6)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59.9</w:t>
            </w:r>
          </w:p>
        </w:tc>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rPr>
              <w:t>EE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8"/>
              </w:rPr>
              <w:t>Weighted average shares of Class A outstanding, basic</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20,737,202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5"/>
              </w:rPr>
              <w:t>Weighted average shares of Class A outstanding, diluted</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20,737,202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8"/>
              </w:rPr>
              <w:t>Weighted average shares of Class B outstanding, basic</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5,184,300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5"/>
              </w:rPr>
              <w:t>Weighted average shares of Class B outstanding, diluted</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5,184,300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NOTES TO UNAUDITED PRO FORMA CONDENSED COMBINED FINANCIAL INFORMATION</w:t>
      </w:r>
    </w:p>
    <w:p>
      <w:pPr>
        <w:spacing w:after="0" w:line="242" w:lineRule="exact"/>
        <w:rPr>
          <w:sz w:val="20"/>
          <w:szCs w:val="20"/>
          <w:color w:val="auto"/>
        </w:rPr>
      </w:pPr>
    </w:p>
    <w:p>
      <w:pPr>
        <w:ind w:left="780" w:hanging="404"/>
        <w:spacing w:after="0"/>
        <w:tabs>
          <w:tab w:leader="none" w:pos="7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Pro Forma Presentation</w:t>
      </w:r>
    </w:p>
    <w:p>
      <w:pPr>
        <w:spacing w:after="0" w:line="119"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The unaudited pro forma condensed combined financial statements have been prepared using the acquisition method of accounting with the Company as the acquiring entity. Under the acquisition method of accounting, the Company’s assets and liabilities will retain their carrying values and the assets and liabilities associated with Opco are recorded at their fair values measured as of the acquisition date. The excess of the purchase price over the estimated fair values of the net assets acquired, if applicable, are recorded as goodwill. The acquisition method of accounting is based on ASC 805 and uses the fair value concepts defined in ASC Topic 820, Fair Value Measurements. In general, ASC 805 requires, among other things, that assets acquired and liabilities assumed be recognized at their fair values as of the acquisition date by the Company, who was determined to be the accounting acquirer.</w:t>
      </w:r>
    </w:p>
    <w:p>
      <w:pPr>
        <w:spacing w:after="0" w:line="181"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71" w:lineRule="exact"/>
        <w:rPr>
          <w:sz w:val="20"/>
          <w:szCs w:val="20"/>
          <w:color w:val="auto"/>
        </w:rPr>
      </w:pPr>
    </w:p>
    <w:p>
      <w:pPr>
        <w:ind w:left="380" w:right="60" w:firstLine="420"/>
        <w:spacing w:after="0" w:line="273" w:lineRule="auto"/>
        <w:rPr>
          <w:sz w:val="20"/>
          <w:szCs w:val="20"/>
          <w:color w:val="auto"/>
        </w:rPr>
      </w:pPr>
      <w:r>
        <w:rPr>
          <w:rFonts w:ascii="Arial" w:cs="Arial" w:eastAsia="Arial" w:hAnsi="Arial"/>
          <w:sz w:val="16"/>
          <w:szCs w:val="16"/>
          <w:color w:val="auto"/>
        </w:rPr>
        <w:t>The pro forma adjustments represent management’s estimates based on information available as of the date of the filing of the condensed combined financial statements and do not reflect possible adjustments related to restructuring or integration activities that have yet to be determined or transaction or other costs following the Business Combination that are not expected to have a continuing impact on the statement of operations. Further, estimated one-time transaction-related expenses incurred in connection with the consummation of the Business Combination are presented in the unaudited pro forma condensed combined statement of operations as if it was consummated on January 1, 2020. The impact of such transaction expenses incurred prior to the Business Combination are reflected in the unaudited pro forma condensed combined balance sheet as reductions to liabilities and a decrease to cash, whereas such transaction expenses incurred concurrently with the consummation of the Business Combination are reflected as an adjustment to retained earnings or members deficit and a decrease to cash. Such transaction expenses incurred and paid by Opco prior to the Business Combination have been adjusted as part of the Opco equity close out adjustment.</w:t>
      </w:r>
    </w:p>
    <w:p>
      <w:pPr>
        <w:spacing w:after="0" w:line="175"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The accompanying unaudited pro forma condensed combined financial statements were prepared using the acquisition method of accounting in accordance with ASC 805 and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53" w:lineRule="exact"/>
        <w:rPr>
          <w:sz w:val="20"/>
          <w:szCs w:val="20"/>
          <w:color w:val="auto"/>
        </w:rPr>
      </w:pPr>
    </w:p>
    <w:p>
      <w:pPr>
        <w:ind w:left="380" w:firstLine="420"/>
        <w:spacing w:after="0" w:line="306" w:lineRule="auto"/>
        <w:rPr>
          <w:sz w:val="20"/>
          <w:szCs w:val="20"/>
          <w:color w:val="auto"/>
        </w:rPr>
      </w:pPr>
      <w:r>
        <w:rPr>
          <w:rFonts w:ascii="Arial" w:cs="Arial" w:eastAsia="Arial" w:hAnsi="Arial"/>
          <w:sz w:val="15"/>
          <w:szCs w:val="15"/>
          <w:color w:val="auto"/>
        </w:rPr>
        <w:t>The unaudited pro forma condensed combined balance sheet as of September 30, 2021 gives pro forma effect to the Business Combination as if it had been consummated on September 30, 2021. The unaudited pro forma condensed combined statements of operations for the nine months ended September 30, 2021 and for the year ended December 31, 2020 present the pro forma effect of the Business Combination and B2S Acquisition as if each had been consummated on January 1, 2020. These periods are presented on the basis of the Company being the accounting acquirer.</w:t>
      </w:r>
    </w:p>
    <w:p>
      <w:pPr>
        <w:spacing w:after="0" w:line="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60"/>
          </w:cols>
          <w:pgMar w:left="320" w:top="471" w:right="71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the Business Combination</w:t>
      </w:r>
    </w:p>
    <w:p>
      <w:pPr>
        <w:spacing w:after="0" w:line="119" w:lineRule="exact"/>
        <w:rPr>
          <w:sz w:val="20"/>
          <w:szCs w:val="20"/>
          <w:color w:val="auto"/>
        </w:rPr>
      </w:pPr>
    </w:p>
    <w:p>
      <w:pPr>
        <w:ind w:left="380" w:right="380" w:firstLine="420"/>
        <w:spacing w:after="0" w:line="289" w:lineRule="auto"/>
        <w:rPr>
          <w:sz w:val="20"/>
          <w:szCs w:val="20"/>
          <w:color w:val="auto"/>
        </w:rPr>
      </w:pPr>
      <w:r>
        <w:rPr>
          <w:rFonts w:ascii="Arial" w:cs="Arial" w:eastAsia="Arial" w:hAnsi="Arial"/>
          <w:sz w:val="16"/>
          <w:szCs w:val="16"/>
          <w:color w:val="auto"/>
        </w:rPr>
        <w:t>Pursuant to the Merger Agreement, existing Opco Equity Holders received an aggregate of 208,200,000 Opco Common Units and an equal number of shares of Class V Common Stock. The Business Combination was structured as an Up-C transaction, whereby the existing Opco Equity Holders own equity in Opco Common Units and a corresponding number of shares of Class V Common Stock.</w:t>
      </w:r>
    </w:p>
    <w:p>
      <w:pPr>
        <w:spacing w:after="0" w:line="294" w:lineRule="exact"/>
        <w:rPr>
          <w:sz w:val="20"/>
          <w:szCs w:val="20"/>
          <w:color w:val="auto"/>
        </w:rPr>
      </w:pPr>
    </w:p>
    <w:p>
      <w:pPr>
        <w:ind w:left="800" w:right="3100" w:hanging="424"/>
        <w:spacing w:after="0" w:line="499" w:lineRule="auto"/>
        <w:tabs>
          <w:tab w:leader="none" w:pos="792"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Transaction Accounting Adjustments to Pro Forma Condensed Combined Balance Sheet </w:t>
      </w:r>
      <w:r>
        <w:rPr>
          <w:rFonts w:ascii="Arial" w:cs="Arial" w:eastAsia="Arial" w:hAnsi="Arial"/>
          <w:sz w:val="15"/>
          <w:szCs w:val="15"/>
          <w:color w:val="auto"/>
        </w:rPr>
        <w:t>Explanations of the transaction accounting adjustments to the pro forma balance sheet are as follows: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Represents adjustments to cash due to the following inflows and outflows as a result of the Business Combination.</w:t>
      </w:r>
    </w:p>
    <w:p>
      <w:pPr>
        <w:spacing w:after="0" w:line="254" w:lineRule="exact"/>
        <w:rPr>
          <w:sz w:val="20"/>
          <w:szCs w:val="20"/>
          <w:color w:val="auto"/>
        </w:rPr>
      </w:pPr>
    </w:p>
    <w:tbl>
      <w:tblPr>
        <w:tblLayout w:type="fixed"/>
        <w:tblInd w:w="2060" w:type="dxa"/>
        <w:tblCellMar>
          <w:top w:w="0" w:type="dxa"/>
          <w:left w:w="0" w:type="dxa"/>
          <w:bottom w:w="0" w:type="dxa"/>
          <w:right w:w="0" w:type="dxa"/>
        </w:tblCellMar>
      </w:tblP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in millions)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Trust Account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$207.4</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PIPE Investment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325.0</w:t>
            </w: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Public Shareholder redemptions</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(84.5)</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Opco Incentive Unit redemptions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06"/>
        </w:trPr>
        <w:tc>
          <w:tcPr>
            <w:tcW w:w="6540" w:type="dxa"/>
            <w:vAlign w:val="bottom"/>
          </w:tcPr>
          <w:p>
            <w:pPr>
              <w:spacing w:after="0" w:line="205" w:lineRule="exact"/>
              <w:rPr>
                <w:sz w:val="20"/>
                <w:szCs w:val="20"/>
                <w:color w:val="auto"/>
              </w:rPr>
            </w:pPr>
            <w:r>
              <w:rPr>
                <w:rFonts w:ascii="Arial" w:cs="Arial" w:eastAsia="Arial" w:hAnsi="Arial"/>
                <w:sz w:val="17"/>
                <w:szCs w:val="17"/>
                <w:color w:val="auto"/>
              </w:rPr>
              <w:t>Buyer transaction costs</w:t>
            </w:r>
            <w:r>
              <w:rPr>
                <w:rFonts w:ascii="Arial" w:cs="Arial" w:eastAsia="Arial" w:hAnsi="Arial"/>
                <w:sz w:val="23"/>
                <w:szCs w:val="23"/>
                <w:color w:val="auto"/>
                <w:vertAlign w:val="superscript"/>
              </w:rPr>
              <w:t>(1)</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(36.8)</w:t>
            </w:r>
          </w:p>
        </w:tc>
      </w:tr>
      <w:tr>
        <w:trPr>
          <w:trHeight w:val="206"/>
        </w:trPr>
        <w:tc>
          <w:tcPr>
            <w:tcW w:w="654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Seller expenses</w:t>
            </w:r>
            <w:r>
              <w:rPr>
                <w:rFonts w:ascii="Arial" w:cs="Arial" w:eastAsia="Arial" w:hAnsi="Arial"/>
                <w:sz w:val="23"/>
                <w:szCs w:val="23"/>
                <w:color w:val="auto"/>
                <w:vertAlign w:val="superscript"/>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(19.6)</w:t>
            </w:r>
          </w:p>
        </w:tc>
      </w:tr>
      <w:tr>
        <w:trPr>
          <w:trHeight w:val="216"/>
        </w:trPr>
        <w:tc>
          <w:tcPr>
            <w:tcW w:w="65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$390.0</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780" w:hanging="404"/>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$13.0 million fees associated with the PIPE Investment that are netted against the proceeds from the equity issuance.</w:t>
      </w:r>
    </w:p>
    <w:p>
      <w:pPr>
        <w:spacing w:after="0" w:line="21" w:lineRule="exact"/>
        <w:rPr>
          <w:rFonts w:ascii="Arial" w:cs="Arial" w:eastAsia="Arial" w:hAnsi="Arial"/>
          <w:sz w:val="17"/>
          <w:szCs w:val="17"/>
          <w:color w:val="auto"/>
        </w:rPr>
      </w:pPr>
    </w:p>
    <w:p>
      <w:pPr>
        <w:ind w:left="780" w:hanging="404"/>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Excludes $6.4 million seller’s closing costs that were paid as of September 30, 2021.</w:t>
      </w:r>
    </w:p>
    <w:p>
      <w:pPr>
        <w:spacing w:after="0" w:line="205" w:lineRule="exact"/>
        <w:rPr>
          <w:sz w:val="20"/>
          <w:szCs w:val="20"/>
          <w:color w:val="auto"/>
        </w:rPr>
      </w:pPr>
    </w:p>
    <w:p>
      <w:pPr>
        <w:ind w:left="380" w:right="260" w:hanging="4"/>
        <w:spacing w:after="0" w:line="265" w:lineRule="auto"/>
        <w:tabs>
          <w:tab w:leader="none" w:pos="651"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Reflects the release of $207.4 million of cash and cash equivalents held in the Trust Account that became available for transaction consideration, transaction expenses, underwriting commission, redemption of Public Shares, and the operating activities of the Company following the Business Combination.</w:t>
      </w:r>
    </w:p>
    <w:p>
      <w:pPr>
        <w:spacing w:after="0" w:line="175" w:lineRule="exact"/>
        <w:rPr>
          <w:rFonts w:ascii="Arial" w:cs="Arial" w:eastAsia="Arial" w:hAnsi="Arial"/>
          <w:sz w:val="17"/>
          <w:szCs w:val="17"/>
          <w:color w:val="auto"/>
        </w:rPr>
      </w:pPr>
    </w:p>
    <w:p>
      <w:pPr>
        <w:ind w:left="380" w:hanging="4"/>
        <w:spacing w:after="0" w:line="275" w:lineRule="auto"/>
        <w:tabs>
          <w:tab w:leader="none" w:pos="65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adjustment for the estimated preliminary purchase price allocation for the Opco business resulting from the Business Combination. The preliminary calculation of total consideration and allocation of the purchase price to the fair value of Opco’s assets acquired and liabilities assumed is presented below as if the Business Combination was consummated on September 30, 2021. The Company’s evaluation of the fair value of assets acquired and the liabilities assumed is preliminary and, accordingly, the adjustments to record the assets acquired and liabilities assumed at fair value reflect the best estimates of the Company based on the information currently available and are subject to change once additional analyses are completed. Potential differences may include, but are not limited to, changes in balance sheet as of the Business Combination date which may change the allocation to intangible assets and change in fair value of property, plant, and equipment.</w:t>
      </w:r>
    </w:p>
    <w:p>
      <w:pPr>
        <w:spacing w:after="0" w:line="10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840"/>
          </w:cols>
          <w:pgMar w:left="320" w:top="471" w:right="7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preliminary estimate of the fair value of consideration transferred in the Business Combination:</w:t>
      </w:r>
    </w:p>
    <w:p>
      <w:pPr>
        <w:spacing w:after="0" w:line="215"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63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Pro Forma</w:t>
            </w: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59"/>
        </w:trPr>
        <w:tc>
          <w:tcPr>
            <w:tcW w:w="63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7"/>
                <w:szCs w:val="17"/>
                <w:color w:val="auto"/>
              </w:rPr>
              <w:t>Equity consideration paid to existing ownership in Opco (Common Units) and</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6"/>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the Company (Class V Common Stock), net of $35.4 million post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combination expense and $7.5 million of units issuable upon exercise of the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6380" w:type="dxa"/>
            <w:vAlign w:val="bottom"/>
            <w:gridSpan w:val="2"/>
            <w:shd w:val="clear" w:color="auto" w:fill="CCEEFF"/>
          </w:tcPr>
          <w:p>
            <w:pPr>
              <w:ind w:left="520"/>
              <w:spacing w:after="0" w:line="220" w:lineRule="exact"/>
              <w:rPr>
                <w:sz w:val="20"/>
                <w:szCs w:val="20"/>
                <w:color w:val="auto"/>
              </w:rPr>
            </w:pPr>
            <w:r>
              <w:rPr>
                <w:rFonts w:ascii="Arial" w:cs="Arial" w:eastAsia="Arial" w:hAnsi="Arial"/>
                <w:sz w:val="17"/>
                <w:szCs w:val="17"/>
                <w:color w:val="auto"/>
              </w:rPr>
              <w:t>Opco Warrant</w:t>
            </w:r>
            <w:r>
              <w:rPr>
                <w:rFonts w:ascii="Arial" w:cs="Arial" w:eastAsia="Arial" w:hAnsi="Arial"/>
                <w:sz w:val="24"/>
                <w:szCs w:val="24"/>
                <w:color w:val="auto"/>
                <w:vertAlign w:val="superscript"/>
              </w:rPr>
              <w:t>(1)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$ 1,926.7</w:t>
            </w:r>
          </w:p>
        </w:tc>
      </w:tr>
      <w:tr>
        <w:trPr>
          <w:trHeight w:val="206"/>
        </w:trPr>
        <w:tc>
          <w:tcPr>
            <w:tcW w:w="6380" w:type="dxa"/>
            <w:vAlign w:val="bottom"/>
            <w:gridSpan w:val="2"/>
          </w:tcPr>
          <w:p>
            <w:pPr>
              <w:ind w:left="340"/>
              <w:spacing w:after="0" w:line="205" w:lineRule="exact"/>
              <w:rPr>
                <w:sz w:val="20"/>
                <w:szCs w:val="20"/>
                <w:color w:val="auto"/>
              </w:rPr>
            </w:pPr>
            <w:r>
              <w:rPr>
                <w:rFonts w:ascii="Arial" w:cs="Arial" w:eastAsia="Arial" w:hAnsi="Arial"/>
                <w:sz w:val="17"/>
                <w:szCs w:val="17"/>
                <w:color w:val="auto"/>
              </w:rPr>
              <w:t>Cash paid for redeemed Opco Incentive Units</w:t>
            </w:r>
            <w:r>
              <w:rPr>
                <w:rFonts w:ascii="Arial" w:cs="Arial" w:eastAsia="Arial" w:hAnsi="Arial"/>
                <w:sz w:val="23"/>
                <w:szCs w:val="23"/>
                <w:color w:val="auto"/>
                <w:vertAlign w:val="superscript"/>
              </w:rPr>
              <w:t>(2)</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paid for seller transaction costs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26.0</w:t>
            </w:r>
          </w:p>
        </w:tc>
      </w:tr>
      <w:tr>
        <w:trPr>
          <w:trHeight w:val="212"/>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Total consideration</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Property, equipment and software, net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28.1</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Intangible assets</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574.6</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Goodwill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1,352.4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Non-current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noncurrent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16"/>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Net assets acquired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780" w:right="20" w:hanging="404"/>
        <w:spacing w:after="0" w:line="255"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fair value of the 208.2 million Opco Common Units issued to Opco Equity Holders based on the October 14, 2021 closing price of Class A Ordinary Shares of $9.46 per share, excluding $35.4 million attributable to the Opco Incentive Units, which vest in equal installments on each of the first and second anniversaries of the effective time of the Business Combination and will be reflected in post-combination compensation expense over the remaining two-year vesting period, and $7.5 million attributable to units issuable upon the exercise of the Opco Warrant.</w:t>
      </w:r>
    </w:p>
    <w:p>
      <w:pPr>
        <w:spacing w:after="0" w:line="1" w:lineRule="exact"/>
        <w:rPr>
          <w:rFonts w:ascii="Arial" w:cs="Arial" w:eastAsia="Arial" w:hAnsi="Arial"/>
          <w:sz w:val="17"/>
          <w:szCs w:val="17"/>
          <w:color w:val="auto"/>
        </w:rPr>
      </w:pPr>
    </w:p>
    <w:p>
      <w:pPr>
        <w:ind w:left="780" w:hanging="404"/>
        <w:spacing w:after="0" w:line="265"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cash paid to Opco Equity Holders in exchange for the redemption of 40% of the first one-third of their Opco Incentive Units which vested at the effective time of the Business Combination.</w:t>
      </w:r>
    </w:p>
    <w:p>
      <w:pPr>
        <w:spacing w:after="0" w:line="175" w:lineRule="exact"/>
        <w:rPr>
          <w:sz w:val="20"/>
          <w:szCs w:val="20"/>
          <w:color w:val="auto"/>
        </w:rPr>
      </w:pPr>
    </w:p>
    <w:p>
      <w:pPr>
        <w:ind w:left="380" w:right="40" w:firstLine="420"/>
        <w:spacing w:after="0" w:line="273"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following describes intangible assets that met either the separability criterion or the contractual-legal criterion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ASC 805, and the anticipated valuation approach. The estimated fair values of intangible assets are based on information available as of the date of this filing and may differ materially as new information is made available and purchase accounting is applied. The trademark and trade name intangible assets represent the trade names that Opco originated or acquired which was valued using the relief-from-royalty method. The licenses intangible assets represent the money transmitter licenses, New York State virtual currency license, and other regulatory licenses held by Opco which were valued using the with-and-without method, a form of the income approach. The customer relationships intangible asset represents the existing customer relationships of Opco that was estimated by applying the multi-period excess earnings method. The developed technology intangible asset represents technology acquired or developed by Opco for the purpose of generating income for Opco, which was valued using the relief-from-royalty method. The access to exchanges intangible asset represents Opco’s rights to use exchange and clearing licenses which were valued using the multi-period excess earnings method.</w:t>
      </w:r>
    </w:p>
    <w:p>
      <w:pPr>
        <w:spacing w:after="0" w:line="167"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Weighted Average</w:t>
            </w:r>
          </w:p>
        </w:tc>
        <w:tc>
          <w:tcPr>
            <w:tcW w:w="1060" w:type="dxa"/>
            <w:vAlign w:val="bottom"/>
          </w:tcPr>
          <w:p>
            <w:pPr>
              <w:spacing w:after="0"/>
              <w:rPr>
                <w:sz w:val="14"/>
                <w:szCs w:val="14"/>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8"/>
        </w:trPr>
        <w:tc>
          <w:tcPr>
            <w:tcW w:w="302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6"/>
              </w:rPr>
              <w:t>Useful Life (Years)</w:t>
            </w:r>
          </w:p>
        </w:tc>
        <w:tc>
          <w:tcPr>
            <w:tcW w:w="10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Indefinite-lived</w:t>
            </w:r>
          </w:p>
        </w:tc>
        <w:tc>
          <w:tcPr>
            <w:tcW w:w="2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340"/>
              <w:spacing w:after="0"/>
              <w:rPr>
                <w:sz w:val="20"/>
                <w:szCs w:val="20"/>
                <w:color w:val="auto"/>
              </w:rPr>
            </w:pPr>
            <w:r>
              <w:rPr>
                <w:rFonts w:ascii="Arial" w:cs="Arial" w:eastAsia="Arial" w:hAnsi="Arial"/>
                <w:sz w:val="17"/>
                <w:szCs w:val="17"/>
                <w:color w:val="auto"/>
              </w:rPr>
              <w:t>Trademark / Trade Names</w:t>
            </w:r>
          </w:p>
        </w:tc>
        <w:tc>
          <w:tcPr>
            <w:tcW w:w="2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tcPr>
          <w:p>
            <w:pPr>
              <w:jc w:val="right"/>
              <w:ind w:right="60"/>
              <w:spacing w:after="0"/>
              <w:rPr>
                <w:sz w:val="20"/>
                <w:szCs w:val="20"/>
                <w:color w:val="auto"/>
              </w:rPr>
            </w:pPr>
            <w:r>
              <w:rPr>
                <w:rFonts w:ascii="Arial" w:cs="Arial" w:eastAsia="Arial" w:hAnsi="Arial"/>
                <w:sz w:val="17"/>
                <w:szCs w:val="17"/>
                <w:color w:val="auto"/>
              </w:rPr>
              <w:t>$   26.3</w:t>
            </w: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Licenses—MTL and BIT</w:t>
            </w:r>
          </w:p>
        </w:tc>
        <w:tc>
          <w:tcPr>
            <w:tcW w:w="2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217"/>
        </w:trPr>
        <w:tc>
          <w:tcPr>
            <w:tcW w:w="3020" w:type="dxa"/>
            <w:vAlign w:val="bottom"/>
            <w:gridSpan w:val="2"/>
          </w:tcPr>
          <w:p>
            <w:pPr>
              <w:ind w:left="340"/>
              <w:spacing w:after="0"/>
              <w:rPr>
                <w:sz w:val="20"/>
                <w:szCs w:val="20"/>
                <w:color w:val="auto"/>
              </w:rPr>
            </w:pPr>
            <w:r>
              <w:rPr>
                <w:rFonts w:ascii="Arial" w:cs="Arial" w:eastAsia="Arial" w:hAnsi="Arial"/>
                <w:sz w:val="17"/>
                <w:szCs w:val="17"/>
                <w:color w:val="auto"/>
              </w:rPr>
              <w:t>Licenses—Trust</w:t>
            </w:r>
          </w:p>
        </w:tc>
        <w:tc>
          <w:tcPr>
            <w:tcW w:w="2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tcPr>
          <w:p>
            <w:pPr>
              <w:jc w:val="right"/>
              <w:ind w:right="6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335"/>
        </w:trPr>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00" w:type="dxa"/>
            <w:vAlign w:val="bottom"/>
          </w:tcPr>
          <w:p>
            <w:pPr>
              <w:jc w:val="right"/>
              <w:ind w:right="974"/>
              <w:spacing w:after="0"/>
              <w:rPr>
                <w:sz w:val="20"/>
                <w:szCs w:val="20"/>
                <w:color w:val="auto"/>
              </w:rPr>
            </w:pPr>
            <w:r>
              <w:rPr>
                <w:rFonts w:ascii="Arial" w:cs="Arial" w:eastAsia="Arial" w:hAnsi="Arial"/>
                <w:sz w:val="17"/>
                <w:szCs w:val="17"/>
                <w:color w:val="auto"/>
              </w:rPr>
              <w:t>59</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460" w:type="dxa"/>
            <w:vAlign w:val="bottom"/>
          </w:tcPr>
          <w:p>
            <w:pPr>
              <w:spacing w:after="0"/>
              <w:rPr>
                <w:sz w:val="14"/>
                <w:szCs w:val="14"/>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8"/>
        </w:trPr>
        <w:tc>
          <w:tcPr>
            <w:tcW w:w="5280" w:type="dxa"/>
            <w:vAlign w:val="bottom"/>
            <w:gridSpan w:val="2"/>
            <w:vMerge w:val="continue"/>
          </w:tcPr>
          <w:p>
            <w:pPr>
              <w:spacing w:after="0"/>
              <w:rPr>
                <w:sz w:val="12"/>
                <w:szCs w:val="12"/>
                <w:color w:val="auto"/>
              </w:rPr>
            </w:pPr>
          </w:p>
        </w:tc>
        <w:tc>
          <w:tcPr>
            <w:tcW w:w="15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Useful Life (Years)</w:t>
            </w:r>
          </w:p>
        </w:tc>
        <w:tc>
          <w:tcPr>
            <w:tcW w:w="4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8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Definite-lived</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Customer Relationship—Consumer</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8.5</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6.0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4.0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  574.6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Approximately $1,352.4 million has been allocated to goodwill. Goodwill represents the excess of the gross consideration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estimated fair value of the underlying net tangible and identifiable intangible assets acquired. Qualitative factors that contribute to the recognition of goodwill include certain intangible assets that are not recognized as separate identifiable intangible assets. Goodwill represents future economic benefits arising from acquiring Opco primarily due to its strong market position and its assembled workforce that are not individually identified and separately recognized as intangible assets.</w:t>
      </w:r>
    </w:p>
    <w:p>
      <w:pPr>
        <w:spacing w:after="0" w:line="180"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In accordance with ASC Topic 350, Goodwill and Other Intangible Assets, goodwill and indefinite lived intangible assets related to certain acquired brands will not be amortized, but instead will be tested for impairment at least annually or more frequently if certain indicators are present. In the event management of the combined company determines that the value of goodwill and/or indefinite/finite lived intangible assets has become impaired, an accounting charge for impairment during the quarter in which the determination is made may be recognized.</w:t>
      </w:r>
    </w:p>
    <w:p>
      <w:pPr>
        <w:spacing w:after="0" w:line="164" w:lineRule="exact"/>
        <w:rPr>
          <w:sz w:val="20"/>
          <w:szCs w:val="20"/>
          <w:color w:val="auto"/>
        </w:rPr>
      </w:pPr>
    </w:p>
    <w:p>
      <w:pPr>
        <w:ind w:left="380" w:hanging="4"/>
        <w:spacing w:after="0" w:line="261" w:lineRule="auto"/>
        <w:tabs>
          <w:tab w:leader="none" w:pos="661"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a reduction in deferred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78" w:lineRule="exact"/>
        <w:rPr>
          <w:rFonts w:ascii="Arial" w:cs="Arial" w:eastAsia="Arial" w:hAnsi="Arial"/>
          <w:sz w:val="17"/>
          <w:szCs w:val="17"/>
          <w:color w:val="auto"/>
        </w:rPr>
      </w:pPr>
    </w:p>
    <w:p>
      <w:pPr>
        <w:ind w:left="380" w:right="120" w:hanging="4"/>
        <w:spacing w:after="0" w:line="278" w:lineRule="auto"/>
        <w:tabs>
          <w:tab w:leader="none" w:pos="642"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payment of $11.6 million of estimated acquisition-related expenses and $7.3 million of deferred underwriters’ and legal fees payable incurred by Opco and the Company, respectively.</w:t>
      </w:r>
    </w:p>
    <w:p>
      <w:pPr>
        <w:spacing w:after="0" w:line="164" w:lineRule="exact"/>
        <w:rPr>
          <w:rFonts w:ascii="Arial" w:cs="Arial" w:eastAsia="Arial" w:hAnsi="Arial"/>
          <w:sz w:val="17"/>
          <w:szCs w:val="17"/>
          <w:color w:val="auto"/>
        </w:rPr>
      </w:pPr>
    </w:p>
    <w:p>
      <w:pPr>
        <w:ind w:left="380" w:right="260" w:hanging="4"/>
        <w:spacing w:after="0" w:line="278" w:lineRule="auto"/>
        <w:tabs>
          <w:tab w:leader="none" w:pos="632"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$6.0 million increase in the fair value of participation units issued by Opco to its management upon consummation of the Business Combination (“</w:t>
      </w:r>
      <w:r>
        <w:rPr>
          <w:rFonts w:ascii="Arial" w:cs="Arial" w:eastAsia="Arial" w:hAnsi="Arial"/>
          <w:sz w:val="17"/>
          <w:szCs w:val="17"/>
          <w:b w:val="1"/>
          <w:bCs w:val="1"/>
          <w:color w:val="auto"/>
        </w:rPr>
        <w:t>Opco Participation Units</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660" w:hanging="284"/>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following table summarizes the pro forma adjustments impacting equity ($ in millions):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to Historical</w:t>
            </w:r>
          </w:p>
        </w:tc>
        <w:tc>
          <w:tcPr>
            <w:tcW w:w="14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New</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Mezzanine</w:t>
            </w:r>
          </w:p>
        </w:tc>
        <w:tc>
          <w:tcPr>
            <w:tcW w:w="1400" w:type="dxa"/>
            <w:vAlign w:val="bottom"/>
            <w:gridSpan w:val="3"/>
            <w:vMerge w:val="continue"/>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Equity and</w:t>
            </w:r>
          </w:p>
        </w:tc>
        <w:tc>
          <w:tcPr>
            <w:tcW w:w="1400" w:type="dxa"/>
            <w:vAlign w:val="bottom"/>
            <w:gridSpan w:val="3"/>
          </w:tcPr>
          <w:p>
            <w:pPr>
              <w:ind w:left="280"/>
              <w:spacing w:after="0" w:line="141" w:lineRule="exact"/>
              <w:rPr>
                <w:sz w:val="20"/>
                <w:szCs w:val="20"/>
                <w:color w:val="auto"/>
              </w:rPr>
            </w:pPr>
            <w:r>
              <w:rPr>
                <w:rFonts w:ascii="Arial" w:cs="Arial" w:eastAsia="Arial" w:hAnsi="Arial"/>
                <w:sz w:val="14"/>
                <w:szCs w:val="14"/>
                <w:b w:val="1"/>
                <w:bCs w:val="1"/>
                <w:color w:val="auto"/>
              </w:rPr>
              <w:t>Equity</w:t>
            </w:r>
          </w:p>
        </w:tc>
        <w:tc>
          <w:tcPr>
            <w:tcW w:w="940" w:type="dxa"/>
            <w:vAlign w:val="bottom"/>
            <w:gridSpan w:val="2"/>
            <w:vMerge w:val="continue"/>
          </w:tcPr>
          <w:p>
            <w:pPr>
              <w:spacing w:after="0"/>
              <w:rPr>
                <w:sz w:val="12"/>
                <w:szCs w:val="12"/>
                <w:color w:val="auto"/>
              </w:rPr>
            </w:pPr>
          </w:p>
        </w:tc>
        <w:tc>
          <w:tcPr>
            <w:tcW w:w="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64"/>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Structure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Items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186"/>
        </w:trPr>
        <w:tc>
          <w:tcPr>
            <w:tcW w:w="43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w w:val="99"/>
              </w:rPr>
              <w:t>Company shareholders’ mezzanine equity and equity:</w:t>
            </w:r>
          </w:p>
        </w:tc>
        <w:tc>
          <w:tcPr>
            <w:tcW w:w="10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100" w:type="dxa"/>
            <w:vAlign w:val="bottom"/>
            <w:gridSpan w:val="3"/>
          </w:tcPr>
          <w:p>
            <w:pPr>
              <w:jc w:val="right"/>
              <w:ind w:right="280"/>
              <w:spacing w:after="0"/>
              <w:rPr>
                <w:sz w:val="20"/>
                <w:szCs w:val="20"/>
                <w:color w:val="auto"/>
              </w:rPr>
            </w:pPr>
            <w:r>
              <w:rPr>
                <w:rFonts w:ascii="Arial" w:cs="Arial" w:eastAsia="Arial" w:hAnsi="Arial"/>
                <w:sz w:val="17"/>
                <w:szCs w:val="17"/>
                <w:color w:val="auto"/>
              </w:rPr>
              <w:t>$   (207.3)</w:t>
            </w:r>
          </w:p>
        </w:tc>
        <w:tc>
          <w:tcPr>
            <w:tcW w:w="1400" w:type="dxa"/>
            <w:vAlign w:val="bottom"/>
            <w:gridSpan w:val="3"/>
          </w:tcPr>
          <w:p>
            <w:pPr>
              <w:jc w:val="right"/>
              <w:ind w:right="640"/>
              <w:spacing w:after="0"/>
              <w:rPr>
                <w:sz w:val="20"/>
                <w:szCs w:val="20"/>
                <w:color w:val="auto"/>
              </w:rPr>
            </w:pPr>
            <w:r>
              <w:rPr>
                <w:rFonts w:ascii="Arial" w:cs="Arial" w:eastAsia="Arial" w:hAnsi="Arial"/>
                <w:sz w:val="17"/>
                <w:szCs w:val="17"/>
                <w:color w:val="auto"/>
              </w:rPr>
              <w:t>$   —</w:t>
            </w:r>
          </w:p>
        </w:tc>
        <w:tc>
          <w:tcPr>
            <w:tcW w:w="940" w:type="dxa"/>
            <w:vAlign w:val="bottom"/>
            <w:gridSpan w:val="2"/>
          </w:tcPr>
          <w:p>
            <w:pPr>
              <w:jc w:val="right"/>
              <w:ind w:right="640"/>
              <w:spacing w:after="0"/>
              <w:rPr>
                <w:sz w:val="20"/>
                <w:szCs w:val="20"/>
                <w:color w:val="auto"/>
              </w:rPr>
            </w:pPr>
            <w:r>
              <w:rPr>
                <w:rFonts w:ascii="Arial" w:cs="Arial" w:eastAsia="Arial" w:hAnsi="Arial"/>
                <w:sz w:val="17"/>
                <w:szCs w:val="17"/>
                <w:color w:val="auto"/>
                <w:w w:val="89"/>
              </w:rPr>
              <w:t>$ —</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   (207.3)</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472.7</w:t>
            </w:r>
          </w:p>
        </w:tc>
        <w:tc>
          <w:tcPr>
            <w:tcW w:w="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b w:val="1"/>
                <w:bCs w:val="1"/>
                <w:color w:val="auto"/>
              </w:rPr>
              <w:t>Opco members’ mezzanine equity and equity:</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Incentive units</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(23.5)</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Class A voting units</w:t>
            </w:r>
          </w:p>
        </w:tc>
        <w:tc>
          <w:tcPr>
            <w:tcW w:w="2100" w:type="dxa"/>
            <w:vAlign w:val="bottom"/>
            <w:gridSpan w:val="3"/>
          </w:tcPr>
          <w:p>
            <w:pPr>
              <w:jc w:val="right"/>
              <w:ind w:right="280"/>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17"/>
                <w:szCs w:val="17"/>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Class B voting units</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(187.9)</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(187.9)</w:t>
            </w:r>
          </w:p>
        </w:tc>
        <w:tc>
          <w:tcPr>
            <w:tcW w:w="0" w:type="dxa"/>
            <w:vAlign w:val="bottom"/>
          </w:tcPr>
          <w:p>
            <w:pPr>
              <w:spacing w:after="0"/>
              <w:rPr>
                <w:sz w:val="1"/>
                <w:szCs w:val="1"/>
                <w:color w:val="auto"/>
              </w:rPr>
            </w:pPr>
          </w:p>
        </w:tc>
      </w:tr>
      <w:tr>
        <w:trPr>
          <w:trHeight w:val="346"/>
        </w:trPr>
        <w:tc>
          <w:tcPr>
            <w:tcW w:w="434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71" w:right="8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to Historical</w:t>
            </w:r>
          </w:p>
        </w:tc>
        <w:tc>
          <w:tcPr>
            <w:tcW w:w="14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New</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Mezzanine</w:t>
            </w:r>
          </w:p>
        </w:tc>
        <w:tc>
          <w:tcPr>
            <w:tcW w:w="1400" w:type="dxa"/>
            <w:vAlign w:val="bottom"/>
            <w:gridSpan w:val="3"/>
            <w:vMerge w:val="continue"/>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Equity and</w:t>
            </w:r>
          </w:p>
        </w:tc>
        <w:tc>
          <w:tcPr>
            <w:tcW w:w="1400" w:type="dxa"/>
            <w:vAlign w:val="bottom"/>
            <w:gridSpan w:val="3"/>
          </w:tcPr>
          <w:p>
            <w:pPr>
              <w:ind w:left="280"/>
              <w:spacing w:after="0" w:line="141" w:lineRule="exact"/>
              <w:rPr>
                <w:sz w:val="20"/>
                <w:szCs w:val="20"/>
                <w:color w:val="auto"/>
              </w:rPr>
            </w:pPr>
            <w:r>
              <w:rPr>
                <w:rFonts w:ascii="Arial" w:cs="Arial" w:eastAsia="Arial" w:hAnsi="Arial"/>
                <w:sz w:val="14"/>
                <w:szCs w:val="14"/>
                <w:b w:val="1"/>
                <w:bCs w:val="1"/>
                <w:color w:val="auto"/>
              </w:rPr>
              <w:t>Equity</w:t>
            </w:r>
          </w:p>
        </w:tc>
        <w:tc>
          <w:tcPr>
            <w:tcW w:w="1060" w:type="dxa"/>
            <w:vAlign w:val="bottom"/>
            <w:gridSpan w:val="2"/>
            <w:vMerge w:val="continue"/>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64"/>
        </w:trPr>
        <w:tc>
          <w:tcPr>
            <w:tcW w:w="4880" w:type="dxa"/>
            <w:vAlign w:val="bottom"/>
          </w:tcPr>
          <w:p>
            <w:pPr>
              <w:spacing w:after="0"/>
              <w:rPr>
                <w:sz w:val="14"/>
                <w:szCs w:val="14"/>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Structure</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Items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Class C voting units</w:t>
            </w: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(310.1)</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center"/>
              <w:ind w:left="39"/>
              <w:spacing w:after="0"/>
              <w:rPr>
                <w:sz w:val="20"/>
                <w:szCs w:val="20"/>
                <w:color w:val="auto"/>
              </w:rPr>
            </w:pPr>
            <w:r>
              <w:rPr>
                <w:rFonts w:ascii="Arial" w:cs="Arial" w:eastAsia="Arial" w:hAnsi="Arial"/>
                <w:sz w:val="17"/>
                <w:szCs w:val="17"/>
                <w:color w:val="auto"/>
                <w:w w:val="93"/>
              </w:rPr>
              <w:t>—</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Class C warrant</w:t>
            </w:r>
          </w:p>
        </w:tc>
        <w:tc>
          <w:tcPr>
            <w:tcW w:w="1440" w:type="dxa"/>
            <w:vAlign w:val="bottom"/>
            <w:gridSpan w:val="3"/>
          </w:tcPr>
          <w:p>
            <w:pPr>
              <w:jc w:val="right"/>
              <w:ind w:right="26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center"/>
              <w:ind w:right="50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(0.2)</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center"/>
              <w:ind w:right="50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b w:val="1"/>
                <w:bCs w:val="1"/>
                <w:color w:val="auto"/>
              </w:rPr>
              <w:t>Combined equity:</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color w:val="auto"/>
                <w:w w:val="89"/>
              </w:rPr>
              <w:t>(30.5)</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7"/>
                <w:szCs w:val="17"/>
                <w:b w:val="1"/>
                <w:bCs w:val="1"/>
                <w:color w:val="auto"/>
                <w:w w:val="97"/>
              </w:rPr>
              <w:t>Total members’ or shareholders’ mezzanine equity and equity</w:t>
            </w:r>
          </w:p>
        </w:tc>
        <w:tc>
          <w:tcPr>
            <w:tcW w:w="3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5"/>
              </w:rPr>
              <w:t>$   (531.0)</w:t>
            </w:r>
          </w:p>
        </w:tc>
        <w:tc>
          <w:tcPr>
            <w:tcW w:w="3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b w:val="1"/>
                <w:bCs w:val="1"/>
                <w:color w:val="auto"/>
                <w:w w:val="95"/>
              </w:rPr>
              <w:t>$ 472.7</w:t>
            </w:r>
          </w:p>
        </w:tc>
        <w:tc>
          <w:tcPr>
            <w:tcW w:w="56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b w:val="1"/>
                <w:bCs w:val="1"/>
                <w:color w:val="auto"/>
                <w:w w:val="88"/>
              </w:rPr>
              <w:t>$ 10.5</w:t>
            </w:r>
          </w:p>
        </w:tc>
        <w:tc>
          <w:tcPr>
            <w:tcW w:w="62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(47.8)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firstLine="420"/>
        <w:spacing w:after="0" w:line="293" w:lineRule="auto"/>
        <w:rPr>
          <w:sz w:val="20"/>
          <w:szCs w:val="20"/>
          <w:color w:val="auto"/>
        </w:rPr>
      </w:pPr>
      <w:r>
        <w:rPr>
          <w:rFonts w:ascii="Arial" w:cs="Arial" w:eastAsia="Arial" w:hAnsi="Arial"/>
          <w:sz w:val="15"/>
          <w:szCs w:val="15"/>
          <w:i w:val="1"/>
          <w:iCs w:val="1"/>
          <w:color w:val="auto"/>
        </w:rPr>
        <w:t xml:space="preserve">Adjustments to historical mezzanine equity and equity: </w:t>
      </w:r>
      <w:r>
        <w:rPr>
          <w:rFonts w:ascii="Arial" w:cs="Arial" w:eastAsia="Arial" w:hAnsi="Arial"/>
          <w:sz w:val="15"/>
          <w:szCs w:val="15"/>
          <w:color w:val="auto"/>
        </w:rPr>
        <w:t>Reflects the elimination of the Company’s historical mezzanine equity and Opco’s</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 equity and warrants. Opco Incentive Units converted into the right to receive a portion of the aggregate consideration of 208,200,000 Opco Common Units and 208,200,000 shares of Class V Common Stock (the “</w:t>
      </w:r>
      <w:r>
        <w:rPr>
          <w:rFonts w:ascii="Arial" w:cs="Arial" w:eastAsia="Arial" w:hAnsi="Arial"/>
          <w:sz w:val="15"/>
          <w:szCs w:val="15"/>
          <w:b w:val="1"/>
          <w:bCs w:val="1"/>
          <w:color w:val="auto"/>
        </w:rPr>
        <w:t>Aggregate Merger Consideration</w:t>
      </w:r>
      <w:r>
        <w:rPr>
          <w:rFonts w:ascii="Arial" w:cs="Arial" w:eastAsia="Arial" w:hAnsi="Arial"/>
          <w:sz w:val="15"/>
          <w:szCs w:val="15"/>
          <w:color w:val="auto"/>
        </w:rPr>
        <w:t>”) multiplied by the incentive unit holders’ pro rata percentage, determined by the aggregate number of incentive units held divided by the number of equity interests in Opco on a fully diluted basis. Pursuant to its authority under the Opco Plan, the plan administrator determined that, in accordance with the terms of the Opco Plan, the Opco Incentive Units would be treated, as to vesting, as if the Business Combination were an initial public offering (as defined in the Opco Plan). The number of Paired Interests that a holder of Opco Incentive Units was entitled to receive was based on the exchange ratio for the Paired Interests held by the Opco Equity Holders, equitably adjusted to give effect to the terms of such holders’ grants and the underlying threshold value applicable to a grant. Converted Opco Incentive Units are reflected in the pro forma noncontrolling interest in Note 3(H). Opco’s Class C warrant converted from a warrant to purchase equity securities in Opco into a warrant to purchase an economically equivalent number of Paired Interests in Opco.</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New equity structure: </w:t>
      </w:r>
      <w:r>
        <w:rPr>
          <w:rFonts w:ascii="Arial" w:cs="Arial" w:eastAsia="Arial" w:hAnsi="Arial"/>
          <w:sz w:val="17"/>
          <w:szCs w:val="17"/>
          <w:color w:val="auto"/>
        </w:rPr>
        <w:t>Reflects the controlling interest of 49,969,460 shares at a per share price of $9.46 and par value of $0.0001.</w:t>
      </w:r>
    </w:p>
    <w:p>
      <w:pPr>
        <w:spacing w:after="0" w:line="216" w:lineRule="exact"/>
        <w:rPr>
          <w:sz w:val="20"/>
          <w:szCs w:val="20"/>
          <w:color w:val="auto"/>
        </w:rPr>
      </w:pPr>
    </w:p>
    <w:p>
      <w:pPr>
        <w:ind w:left="380" w:right="60" w:firstLine="420"/>
        <w:spacing w:after="0" w:line="301" w:lineRule="auto"/>
        <w:rPr>
          <w:sz w:val="20"/>
          <w:szCs w:val="20"/>
          <w:color w:val="auto"/>
        </w:rPr>
      </w:pPr>
      <w:r>
        <w:rPr>
          <w:rFonts w:ascii="Arial" w:cs="Arial" w:eastAsia="Arial" w:hAnsi="Arial"/>
          <w:sz w:val="15"/>
          <w:szCs w:val="15"/>
          <w:i w:val="1"/>
          <w:iCs w:val="1"/>
          <w:color w:val="auto"/>
        </w:rPr>
        <w:t xml:space="preserve">Other items: </w:t>
      </w:r>
      <w:r>
        <w:rPr>
          <w:rFonts w:ascii="Arial" w:cs="Arial" w:eastAsia="Arial" w:hAnsi="Arial"/>
          <w:sz w:val="15"/>
          <w:szCs w:val="15"/>
          <w:color w:val="auto"/>
        </w:rPr>
        <w:t>Reflects the incremental non-recurring transaction-related expenses of $24.5 million to accumulated deficit, excluding $18.0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of transaction-related costs already expensed and reflected in the Company’s and Opco’s accumulated deficit as of September 30, 2021, incremental expenses of $6.0 million related to the increase in the fair value of Opco Participation Units to accumulated deficit, $7.3 million of deferred underwriters’ and legal fees netted in the Company’s additional paid in capital as of September 30, 2021, fees associated with the PIPE Investment of $13.0 million to additional paid-in capital, and the adjustment to additional paid-in capital related to the application of purchase accounting.</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(H) Represents the pro forma adjustment to record noncontrolling interest in Opco of 79.9%.</w:t>
      </w:r>
    </w:p>
    <w:p>
      <w:pPr>
        <w:spacing w:after="0" w:line="352" w:lineRule="exact"/>
        <w:rPr>
          <w:sz w:val="20"/>
          <w:szCs w:val="20"/>
          <w:color w:val="auto"/>
        </w:rPr>
      </w:pPr>
    </w:p>
    <w:p>
      <w:pPr>
        <w:ind w:left="780" w:right="320" w:hanging="404"/>
        <w:spacing w:after="0" w:line="286" w:lineRule="auto"/>
        <w:tabs>
          <w:tab w:leader="none" w:pos="7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Accounting Adjustments to Pro Forma Condensed Combined Statement of Operations for the Year Ended December 31, 2020</w:t>
      </w:r>
    </w:p>
    <w:p>
      <w:pPr>
        <w:spacing w:after="0" w:line="54"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216" w:lineRule="exact"/>
        <w:rPr>
          <w:sz w:val="20"/>
          <w:szCs w:val="20"/>
          <w:color w:val="auto"/>
        </w:rPr>
      </w:pPr>
    </w:p>
    <w:p>
      <w:pPr>
        <w:jc w:val="both"/>
        <w:ind w:left="380" w:right="380" w:hanging="4"/>
        <w:spacing w:after="0" w:line="261" w:lineRule="auto"/>
        <w:tabs>
          <w:tab w:leader="none" w:pos="785"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Reflects a reduction in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78" w:lineRule="exact"/>
        <w:rPr>
          <w:rFonts w:ascii="Arial" w:cs="Arial" w:eastAsia="Arial" w:hAnsi="Arial"/>
          <w:sz w:val="17"/>
          <w:szCs w:val="17"/>
          <w:color w:val="auto"/>
        </w:rPr>
      </w:pPr>
    </w:p>
    <w:p>
      <w:pPr>
        <w:ind w:left="380" w:right="80" w:hanging="4"/>
        <w:spacing w:after="0" w:line="278" w:lineRule="auto"/>
        <w:tabs>
          <w:tab w:leader="none" w:pos="7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adjustments to incorporate estimated additional tangible and intangible assets depreciation and amortization for the step-up basis from purchase price accounting (“</w:t>
      </w:r>
      <w:r>
        <w:rPr>
          <w:rFonts w:ascii="Arial" w:cs="Arial" w:eastAsia="Arial" w:hAnsi="Arial"/>
          <w:sz w:val="17"/>
          <w:szCs w:val="17"/>
          <w:b w:val="1"/>
          <w:bCs w:val="1"/>
          <w:color w:val="auto"/>
        </w:rPr>
        <w:t>PPA</w:t>
      </w:r>
      <w:r>
        <w:rPr>
          <w:rFonts w:ascii="Arial" w:cs="Arial" w:eastAsia="Arial" w:hAnsi="Arial"/>
          <w:sz w:val="17"/>
          <w:szCs w:val="17"/>
          <w:color w:val="auto"/>
        </w:rPr>
        <w:t>”) at the closing of the Business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40"/>
          </w:cols>
          <w:pgMar w:left="320" w:top="471" w:right="7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Combination.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Fair</w:t>
            </w:r>
          </w:p>
        </w:tc>
        <w:tc>
          <w:tcPr>
            <w:tcW w:w="2200" w:type="dxa"/>
            <w:vAlign w:val="bottom"/>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for the Twelve Months</w:t>
            </w:r>
          </w:p>
        </w:tc>
        <w:tc>
          <w:tcPr>
            <w:tcW w:w="0" w:type="dxa"/>
            <w:vAlign w:val="bottom"/>
          </w:tcPr>
          <w:p>
            <w:pPr>
              <w:spacing w:after="0"/>
              <w:rPr>
                <w:sz w:val="1"/>
                <w:szCs w:val="1"/>
                <w:color w:val="auto"/>
              </w:rPr>
            </w:pPr>
          </w:p>
        </w:tc>
      </w:tr>
      <w:tr>
        <w:trPr>
          <w:trHeight w:val="14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38"/>
        </w:trPr>
        <w:tc>
          <w:tcPr>
            <w:tcW w:w="42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0"/>
              </w:rPr>
              <w:t>(Years)</w:t>
            </w:r>
          </w:p>
        </w:tc>
        <w:tc>
          <w:tcPr>
            <w:tcW w:w="760" w:type="dxa"/>
            <w:vAlign w:val="bottom"/>
          </w:tcPr>
          <w:p>
            <w:pPr>
              <w:spacing w:after="0"/>
              <w:rPr>
                <w:sz w:val="12"/>
                <w:szCs w:val="12"/>
                <w:color w:val="auto"/>
              </w:rPr>
            </w:pPr>
          </w:p>
        </w:tc>
        <w:tc>
          <w:tcPr>
            <w:tcW w:w="46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Value</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6"/>
              <w:spacing w:after="0" w:line="11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0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Trademarks / Trade Names—Opco</w:t>
            </w: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26.3</w:t>
            </w: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n/a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272.8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Licenses—Trust</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57.7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131.0</w:t>
            </w: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w w:val="84"/>
              </w:rPr>
              <w:t>574.6</w:t>
            </w:r>
          </w:p>
        </w:tc>
        <w:tc>
          <w:tcPr>
            <w:tcW w:w="7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4"/>
        <w:spacing w:after="0" w:line="277" w:lineRule="auto"/>
        <w:tabs>
          <w:tab w:leader="none" w:pos="7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estimated transaction-related costs incurred by the Company and Opco related to the Business Combination as if it was consummated on January 1, 2020. These transaction-related costs are non-recurring. Pro forma transaction-related costs adjustment of $24.5 million excludes fees related to the PIPE Investment of $13.0 million netted against additional paid-in capital, $7.3 million of deferred underwriters’ and legal fees netted against additional paid-in capital, and $2.8 million of transaction-related costs already expensed in the Company’s and Opco’s historical statements of operations for the fiscal year ended December 31, 2020, and $15.2 million of transaction-related costs already expensed in the Company’s and Opco’s historical statements of operations for the nine months ended September 30, 2021.</w:t>
      </w:r>
    </w:p>
    <w:p>
      <w:pPr>
        <w:spacing w:after="0" w:line="166" w:lineRule="exact"/>
        <w:rPr>
          <w:rFonts w:ascii="Arial" w:cs="Arial" w:eastAsia="Arial" w:hAnsi="Arial"/>
          <w:sz w:val="16"/>
          <w:szCs w:val="16"/>
          <w:color w:val="auto"/>
        </w:rPr>
      </w:pPr>
    </w:p>
    <w:p>
      <w:pPr>
        <w:ind w:left="380" w:right="60" w:hanging="4"/>
        <w:spacing w:after="0" w:line="259" w:lineRule="auto"/>
        <w:tabs>
          <w:tab w:leader="none" w:pos="785"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180" w:lineRule="exact"/>
        <w:rPr>
          <w:rFonts w:ascii="Arial" w:cs="Arial" w:eastAsia="Arial" w:hAnsi="Arial"/>
          <w:sz w:val="17"/>
          <w:szCs w:val="17"/>
          <w:color w:val="auto"/>
        </w:rPr>
      </w:pPr>
    </w:p>
    <w:p>
      <w:pPr>
        <w:ind w:left="380" w:right="220" w:hanging="4"/>
        <w:spacing w:after="0" w:line="278" w:lineRule="auto"/>
        <w:tabs>
          <w:tab w:leader="none" w:pos="7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adjustment to present noncontrolling interest in Opco of 79.9%. The adjustment includes the estimated income tax impacts from Note 4(DD).</w:t>
      </w:r>
    </w:p>
    <w:p>
      <w:pPr>
        <w:spacing w:after="0" w:line="164" w:lineRule="exact"/>
        <w:rPr>
          <w:rFonts w:ascii="Arial" w:cs="Arial" w:eastAsia="Arial" w:hAnsi="Arial"/>
          <w:sz w:val="17"/>
          <w:szCs w:val="17"/>
          <w:color w:val="auto"/>
        </w:rPr>
      </w:pPr>
    </w:p>
    <w:p>
      <w:pPr>
        <w:ind w:left="380" w:hanging="4"/>
        <w:spacing w:after="0" w:line="261" w:lineRule="auto"/>
        <w:tabs>
          <w:tab w:leader="none" w:pos="7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post combination pro forma expense adjustment associated with Opco Incentive Units and Opco Participation Units, one 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800"/>
          </w:cols>
          <w:pgMar w:left="320" w:top="471" w:right="7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right="740" w:hanging="404"/>
        <w:spacing w:after="0" w:line="286" w:lineRule="auto"/>
        <w:tabs>
          <w:tab w:leader="none" w:pos="78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Accounting Adjustments to Pro Forma Condensed Combined Statement of Operations for the Nine Months Ended September 30, 2021</w:t>
      </w:r>
    </w:p>
    <w:p>
      <w:pPr>
        <w:spacing w:after="0" w:line="54"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216" w:lineRule="exact"/>
        <w:rPr>
          <w:sz w:val="20"/>
          <w:szCs w:val="20"/>
          <w:color w:val="auto"/>
        </w:rPr>
      </w:pPr>
    </w:p>
    <w:p>
      <w:pPr>
        <w:ind w:left="380" w:right="160" w:hanging="4"/>
        <w:spacing w:after="0" w:line="261" w:lineRule="auto"/>
        <w:tabs>
          <w:tab w:leader="none" w:pos="9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adjustments to incorporate estimated additional tangible and intangible assets depreciation and amortization for the step-up basis from PPA at Closing.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5"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center"/>
              <w:ind w:left="571"/>
              <w:spacing w:after="0"/>
              <w:rPr>
                <w:sz w:val="20"/>
                <w:szCs w:val="20"/>
                <w:color w:val="auto"/>
              </w:rPr>
            </w:pPr>
            <w:r>
              <w:rPr>
                <w:rFonts w:ascii="Arial" w:cs="Arial" w:eastAsia="Arial" w:hAnsi="Arial"/>
                <w:sz w:val="14"/>
                <w:szCs w:val="14"/>
                <w:b w:val="1"/>
                <w:bCs w:val="1"/>
                <w:color w:val="auto"/>
                <w:w w:val="88"/>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Fair</w:t>
            </w:r>
          </w:p>
        </w:tc>
        <w:tc>
          <w:tcPr>
            <w:tcW w:w="760" w:type="dxa"/>
            <w:vAlign w:val="bottom"/>
          </w:tcPr>
          <w:p>
            <w:pPr>
              <w:spacing w:after="0"/>
              <w:rPr>
                <w:sz w:val="12"/>
                <w:szCs w:val="12"/>
                <w:color w:val="auto"/>
              </w:rPr>
            </w:pPr>
          </w:p>
        </w:tc>
        <w:tc>
          <w:tcPr>
            <w:tcW w:w="14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9"/>
              </w:rPr>
              <w:t>for the Nine months</w:t>
            </w:r>
          </w:p>
        </w:tc>
        <w:tc>
          <w:tcPr>
            <w:tcW w:w="0" w:type="dxa"/>
            <w:vAlign w:val="bottom"/>
          </w:tcPr>
          <w:p>
            <w:pPr>
              <w:spacing w:after="0"/>
              <w:rPr>
                <w:sz w:val="1"/>
                <w:szCs w:val="1"/>
                <w:color w:val="auto"/>
              </w:rPr>
            </w:pPr>
          </w:p>
        </w:tc>
      </w:tr>
      <w:tr>
        <w:trPr>
          <w:trHeight w:val="14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Ended September 30,</w:t>
            </w:r>
          </w:p>
        </w:tc>
        <w:tc>
          <w:tcPr>
            <w:tcW w:w="0" w:type="dxa"/>
            <w:vAlign w:val="bottom"/>
          </w:tcPr>
          <w:p>
            <w:pPr>
              <w:spacing w:after="0"/>
              <w:rPr>
                <w:sz w:val="1"/>
                <w:szCs w:val="1"/>
                <w:color w:val="auto"/>
              </w:rPr>
            </w:pPr>
          </w:p>
        </w:tc>
      </w:tr>
      <w:tr>
        <w:trPr>
          <w:trHeight w:val="138"/>
        </w:trPr>
        <w:tc>
          <w:tcPr>
            <w:tcW w:w="42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5"/>
              </w:rPr>
              <w:t>(Years)</w:t>
            </w:r>
          </w:p>
        </w:tc>
        <w:tc>
          <w:tcPr>
            <w:tcW w:w="760" w:type="dxa"/>
            <w:vAlign w:val="bottom"/>
          </w:tcPr>
          <w:p>
            <w:pPr>
              <w:spacing w:after="0"/>
              <w:rPr>
                <w:sz w:val="12"/>
                <w:szCs w:val="12"/>
                <w:color w:val="auto"/>
              </w:rPr>
            </w:pPr>
          </w:p>
        </w:tc>
        <w:tc>
          <w:tcPr>
            <w:tcW w:w="48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Value</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236"/>
              <w:spacing w:after="0" w:line="118" w:lineRule="exact"/>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0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Trademarks / Trade Names—Opco</w:t>
            </w: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26.3</w:t>
            </w: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w w:val="72"/>
              </w:rPr>
              <w:t>n/a)</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n/a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272.8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 – Trust</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131.0</w:t>
            </w: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89"/>
              </w:rPr>
              <w:t>574.6</w:t>
            </w:r>
          </w:p>
        </w:tc>
        <w:tc>
          <w:tcPr>
            <w:tcW w:w="7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4"/>
        <w:spacing w:after="0" w:line="259" w:lineRule="auto"/>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180" w:lineRule="exact"/>
        <w:rPr>
          <w:rFonts w:ascii="Arial" w:cs="Arial" w:eastAsia="Arial" w:hAnsi="Arial"/>
          <w:sz w:val="17"/>
          <w:szCs w:val="17"/>
          <w:color w:val="auto"/>
        </w:rPr>
      </w:pPr>
    </w:p>
    <w:p>
      <w:pPr>
        <w:ind w:left="380" w:right="100" w:hanging="4"/>
        <w:spacing w:after="0" w:line="278" w:lineRule="auto"/>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adjustment to present noncontrolling interest in Opco of 79.9%. The adjustment includes the estimated income tax impacts from Note 5(BBB).</w:t>
      </w:r>
    </w:p>
    <w:p>
      <w:pPr>
        <w:spacing w:after="0" w:line="164" w:lineRule="exact"/>
        <w:rPr>
          <w:rFonts w:ascii="Arial" w:cs="Arial" w:eastAsia="Arial" w:hAnsi="Arial"/>
          <w:sz w:val="17"/>
          <w:szCs w:val="17"/>
          <w:color w:val="auto"/>
        </w:rPr>
      </w:pPr>
    </w:p>
    <w:p>
      <w:pPr>
        <w:jc w:val="both"/>
        <w:ind w:left="380" w:right="220" w:hanging="4"/>
        <w:spacing w:after="0" w:line="261" w:lineRule="auto"/>
        <w:tabs>
          <w:tab w:leader="none" w:pos="908"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post-combination pro forma expense adjustment associated with Opco Incentive Units and Opco Participation Units, one-third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820"/>
          </w:cols>
          <w:pgMar w:left="320" w:top="471" w:right="7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Pro Forma Earnings Per Share Information</w:t>
      </w:r>
    </w:p>
    <w:p>
      <w:pPr>
        <w:spacing w:after="0" w:line="119"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color w:val="auto"/>
        </w:rPr>
        <w:t>As a result of the Business Combination, both the pro forma basic and diluted number of shares are reflective of 49,969,460 shares of Class A Common Stock outstanding.</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6"/>
              </w:rPr>
              <w:t>Nine Months Ended</w:t>
            </w:r>
          </w:p>
        </w:tc>
      </w:tr>
      <w:tr>
        <w:trPr>
          <w:trHeight w:val="164"/>
        </w:trPr>
        <w:tc>
          <w:tcPr>
            <w:tcW w:w="58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September 30, 2021</w:t>
            </w:r>
          </w:p>
        </w:tc>
      </w:tr>
      <w:tr>
        <w:trPr>
          <w:trHeight w:val="173"/>
        </w:trPr>
        <w:tc>
          <w:tcPr>
            <w:tcW w:w="58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Net loss attributable to controlling interest</w:t>
            </w: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8"/>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in millions)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w:t>
            </w:r>
          </w:p>
        </w:tc>
      </w:tr>
      <w:tr>
        <w:trPr>
          <w:trHeight w:val="193"/>
        </w:trPr>
        <w:tc>
          <w:tcPr>
            <w:tcW w:w="5840" w:type="dxa"/>
            <w:vAlign w:val="bottom"/>
          </w:tcPr>
          <w:p>
            <w:pPr>
              <w:spacing w:after="0" w:line="194" w:lineRule="exact"/>
              <w:rPr>
                <w:sz w:val="20"/>
                <w:szCs w:val="20"/>
                <w:color w:val="auto"/>
              </w:rPr>
            </w:pPr>
            <w:r>
              <w:rPr>
                <w:rFonts w:ascii="Arial" w:cs="Arial" w:eastAsia="Arial" w:hAnsi="Arial"/>
                <w:sz w:val="17"/>
                <w:szCs w:val="17"/>
                <w:color w:val="auto"/>
              </w:rPr>
              <w:t>Weighted average shares outstanding, controlling (shares in</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840" w:type="dxa"/>
            <w:vAlign w:val="bottom"/>
          </w:tcPr>
          <w:p>
            <w:pPr>
              <w:ind w:left="180"/>
              <w:spacing w:after="0"/>
              <w:rPr>
                <w:sz w:val="20"/>
                <w:szCs w:val="20"/>
                <w:color w:val="auto"/>
              </w:rPr>
            </w:pPr>
            <w:r>
              <w:rPr>
                <w:rFonts w:ascii="Arial" w:cs="Arial" w:eastAsia="Arial" w:hAnsi="Arial"/>
                <w:sz w:val="17"/>
                <w:szCs w:val="17"/>
                <w:color w:val="auto"/>
              </w:rPr>
              <w:t>millions)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(0.38)</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(0.38)</w:t>
            </w:r>
          </w:p>
        </w:tc>
      </w:tr>
      <w:tr>
        <w:trPr>
          <w:trHeight w:val="340"/>
        </w:trPr>
        <w:tc>
          <w:tcPr>
            <w:tcW w:w="5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r>
      <w:tr>
        <w:trPr>
          <w:trHeight w:val="141"/>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w w:val="96"/>
              </w:rPr>
              <w:t>December 31,</w:t>
            </w:r>
          </w:p>
        </w:tc>
      </w:tr>
      <w:tr>
        <w:trPr>
          <w:trHeight w:val="164"/>
        </w:trPr>
        <w:tc>
          <w:tcPr>
            <w:tcW w:w="5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73"/>
        </w:trPr>
        <w:tc>
          <w:tcPr>
            <w:tcW w:w="584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rPr>
              <w:t>Net loss attributable to controlling interest</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8"/>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in millions)</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r>
      <w:tr>
        <w:trPr>
          <w:trHeight w:val="193"/>
        </w:trPr>
        <w:tc>
          <w:tcPr>
            <w:tcW w:w="5840" w:type="dxa"/>
            <w:vAlign w:val="bottom"/>
          </w:tcPr>
          <w:p>
            <w:pPr>
              <w:spacing w:after="0" w:line="194" w:lineRule="exact"/>
              <w:rPr>
                <w:sz w:val="20"/>
                <w:szCs w:val="20"/>
                <w:color w:val="auto"/>
              </w:rPr>
            </w:pPr>
            <w:r>
              <w:rPr>
                <w:rFonts w:ascii="Arial" w:cs="Arial" w:eastAsia="Arial" w:hAnsi="Arial"/>
                <w:sz w:val="17"/>
                <w:szCs w:val="17"/>
                <w:color w:val="auto"/>
              </w:rPr>
              <w:t>Weighted average shares outstanding, controlling</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840" w:type="dxa"/>
            <w:vAlign w:val="bottom"/>
          </w:tcPr>
          <w:p>
            <w:pPr>
              <w:ind w:left="180"/>
              <w:spacing w:after="0"/>
              <w:rPr>
                <w:sz w:val="20"/>
                <w:szCs w:val="20"/>
                <w:color w:val="auto"/>
              </w:rPr>
            </w:pPr>
            <w:r>
              <w:rPr>
                <w:rFonts w:ascii="Arial" w:cs="Arial" w:eastAsia="Arial" w:hAnsi="Arial"/>
                <w:sz w:val="17"/>
                <w:szCs w:val="17"/>
                <w:color w:val="auto"/>
              </w:rPr>
              <w:t>(shares in millions)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(0.50)</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5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(0.50)</w:t>
            </w:r>
          </w:p>
        </w:tc>
      </w:tr>
    </w:tbl>
    <w:p>
      <w:pPr>
        <w:spacing w:after="0" w:line="182"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Earnings per share exclude warrants and contingently issuable shares that would be anti-dilutive to pro forma EPS, including (i) 10,368,601 Warrants, (ii) 6,147,440 Private Placement Warrants, and (iii) 208,200,000 Opco Common Units owned by or issuable to the Opco Equity Holders that are exchangeable (together with the cancellation of an equal number of shares of voting, non-economic Class V Common Stock) into Class A Common Stock.</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60"/>
          </w:cols>
          <w:pgMar w:left="320" w:top="471" w:right="8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USE OF PROCEEDS</w:t>
      </w:r>
    </w:p>
    <w:p>
      <w:pPr>
        <w:spacing w:after="0" w:line="222" w:lineRule="exact"/>
        <w:rPr>
          <w:sz w:val="20"/>
          <w:szCs w:val="20"/>
          <w:color w:val="auto"/>
        </w:rPr>
      </w:pPr>
    </w:p>
    <w:p>
      <w:pPr>
        <w:ind w:left="380" w:right="560" w:firstLine="420"/>
        <w:spacing w:after="0" w:line="278" w:lineRule="auto"/>
        <w:rPr>
          <w:sz w:val="20"/>
          <w:szCs w:val="20"/>
          <w:color w:val="auto"/>
        </w:rPr>
      </w:pPr>
      <w:r>
        <w:rPr>
          <w:rFonts w:ascii="Arial" w:cs="Arial" w:eastAsia="Arial" w:hAnsi="Arial"/>
          <w:sz w:val="17"/>
          <w:szCs w:val="17"/>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With respect to the registration of all shares of Class A Common Stock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80"/>
          </w:cols>
          <w:pgMar w:left="320" w:top="471" w:right="7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MARKET PRICE OF AND DIVIDENDS ON THE REGISTRANT’S SECURITIES AND RELATED STOCKHOLDER MATTERS</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Market Information and Holders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Class A Common Stock and Warrants trade on NYSE under the trading symbols “BKKT” and “BKKT WS,” respectively.</w:t>
      </w:r>
    </w:p>
    <w:p>
      <w:pPr>
        <w:spacing w:after="0" w:line="216"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As of December 3, 2021, we had 57,164,283 shares of Class A Common Stock issued and outstanding held of record by 86 holders and 7,139,969 Warrants issued and outstanding, each exercisable for one share of Class A Common Stock, held of record by 1 holder. There is no public market for our Class V Common Stock.</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Dividend Policy</w:t>
      </w:r>
    </w:p>
    <w:p>
      <w:pPr>
        <w:spacing w:after="0" w:line="113" w:lineRule="exact"/>
        <w:rPr>
          <w:sz w:val="20"/>
          <w:szCs w:val="20"/>
          <w:color w:val="auto"/>
        </w:rPr>
      </w:pPr>
    </w:p>
    <w:p>
      <w:pPr>
        <w:jc w:val="both"/>
        <w:ind w:left="380" w:right="100" w:firstLine="420"/>
        <w:spacing w:after="0" w:line="279"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0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840"/>
          </w:cols>
          <w:pgMar w:left="320" w:top="471" w:right="7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FINANCIAL CONDITION AND RESULTS OF OPERATIONS OF BAKKT</w:t>
      </w:r>
    </w:p>
    <w:p>
      <w:pPr>
        <w:spacing w:after="0" w:line="205" w:lineRule="exact"/>
        <w:rPr>
          <w:sz w:val="20"/>
          <w:szCs w:val="20"/>
          <w:color w:val="auto"/>
        </w:rPr>
      </w:pPr>
    </w:p>
    <w:p>
      <w:pPr>
        <w:ind w:left="380" w:right="40" w:firstLine="420"/>
        <w:spacing w:after="0" w:line="274" w:lineRule="auto"/>
        <w:rPr>
          <w:sz w:val="20"/>
          <w:szCs w:val="20"/>
          <w:color w:val="auto"/>
        </w:rPr>
      </w:pPr>
      <w:r>
        <w:rPr>
          <w:rFonts w:ascii="Arial" w:cs="Arial" w:eastAsia="Arial" w:hAnsi="Arial"/>
          <w:sz w:val="16"/>
          <w:szCs w:val="16"/>
          <w:i w:val="1"/>
          <w:iCs w:val="1"/>
          <w:color w:val="auto"/>
        </w:rPr>
        <w:t>References in this section of this prospectus to “we,” “us,” “our,” “Bakkt” or the “Company” and like terms refer (i) prior to the Closing, to Opco and its subsidiaries and (ii) after the Closing, to Bakkt Holdings, Inc. and its subsidiaries, including Opco. You should read the following discussion and analysis of our financial condition and results of operations together with the historical consolidated financial statements and unaudited pro forma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380" w:right="60" w:firstLine="420"/>
        <w:spacing w:after="0" w:line="282" w:lineRule="auto"/>
        <w:rPr>
          <w:sz w:val="20"/>
          <w:szCs w:val="20"/>
          <w:color w:val="auto"/>
        </w:rPr>
      </w:pPr>
      <w:r>
        <w:rPr>
          <w:rFonts w:ascii="Arial" w:cs="Arial" w:eastAsia="Arial" w:hAnsi="Arial"/>
          <w:sz w:val="16"/>
          <w:szCs w:val="16"/>
          <w:color w:val="auto"/>
        </w:rPr>
        <w:t>Our mission is to power commerce by reimagining the digital asset ecosystem, which includes cryptocurrency, loyalty and rewards points, gift cards, in-game assets, and non-fungible tokens (“</w:t>
      </w:r>
      <w:r>
        <w:rPr>
          <w:rFonts w:ascii="Arial" w:cs="Arial" w:eastAsia="Arial" w:hAnsi="Arial"/>
          <w:sz w:val="16"/>
          <w:szCs w:val="16"/>
          <w:b w:val="1"/>
          <w:bCs w:val="1"/>
          <w:color w:val="auto"/>
        </w:rPr>
        <w:t>NFTs</w:t>
      </w:r>
      <w:r>
        <w:rPr>
          <w:rFonts w:ascii="Arial" w:cs="Arial" w:eastAsia="Arial" w:hAnsi="Arial"/>
          <w:sz w:val="16"/>
          <w:szCs w:val="16"/>
          <w:color w:val="auto"/>
        </w:rPr>
        <w:t>”). We are working to unlock new ways to participate in the digital economy for consumers, enterprises, and financial institutions, by expanding access to, and improving liquidity for, digital assets. We believe we are opportunistically positioned at the center of this digital asset ecosystem, with approximately 1.7 million transacting accounts on our platform year to date.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Our platform has three complementary aspects – a digital asset marketplace, a loyalty redemption service, and an alternative payment method.</w:t>
      </w:r>
    </w:p>
    <w:p>
      <w:pPr>
        <w:spacing w:after="0" w:line="149" w:lineRule="exact"/>
        <w:rPr>
          <w:sz w:val="20"/>
          <w:szCs w:val="20"/>
          <w:color w:val="auto"/>
        </w:rPr>
      </w:pPr>
    </w:p>
    <w:p>
      <w:pPr>
        <w:ind w:left="1300" w:hanging="410"/>
        <w:spacing w:after="0" w:line="289" w:lineRule="auto"/>
        <w:tabs>
          <w:tab w:leader="none" w:pos="130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Digital Asset Marketplace. </w:t>
      </w:r>
      <w:r>
        <w:rPr>
          <w:rFonts w:ascii="Arial" w:cs="Arial" w:eastAsia="Arial" w:hAnsi="Arial"/>
          <w:sz w:val="15"/>
          <w:szCs w:val="15"/>
          <w:color w:val="auto"/>
        </w:rPr>
        <w:t>Our digital asset marketplace is designed to enable participants to seamlessly transact in digital assets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applications for individual consumers, enterprises (whom we define as consumer-facing merchants, retailers, and financial institutions), and institutional investors. ICE, our majority shareholder, has decades of experience building institutional products and solutions. We leveraged that expertise to build an institutional-grade custodian for bitcoin, Bakkt Trust, which is regulated by the NYSDFS. This custodian, marketed as the Bakkt Warehouse, provides custody services that anchor the first end-to-end regulated and physically-delivered bitcoin futures and options contracts (“</w:t>
      </w:r>
      <w:r>
        <w:rPr>
          <w:rFonts w:ascii="Arial" w:cs="Arial" w:eastAsia="Arial" w:hAnsi="Arial"/>
          <w:sz w:val="15"/>
          <w:szCs w:val="15"/>
          <w:b w:val="1"/>
          <w:bCs w:val="1"/>
          <w:color w:val="auto"/>
        </w:rPr>
        <w:t>PDF Contracts</w:t>
      </w:r>
      <w:r>
        <w:rPr>
          <w:rFonts w:ascii="Arial" w:cs="Arial" w:eastAsia="Arial" w:hAnsi="Arial"/>
          <w:sz w:val="15"/>
          <w:szCs w:val="15"/>
          <w:color w:val="auto"/>
        </w:rPr>
        <w:t>”), which are traded on IFUS and cleared on ICUS, and also provides bitcoin custody to institutions and certain high net-worth individuals on a standalone basis as approved by the NYSDFS. Our custodian also operates as the backbone of many of our consumer- and enterprise-focused offerings. For example, it enables consumers to use our app to transact in bitcoin in real-time. On November 2, 2021, in accordance with our coin listing policy (as approved by the NYSDFS), we self-certified the addition of ether (ETH) as a cryptocurrency that we support for consumer transactions, as described further below. In addition, in the future, contingent upon achieving the necessary regulatory approvals and/or partnering with an existing licensed broker-dealer, we plan to add the ability to transact in securities such as equities, derivatives, and ETFs. We believe that our institutional-grade infrastructure underpins our ability to expand and scale consumer solutions. We earn revenue in the digital asset marketplace by providing standalone custody services for cryptocurrency assets for our institutional customers, which we recognize on a pro rata basis over the term of the custody contract. Our standalone custody revenue is currently immaterial. Separately, as a result of our Triparty Agreement with IFUS and ICUS, we earn the net revenues for providing stand-ready custody services to IFUS and ICUS in connection with the offering of PDF Contracts. With respect to our provision of custody services that are necessary to support the trading and clearing services provided by IFUS and ICUS for the PDF Contracts, our customers are IFUS and ICUS, who are related parties. The PDF Contracts generally have a duration of less than one month, and substantially all of the PDF Contracts are settled in the same month in which the trade execution is</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860"/>
          </w:cols>
          <w:pgMar w:left="320" w:top="471" w:right="71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20" w:right="20"/>
        <w:spacing w:after="0" w:line="288" w:lineRule="auto"/>
        <w:rPr>
          <w:sz w:val="20"/>
          <w:szCs w:val="20"/>
          <w:color w:val="auto"/>
        </w:rPr>
      </w:pPr>
      <w:r>
        <w:rPr>
          <w:rFonts w:ascii="Arial" w:cs="Arial" w:eastAsia="Arial" w:hAnsi="Arial"/>
          <w:sz w:val="15"/>
          <w:szCs w:val="15"/>
          <w:color w:val="auto"/>
        </w:rPr>
        <w:t>initiated. Therefore, we recognize revenue for the stand-ready custody services that we provide to IFUS and ICUS on a straight-line basis over the average performance obligation period, which is less than one month. We recognize this revenue on a straight-line basis over the average obligation period, beginning at trade execution until the PDF Contract is settled by the PDF Contract Trader, which is generally no longer than a month as less than 1% of PDF Contracts go to expiration, thus not requiring physical delivery. In 2019 and 2020, the parties that trade PDF Contracts (“</w:t>
      </w:r>
      <w:r>
        <w:rPr>
          <w:rFonts w:ascii="Arial" w:cs="Arial" w:eastAsia="Arial" w:hAnsi="Arial"/>
          <w:sz w:val="15"/>
          <w:szCs w:val="15"/>
          <w:b w:val="1"/>
          <w:bCs w:val="1"/>
          <w:color w:val="auto"/>
        </w:rPr>
        <w:t>PDF Contract Traders</w:t>
      </w:r>
      <w:r>
        <w:rPr>
          <w:rFonts w:ascii="Arial" w:cs="Arial" w:eastAsia="Arial" w:hAnsi="Arial"/>
          <w:sz w:val="15"/>
          <w:szCs w:val="15"/>
          <w:color w:val="auto"/>
        </w:rPr>
        <w:t>”) were offered significant rebates and incentives to increase trading volume of PDF Contracts covered by the Triparty Agreement. This resulted in negative revenues from the Triparty Agreement of $2.0 million and</w:t>
      </w:r>
    </w:p>
    <w:p>
      <w:pPr>
        <w:spacing w:after="0" w:line="4" w:lineRule="exact"/>
        <w:rPr>
          <w:sz w:val="20"/>
          <w:szCs w:val="20"/>
          <w:color w:val="auto"/>
        </w:rPr>
      </w:pPr>
    </w:p>
    <w:p>
      <w:pPr>
        <w:ind w:left="1320" w:right="160"/>
        <w:spacing w:after="0" w:line="301" w:lineRule="auto"/>
        <w:rPr>
          <w:sz w:val="20"/>
          <w:szCs w:val="20"/>
          <w:color w:val="auto"/>
        </w:rPr>
      </w:pPr>
      <w:r>
        <w:rPr>
          <w:rFonts w:ascii="Arial" w:cs="Arial" w:eastAsia="Arial" w:hAnsi="Arial"/>
          <w:sz w:val="15"/>
          <w:szCs w:val="15"/>
          <w:color w:val="auto"/>
        </w:rPr>
        <w:t>$0.9 million in the year ended December 31, 2020 and 2019, respectively. In the nine months ended September 30, 2021, the rebates and incentives were reduced and negative revenue under the Triparty Agreement during such period was approximately $154,000. For more information, see Note 2 to our unaudited interim consolidated financial statements (the “</w:t>
      </w:r>
      <w:r>
        <w:rPr>
          <w:rFonts w:ascii="Arial" w:cs="Arial" w:eastAsia="Arial" w:hAnsi="Arial"/>
          <w:sz w:val="15"/>
          <w:szCs w:val="15"/>
          <w:b w:val="1"/>
          <w:bCs w:val="1"/>
          <w:color w:val="auto"/>
        </w:rPr>
        <w:t>Unaudited Third Quarter 2021 Financials</w:t>
      </w:r>
      <w:r>
        <w:rPr>
          <w:rFonts w:ascii="Arial" w:cs="Arial" w:eastAsia="Arial" w:hAnsi="Arial"/>
          <w:sz w:val="15"/>
          <w:szCs w:val="15"/>
          <w:color w:val="auto"/>
        </w:rPr>
        <w:t>”) and the audited consolidated financial statements (the “</w:t>
      </w:r>
      <w:r>
        <w:rPr>
          <w:rFonts w:ascii="Arial" w:cs="Arial" w:eastAsia="Arial" w:hAnsi="Arial"/>
          <w:sz w:val="15"/>
          <w:szCs w:val="15"/>
          <w:b w:val="1"/>
          <w:bCs w:val="1"/>
          <w:color w:val="auto"/>
        </w:rPr>
        <w:t>Audited 2020 Financials</w:t>
      </w:r>
      <w:r>
        <w:rPr>
          <w:rFonts w:ascii="Arial" w:cs="Arial" w:eastAsia="Arial" w:hAnsi="Arial"/>
          <w:sz w:val="15"/>
          <w:szCs w:val="15"/>
          <w:color w:val="auto"/>
        </w:rPr>
        <w:t>”) included elsewhere in this prospectus.</w:t>
      </w:r>
    </w:p>
    <w:p>
      <w:pPr>
        <w:spacing w:after="0" w:line="63" w:lineRule="exact"/>
        <w:rPr>
          <w:sz w:val="20"/>
          <w:szCs w:val="20"/>
          <w:color w:val="auto"/>
        </w:rPr>
      </w:pPr>
    </w:p>
    <w:p>
      <w:pPr>
        <w:ind w:left="1300" w:right="40" w:hanging="410"/>
        <w:spacing w:after="0" w:line="27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Loyalty Redemption</w:t>
      </w:r>
      <w:r>
        <w:rPr>
          <w:rFonts w:ascii="Arial" w:cs="Arial" w:eastAsia="Arial" w:hAnsi="Arial"/>
          <w:sz w:val="16"/>
          <w:szCs w:val="16"/>
          <w:color w:val="auto"/>
        </w:rPr>
        <w:t>. Leveraging our acquisition of Bridge2 Solutions (as described below), our loyalty redemption capabilities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with leading loyalty and rewards programs (which we call “</w:t>
      </w:r>
      <w:r>
        <w:rPr>
          <w:rFonts w:ascii="Arial" w:cs="Arial" w:eastAsia="Arial" w:hAnsi="Arial"/>
          <w:sz w:val="16"/>
          <w:szCs w:val="16"/>
          <w:b w:val="1"/>
          <w:bCs w:val="1"/>
          <w:color w:val="auto"/>
        </w:rPr>
        <w:t>loyalty partners</w:t>
      </w:r>
      <w:r>
        <w:rPr>
          <w:rFonts w:ascii="Arial" w:cs="Arial" w:eastAsia="Arial" w:hAnsi="Arial"/>
          <w:sz w:val="16"/>
          <w:szCs w:val="16"/>
          <w:color w:val="auto"/>
        </w:rPr>
        <w:t>”),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and as described above has been reduced by negative revenues from our Digital Asset Marketplace. For more information, see Note 2 to the Unaudited Third Quarter 2021 Financials and the Audited 2020 Financials.</w:t>
      </w:r>
    </w:p>
    <w:p>
      <w:pPr>
        <w:spacing w:after="0" w:line="84" w:lineRule="exact"/>
        <w:rPr>
          <w:rFonts w:ascii="Arial" w:cs="Arial" w:eastAsia="Arial" w:hAnsi="Arial"/>
          <w:sz w:val="16"/>
          <w:szCs w:val="16"/>
          <w:color w:val="auto"/>
        </w:rPr>
      </w:pPr>
    </w:p>
    <w:p>
      <w:pPr>
        <w:ind w:left="1300" w:hanging="410"/>
        <w:spacing w:after="0" w:line="274"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Alternative Payment Method</w:t>
      </w:r>
      <w:r>
        <w:rPr>
          <w:rFonts w:ascii="Arial" w:cs="Arial" w:eastAsia="Arial" w:hAnsi="Arial"/>
          <w:sz w:val="16"/>
          <w:szCs w:val="16"/>
          <w:color w:val="auto"/>
        </w:rPr>
        <w:t>. Our platform will deliver consumer choice and convenience with an alternative payment method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Our alternative payment method revenue is currently immaterial. For more information, see Note 2 to the Unaudited Third Quarter 2021 Financials and the Audited 2020 Financials.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Our platform is built to operate at the intersection of cryptoassets, loyalty and payments, and offers partners the flexibility to choose some or all of our capabilities, and the manner in which these capabilities are enabled for</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60"/>
          </w:cols>
          <w:pgMar w:left="320" w:top="471" w:right="7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consumers, based on their needs and objectives. Some partners may choose to keep their consumer users entirely in their experience, while others may need a “ready-to-go” storefront and leverage our capabilities. Partners can choose to fully or partially embed our capabilities within such partner’s digital environment, or they can therefore leverage more of our capabilities—like cryptoasset buy, sell, hold and spend—entirely “powered by Bakkt.” For partners choosing a “ready-to-go” storefront, all of our platform’s capabilities around digital asset purchase, sales, redemption and payment come together in a seamless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like our addition of ETH in November 2021, and, at a later date, equities, derivatives, and ETFs, and in-game assets. We also plan to offer equity securities trading through our platform in the future and may do so by partnering with an existing licensed broker-dealer, or by obtaining our own broker-dealer license.</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113" w:lineRule="exact"/>
        <w:rPr>
          <w:sz w:val="20"/>
          <w:szCs w:val="20"/>
          <w:color w:val="auto"/>
        </w:rPr>
      </w:pPr>
    </w:p>
    <w:p>
      <w:pPr>
        <w:ind w:left="380" w:right="40" w:firstLine="420"/>
        <w:spacing w:after="0" w:line="279" w:lineRule="auto"/>
        <w:rPr>
          <w:sz w:val="20"/>
          <w:szCs w:val="20"/>
          <w:color w:val="auto"/>
        </w:rPr>
      </w:pPr>
      <w:r>
        <w:rPr>
          <w:rFonts w:ascii="Arial" w:cs="Arial" w:eastAsia="Arial" w:hAnsi="Arial"/>
          <w:sz w:val="16"/>
          <w:szCs w:val="16"/>
          <w:color w:val="auto"/>
        </w:rPr>
        <w:t>On October 15, 2021, we consummated the previously announced Business Combination whereby, pursuant to the Merger Agreement, Merger Sub merged with and into Opco, with Opco surviving as the surviving limited liability company and as a wholly owned subsidiary of the Company. In connection with the Business Combination, the Company effected a deregistration under the Cayman Islands Companies Law (2020 Revision) and a domestication under Section 388 of the DGCL, pursuant to which the Company’s jurisdiction of incorporation was changed from the Cayman Islands to the State of Delaware (i.e., the Domestication), and changed its name to “Bakkt Holdings, Inc.”</w:t>
      </w:r>
    </w:p>
    <w:p>
      <w:pPr>
        <w:spacing w:after="0" w:line="165"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The Business Combination, which has not been reflected in the financial information presented herein, as the Business Combination occurred after the end of the fiscal quarter on September 30, 2021, will be accounted for in accordance with ASC 805, Business Combinations, using the acquisition method, with the Company considered the acquiror and Opco considered the acquiree. For accounting purposes, the acquiror is the entity that obtains control of the other entity. The determination of whether control has been obtained starts with an evaluation of whether the entities involved are variable interest entities or voting interest entities in accordance with ASC 810, Consolidations. As defined by GAAP, if the acquiree is a variable interest entity, the primary beneficiary is the accounting acquiror. Opco meets the definition of a variable interest entity and the Company has been determined to be the primary beneficiary as a result of the Business Combination. At the Closing, the assets and liabilities of Opco were recognized at fair value, and the consideration in excess of the fair value of the net assets acquired (including identifiable intangible assets) was recognized as goodwill.</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Attractiveness of Platform</w:t>
      </w:r>
    </w:p>
    <w:p>
      <w:pPr>
        <w:spacing w:after="0" w:line="113"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79"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In addition, growing partners on our platform increases our ability to grow revenue streams. To date, management has been focused on building through partners within a business-to-business-to-consumer (“</w:t>
      </w:r>
      <w:r>
        <w:rPr>
          <w:rFonts w:ascii="Arial" w:cs="Arial" w:eastAsia="Arial" w:hAnsi="Arial"/>
          <w:sz w:val="17"/>
          <w:szCs w:val="17"/>
          <w:b w:val="1"/>
          <w:bCs w:val="1"/>
          <w:color w:val="auto"/>
        </w:rPr>
        <w:t>B2B2C</w:t>
      </w:r>
      <w:r>
        <w:rPr>
          <w:rFonts w:ascii="Arial" w:cs="Arial" w:eastAsia="Arial" w:hAnsi="Arial"/>
          <w:sz w:val="17"/>
          <w:szCs w:val="17"/>
          <w:color w:val="auto"/>
        </w:rPr>
        <w:t>”)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860"/>
          </w:cols>
          <w:pgMar w:left="320" w:top="471" w:right="7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6" w:lineRule="auto"/>
        <w:rPr>
          <w:sz w:val="20"/>
          <w:szCs w:val="20"/>
          <w:color w:val="auto"/>
        </w:rPr>
      </w:pPr>
      <w:r>
        <w:rPr>
          <w:rFonts w:ascii="Arial" w:cs="Arial" w:eastAsia="Arial" w:hAnsi="Arial"/>
          <w:sz w:val="17"/>
          <w:szCs w:val="17"/>
          <w:color w:val="auto"/>
        </w:rPr>
        <w:t>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Regulations in U.S. markets</w:t>
      </w:r>
    </w:p>
    <w:p>
      <w:pPr>
        <w:spacing w:after="0" w:line="11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We are subject to many complex, uncertain and overlapping local, state and federal laws, rules, regulations, policies and legal interpretations (collectively, “</w:t>
      </w:r>
      <w:r>
        <w:rPr>
          <w:rFonts w:ascii="Arial" w:cs="Arial" w:eastAsia="Arial" w:hAnsi="Arial"/>
          <w:sz w:val="17"/>
          <w:szCs w:val="17"/>
          <w:b w:val="1"/>
          <w:bCs w:val="1"/>
          <w:color w:val="auto"/>
        </w:rPr>
        <w:t>laws and regulations</w:t>
      </w:r>
      <w:r>
        <w:rPr>
          <w:rFonts w:ascii="Arial" w:cs="Arial" w:eastAsia="Arial" w:hAnsi="Arial"/>
          <w:sz w:val="17"/>
          <w:szCs w:val="17"/>
          <w:color w:val="auto"/>
        </w:rPr>
        <w:t>”)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80" w:lineRule="exact"/>
        <w:rPr>
          <w:sz w:val="20"/>
          <w:szCs w:val="20"/>
          <w:color w:val="auto"/>
        </w:rPr>
      </w:pPr>
    </w:p>
    <w:p>
      <w:pPr>
        <w:jc w:val="both"/>
        <w:ind w:left="380" w:right="20" w:firstLine="420"/>
        <w:spacing w:after="0" w:line="317" w:lineRule="auto"/>
        <w:rPr>
          <w:sz w:val="20"/>
          <w:szCs w:val="20"/>
          <w:color w:val="auto"/>
        </w:rPr>
      </w:pPr>
      <w:r>
        <w:rPr>
          <w:rFonts w:ascii="Arial" w:cs="Arial" w:eastAsia="Arial" w:hAnsi="Arial"/>
          <w:sz w:val="15"/>
          <w:szCs w:val="15"/>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0"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380" w:right="80" w:firstLine="420"/>
        <w:spacing w:after="0" w:line="274" w:lineRule="auto"/>
        <w:rPr>
          <w:sz w:val="20"/>
          <w:szCs w:val="20"/>
          <w:color w:val="auto"/>
        </w:rPr>
      </w:pPr>
      <w:r>
        <w:rPr>
          <w:rFonts w:ascii="Arial" w:cs="Arial" w:eastAsia="Arial" w:hAnsi="Arial"/>
          <w:sz w:val="16"/>
          <w:szCs w:val="16"/>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 material adverse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For the three and nine months ended September 30, 2021, our business operations have started to recover from the impacts of the pandemic, and revenue from the loyalty and travel business has started to recover; however, the impact from a resurgence in COVID-19 (including its variants), lack of population-wide vaccination or immunity, or the possible waning efficacy of vaccinations creates future uncertainty for our business.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Corporate Structure</w:t>
      </w:r>
    </w:p>
    <w:p>
      <w:pPr>
        <w:spacing w:after="0" w:line="119" w:lineRule="exact"/>
        <w:rPr>
          <w:sz w:val="20"/>
          <w:szCs w:val="20"/>
          <w:color w:val="auto"/>
        </w:rPr>
      </w:pPr>
    </w:p>
    <w:p>
      <w:pPr>
        <w:ind w:left="380" w:right="200" w:firstLine="420"/>
        <w:spacing w:after="0" w:line="306" w:lineRule="auto"/>
        <w:rPr>
          <w:sz w:val="20"/>
          <w:szCs w:val="20"/>
          <w:color w:val="auto"/>
        </w:rPr>
      </w:pPr>
      <w:r>
        <w:rPr>
          <w:rFonts w:ascii="Arial" w:cs="Arial" w:eastAsia="Arial" w:hAnsi="Arial"/>
          <w:sz w:val="15"/>
          <w:szCs w:val="15"/>
          <w:color w:val="auto"/>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w:t>
      </w:r>
      <w:r>
        <w:rPr>
          <w:rFonts w:ascii="Arial" w:cs="Arial" w:eastAsia="Arial" w:hAnsi="Arial"/>
          <w:sz w:val="15"/>
          <w:szCs w:val="15"/>
          <w:b w:val="1"/>
          <w:bCs w:val="1"/>
          <w:color w:val="auto"/>
        </w:rPr>
        <w:t>DACC</w:t>
      </w:r>
      <w:r>
        <w:rPr>
          <w:rFonts w:ascii="Arial" w:cs="Arial" w:eastAsia="Arial" w:hAnsi="Arial"/>
          <w:sz w:val="15"/>
          <w:szCs w:val="15"/>
          <w:color w:val="auto"/>
        </w:rPr>
        <w:t>”), and Bakkt Clearing, LLC (“</w:t>
      </w:r>
      <w:r>
        <w:rPr>
          <w:rFonts w:ascii="Arial" w:cs="Arial" w:eastAsia="Arial" w:hAnsi="Arial"/>
          <w:sz w:val="15"/>
          <w:szCs w:val="15"/>
          <w:b w:val="1"/>
          <w:bCs w:val="1"/>
          <w:color w:val="auto"/>
        </w:rPr>
        <w:t>Bakkt Clearing</w:t>
      </w:r>
      <w:r>
        <w:rPr>
          <w:rFonts w:ascii="Arial" w:cs="Arial" w:eastAsia="Arial" w:hAnsi="Arial"/>
          <w:sz w:val="15"/>
          <w:szCs w:val="15"/>
          <w:color w:val="auto"/>
        </w:rPr>
        <w:t>”), formerly known as Rosenthal Collins Group, L.L.C. We continued to operate these entities throughout fiscal year 2020, and also acquired Bridge2 Solutions in February 2020.</w:t>
      </w:r>
    </w:p>
    <w:p>
      <w:pPr>
        <w:spacing w:after="0" w:line="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60"/>
          </w:cols>
          <w:pgMar w:left="320" w:top="471" w:right="71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Bakkt Trust is a New York limited-purpose trust company that is chartered by and subject to the supervision and oversight of the NYSDFS. In September 2019, Bakkt Trust, along with IFUS and ICUS, both of which are wholly-owned subsidiaries of ICE, brought to market the first institutional-grade, regulated infrastructure for trading, clearing, and custody services for bitcoin. Bakkt Trust acts as a qualified custodian for bitcoin, which enables Bakkt Trust to offer the PDF Contracts, the first end-to-end regulated, physically-delivered bitcoin futures and options contracts available in the United States. In addition, Bakkt Trust offers non-trading-related, standalone custody of bitcoin and, effective November 2, 2021, ether (ETH) to institutions, market makers, and certain high net worth individuals, subject to the NYSDFS’ regulatory oversight.</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161290</wp:posOffset>
            </wp:positionV>
            <wp:extent cx="4549775" cy="25971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4977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Bakkt Marketplace has created an integrated platform that enables consumers and enterprises to transact in digital assets. Bakkt Marketplace’s app enables consumers to purchase, sell, convert and or spend digital assets. Users also can use the app to spend fiat currency with various retailers and convert loyalty and rewards points into fiat currency. Bakkt Marketplace has received money transmitter licenses from all states throughout the U.S. where such licenses are required (though it does not presently offer services in Hawaii), has obtained a New York State virtual currency license, and is registered as a money services business with the Financial Crimes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840"/>
          </w:cols>
          <w:pgMar w:left="320" w:top="471" w:right="7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Enforcement Network of the United States Department of the Treasury. As shown in the below graphic, Bakkt Trust’s custody solution supports Bakkt Marketplace’s bitcoin functionality offered to consumers within the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128905</wp:posOffset>
            </wp:positionV>
            <wp:extent cx="4533265" cy="2254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3326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Bakkt Clearing is registered as a futures commission merchant (“</w:t>
      </w:r>
      <w:r>
        <w:rPr>
          <w:rFonts w:ascii="Arial" w:cs="Arial" w:eastAsia="Arial" w:hAnsi="Arial"/>
          <w:sz w:val="16"/>
          <w:szCs w:val="16"/>
          <w:b w:val="1"/>
          <w:bCs w:val="1"/>
          <w:color w:val="auto"/>
        </w:rPr>
        <w:t>FCM</w:t>
      </w:r>
      <w:r>
        <w:rPr>
          <w:rFonts w:ascii="Arial" w:cs="Arial" w:eastAsia="Arial" w:hAnsi="Arial"/>
          <w:sz w:val="16"/>
          <w:szCs w:val="16"/>
          <w:color w:val="auto"/>
        </w:rPr>
        <w:t>”) with the CFTC a member of the National Futures Association (“</w:t>
      </w:r>
      <w:r>
        <w:rPr>
          <w:rFonts w:ascii="Arial" w:cs="Arial" w:eastAsia="Arial" w:hAnsi="Arial"/>
          <w:sz w:val="16"/>
          <w:szCs w:val="16"/>
          <w:b w:val="1"/>
          <w:bCs w:val="1"/>
          <w:color w:val="auto"/>
        </w:rPr>
        <w:t>NFA</w:t>
      </w:r>
      <w:r>
        <w:rPr>
          <w:rFonts w:ascii="Arial" w:cs="Arial" w:eastAsia="Arial" w:hAnsi="Arial"/>
          <w:sz w:val="16"/>
          <w:szCs w:val="16"/>
          <w:color w:val="auto"/>
        </w:rPr>
        <w:t>”).</w:t>
      </w:r>
    </w:p>
    <w:p>
      <w:pPr>
        <w:spacing w:after="0" w:line="234"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We acquired Bridge2 Solutions on February 21, 2020 in order to expand our loyalty conversion offerings within our digital asset marketplace. We accounted for the acquisition of Bridge2 Solutions as a common control transaction under ASC 805, as Bridge2 Solutions (and its holding company, B2S Holdings, Inc.) was initially acquired by ICE prior to being acquired by us.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Relationship with ICE and the Triparty Agreement</w:t>
      </w:r>
    </w:p>
    <w:p>
      <w:pPr>
        <w:spacing w:after="0" w:line="113" w:lineRule="exact"/>
        <w:rPr>
          <w:sz w:val="20"/>
          <w:szCs w:val="20"/>
          <w:color w:val="auto"/>
        </w:rPr>
      </w:pPr>
    </w:p>
    <w:p>
      <w:pPr>
        <w:ind w:left="380" w:right="60" w:firstLine="420"/>
        <w:spacing w:after="0" w:line="272" w:lineRule="auto"/>
        <w:rPr>
          <w:sz w:val="20"/>
          <w:szCs w:val="20"/>
          <w:color w:val="auto"/>
        </w:rPr>
      </w:pPr>
      <w:r>
        <w:rPr>
          <w:rFonts w:ascii="Arial" w:cs="Arial" w:eastAsia="Arial" w:hAnsi="Arial"/>
          <w:sz w:val="16"/>
          <w:szCs w:val="16"/>
          <w:color w:val="auto"/>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w:t>
      </w:r>
    </w:p>
    <w:p>
      <w:pPr>
        <w:ind w:left="380" w:right="560"/>
        <w:spacing w:after="0" w:line="296" w:lineRule="auto"/>
        <w:rPr>
          <w:sz w:val="20"/>
          <w:szCs w:val="20"/>
          <w:color w:val="auto"/>
        </w:rPr>
      </w:pPr>
      <w:r>
        <w:rPr>
          <w:rFonts w:ascii="Arial" w:cs="Arial" w:eastAsia="Arial" w:hAnsi="Arial"/>
          <w:sz w:val="16"/>
          <w:szCs w:val="16"/>
          <w:color w:val="auto"/>
        </w:rPr>
        <w:t>$483 million prior to the Business Combination, leveraging ICE’s leading competency of creating and operating market infrastructure. Upon our formation, ICE made a cash capital contribution and granted us the right to access ICE’s existing futures and clearing platforms.</w:t>
      </w:r>
    </w:p>
    <w:p>
      <w:pPr>
        <w:spacing w:after="0" w:line="153"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ICE also partners with us with respect to certain institutional product offerings. For instance, the PDF Contracts that are traded on IFUS and cleared on ICUS pursuant to the Triparty Agreement. In this regard, Bakkt Trust provides a stand-ready custody function that supports the trading and clearing services as required for the PDF Contract Traders so that IFUS can execute its trading services and ICUS can clear and arrange for the settlement of the PDF Contracts. Bakkt Trust’s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the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w:t>
      </w:r>
    </w:p>
    <w:p>
      <w:pPr>
        <w:spacing w:after="0" w:line="10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860"/>
          </w:cols>
          <w:pgMar w:left="320" w:top="471" w:right="7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57" w:lineRule="auto"/>
        <w:rPr>
          <w:sz w:val="20"/>
          <w:szCs w:val="20"/>
          <w:color w:val="auto"/>
        </w:rPr>
      </w:pPr>
      <w:r>
        <w:rPr>
          <w:rFonts w:ascii="Arial" w:cs="Arial" w:eastAsia="Arial" w:hAnsi="Arial"/>
          <w:sz w:val="17"/>
          <w:szCs w:val="17"/>
          <w:color w:val="auto"/>
        </w:rPr>
        <w:t>directed by PDF Contract Traders. Under the Triparty Agreement, IFUS and ICUS pay to Bakkt Trust the trading and clearing fees collected by IFUS and ICUS with respect to those PDF Contracts net of incentives and rebates. As is typical of new trading products, IFUS and ICUS have instituted such incentives and rebates in an effort to incentivize the trading volume of PDF Contracts. In particular, IFUS offers rebates to support market liquidity and trading volume, which provides qualified PDF Contract Traders with a discount to the applicable transaction fee. Opco is responsible for paying for all rebates and incentives, even if these amounts exceed the gross revenues from the Triparty Agreement. These incentives and rebates have resulted in negative revenue to Opco under the Triparty Agreement.</w:t>
      </w:r>
    </w:p>
    <w:p>
      <w:pPr>
        <w:spacing w:after="0" w:line="185"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5"/>
          <w:szCs w:val="15"/>
          <w:color w:val="auto"/>
        </w:rPr>
        <w:t>The Bakkt Warehouse was built on the principle that a truly institutional-grade custody operation is a crucial first step in broadening institutional acceptance of cryptoassets. As illustrated above, several institutional trading products, such as the PDF Contracts, require custody as an integral part of their value proposition, not necessarily because most such contracts go to expiration and require physical delivery (as many such contracts do not), but rather because, in the eyes of many institutional investors, the possibility of physical delivery at maturity makes those contracts a superior method for price discovery of the underlying asset. In our view, much of the historical reluctance of institutional investors to embrace these products is attributable to the lack of well-regulated, highly secure custody operations similar to those typical of more traditional financial products. The Bakkt Warehouse was built to solve this issue, and features the sophisticated security, insurance and regulatory features that institutional trading participants generally expect. However, the institutional cryptoasset market must further mature in order for us to begin achieving positive net revenue from our activities under the Triparty Agreement. In particular, in the case of bitcoin and other cryptoassets, many institutional investors still prefer to eliminate any possibility of holding those cryptoassets (and thus, to date have preferred cash-settled futures contracts, despite their perceived inferiority for price discovery). To date, less than 1% of PDF Contracts go to physical settlement. We believe that once those investors’ reluctance to hold cryptoassets has decreased, and the market for physically-delivered contracts has been sufficiently established, such rebates and other incentive payments may no longer be needed (or their amounts may be reduced), as a result of which we should be able to generate positive revenue from our services under the Triparty Agreement. The failure of the market for PDF Contracts to expand sufficiently enough to reduce the reliance on rebates and liquidity or incentive payments to PDF Contract Traders would adversely affect our ability to receive positive net revenues under the Triparty Agreement.</w:t>
      </w:r>
    </w:p>
    <w:p>
      <w:pPr>
        <w:spacing w:after="0" w:line="16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Our cash-settled futures contracts are offered in Singapore pursuant to a similar arrangement with ICE subsidiaries. Pursuant to a separate triparty agreement among ICE Futures Singapore (“</w:t>
      </w:r>
      <w:r>
        <w:rPr>
          <w:rFonts w:ascii="Arial" w:cs="Arial" w:eastAsia="Arial" w:hAnsi="Arial"/>
          <w:sz w:val="17"/>
          <w:szCs w:val="17"/>
          <w:b w:val="1"/>
          <w:bCs w:val="1"/>
          <w:color w:val="auto"/>
        </w:rPr>
        <w:t>IFS</w:t>
      </w:r>
      <w:r>
        <w:rPr>
          <w:rFonts w:ascii="Arial" w:cs="Arial" w:eastAsia="Arial" w:hAnsi="Arial"/>
          <w:sz w:val="17"/>
          <w:szCs w:val="17"/>
          <w:color w:val="auto"/>
        </w:rPr>
        <w:t>”), ICE Clear Singapore (“</w:t>
      </w:r>
      <w:r>
        <w:rPr>
          <w:rFonts w:ascii="Arial" w:cs="Arial" w:eastAsia="Arial" w:hAnsi="Arial"/>
          <w:sz w:val="17"/>
          <w:szCs w:val="17"/>
          <w:b w:val="1"/>
          <w:bCs w:val="1"/>
          <w:color w:val="auto"/>
        </w:rPr>
        <w:t>ICS</w:t>
      </w:r>
      <w:r>
        <w:rPr>
          <w:rFonts w:ascii="Arial" w:cs="Arial" w:eastAsia="Arial" w:hAnsi="Arial"/>
          <w:sz w:val="17"/>
          <w:szCs w:val="17"/>
          <w:color w:val="auto"/>
        </w:rPr>
        <w:t>”) and Opco, IFS and ICS provide trade execution and clearing services to customers that trade the cash-settled futures contracts. As these contracts are settled in cash (rather than by physical delivery of bitcoin), no custody function is necessary; as such, Opco provides to IFS and ICS pricing data from its PDF Contracts and also licenses its name to IFS and ICS for use in marketing the cash-settled futures. In return, ICS and IFS pay to Opco 35% of the net trading and clearing revenue that they earn with respect to these contracts.</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60"/>
          </w:cols>
          <w:pgMar w:left="320" w:top="471" w:right="71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results of operations presented below should be reviewed in conjunction with the Unaudited Third Quarter 2021 Financials and the Audited</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2020 Financials. The following table sets forth our consolidated results of operations for the periods shown:</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4"/>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94"/>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tcPr>
          <w:p>
            <w:pPr>
              <w:jc w:val="right"/>
              <w:ind w:right="640"/>
              <w:spacing w:after="0" w:line="13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line="205" w:lineRule="exact"/>
              <w:rPr>
                <w:sz w:val="20"/>
                <w:szCs w:val="20"/>
                <w:color w:val="auto"/>
              </w:rPr>
            </w:pPr>
            <w:r>
              <w:rPr>
                <w:rFonts w:ascii="Arial" w:cs="Arial" w:eastAsia="Arial" w:hAnsi="Arial"/>
                <w:sz w:val="17"/>
                <w:szCs w:val="17"/>
                <w:color w:val="auto"/>
              </w:rPr>
              <w:t>Net revenues</w:t>
            </w:r>
            <w:r>
              <w:rPr>
                <w:rFonts w:ascii="Arial" w:cs="Arial" w:eastAsia="Arial" w:hAnsi="Arial"/>
                <w:sz w:val="23"/>
                <w:szCs w:val="23"/>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9,142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line="205" w:lineRule="exact"/>
              <w:rPr>
                <w:sz w:val="20"/>
                <w:szCs w:val="20"/>
                <w:color w:val="auto"/>
              </w:rPr>
            </w:pPr>
            <w:r>
              <w:rPr>
                <w:rFonts w:ascii="Arial" w:cs="Arial" w:eastAsia="Arial" w:hAnsi="Arial"/>
                <w:sz w:val="17"/>
                <w:szCs w:val="17"/>
                <w:color w:val="auto"/>
              </w:rPr>
              <w:t>6,629</w:t>
            </w:r>
            <w:r>
              <w:rPr>
                <w:rFonts w:ascii="Arial" w:cs="Arial" w:eastAsia="Arial" w:hAnsi="Arial"/>
                <w:sz w:val="23"/>
                <w:szCs w:val="23"/>
                <w:color w:val="auto"/>
                <w:vertAlign w:val="superscript"/>
              </w:rPr>
              <w:t>(2)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25,773</w:t>
            </w:r>
          </w:p>
        </w:tc>
        <w:tc>
          <w:tcPr>
            <w:tcW w:w="1140" w:type="dxa"/>
            <w:vAlign w:val="bottom"/>
            <w:gridSpan w:val="3"/>
          </w:tcPr>
          <w:p>
            <w:pPr>
              <w:jc w:val="right"/>
              <w:ind w:right="180"/>
              <w:spacing w:after="0" w:line="205" w:lineRule="exact"/>
              <w:rPr>
                <w:sz w:val="20"/>
                <w:szCs w:val="20"/>
                <w:color w:val="auto"/>
              </w:rPr>
            </w:pPr>
            <w:r>
              <w:rPr>
                <w:rFonts w:ascii="Arial" w:cs="Arial" w:eastAsia="Arial" w:hAnsi="Arial"/>
                <w:sz w:val="17"/>
                <w:szCs w:val="17"/>
                <w:color w:val="auto"/>
              </w:rPr>
              <w:t>$ 19,067</w:t>
            </w:r>
            <w:r>
              <w:rPr>
                <w:rFonts w:ascii="Arial" w:cs="Arial" w:eastAsia="Arial" w:hAnsi="Arial"/>
                <w:sz w:val="23"/>
                <w:szCs w:val="23"/>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line="205" w:lineRule="exact"/>
              <w:rPr>
                <w:sz w:val="20"/>
                <w:szCs w:val="20"/>
                <w:color w:val="auto"/>
              </w:rPr>
            </w:pPr>
            <w:r>
              <w:rPr>
                <w:rFonts w:ascii="Arial" w:cs="Arial" w:eastAsia="Arial" w:hAnsi="Arial"/>
                <w:sz w:val="17"/>
                <w:szCs w:val="17"/>
                <w:color w:val="auto"/>
                <w:w w:val="98"/>
              </w:rPr>
              <w:t>28,495</w:t>
            </w:r>
            <w:r>
              <w:rPr>
                <w:rFonts w:ascii="Arial" w:cs="Arial" w:eastAsia="Arial" w:hAnsi="Arial"/>
                <w:sz w:val="23"/>
                <w:szCs w:val="23"/>
                <w:color w:val="auto"/>
                <w:w w:val="98"/>
                <w:vertAlign w:val="superscript"/>
              </w:rPr>
              <w:t>(4)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680"/>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60"/>
              <w:spacing w:after="0"/>
              <w:rPr>
                <w:sz w:val="20"/>
                <w:szCs w:val="20"/>
                <w:color w:val="auto"/>
              </w:rPr>
            </w:pPr>
            <w:r>
              <w:rPr>
                <w:rFonts w:ascii="Arial" w:cs="Arial" w:eastAsia="Arial" w:hAnsi="Arial"/>
                <w:sz w:val="12"/>
                <w:szCs w:val="12"/>
                <w:color w:val="auto"/>
                <w:w w:val="81"/>
              </w:rPr>
              <w:t>(2)</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80"/>
              <w:spacing w:after="0"/>
              <w:rPr>
                <w:sz w:val="20"/>
                <w:szCs w:val="20"/>
                <w:color w:val="auto"/>
              </w:rPr>
            </w:pPr>
            <w:r>
              <w:rPr>
                <w:rFonts w:ascii="Arial" w:cs="Arial" w:eastAsia="Arial" w:hAnsi="Arial"/>
                <w:sz w:val="12"/>
                <w:szCs w:val="12"/>
                <w:color w:val="auto"/>
                <w:w w:val="81"/>
              </w:rPr>
              <w:t>(3)</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60"/>
              <w:spacing w:after="0"/>
              <w:rPr>
                <w:sz w:val="20"/>
                <w:szCs w:val="20"/>
                <w:color w:val="auto"/>
              </w:rPr>
            </w:pPr>
            <w:r>
              <w:rPr>
                <w:rFonts w:ascii="Arial" w:cs="Arial" w:eastAsia="Arial" w:hAnsi="Arial"/>
                <w:sz w:val="12"/>
                <w:szCs w:val="12"/>
                <w:color w:val="auto"/>
                <w:w w:val="81"/>
              </w:rPr>
              <w:t>(4)</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9,142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6,629</w:t>
            </w: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25,773</w:t>
            </w:r>
          </w:p>
        </w:tc>
        <w:tc>
          <w:tcPr>
            <w:tcW w:w="1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3"/>
              </w:rPr>
              <w:t>$ 19,067</w:t>
            </w:r>
          </w:p>
        </w:tc>
        <w:tc>
          <w:tcPr>
            <w:tcW w:w="3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28,495</w:t>
            </w:r>
          </w:p>
        </w:tc>
        <w:tc>
          <w:tcPr>
            <w:tcW w:w="260" w:type="dxa"/>
            <w:vAlign w:val="bottom"/>
            <w:vMerge w:val="continue"/>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22,225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12,637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57,375</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30,508</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43,141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23,237</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5,006</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4,657</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2,311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9,851</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6,958</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9,741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4,256</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19,514</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3,472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12,075</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11,477</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13,372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5,536</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1,413</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2,611</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3,843</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1,038</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386</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39,004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9"/>
              </w:rPr>
              <w:t>24,337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115,370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69,448</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107,614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35,815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(29,862)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(17,708)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(89,597)</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(50,381)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(79,119)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(36,679)</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255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473</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(28,835)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(17,960)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(89,363)</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(49,980)</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(79,214)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(33,175)</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195</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(28,847)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(17,971)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(89,558)</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$(50,016)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(79,605)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Currency translation adjustment, net of tax</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(29,038)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(17,884)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(89,576)</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(79,414)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780" w:right="280" w:hanging="404"/>
        <w:spacing w:after="0" w:line="273" w:lineRule="auto"/>
        <w:tabs>
          <w:tab w:leader="none" w:pos="78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The three and nine months ended September 30, 2021 include net revenues from affiliate of $111,000 and $154,000, respectively. The three and nine months ended September 30, 2020 include net revenues from affiliate of $1,149,000 and $2,153,000, respectively. The years ended December 31, 2020 and 2019 include net revenues from affiliate of $(2,007,000) and $(881,000), respectively.</w:t>
      </w:r>
    </w:p>
    <w:p>
      <w:pPr>
        <w:ind w:left="780" w:right="820" w:hanging="404"/>
        <w:spacing w:after="0" w:line="252" w:lineRule="auto"/>
        <w:tabs>
          <w:tab w:leader="none" w:pos="78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1" w:lineRule="exact"/>
        <w:rPr>
          <w:rFonts w:ascii="Arial" w:cs="Arial" w:eastAsia="Arial" w:hAnsi="Arial"/>
          <w:sz w:val="17"/>
          <w:szCs w:val="17"/>
          <w:i w:val="1"/>
          <w:iCs w:val="1"/>
          <w:color w:val="auto"/>
        </w:rPr>
      </w:pPr>
    </w:p>
    <w:p>
      <w:pPr>
        <w:ind w:left="780" w:right="780" w:hanging="404"/>
        <w:spacing w:after="0" w:line="252" w:lineRule="auto"/>
        <w:tabs>
          <w:tab w:leader="none" w:pos="78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1" w:lineRule="exact"/>
        <w:rPr>
          <w:rFonts w:ascii="Arial" w:cs="Arial" w:eastAsia="Arial" w:hAnsi="Arial"/>
          <w:sz w:val="17"/>
          <w:szCs w:val="17"/>
          <w:i w:val="1"/>
          <w:iCs w:val="1"/>
          <w:color w:val="auto"/>
        </w:rPr>
      </w:pPr>
    </w:p>
    <w:p>
      <w:pPr>
        <w:ind w:left="780" w:right="60" w:hanging="404"/>
        <w:spacing w:after="0" w:line="265" w:lineRule="auto"/>
        <w:tabs>
          <w:tab w:leader="none" w:pos="78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80"/>
          </w:cols>
          <w:pgMar w:left="320" w:top="471" w:right="6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620"/>
        <w:spacing w:after="0" w:line="405" w:lineRule="auto"/>
        <w:rPr>
          <w:sz w:val="20"/>
          <w:szCs w:val="20"/>
          <w:color w:val="auto"/>
        </w:rPr>
      </w:pPr>
      <w:r>
        <w:rPr>
          <w:rFonts w:ascii="Arial" w:cs="Arial" w:eastAsia="Arial" w:hAnsi="Arial"/>
          <w:sz w:val="17"/>
          <w:szCs w:val="17"/>
          <w:b w:val="1"/>
          <w:bCs w:val="1"/>
          <w:i w:val="1"/>
          <w:iCs w:val="1"/>
          <w:color w:val="auto"/>
        </w:rPr>
        <w:t>Three Months Ended September 30, 2021 Compared to Three Months Ended September 30, 2020 Revenue</w:t>
      </w:r>
    </w:p>
    <w:p>
      <w:pPr>
        <w:spacing w:after="0" w:line="5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Three Months Ended</w:t>
            </w:r>
          </w:p>
        </w:tc>
        <w:tc>
          <w:tcPr>
            <w:tcW w:w="9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85"/>
              </w:rPr>
              <w:t>Change in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00" w:type="dxa"/>
            <w:vAlign w:val="bottom"/>
          </w:tcPr>
          <w:p>
            <w:pPr>
              <w:spacing w:after="0"/>
              <w:rPr>
                <w:sz w:val="14"/>
                <w:szCs w:val="14"/>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28"/>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26"/>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 (includes net revenues from affiliate of $111 and $1,149,</w:t>
            </w:r>
          </w:p>
        </w:tc>
        <w:tc>
          <w:tcPr>
            <w:tcW w:w="8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7"/>
                <w:szCs w:val="17"/>
                <w:color w:val="auto"/>
              </w:rPr>
              <w:t>$ 6,629</w:t>
            </w:r>
            <w:r>
              <w:rPr>
                <w:rFonts w:ascii="Arial" w:cs="Arial" w:eastAsia="Arial" w:hAnsi="Arial"/>
                <w:sz w:val="24"/>
                <w:szCs w:val="24"/>
                <w:color w:val="auto"/>
                <w:vertAlign w:val="superscript"/>
              </w:rPr>
              <w:t>(1)</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7"/>
                <w:szCs w:val="17"/>
                <w:color w:val="auto"/>
                <w:w w:val="91"/>
              </w:rPr>
              <w:t>$ 9,142</w:t>
            </w:r>
          </w:p>
        </w:tc>
        <w:tc>
          <w:tcPr>
            <w:tcW w:w="1320" w:type="dxa"/>
            <w:vAlign w:val="bottom"/>
            <w:gridSpan w:val="2"/>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8"/>
              </w:rPr>
              <w:t>$2,513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37.9%</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780" w:right="800" w:hanging="404"/>
        <w:spacing w:after="0" w:line="278" w:lineRule="auto"/>
        <w:tabs>
          <w:tab w:leader="none" w:pos="7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380" w:right="240" w:firstLine="420"/>
        <w:spacing w:after="0" w:line="317" w:lineRule="auto"/>
        <w:rPr>
          <w:sz w:val="20"/>
          <w:szCs w:val="20"/>
          <w:color w:val="auto"/>
        </w:rPr>
      </w:pPr>
      <w:r>
        <w:rPr>
          <w:rFonts w:ascii="Arial" w:cs="Arial" w:eastAsia="Arial" w:hAnsi="Arial"/>
          <w:sz w:val="15"/>
          <w:szCs w:val="15"/>
          <w:color w:val="auto"/>
        </w:rPr>
        <w:t>Net revenues consist of transaction revenue (net of rebates and liquidity payments under the Triparty Agreement, reductions in connection with the contribution agreement entered into between Opco and ICE in connection with ICE’s formation of Opco (the “</w:t>
      </w:r>
      <w:r>
        <w:rPr>
          <w:rFonts w:ascii="Arial" w:cs="Arial" w:eastAsia="Arial" w:hAnsi="Arial"/>
          <w:sz w:val="15"/>
          <w:szCs w:val="15"/>
          <w:b w:val="1"/>
          <w:bCs w:val="1"/>
          <w:color w:val="auto"/>
        </w:rPr>
        <w:t>Contribution Agreement</w:t>
      </w:r>
      <w:r>
        <w:rPr>
          <w:rFonts w:ascii="Arial" w:cs="Arial" w:eastAsia="Arial" w:hAnsi="Arial"/>
          <w:sz w:val="15"/>
          <w:szCs w:val="15"/>
          <w:color w:val="auto"/>
        </w:rPr>
        <w:t>”) and consideration payable to a customer pursuant to the Strategic Alliance Agreement (as defined below), subscription and service revenue.</w:t>
      </w:r>
    </w:p>
    <w:p>
      <w:pPr>
        <w:spacing w:after="0" w:line="140" w:lineRule="exact"/>
        <w:rPr>
          <w:sz w:val="20"/>
          <w:szCs w:val="20"/>
          <w:color w:val="auto"/>
        </w:rPr>
      </w:pPr>
    </w:p>
    <w:p>
      <w:pPr>
        <w:ind w:left="380" w:right="60" w:firstLine="420"/>
        <w:spacing w:after="0" w:line="274" w:lineRule="auto"/>
        <w:rPr>
          <w:sz w:val="20"/>
          <w:szCs w:val="20"/>
          <w:color w:val="auto"/>
        </w:rPr>
      </w:pPr>
      <w:r>
        <w:rPr>
          <w:rFonts w:ascii="Arial" w:cs="Arial" w:eastAsia="Arial" w:hAnsi="Arial"/>
          <w:sz w:val="16"/>
          <w:szCs w:val="16"/>
          <w:color w:val="auto"/>
        </w:rPr>
        <w:t>Net revenues increased by $2.5 million, or 37.9%, for the three months ended September 30, 2021 compared to the three months ended September 30, 2020. The increase was primarily due to an increase of $1.0 million in subscription and service revenue related to the expansion of call center services for an existing loyalty customer, partially offset by reimbursements we received from a loyalty customer in 2020 to offset expenses for staffing that was not utilized due to COVID-19 related transaction volume declines, and an increase of $1.5 million in transaction revenue related to higher customer activity in our loyalty redemption services business. Negative revenue from the Triparty Agreement, net, a component of transaction revenue, improved by $1.0 million, or 90.4%, for the three months ended September 30, 2021 compared to the three months ended September 30, 2020. This decrease in negative revenue is primarily due to a decrease in trading and clearing rebates of $1.8 million, partially offset by a $0.9 million decrease in revenues from the Triparty Agreement.</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left="380" w:right="30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220" w:type="dxa"/>
            <w:vAlign w:val="bottom"/>
          </w:tcPr>
          <w:p>
            <w:pPr>
              <w:spacing w:after="0"/>
              <w:rPr>
                <w:sz w:val="14"/>
                <w:szCs w:val="14"/>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2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7"/>
              </w:rPr>
              <w:t>$22,225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$12,637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$9,588</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75.9%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Upon the consummation of the Business Combination on October 15, 2021, one-third of the awards in the Equity Plan vested, which we expect will result in recognition of incremental unit-based compensation expense. The second and third one-third tranches will vest on the one-year and two-year anniversary date of the transaction close, respectively.</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60"/>
          </w:cols>
          <w:pgMar w:left="320" w:top="471" w:right="7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Headcount has increased, and will continue to increase, across functions to further strengthen our service offerings and enhance our systems,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processes, and controls. We intend to grant equity awards as part of the compensation package for new employees. We expect that our compensation and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expenses will decrease as a percentage of our revenue over time. Compensation and benefits increased by $9.6 million, or 75.9%, for the three months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ended September 30, 2021 compared to the three months ended September 30, 2020. The increase was primarily due to $5.6 million in additional</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salaries, wages and benefits, $1.4 million in contract labor for software development, $0.6 million in non-cash compensation and incentive bonuses,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$0.9 million in severance costs, $0.7 million in other operating costs, and $0.4 million in payroll taxes. The majority of the increase in these costs results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from increases in headcount to support the projected growth in our business and increased compliance and reporting requirements as a public company.</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3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7"/>
                <w:szCs w:val="17"/>
                <w:color w:val="auto"/>
                <w:w w:val="95"/>
              </w:rPr>
              <w:t>$ 3,334</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$ 2,392</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$942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39.4%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Professional services expense includes fees for regulatory, legal, and accounting fees. Professional services increased by $0.9 million, or 39.4%, for the three months ended September 30, 2021 compared to the three months ended September 30, 2020. The increase was primarily due to an increase of $0.7 million in audit and tax fees.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3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7"/>
                <w:szCs w:val="17"/>
                <w:color w:val="auto"/>
                <w:w w:val="95"/>
              </w:rPr>
              <w:t>$ 3,148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$ 2,311</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$837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Technology and communication costs represent all non-headcount related costs we incur to operate our business.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180"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 increased by $0.8 million, or 36.2%, for the three months ended September 30, 2021 compared to the three months ended September 30, 2020. The increase was primarily due to an increase of $0.6 million in hardware and software license fees.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5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5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38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$ 4,449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$ 1,664</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$2,785</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167.4%</w:t>
            </w: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2620" w:type="dxa"/>
            <w:vAlign w:val="bottom"/>
          </w:tcPr>
          <w:p>
            <w:pPr>
              <w:jc w:val="right"/>
              <w:ind w:right="1194"/>
              <w:spacing w:after="0"/>
              <w:rPr>
                <w:sz w:val="20"/>
                <w:szCs w:val="20"/>
                <w:color w:val="auto"/>
              </w:rPr>
            </w:pPr>
            <w:r>
              <w:rPr>
                <w:rFonts w:ascii="Arial" w:cs="Arial" w:eastAsia="Arial" w:hAnsi="Arial"/>
                <w:sz w:val="17"/>
                <w:szCs w:val="17"/>
                <w:color w:val="auto"/>
              </w:rPr>
              <w:t>76</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 Selling, general and administrative costs increased by $2.8 million, or 167.4%, for the three months ended September 30, 2021 compared to the three months ended September 30, 2020. The increase was primarily due to an increase of $2.6 million in marketing expenses related to the launch of our consumer platform. The majority of these marketing expenses are web-based promotional campaigns.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480" w:type="dxa"/>
            <w:vAlign w:val="bottom"/>
          </w:tcPr>
          <w:p>
            <w:pPr>
              <w:spacing w:after="0"/>
              <w:rPr>
                <w:sz w:val="14"/>
                <w:szCs w:val="14"/>
                <w:color w:val="auto"/>
              </w:rPr>
            </w:pPr>
          </w:p>
        </w:tc>
        <w:tc>
          <w:tcPr>
            <w:tcW w:w="9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8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Borders>
              <w:bottom w:val="single" w:sz="8" w:color="auto"/>
            </w:tcBorders>
          </w:tcPr>
          <w:p>
            <w:pPr>
              <w:jc w:val="right"/>
              <w:ind w:right="311"/>
              <w:spacing w:after="0" w:line="147"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480" w:type="dxa"/>
            <w:vAlign w:val="bottom"/>
            <w:tcBorders>
              <w:bottom w:val="single" w:sz="8" w:color="auto"/>
            </w:tcBorders>
          </w:tcPr>
          <w:p>
            <w:pPr>
              <w:jc w:val="right"/>
              <w:ind w:right="131"/>
              <w:spacing w:after="0" w:line="147"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32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costs</w:t>
            </w:r>
          </w:p>
        </w:tc>
        <w:tc>
          <w:tcPr>
            <w:tcW w:w="30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$ 1,766</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   —</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$1,766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Acquisition-related costs for the three months ended September 30, 2021 consists entirely of costs related to the Business Combination. There were no acquisition-related costs for the three months ended September 30, 2020.</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$ 3,270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$ 2,232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46.5%</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80" w:firstLine="420"/>
        <w:spacing w:after="0" w:line="291" w:lineRule="auto"/>
        <w:rPr>
          <w:sz w:val="20"/>
          <w:szCs w:val="20"/>
          <w:color w:val="auto"/>
        </w:rPr>
      </w:pPr>
      <w:r>
        <w:rPr>
          <w:rFonts w:ascii="Arial" w:cs="Arial" w:eastAsia="Arial" w:hAnsi="Arial"/>
          <w:sz w:val="15"/>
          <w:szCs w:val="15"/>
          <w:color w:val="auto"/>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Bridge2 Solutions acquisition. Depreciation and amortization increased by</w:t>
      </w:r>
    </w:p>
    <w:p>
      <w:pPr>
        <w:spacing w:after="0" w:line="1" w:lineRule="exact"/>
        <w:rPr>
          <w:sz w:val="20"/>
          <w:szCs w:val="20"/>
          <w:color w:val="auto"/>
        </w:rPr>
      </w:pPr>
    </w:p>
    <w:p>
      <w:pPr>
        <w:ind w:left="380" w:right="240"/>
        <w:spacing w:after="0" w:line="259" w:lineRule="auto"/>
        <w:rPr>
          <w:sz w:val="20"/>
          <w:szCs w:val="20"/>
          <w:color w:val="auto"/>
        </w:rPr>
      </w:pPr>
      <w:r>
        <w:rPr>
          <w:rFonts w:ascii="Arial" w:cs="Arial" w:eastAsia="Arial" w:hAnsi="Arial"/>
          <w:sz w:val="17"/>
          <w:szCs w:val="17"/>
          <w:color w:val="auto"/>
        </w:rPr>
        <w:t>$1.0 million, or 46.5%, for the three months ended September 30, 2021 compared to the three months ended September 30, 2020. The increase was primarily due to $1.1 million of increased amortization related to additions to capitalized software development costs to support the expansion of our loyalty redemption services business and consumer platform.</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31"/>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42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   471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471</w:t>
            </w: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46"/>
        </w:trPr>
        <w:tc>
          <w:tcPr>
            <w:tcW w:w="2980" w:type="dxa"/>
            <w:vAlign w:val="bottom"/>
          </w:tcPr>
          <w:p>
            <w:pPr>
              <w:spacing w:after="0"/>
              <w:rPr>
                <w:sz w:val="24"/>
                <w:szCs w:val="24"/>
                <w:color w:val="auto"/>
              </w:rPr>
            </w:pPr>
          </w:p>
        </w:tc>
        <w:tc>
          <w:tcPr>
            <w:tcW w:w="3420" w:type="dxa"/>
            <w:vAlign w:val="bottom"/>
          </w:tcPr>
          <w:p>
            <w:pPr>
              <w:jc w:val="right"/>
              <w:ind w:right="1414"/>
              <w:spacing w:after="0"/>
              <w:rPr>
                <w:sz w:val="20"/>
                <w:szCs w:val="20"/>
                <w:color w:val="auto"/>
              </w:rPr>
            </w:pPr>
            <w:r>
              <w:rPr>
                <w:rFonts w:ascii="Arial" w:cs="Arial" w:eastAsia="Arial" w:hAnsi="Arial"/>
                <w:sz w:val="17"/>
                <w:szCs w:val="17"/>
                <w:color w:val="auto"/>
              </w:rPr>
              <w:t>77</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1" w:right="7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Affiliate expenses result from technical support service and other costs pursuant to the ISA between Opco and ICE.</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 in</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60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$ 2,450</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$(2,450)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In late 2019 and early 2020, we purchased payment software to use in the roll-out of our alternative payment method. We ultimately built out our alternative payment method offering using Application Programming Interface (“</w:t>
      </w:r>
      <w:r>
        <w:rPr>
          <w:rFonts w:ascii="Arial" w:cs="Arial" w:eastAsia="Arial" w:hAnsi="Arial"/>
          <w:sz w:val="16"/>
          <w:szCs w:val="16"/>
          <w:b w:val="1"/>
          <w:bCs w:val="1"/>
          <w:color w:val="auto"/>
        </w:rPr>
        <w:t>API</w:t>
      </w:r>
      <w:r>
        <w:rPr>
          <w:rFonts w:ascii="Arial" w:cs="Arial" w:eastAsia="Arial" w:hAnsi="Arial"/>
          <w:sz w:val="16"/>
          <w:szCs w:val="16"/>
          <w:color w:val="auto"/>
        </w:rPr>
        <w:t>”)-based integrations instead of the acquired payment software. As the alternative payment method no longer met our business requirements, we recorded an impairment charge of $2.5 million.</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Three Months Ended</w:t>
            </w:r>
          </w:p>
        </w:tc>
        <w:tc>
          <w:tcPr>
            <w:tcW w:w="9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8"/>
              </w:rPr>
              <w:t>Change in</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360" w:type="dxa"/>
            <w:vAlign w:val="bottom"/>
          </w:tcPr>
          <w:p>
            <w:pPr>
              <w:spacing w:after="0"/>
              <w:rPr>
                <w:sz w:val="14"/>
                <w:szCs w:val="14"/>
                <w:color w:val="auto"/>
              </w:rPr>
            </w:pPr>
          </w:p>
        </w:tc>
        <w:tc>
          <w:tcPr>
            <w:tcW w:w="2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September 30,</w:t>
            </w: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95"/>
              </w:rPr>
              <w:t>$ 1,123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(83)</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$1,206</w:t>
            </w:r>
          </w:p>
        </w:tc>
        <w:tc>
          <w:tcPr>
            <w:tcW w:w="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Other income (expense), net primarily consists of non-operating gains and losses and income from the sale of bitcoin outside the normal course of business. Other income (expense) increased by $1.2 million for the three months ended September 30, 2021 compared to the three months ended September 30, 2020, primarily driven by a non-recurring sale of our bitcoin in August 2021 to adjust inventory reserve levels under our inventory policy.</w:t>
      </w:r>
    </w:p>
    <w:p>
      <w:pPr>
        <w:spacing w:after="0" w:line="282" w:lineRule="exact"/>
        <w:rPr>
          <w:sz w:val="20"/>
          <w:szCs w:val="20"/>
          <w:color w:val="auto"/>
        </w:rPr>
      </w:pPr>
    </w:p>
    <w:p>
      <w:pPr>
        <w:ind w:left="380" w:right="3740"/>
        <w:spacing w:after="0" w:line="405" w:lineRule="auto"/>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 Revenue</w:t>
      </w:r>
    </w:p>
    <w:p>
      <w:pPr>
        <w:spacing w:after="0" w:line="5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84"/>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34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$25,773</w:t>
            </w:r>
          </w:p>
        </w:tc>
        <w:tc>
          <w:tcPr>
            <w:tcW w:w="10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7"/>
                <w:szCs w:val="17"/>
                <w:color w:val="auto"/>
              </w:rPr>
              <w:t>$19,067</w:t>
            </w:r>
            <w:r>
              <w:rPr>
                <w:rFonts w:ascii="Arial" w:cs="Arial" w:eastAsia="Arial" w:hAnsi="Arial"/>
                <w:sz w:val="23"/>
                <w:szCs w:val="23"/>
                <w:color w:val="auto"/>
                <w:vertAlign w:val="superscript"/>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$6,706</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35.2%</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780" w:right="720" w:hanging="404"/>
        <w:spacing w:after="0" w:line="278" w:lineRule="auto"/>
        <w:tabs>
          <w:tab w:leader="none" w:pos="780" w:val="left"/>
        </w:tabs>
        <w:numPr>
          <w:ilvl w:val="0"/>
          <w:numId w:val="52"/>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Net revenues increased $6.7 million, or 35.2%, for the nine months ended September 30, 2021 compared to the nine months ended September 30,</w:t>
      </w:r>
    </w:p>
    <w:p>
      <w:pPr>
        <w:spacing w:after="0" w:line="44" w:lineRule="exact"/>
        <w:rPr>
          <w:sz w:val="20"/>
          <w:szCs w:val="20"/>
          <w:color w:val="auto"/>
        </w:rPr>
      </w:pPr>
    </w:p>
    <w:p>
      <w:pPr>
        <w:ind w:left="380" w:right="200"/>
        <w:spacing w:after="0" w:line="256" w:lineRule="auto"/>
        <w:rPr>
          <w:sz w:val="20"/>
          <w:szCs w:val="20"/>
          <w:color w:val="auto"/>
        </w:rPr>
      </w:pPr>
      <w:r>
        <w:rPr>
          <w:rFonts w:ascii="Arial" w:cs="Arial" w:eastAsia="Arial" w:hAnsi="Arial"/>
          <w:sz w:val="17"/>
          <w:szCs w:val="17"/>
          <w:color w:val="auto"/>
        </w:rPr>
        <w:t>2020. The increase primarily consists of an increase of $6.0 million in transaction revenues and $0.4 million in subscription and service revenue. The increase in transaction revenues is related to the full nine months of performance from our loyalty redemption services in 2021 compared to partial period performance in 2020, following the acquisition of Bridge2 Solutions, and increased revenue from higher customer activity in our loyalty redemption services business. Negative revenue from the Triparty Agreement,</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820"/>
          </w:cols>
          <w:pgMar w:left="320" w:top="471" w:right="7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320"/>
        <w:spacing w:after="0" w:line="265" w:lineRule="auto"/>
        <w:rPr>
          <w:sz w:val="20"/>
          <w:szCs w:val="20"/>
          <w:color w:val="auto"/>
        </w:rPr>
      </w:pPr>
      <w:r>
        <w:rPr>
          <w:rFonts w:ascii="Arial" w:cs="Arial" w:eastAsia="Arial" w:hAnsi="Arial"/>
          <w:sz w:val="17"/>
          <w:szCs w:val="17"/>
          <w:color w:val="auto"/>
        </w:rPr>
        <w:t>net, a component of transaction revenue, improved by $2.0 million, or 92.9%, for the nine months ended September 30, 2021 compared to the nine months ended September 30, 2020. This decrease in negative revenue is primarily due to a decrease in trading and clearing rebates of $3.0 million, partially offset by a $1.1 million decrease revenues from the Triparty Agreement.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200" w:type="dxa"/>
            <w:vAlign w:val="bottom"/>
          </w:tcPr>
          <w:p>
            <w:pPr>
              <w:spacing w:after="0"/>
              <w:rPr>
                <w:sz w:val="14"/>
                <w:szCs w:val="14"/>
                <w:color w:val="auto"/>
              </w:rPr>
            </w:pPr>
          </w:p>
        </w:tc>
        <w:tc>
          <w:tcPr>
            <w:tcW w:w="10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88"/>
              </w:rPr>
              <w:t>Change in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20" w:type="dxa"/>
            <w:vAlign w:val="bottom"/>
          </w:tcPr>
          <w:p>
            <w:pPr>
              <w:spacing w:after="0"/>
              <w:rPr>
                <w:sz w:val="14"/>
                <w:szCs w:val="14"/>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9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2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7"/>
              </w:rPr>
              <w:t>$57,375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$30,508</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$26,867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88.1%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92" w:lineRule="auto"/>
        <w:rPr>
          <w:sz w:val="20"/>
          <w:szCs w:val="20"/>
          <w:color w:val="auto"/>
        </w:rPr>
      </w:pPr>
      <w:r>
        <w:rPr>
          <w:rFonts w:ascii="Arial" w:cs="Arial" w:eastAsia="Arial" w:hAnsi="Arial"/>
          <w:sz w:val="15"/>
          <w:szCs w:val="15"/>
          <w:color w:val="auto"/>
        </w:rPr>
        <w:t>Headcount has increased, and will continue to increase, across functions to further strengthen our service offerings and enhance our systems, processes, and controls. We intend to grant equity awards as part of the compensation package for new employees, which we expect will result in increased stock-based compensation expense over the period of such grants. We expect that our compensation and expenses will decrease as a percentage of our revenue over time. Compensation and benefits increased by $26.9 million, or 88.1%, for the nine months ended September 30, 2021 compared to the nine months ended September 30, 2020. The increase was primarily due to $13.8 million in additional salaries, wages and benefits, $6.5 million in contract labor for software development, $6.2 million in non-cash compensation and incentive bonuses, $1.0 million in payroll taxes, $1.0 million in other operating costs, and $0.4 million in severance costs, partially offset by a decrease in compensation costs that were capitalized as capitalized software of $1.9 million. The majority of the increase in these costs results from increases in headcount to support the projected growth in our business and increased compliance and reporting requirements as a public company, in addition to the 2020 acquisition of Bridge2 Solutions, which resulted in approximately four months of compensation and benefits expense related to Bridge2 Solutions for the nine months ended September 30, 2020, compared to a full nine months of expenses for the nine months ended September 30, 2021.</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Nine Months Ended</w:t>
            </w: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2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48"/>
              <w:spacing w:after="0" w:line="147"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62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4"/>
              </w:rPr>
              <w:t>$5,006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$4,657</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$349</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7.5%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340" w:firstLine="420"/>
        <w:spacing w:after="0" w:line="265" w:lineRule="auto"/>
        <w:rPr>
          <w:sz w:val="20"/>
          <w:szCs w:val="20"/>
          <w:color w:val="auto"/>
        </w:rPr>
      </w:pPr>
      <w:r>
        <w:rPr>
          <w:rFonts w:ascii="Arial" w:cs="Arial" w:eastAsia="Arial" w:hAnsi="Arial"/>
          <w:sz w:val="17"/>
          <w:szCs w:val="17"/>
          <w:color w:val="auto"/>
        </w:rPr>
        <w:t>Professional services increased by $0.3 million, or 7.5%, for the nine months ended September 30, 2021 compared to the nine months ended September 30, 2020. The increase was primarily due to an increase of $0.9 million in audit and tax fees, offset by a decrease in legal fees of $0.6 million.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Borders>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480" w:type="dxa"/>
            <w:vAlign w:val="bottom"/>
            <w:tcBorders>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36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$9,851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41.6%</w:t>
            </w:r>
          </w:p>
        </w:tc>
        <w:tc>
          <w:tcPr>
            <w:tcW w:w="0" w:type="dxa"/>
            <w:vAlign w:val="bottom"/>
          </w:tcPr>
          <w:p>
            <w:pPr>
              <w:spacing w:after="0"/>
              <w:rPr>
                <w:sz w:val="1"/>
                <w:szCs w:val="1"/>
                <w:color w:val="auto"/>
              </w:rPr>
            </w:pPr>
          </w:p>
        </w:tc>
      </w:tr>
      <w:tr>
        <w:trPr>
          <w:trHeight w:val="346"/>
        </w:trPr>
        <w:tc>
          <w:tcPr>
            <w:tcW w:w="3480" w:type="dxa"/>
            <w:vAlign w:val="bottom"/>
          </w:tcPr>
          <w:p>
            <w:pPr>
              <w:spacing w:after="0"/>
              <w:rPr>
                <w:sz w:val="24"/>
                <w:szCs w:val="24"/>
                <w:color w:val="auto"/>
              </w:rPr>
            </w:pPr>
          </w:p>
        </w:tc>
        <w:tc>
          <w:tcPr>
            <w:tcW w:w="2920" w:type="dxa"/>
            <w:vAlign w:val="bottom"/>
          </w:tcPr>
          <w:p>
            <w:pPr>
              <w:jc w:val="right"/>
              <w:ind w:right="1414"/>
              <w:spacing w:after="0"/>
              <w:rPr>
                <w:sz w:val="20"/>
                <w:szCs w:val="20"/>
                <w:color w:val="auto"/>
              </w:rPr>
            </w:pPr>
            <w:r>
              <w:rPr>
                <w:rFonts w:ascii="Arial" w:cs="Arial" w:eastAsia="Arial" w:hAnsi="Arial"/>
                <w:sz w:val="17"/>
                <w:szCs w:val="17"/>
                <w:color w:val="auto"/>
              </w:rPr>
              <w:t>79</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71" w:right="79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Technology and communication increased by $2.9 million, or 41.6%, for the nine months ended September 30, 2021 compared to the nine months ended September 30, 2020. The increase was primarily due to an increase of $1.9 million in hardware and software license fees, $0.4 million in telecommunications fees, and $0.3 million in hosting fees.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4"/>
                <w:szCs w:val="14"/>
                <w:color w:val="auto"/>
              </w:rPr>
            </w:pPr>
          </w:p>
        </w:tc>
        <w:tc>
          <w:tcPr>
            <w:tcW w:w="9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1"/>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Borders>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560" w:type="dxa"/>
            <w:vAlign w:val="bottom"/>
            <w:tcBorders>
              <w:bottom w:val="single" w:sz="8" w:color="auto"/>
            </w:tcBorders>
          </w:tcPr>
          <w:p>
            <w:pPr>
              <w:jc w:val="right"/>
              <w:ind w:right="17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32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7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$19,514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$16,042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Selling, general and administrative costs increased by $16.0 million, or 462%, for the nine months ended September 30, 2021 compared to the nine months ended September 30, 2020. The increase was primarily due to an increase of $15.1 million in marketing expenses related to the launch of our consumer platform.</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30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$12,075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$11,477</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$598</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5.2%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Acquisition-related expenses for the nine months ended September 30, 2021 consist entirely of costs related to the Business Combination. Acquisition-related expenses for the nine months ended September 30, 2020 consist entirely of costs incurred in our acquisition of Bridge2 Solutions in February 2020, including approximately $9.6 million of accelerated expense for our incentive and participation units resulting from the issuance of Class C voting units in connection with the acquisition of Bridge2 Solutions.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480" w:type="dxa"/>
            <w:vAlign w:val="bottom"/>
            <w:tcBorders>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$9,098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$3,562</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64.3%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Depreciation and amortization increased by $3.6 million, or 64.3%, for the nine months ended September 30, 2021 compared to the nine months ended September 30, 2020. The increase was primarily due to $2.6 million of additional capitalized software development cost amortization related to software to support the expansion of our loyalty redemption services business and the consumer app and $0.6 million of amortization associated with the customer relationship intangible asset.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 in</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71"/>
              <w:spacing w:after="0" w:line="147"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388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$1,413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$2,611</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$(1,198)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(45.9%)</w:t>
            </w:r>
          </w:p>
        </w:tc>
        <w:tc>
          <w:tcPr>
            <w:tcW w:w="0" w:type="dxa"/>
            <w:vAlign w:val="bottom"/>
          </w:tcPr>
          <w:p>
            <w:pPr>
              <w:spacing w:after="0"/>
              <w:rPr>
                <w:sz w:val="1"/>
                <w:szCs w:val="1"/>
                <w:color w:val="auto"/>
              </w:rPr>
            </w:pPr>
          </w:p>
        </w:tc>
      </w:tr>
      <w:tr>
        <w:trPr>
          <w:trHeight w:val="346"/>
        </w:trPr>
        <w:tc>
          <w:tcPr>
            <w:tcW w:w="2980" w:type="dxa"/>
            <w:vAlign w:val="bottom"/>
          </w:tcPr>
          <w:p>
            <w:pPr>
              <w:spacing w:after="0"/>
              <w:rPr>
                <w:sz w:val="24"/>
                <w:szCs w:val="24"/>
                <w:color w:val="auto"/>
              </w:rPr>
            </w:pPr>
          </w:p>
        </w:tc>
        <w:tc>
          <w:tcPr>
            <w:tcW w:w="3200" w:type="dxa"/>
            <w:vAlign w:val="bottom"/>
          </w:tcPr>
          <w:p>
            <w:pPr>
              <w:jc w:val="right"/>
              <w:ind w:right="1194"/>
              <w:spacing w:after="0"/>
              <w:rPr>
                <w:sz w:val="20"/>
                <w:szCs w:val="20"/>
                <w:color w:val="auto"/>
              </w:rPr>
            </w:pPr>
            <w:r>
              <w:rPr>
                <w:rFonts w:ascii="Arial" w:cs="Arial" w:eastAsia="Arial" w:hAnsi="Arial"/>
                <w:sz w:val="17"/>
                <w:szCs w:val="17"/>
                <w:color w:val="auto"/>
              </w:rPr>
              <w:t>80</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Affiliate expenses decreased by $1.2 million, or (45.9%), for the nine months ended September 30, 2021 compared to the nine months ended September 30, 2020. The decrease in such costs in 2021 was primarily due to a decrease in fees under the ISA, related to a change to the fee structure for 2021 as compared with 2020.</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8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$ 3,843</w:t>
            </w: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120" w:firstLine="420"/>
        <w:spacing w:after="0" w:line="298" w:lineRule="auto"/>
        <w:rPr>
          <w:sz w:val="20"/>
          <w:szCs w:val="20"/>
          <w:color w:val="auto"/>
        </w:rPr>
      </w:pPr>
      <w:r>
        <w:rPr>
          <w:rFonts w:ascii="Arial" w:cs="Arial" w:eastAsia="Arial" w:hAnsi="Arial"/>
          <w:sz w:val="15"/>
          <w:szCs w:val="15"/>
          <w:color w:val="auto"/>
        </w:rPr>
        <w:t>During the nine months ended September 30, 2020, we purchased payment software to use in the roll-out of our alternative payment method. We ultimately built out our alternative payment method offering using API-based integrations instead of the acquired payment software. As the alternative payment method no longer met our business requirements, we recorded an impairment charge of $2.5 million. Additionally, during the nine months ended September 30, 2020, we terminated an existing software license agreement in accordance with the terms of the agreement. The software license was related to the underlying clearing software utilized by Bakkt Clearing and had a five-year term. As a result of the termination, we recorded an impairment charge of $1.4 million. For the nine months ended September 30, 2021, there was no impairment of assets.</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11"/>
              <w:spacing w:after="0" w:line="147"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8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473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146</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224.0%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180" w:firstLine="420"/>
        <w:spacing w:after="0" w:line="265" w:lineRule="auto"/>
        <w:rPr>
          <w:sz w:val="20"/>
          <w:szCs w:val="20"/>
          <w:color w:val="auto"/>
        </w:rPr>
      </w:pPr>
      <w:r>
        <w:rPr>
          <w:rFonts w:ascii="Arial" w:cs="Arial" w:eastAsia="Arial" w:hAnsi="Arial"/>
          <w:sz w:val="17"/>
          <w:szCs w:val="17"/>
          <w:color w:val="auto"/>
        </w:rPr>
        <w:t>Other income (expense) increased by $327 million, or 224% for the nine months ended September 30, 2021 compared to the nine months ended September 30, 2020, primarily driven by a $1.0 million non-recurring sale of our bitcoin in August 2021 to adjust inventory reserve levels under our inventory policy, partially offset by losses of $0.5 million on our investment in shares of affiliate stock.</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gridSpan w:val="2"/>
          </w:tcPr>
          <w:p>
            <w:pPr>
              <w:jc w:val="center"/>
              <w:ind w:left="351"/>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Borders>
              <w:top w:val="single" w:sz="8" w:color="auto"/>
            </w:tcBorders>
          </w:tcPr>
          <w:p>
            <w:pPr>
              <w:jc w:val="right"/>
              <w:ind w:right="351"/>
              <w:spacing w:after="0" w:line="147"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w w:val="83"/>
              </w:rPr>
              <w:t>2020</w:t>
            </w:r>
          </w:p>
        </w:tc>
        <w:tc>
          <w:tcPr>
            <w:tcW w:w="560" w:type="dxa"/>
            <w:vAlign w:val="bottom"/>
          </w:tcPr>
          <w:p>
            <w:pPr>
              <w:spacing w:after="0"/>
              <w:rPr>
                <w:sz w:val="12"/>
                <w:szCs w:val="12"/>
                <w:color w:val="auto"/>
              </w:rPr>
            </w:pPr>
          </w:p>
        </w:tc>
        <w:tc>
          <w:tcPr>
            <w:tcW w:w="360" w:type="dxa"/>
            <w:vAlign w:val="bottom"/>
            <w:tcBorders>
              <w:top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60" w:type="dxa"/>
            <w:vAlign w:val="bottom"/>
            <w:tcBorders>
              <w:top w:val="single" w:sz="8" w:color="auto"/>
            </w:tcBorders>
            <w:gridSpan w:val="2"/>
          </w:tcPr>
          <w:p>
            <w:pPr>
              <w:jc w:val="center"/>
              <w:ind w:left="351"/>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308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195</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441.7%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40" w:firstLine="420"/>
        <w:spacing w:after="0" w:line="279" w:lineRule="auto"/>
        <w:rPr>
          <w:sz w:val="20"/>
          <w:szCs w:val="20"/>
          <w:color w:val="auto"/>
        </w:rPr>
      </w:pPr>
      <w:r>
        <w:rPr>
          <w:rFonts w:ascii="Arial" w:cs="Arial" w:eastAsia="Arial" w:hAnsi="Arial"/>
          <w:sz w:val="16"/>
          <w:szCs w:val="16"/>
          <w:color w:val="auto"/>
        </w:rPr>
        <w:t>Our effective tax rate for the nine months ended September 30, 2021 and 2020 was 0.22% and 0.07%, respectively. The effective tax rate is lower than the federal statutory rate primarily because the substantial majority of the losses are from Opco’s partnership and the single member LLCs held by the partnership, where losses flow through to the partners at the consolidated level. Income tax expense consists of income taxes primarily related to our Canadian subsidiary. Income tax expense increased by $0.2 million, or 441.7%, for the nine months ended September 30, 2021 compared to the nine months ended September 30, 2020. The increase was primarily due to state taxes.</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860"/>
          </w:cols>
          <w:pgMar w:left="320" w:top="471" w:right="71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020"/>
        <w:spacing w:after="0" w:line="405" w:lineRule="auto"/>
        <w:rPr>
          <w:sz w:val="20"/>
          <w:szCs w:val="20"/>
          <w:color w:val="auto"/>
        </w:rPr>
      </w:pPr>
      <w:r>
        <w:rPr>
          <w:rFonts w:ascii="Arial" w:cs="Arial" w:eastAsia="Arial" w:hAnsi="Arial"/>
          <w:sz w:val="17"/>
          <w:szCs w:val="17"/>
          <w:b w:val="1"/>
          <w:bCs w:val="1"/>
          <w:i w:val="1"/>
          <w:iCs w:val="1"/>
          <w:color w:val="auto"/>
        </w:rPr>
        <w:t xml:space="preserve">Year Ended December 31, 2020 Compared to Year Ended December 31, 2019 </w:t>
      </w:r>
      <w:r>
        <w:rPr>
          <w:rFonts w:ascii="Arial" w:cs="Arial" w:eastAsia="Arial" w:hAnsi="Arial"/>
          <w:sz w:val="17"/>
          <w:szCs w:val="17"/>
          <w:b w:val="1"/>
          <w:bCs w:val="1"/>
          <w:color w:val="auto"/>
        </w:rPr>
        <w:t>Revenue</w:t>
      </w:r>
    </w:p>
    <w:p>
      <w:pPr>
        <w:spacing w:after="0" w:line="89"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520" w:type="dxa"/>
            <w:vAlign w:val="bottom"/>
          </w:tcPr>
          <w:p>
            <w:pPr>
              <w:spacing w:after="0"/>
              <w:rPr>
                <w:sz w:val="12"/>
                <w:szCs w:val="12"/>
                <w:color w:val="auto"/>
              </w:rPr>
            </w:pPr>
          </w:p>
        </w:tc>
        <w:tc>
          <w:tcPr>
            <w:tcW w:w="56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1"/>
              <w:spacing w:after="0" w:line="147" w:lineRule="exact"/>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2"/>
                <w:szCs w:val="12"/>
                <w:color w:val="auto"/>
              </w:rPr>
            </w:pPr>
          </w:p>
        </w:tc>
        <w:tc>
          <w:tcPr>
            <w:tcW w:w="11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w w:val="85"/>
              </w:rPr>
              <w:t>$ Change</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1660" w:type="dxa"/>
            <w:vAlign w:val="bottom"/>
            <w:tcBorders>
              <w:top w:val="single" w:sz="8" w:color="auto"/>
            </w:tcBorders>
            <w:gridSpan w:val="5"/>
          </w:tcPr>
          <w:p>
            <w:pPr>
              <w:jc w:val="right"/>
              <w:ind w:right="121"/>
              <w:spacing w:after="0" w:line="135" w:lineRule="exact"/>
              <w:rPr>
                <w:sz w:val="20"/>
                <w:szCs w:val="20"/>
                <w:color w:val="auto"/>
              </w:rPr>
            </w:pPr>
            <w:r>
              <w:rPr>
                <w:rFonts w:ascii="Arial" w:cs="Arial" w:eastAsia="Arial" w:hAnsi="Arial"/>
                <w:sz w:val="14"/>
                <w:szCs w:val="14"/>
                <w:b w:val="1"/>
                <w:bCs w:val="1"/>
                <w:color w:val="auto"/>
                <w:w w:val="98"/>
              </w:rPr>
              <w:t>(dollars in thousands)</w:t>
            </w:r>
          </w:p>
        </w:tc>
        <w:tc>
          <w:tcPr>
            <w:tcW w:w="5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 (includes net revenues from affiliate of $(2,007) and</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w w:val="83"/>
              </w:rPr>
              <w:t>$28,495</w:t>
            </w:r>
            <w:r>
              <w:rPr>
                <w:rFonts w:ascii="Arial" w:cs="Arial" w:eastAsia="Arial" w:hAnsi="Arial"/>
                <w:sz w:val="24"/>
                <w:szCs w:val="24"/>
                <w:color w:val="auto"/>
                <w:w w:val="83"/>
                <w:vertAlign w:val="superscript"/>
              </w:rPr>
              <w:t>(1)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$(881), respectively)</w:t>
            </w:r>
          </w:p>
        </w:tc>
        <w:tc>
          <w:tcPr>
            <w:tcW w:w="90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(881)</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87"/>
              </w:rPr>
              <w:t>$29,376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3,334.4%</w:t>
            </w:r>
          </w:p>
        </w:tc>
        <w:tc>
          <w:tcPr>
            <w:tcW w:w="0" w:type="dxa"/>
            <w:vAlign w:val="bottom"/>
          </w:tcPr>
          <w:p>
            <w:pPr>
              <w:spacing w:after="0"/>
              <w:rPr>
                <w:sz w:val="1"/>
                <w:szCs w:val="1"/>
                <w:color w:val="auto"/>
              </w:rPr>
            </w:pPr>
          </w:p>
        </w:tc>
      </w:tr>
      <w:tr>
        <w:trPr>
          <w:trHeight w:val="206"/>
        </w:trPr>
        <w:tc>
          <w:tcPr>
            <w:tcW w:w="5520" w:type="dxa"/>
            <w:vAlign w:val="bottom"/>
          </w:tcPr>
          <w:p>
            <w:pPr>
              <w:ind w:left="340"/>
              <w:spacing w:after="0"/>
              <w:rPr>
                <w:sz w:val="20"/>
                <w:szCs w:val="20"/>
                <w:color w:val="auto"/>
              </w:rPr>
            </w:pPr>
            <w:r>
              <w:rPr>
                <w:rFonts w:ascii="Arial" w:cs="Arial" w:eastAsia="Arial" w:hAnsi="Arial"/>
                <w:sz w:val="17"/>
                <w:szCs w:val="17"/>
                <w:color w:val="auto"/>
              </w:rPr>
              <w:t>Other</w:t>
            </w:r>
          </w:p>
        </w:tc>
        <w:tc>
          <w:tcPr>
            <w:tcW w:w="5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w:t>
            </w:r>
          </w:p>
        </w:tc>
        <w:tc>
          <w:tcPr>
            <w:tcW w:w="5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(17)</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revenues</w:t>
            </w:r>
          </w:p>
        </w:tc>
        <w:tc>
          <w:tcPr>
            <w:tcW w:w="9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28,495</w:t>
            </w:r>
            <w:r>
              <w:rPr>
                <w:rFonts w:ascii="Arial" w:cs="Arial" w:eastAsia="Arial" w:hAnsi="Arial"/>
                <w:sz w:val="23"/>
                <w:szCs w:val="23"/>
                <w:color w:val="auto"/>
                <w:w w:val="84"/>
                <w:vertAlign w:val="superscript"/>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(864)</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29,359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3,398.0%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780" w:hanging="404"/>
        <w:spacing w:after="0" w:line="278" w:lineRule="auto"/>
        <w:tabs>
          <w:tab w:leader="none" w:pos="780" w:val="left"/>
        </w:tabs>
        <w:numPr>
          <w:ilvl w:val="0"/>
          <w:numId w:val="53"/>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380" w:right="80" w:firstLine="420"/>
        <w:spacing w:after="0" w:line="277" w:lineRule="auto"/>
        <w:rPr>
          <w:sz w:val="20"/>
          <w:szCs w:val="20"/>
          <w:color w:val="auto"/>
        </w:rPr>
      </w:pPr>
      <w:r>
        <w:rPr>
          <w:rFonts w:ascii="Arial" w:cs="Arial" w:eastAsia="Arial" w:hAnsi="Arial"/>
          <w:sz w:val="16"/>
          <w:szCs w:val="16"/>
          <w:color w:val="auto"/>
        </w:rPr>
        <w:t>Net revenues increased $29.4 million, or 3,334.4% for the year ended December 31, 2020 compared to the year ended December 31, 2019. The increase primarily consists of an increase of $8.6 million in transaction revenues and an increase of $20.8 million in subscription and service revenue, both of which are related to the performance from our loyalty redemption services in 2020 following the acquisition of Bridge2 Solutions. Negative revenue from the Triparty Agreement, net, a component of transaction revenue, increased by $1.1 million, or 127.8%, for the year ended December 31, 2020 compared to the year ended December 31, 2019. This increase in negative revenue is primarily due to increases in trading and clearing rebates of $2.7 million, partially offset by a $2.0 million increase in revenues from the Triparty Agreement.</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Operating Expenses</w:t>
      </w:r>
    </w:p>
    <w:p>
      <w:pPr>
        <w:spacing w:after="0" w:line="119" w:lineRule="exact"/>
        <w:rPr>
          <w:sz w:val="20"/>
          <w:szCs w:val="20"/>
          <w:color w:val="auto"/>
        </w:rPr>
      </w:pPr>
    </w:p>
    <w:p>
      <w:pPr>
        <w:ind w:left="380" w:right="26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jc w:val="right"/>
              <w:ind w:right="331"/>
              <w:spacing w:after="0" w:line="147"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2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2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$43,141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$23,237</w:t>
            </w:r>
          </w:p>
        </w:tc>
        <w:tc>
          <w:tcPr>
            <w:tcW w:w="130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$19,904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85.7%</w:t>
            </w:r>
          </w:p>
        </w:tc>
      </w:tr>
    </w:tbl>
    <w:p>
      <w:pPr>
        <w:spacing w:after="0" w:line="193" w:lineRule="exact"/>
        <w:rPr>
          <w:sz w:val="20"/>
          <w:szCs w:val="20"/>
          <w:color w:val="auto"/>
        </w:rPr>
      </w:pPr>
    </w:p>
    <w:p>
      <w:pPr>
        <w:ind w:left="380" w:right="380" w:firstLine="420"/>
        <w:spacing w:after="0" w:line="265" w:lineRule="auto"/>
        <w:rPr>
          <w:sz w:val="20"/>
          <w:szCs w:val="20"/>
          <w:color w:val="auto"/>
        </w:rPr>
      </w:pPr>
      <w:r>
        <w:rPr>
          <w:rFonts w:ascii="Arial" w:cs="Arial" w:eastAsia="Arial" w:hAnsi="Arial"/>
          <w:sz w:val="17"/>
          <w:szCs w:val="17"/>
          <w:color w:val="auto"/>
        </w:rPr>
        <w:t>This is the most significant component of our operating expenses and we expect that our compensation and benefits expense will continue to increase in absolute dollars as we increase our headcount to support the projected growth in our business as well as our increased compliance and reporting requirements as a public company.</w:t>
      </w:r>
    </w:p>
    <w:p>
      <w:pPr>
        <w:spacing w:after="0" w:line="17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Headcount will also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$19.9 million or 85.7%, for the year ended December 31, 2020 compared to the year ended December 31, 2019. The increase was primarily due to $22.4 million in additional salaries and wages, $11.4 million in contract labor for software development, $1.3 million in payroll taxes, $1.4 million in health care benefits and $1.2 million in additional bonuses. The majority of the increase in these costs results from the acquisition of Bridge2 Solutions, offset by a reduction in severance pay of $5.1 million, unit-based compensation of $1.0 million and capitalized software of $11.8 million.</w:t>
      </w:r>
    </w:p>
    <w:p>
      <w:pPr>
        <w:spacing w:after="0" w:line="10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20"/>
          </w:cols>
          <w:pgMar w:left="320" w:top="471" w:right="7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5460" w:type="dxa"/>
            <w:vAlign w:val="bottom"/>
          </w:tcPr>
          <w:p>
            <w:pPr>
              <w:spacing w:after="0"/>
              <w:rPr>
                <w:sz w:val="12"/>
                <w:szCs w:val="12"/>
                <w:color w:val="auto"/>
              </w:rPr>
            </w:pPr>
          </w:p>
        </w:tc>
        <w:tc>
          <w:tcPr>
            <w:tcW w:w="840" w:type="dxa"/>
            <w:vAlign w:val="bottom"/>
          </w:tcPr>
          <w:p>
            <w:pPr>
              <w:jc w:val="right"/>
              <w:ind w:right="346"/>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46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3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5460" w:type="dxa"/>
            <w:vAlign w:val="bottom"/>
          </w:tcPr>
          <w:p>
            <w:pPr>
              <w:spacing w:after="0"/>
              <w:rPr>
                <w:sz w:val="11"/>
                <w:szCs w:val="11"/>
                <w:color w:val="auto"/>
              </w:rPr>
            </w:pPr>
          </w:p>
        </w:tc>
        <w:tc>
          <w:tcPr>
            <w:tcW w:w="1680" w:type="dxa"/>
            <w:vAlign w:val="bottom"/>
            <w:tcBorders>
              <w:top w:val="single" w:sz="8" w:color="auto"/>
            </w:tcBorders>
            <w:gridSpan w:val="3"/>
          </w:tcPr>
          <w:p>
            <w:pPr>
              <w:jc w:val="right"/>
              <w:ind w:right="126"/>
              <w:spacing w:after="0" w:line="135" w:lineRule="exact"/>
              <w:rPr>
                <w:sz w:val="20"/>
                <w:szCs w:val="20"/>
                <w:color w:val="auto"/>
              </w:rPr>
            </w:pPr>
            <w:r>
              <w:rPr>
                <w:rFonts w:ascii="Arial" w:cs="Arial" w:eastAsia="Arial" w:hAnsi="Arial"/>
                <w:sz w:val="14"/>
                <w:szCs w:val="14"/>
                <w:b w:val="1"/>
                <w:bCs w:val="1"/>
                <w:color w:val="auto"/>
                <w:w w:val="99"/>
              </w:rPr>
              <w:t>(dollars in thousands)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7"/>
                <w:szCs w:val="17"/>
                <w:color w:val="auto"/>
                <w:w w:val="95"/>
              </w:rPr>
              <w:t>$ 5,751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4,150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1,601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38.6%</w:t>
            </w:r>
          </w:p>
        </w:tc>
      </w:tr>
    </w:tbl>
    <w:p>
      <w:pPr>
        <w:spacing w:after="0" w:line="193"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Professional services increased by $1.6 million or 38.6%, for the year ended December 31, 2020 compared to the year ended December 31, 2019. The increase was primarily due to $1.7 million in additional professional fees and $0.5 million in audit and tax fees due to our acquisition of Bridge2 Solutions, offset by a decrease in legal fees of $0.5 million.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0" w:type="dxa"/>
            <w:vAlign w:val="bottom"/>
          </w:tcPr>
          <w:p>
            <w:pPr>
              <w:jc w:val="right"/>
              <w:ind w:right="311"/>
              <w:spacing w:after="0" w:line="147"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34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9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254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$ 9,741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$ 4,256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5,485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128.9%</w:t>
            </w:r>
          </w:p>
        </w:tc>
      </w:tr>
    </w:tbl>
    <w:p>
      <w:pPr>
        <w:spacing w:after="0" w:line="193" w:lineRule="exact"/>
        <w:rPr>
          <w:sz w:val="20"/>
          <w:szCs w:val="20"/>
          <w:color w:val="auto"/>
        </w:rPr>
      </w:pPr>
    </w:p>
    <w:p>
      <w:pPr>
        <w:ind w:left="380" w:right="160" w:firstLine="420"/>
        <w:spacing w:after="0" w:line="265" w:lineRule="auto"/>
        <w:rPr>
          <w:sz w:val="20"/>
          <w:szCs w:val="20"/>
          <w:color w:val="auto"/>
        </w:rPr>
      </w:pPr>
      <w:r>
        <w:rPr>
          <w:rFonts w:ascii="Arial" w:cs="Arial" w:eastAsia="Arial" w:hAnsi="Arial"/>
          <w:sz w:val="17"/>
          <w:szCs w:val="17"/>
          <w:color w:val="auto"/>
        </w:rPr>
        <w:t>Technology and communication increased by $5.5 million or 128.9%, for the year ended December 31, 2020 compared to the year ended December 31, 2019. The increase was primarily due to $4.0 million in software as a service fees, $1.2 million in hosting fees, $0.6 million in software maintenance and support cost, and $0.5 million in call center services.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4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jc w:val="right"/>
              <w:ind w:right="311"/>
              <w:spacing w:after="0" w:line="147"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34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4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46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$ 8,219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$ 2,617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5,602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214.1%</w:t>
            </w:r>
          </w:p>
        </w:tc>
      </w:tr>
    </w:tbl>
    <w:p>
      <w:pPr>
        <w:spacing w:after="0" w:line="193"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Selling, general and administrative costs increased by $5.6 million or 214.1%, for the year ended December 31, 2020 compared to the year ended December 31, 2019. The increase was primarily due to $4.3 million in marketing expenses related to the launch of our consumer app and $0.9 million in insurance, offset mainly by a decrease in business travel and entertainment due to COVID-19.</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tcPr>
          <w:p>
            <w:pPr>
              <w:jc w:val="right"/>
              <w:ind w:right="331"/>
              <w:spacing w:after="0" w:line="147"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48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06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85"/>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6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20" w:type="dxa"/>
            <w:vAlign w:val="bottom"/>
            <w:tcBorders>
              <w:top w:val="single" w:sz="8" w:color="auto"/>
            </w:tcBorders>
            <w:gridSpan w:val="3"/>
          </w:tcPr>
          <w:p>
            <w:pPr>
              <w:jc w:val="right"/>
              <w:ind w:right="106"/>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5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cost</w:t>
            </w:r>
          </w:p>
        </w:tc>
        <w:tc>
          <w:tcPr>
            <w:tcW w:w="282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$13,372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731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7"/>
              </w:rPr>
              <w:t>$12,641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1,729.3%</w:t>
            </w:r>
          </w:p>
        </w:tc>
      </w:tr>
    </w:tbl>
    <w:p>
      <w:pPr>
        <w:spacing w:after="0" w:line="193"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Acquisition-related costs consist entirely of costs incurred in our acquisition of Bridge2 Solutions in February 2020. In 2020, we recognized an acceleration of $9.6 million of non-cash stock compensation resulting from the Bridge2 Solutions acquisition.</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jc w:val="right"/>
              <w:ind w:right="311"/>
              <w:spacing w:after="0" w:line="147"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440" w:type="dxa"/>
            <w:vAlign w:val="bottom"/>
          </w:tcPr>
          <w:p>
            <w:pPr>
              <w:jc w:val="right"/>
              <w:ind w:right="63"/>
              <w:spacing w:after="0" w:line="147"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34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4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0" w:type="dxa"/>
            <w:vAlign w:val="bottom"/>
            <w:tcBorders>
              <w:top w:val="single" w:sz="8" w:color="auto"/>
            </w:tcBorders>
            <w:gridSpan w:val="3"/>
          </w:tcPr>
          <w:p>
            <w:pPr>
              <w:jc w:val="right"/>
              <w:ind w:right="83"/>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0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$ 8,159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7,835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2,418.2%</w:t>
            </w:r>
          </w:p>
        </w:tc>
      </w:tr>
      <w:tr>
        <w:trPr>
          <w:trHeight w:val="346"/>
        </w:trPr>
        <w:tc>
          <w:tcPr>
            <w:tcW w:w="3420" w:type="dxa"/>
            <w:vAlign w:val="bottom"/>
          </w:tcPr>
          <w:p>
            <w:pPr>
              <w:spacing w:after="0"/>
              <w:rPr>
                <w:sz w:val="24"/>
                <w:szCs w:val="24"/>
                <w:color w:val="auto"/>
              </w:rPr>
            </w:pPr>
          </w:p>
        </w:tc>
        <w:tc>
          <w:tcPr>
            <w:tcW w:w="2280" w:type="dxa"/>
            <w:vAlign w:val="bottom"/>
          </w:tcPr>
          <w:p>
            <w:pPr>
              <w:jc w:val="right"/>
              <w:ind w:right="714"/>
              <w:spacing w:after="0"/>
              <w:rPr>
                <w:sz w:val="20"/>
                <w:szCs w:val="20"/>
                <w:color w:val="auto"/>
              </w:rPr>
            </w:pPr>
            <w:r>
              <w:rPr>
                <w:rFonts w:ascii="Arial" w:cs="Arial" w:eastAsia="Arial" w:hAnsi="Arial"/>
                <w:sz w:val="17"/>
                <w:szCs w:val="17"/>
                <w:color w:val="auto"/>
              </w:rPr>
              <w:t>83</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40"/>
          </w:cols>
          <w:pgMar w:left="320" w:top="471" w:right="7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40" w:firstLine="420"/>
        <w:spacing w:after="0" w:line="347" w:lineRule="auto"/>
        <w:rPr>
          <w:sz w:val="20"/>
          <w:szCs w:val="20"/>
          <w:color w:val="auto"/>
        </w:rPr>
      </w:pPr>
      <w:r>
        <w:rPr>
          <w:rFonts w:ascii="Arial" w:cs="Arial" w:eastAsia="Arial" w:hAnsi="Arial"/>
          <w:sz w:val="15"/>
          <w:szCs w:val="15"/>
          <w:color w:val="auto"/>
        </w:rPr>
        <w:t>Depreciation and amortization increased by $7.8 million or 2,418.2%, for the year ended December 31, 2020 compared to the year ended December 31, 2019. The increase was primarily due to amortization associated with intangibles acquired through the acquisition of Bridge2 Solutions.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5460" w:type="dxa"/>
            <w:vAlign w:val="bottom"/>
          </w:tcPr>
          <w:p>
            <w:pPr>
              <w:spacing w:after="0"/>
              <w:rPr>
                <w:sz w:val="12"/>
                <w:szCs w:val="12"/>
                <w:color w:val="auto"/>
              </w:rPr>
            </w:pPr>
          </w:p>
        </w:tc>
        <w:tc>
          <w:tcPr>
            <w:tcW w:w="840" w:type="dxa"/>
            <w:vAlign w:val="bottom"/>
          </w:tcPr>
          <w:p>
            <w:pPr>
              <w:jc w:val="right"/>
              <w:ind w:right="346"/>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46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3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5460" w:type="dxa"/>
            <w:vAlign w:val="bottom"/>
          </w:tcPr>
          <w:p>
            <w:pPr>
              <w:spacing w:after="0"/>
              <w:rPr>
                <w:sz w:val="11"/>
                <w:szCs w:val="11"/>
                <w:color w:val="auto"/>
              </w:rPr>
            </w:pPr>
          </w:p>
        </w:tc>
        <w:tc>
          <w:tcPr>
            <w:tcW w:w="1680" w:type="dxa"/>
            <w:vAlign w:val="bottom"/>
            <w:tcBorders>
              <w:top w:val="single" w:sz="8" w:color="auto"/>
            </w:tcBorders>
            <w:gridSpan w:val="3"/>
          </w:tcPr>
          <w:p>
            <w:pPr>
              <w:jc w:val="right"/>
              <w:ind w:right="126"/>
              <w:spacing w:after="0" w:line="135" w:lineRule="exact"/>
              <w:rPr>
                <w:sz w:val="20"/>
                <w:szCs w:val="20"/>
                <w:color w:val="auto"/>
              </w:rPr>
            </w:pPr>
            <w:r>
              <w:rPr>
                <w:rFonts w:ascii="Arial" w:cs="Arial" w:eastAsia="Arial" w:hAnsi="Arial"/>
                <w:sz w:val="14"/>
                <w:szCs w:val="14"/>
                <w:b w:val="1"/>
                <w:bCs w:val="1"/>
                <w:color w:val="auto"/>
                <w:w w:val="99"/>
              </w:rPr>
              <w:t>(dollars in thousands)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7"/>
                <w:szCs w:val="17"/>
                <w:color w:val="auto"/>
                <w:w w:val="95"/>
              </w:rPr>
              <w:t>$ 3,082</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2,582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516.4%</w:t>
            </w:r>
          </w:p>
        </w:tc>
      </w:tr>
    </w:tbl>
    <w:p>
      <w:pPr>
        <w:spacing w:after="0" w:line="193" w:lineRule="exact"/>
        <w:rPr>
          <w:sz w:val="20"/>
          <w:szCs w:val="20"/>
          <w:color w:val="auto"/>
        </w:rPr>
      </w:pPr>
    </w:p>
    <w:p>
      <w:pPr>
        <w:jc w:val="both"/>
        <w:ind w:left="380" w:right="160" w:firstLine="420"/>
        <w:spacing w:after="0" w:line="317" w:lineRule="auto"/>
        <w:rPr>
          <w:sz w:val="20"/>
          <w:szCs w:val="20"/>
          <w:color w:val="auto"/>
        </w:rPr>
      </w:pPr>
      <w:r>
        <w:rPr>
          <w:rFonts w:ascii="Arial" w:cs="Arial" w:eastAsia="Arial" w:hAnsi="Arial"/>
          <w:sz w:val="15"/>
          <w:szCs w:val="15"/>
          <w:color w:val="auto"/>
        </w:rPr>
        <w:t>Affiliate expenses result from technical support service and other costs pursuant to the ISA between Opco and ICE. Affiliate expenses increased by $2.6 million or 516.4%, for the year ended December 31, 2020 compared to the year ended December 31, 2019. The increase in such costs in 2020 was primarily due to an increase in fees under the ISA, related to a change to the fee structure for 2020 as compared with 2019.</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7"/>
        </w:trPr>
        <w:tc>
          <w:tcPr>
            <w:tcW w:w="3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jc w:val="right"/>
              <w:ind w:right="351"/>
              <w:spacing w:after="0" w:line="147" w:lineRule="exact"/>
              <w:rPr>
                <w:sz w:val="20"/>
                <w:szCs w:val="20"/>
                <w:color w:val="auto"/>
              </w:rPr>
            </w:pPr>
            <w:r>
              <w:rPr>
                <w:rFonts w:ascii="Arial" w:cs="Arial" w:eastAsia="Arial" w:hAnsi="Arial"/>
                <w:sz w:val="14"/>
                <w:szCs w:val="14"/>
                <w:b w:val="1"/>
                <w:bCs w:val="1"/>
                <w:color w:val="auto"/>
              </w:rPr>
              <w:t>2020</w:t>
            </w:r>
          </w:p>
        </w:tc>
        <w:tc>
          <w:tcPr>
            <w:tcW w:w="84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11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 Change</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1"/>
              </w:rPr>
              <w:t>% Change</w:t>
            </w:r>
          </w:p>
        </w:tc>
        <w:tc>
          <w:tcPr>
            <w:tcW w:w="40" w:type="dxa"/>
            <w:vAlign w:val="bottom"/>
          </w:tcPr>
          <w:p>
            <w:pPr>
              <w:spacing w:after="0"/>
              <w:rPr>
                <w:sz w:val="12"/>
                <w:szCs w:val="12"/>
                <w:color w:val="auto"/>
              </w:rPr>
            </w:pPr>
          </w:p>
        </w:tc>
      </w:tr>
      <w:tr>
        <w:trPr>
          <w:trHeight w:val="134"/>
        </w:trPr>
        <w:tc>
          <w:tcPr>
            <w:tcW w:w="3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w w:val="99"/>
              </w:rPr>
              <w:t>(dollars in thousands)</w:t>
            </w:r>
          </w:p>
        </w:tc>
        <w:tc>
          <w:tcPr>
            <w:tcW w:w="5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06"/>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54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$15,292</w:t>
            </w:r>
          </w:p>
        </w:tc>
        <w:tc>
          <w:tcPr>
            <w:tcW w:w="8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   —</w:t>
            </w:r>
          </w:p>
        </w:tc>
        <w:tc>
          <w:tcPr>
            <w:tcW w:w="170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$15,292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r>
    </w:tbl>
    <w:p>
      <w:pPr>
        <w:spacing w:after="0" w:line="19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For the year ended December 31, 2020, we determined that third-party software to customize functionality for our consumer app and certain software from a third-party vendor would not provide a viable solution for our business requirements. After performing various analyses for impairment of the amounts capitalized, we concluded these assets were impaired and recorded an impairment charge of approximately $15.3 million. For the year ended December 31, 2019, there was no impairment of assets.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7"/>
        </w:trPr>
        <w:tc>
          <w:tcPr>
            <w:tcW w:w="3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jc w:val="right"/>
              <w:ind w:right="351"/>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44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 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r>
      <w:tr>
        <w:trPr>
          <w:trHeight w:val="134"/>
        </w:trPr>
        <w:tc>
          <w:tcPr>
            <w:tcW w:w="3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60" w:type="dxa"/>
            <w:vAlign w:val="bottom"/>
            <w:tcBorders>
              <w:top w:val="single" w:sz="8" w:color="auto"/>
            </w:tcBorders>
            <w:gridSpan w:val="3"/>
          </w:tcPr>
          <w:p>
            <w:pPr>
              <w:ind w:left="200"/>
              <w:spacing w:after="0" w:line="135" w:lineRule="exact"/>
              <w:rPr>
                <w:sz w:val="20"/>
                <w:szCs w:val="20"/>
                <w:color w:val="auto"/>
              </w:rPr>
            </w:pPr>
            <w:r>
              <w:rPr>
                <w:rFonts w:ascii="Arial" w:cs="Arial" w:eastAsia="Arial" w:hAnsi="Arial"/>
                <w:sz w:val="14"/>
                <w:szCs w:val="14"/>
                <w:b w:val="1"/>
                <w:bCs w:val="1"/>
                <w:color w:val="auto"/>
                <w:w w:val="98"/>
              </w:rPr>
              <w:t>(dollars in thousands)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206"/>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28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123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8"/>
              </w:rPr>
              <w:t>3,280</w:t>
            </w:r>
          </w:p>
        </w:tc>
        <w:tc>
          <w:tcPr>
            <w:tcW w:w="14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 (3,157)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(96.3%)</w:t>
            </w:r>
          </w:p>
        </w:tc>
      </w:tr>
    </w:tbl>
    <w:p>
      <w:pPr>
        <w:spacing w:after="0" w:line="193"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Interest income consists primarily of interest income earned from short-term investments (principally money market funds) and cash deposits with banks. Interest income decreased by $3.2 million or 96.3%, for the year ended December 31, 2020 compared to the year ended December 31, 2019. The decrease was primarily due to the decrease in interest rates from 2019 to 2020 and lower balances in our money market funds.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88"/>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7"/>
        </w:trPr>
        <w:tc>
          <w:tcPr>
            <w:tcW w:w="5380" w:type="dxa"/>
            <w:vAlign w:val="bottom"/>
          </w:tcPr>
          <w:p>
            <w:pPr>
              <w:spacing w:after="0"/>
              <w:rPr>
                <w:sz w:val="12"/>
                <w:szCs w:val="12"/>
                <w:color w:val="auto"/>
              </w:rPr>
            </w:pPr>
          </w:p>
        </w:tc>
        <w:tc>
          <w:tcPr>
            <w:tcW w:w="880" w:type="dxa"/>
            <w:vAlign w:val="bottom"/>
          </w:tcPr>
          <w:p>
            <w:pPr>
              <w:jc w:val="right"/>
              <w:ind w:right="386"/>
              <w:spacing w:after="0" w:line="147"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46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600"/>
              <w:spacing w:after="0" w:line="147"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r>
      <w:tr>
        <w:trPr>
          <w:trHeight w:val="134"/>
        </w:trPr>
        <w:tc>
          <w:tcPr>
            <w:tcW w:w="5380" w:type="dxa"/>
            <w:vAlign w:val="bottom"/>
          </w:tcPr>
          <w:p>
            <w:pPr>
              <w:spacing w:after="0"/>
              <w:rPr>
                <w:sz w:val="11"/>
                <w:szCs w:val="11"/>
                <w:color w:val="auto"/>
              </w:rPr>
            </w:pPr>
          </w:p>
        </w:tc>
        <w:tc>
          <w:tcPr>
            <w:tcW w:w="1700" w:type="dxa"/>
            <w:vAlign w:val="bottom"/>
            <w:tcBorders>
              <w:top w:val="single" w:sz="8" w:color="auto"/>
            </w:tcBorders>
            <w:gridSpan w:val="3"/>
          </w:tcPr>
          <w:p>
            <w:pPr>
              <w:jc w:val="right"/>
              <w:ind w:right="126"/>
              <w:spacing w:after="0" w:line="135"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206"/>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880" w:type="dxa"/>
            <w:vAlign w:val="bottom"/>
            <w:shd w:val="clear" w:color="auto" w:fill="CCEEFF"/>
          </w:tcPr>
          <w:p>
            <w:pPr>
              <w:jc w:val="right"/>
              <w:ind w:right="186"/>
              <w:spacing w:after="0"/>
              <w:rPr>
                <w:sz w:val="20"/>
                <w:szCs w:val="20"/>
                <w:color w:val="auto"/>
              </w:rPr>
            </w:pPr>
            <w:r>
              <w:rPr>
                <w:rFonts w:ascii="Arial" w:cs="Arial" w:eastAsia="Arial" w:hAnsi="Arial"/>
                <w:sz w:val="17"/>
                <w:szCs w:val="17"/>
                <w:color w:val="auto"/>
              </w:rPr>
              <w:t>$  (391)</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(590)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(296.5%)</w:t>
            </w:r>
          </w:p>
        </w:tc>
      </w:tr>
    </w:tbl>
    <w:p>
      <w:pPr>
        <w:spacing w:after="0" w:line="193"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Income tax (expense) benefit consists of income taxes related to United States federal, state and local tax. Our effective tax rate fluctuates from period to period due to changes in the mix of income and losses in</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840"/>
          </w:cols>
          <w:pgMar w:left="320" w:top="471" w:right="7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jurisdictions with a wide range of tax rates, the effect of acquisitions, permanent differences between financial reporting and income tax return treatment of certain items, and changes in tax contingencies. Income tax (expense) benefit decreased by $0.6 million or 296.5%, for the year ended December 31, 2020 compared to the year ended December 31, 2019.</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Supplemental Unaudited Pro Forma Financial Information for Opco and Bridge2 Solutions</w:t>
      </w:r>
    </w:p>
    <w:p>
      <w:pPr>
        <w:spacing w:after="0" w:line="119"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The following supplemental unaudited pro forma financial information for the nine months ended September 30, 2021 and 2020 and the years ended December 31, 2020 and 2019 is presented to give effect to the acquisition of Bridge2 Solutions by us as if the business combination had occurred as of January 1, 2019.</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Management believes the unaudited pro forma information presented below provides a meaningful comparison of operating results; however, it</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should not be viewed as a substitute for the historical financial results of Opco and Bridge2 Solutions. The supplemental unaudited pro forma financial</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presented below should be read in conjunction with Opco’s historical unaudited financial statements for the nine months ended</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September 30, 2021 and 2020 and its historical audited financial statements for the years ended December 31, 2020 and 2019 included elsewhere in this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prospectus.</w:t>
      </w:r>
    </w:p>
    <w:p>
      <w:pPr>
        <w:spacing w:after="0" w:line="205" w:lineRule="exact"/>
        <w:rPr>
          <w:sz w:val="20"/>
          <w:szCs w:val="20"/>
          <w:color w:val="auto"/>
        </w:rPr>
      </w:pPr>
    </w:p>
    <w:p>
      <w:pPr>
        <w:ind w:left="380" w:right="80" w:firstLine="420"/>
        <w:spacing w:after="0" w:line="301" w:lineRule="auto"/>
        <w:rPr>
          <w:sz w:val="20"/>
          <w:szCs w:val="20"/>
          <w:color w:val="auto"/>
        </w:rPr>
      </w:pPr>
      <w:r>
        <w:rPr>
          <w:rFonts w:ascii="Arial" w:cs="Arial" w:eastAsia="Arial" w:hAnsi="Arial"/>
          <w:sz w:val="15"/>
          <w:szCs w:val="15"/>
          <w:color w:val="auto"/>
        </w:rPr>
        <w:t>The supplemental unaudited pro forma financial information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pro forma information does not reflect any operating efficiencies, post-acquisition synergies or cost savings that we may achieve with respect to the combined companies.</w:t>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Unaudited Pro Forma Revenue</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80"/>
              <w:spacing w:after="0" w:line="147"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8"/>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32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5"/>
          </w:tcPr>
          <w:p>
            <w:pPr>
              <w:jc w:val="right"/>
              <w:ind w:right="98"/>
              <w:spacing w:after="0" w:line="13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Opco 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1,608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7"/>
                <w:szCs w:val="17"/>
                <w:color w:val="auto"/>
              </w:rPr>
              <w:t>Opco Contra-Revenue</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(2,353)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(3,694)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1,341</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Bridge2 Solutions Revenue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27,335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26,812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Pro Forma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25,773</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24,726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1,047</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80" w:right="300" w:firstLine="420"/>
        <w:spacing w:after="0" w:line="265" w:lineRule="auto"/>
        <w:rPr>
          <w:sz w:val="20"/>
          <w:szCs w:val="20"/>
          <w:color w:val="auto"/>
        </w:rPr>
      </w:pPr>
      <w:r>
        <w:rPr>
          <w:rFonts w:ascii="Arial" w:cs="Arial" w:eastAsia="Arial" w:hAnsi="Arial"/>
          <w:sz w:val="17"/>
          <w:szCs w:val="17"/>
          <w:color w:val="auto"/>
        </w:rPr>
        <w:t>Pro forma revenue increased $1.0 million, or 4.0%, for the nine months ended September 30, 2021 compared to the nine months ended September 30, 2020. The increase is due to the $1.3 million reduction in Opco contra-revenue, partially offset by the $0.8 million reduction in Opco gross revenue, and the $0.5 million increase in Bridge2 Solutions revenue.</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0"/>
              <w:spacing w:after="0" w:line="147" w:lineRule="exact"/>
              <w:rPr>
                <w:sz w:val="20"/>
                <w:szCs w:val="20"/>
                <w:color w:val="auto"/>
              </w:rPr>
            </w:pPr>
            <w:r>
              <w:rPr>
                <w:rFonts w:ascii="Arial" w:cs="Arial" w:eastAsia="Arial" w:hAnsi="Arial"/>
                <w:sz w:val="14"/>
                <w:szCs w:val="14"/>
                <w:b w:val="1"/>
                <w:bCs w:val="1"/>
                <w:color w:val="auto"/>
                <w:w w:val="96"/>
              </w:rPr>
              <w:t>2020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8"/>
              <w:spacing w:after="0" w:line="147"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 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jc w:val="right"/>
              <w:ind w:right="78"/>
              <w:spacing w:after="0" w:line="135" w:lineRule="exact"/>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Opco Gross Revenue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$ 2,181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12,829%</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Opco Contra-Revenue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w w:val="92"/>
              </w:rPr>
              <w:t>(4,477)</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(881)</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(3,596)</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Bridge2 Solutions Revenue</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4"/>
              </w:rPr>
              <w:t>36,433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44,297</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(7,864)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7"/>
                <w:szCs w:val="17"/>
                <w:color w:val="auto"/>
              </w:rPr>
              <w:t>Pro Forma Revenue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80"/>
              <w:spacing w:after="0"/>
              <w:rPr>
                <w:sz w:val="20"/>
                <w:szCs w:val="20"/>
                <w:color w:val="auto"/>
              </w:rPr>
            </w:pPr>
            <w:r>
              <w:rPr>
                <w:rFonts w:ascii="Arial" w:cs="Arial" w:eastAsia="Arial" w:hAnsi="Arial"/>
                <w:sz w:val="17"/>
                <w:szCs w:val="17"/>
                <w:color w:val="auto"/>
                <w:w w:val="84"/>
              </w:rPr>
              <w:t>34,154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43,433</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 (9,279)</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347"/>
        </w:trPr>
        <w:tc>
          <w:tcPr>
            <w:tcW w:w="3320" w:type="dxa"/>
            <w:vAlign w:val="bottom"/>
          </w:tcPr>
          <w:p>
            <w:pPr>
              <w:spacing w:after="0"/>
              <w:rPr>
                <w:sz w:val="24"/>
                <w:szCs w:val="24"/>
                <w:color w:val="auto"/>
              </w:rPr>
            </w:pPr>
          </w:p>
        </w:tc>
        <w:tc>
          <w:tcPr>
            <w:tcW w:w="2340" w:type="dxa"/>
            <w:vAlign w:val="bottom"/>
          </w:tcPr>
          <w:p>
            <w:pPr>
              <w:jc w:val="right"/>
              <w:ind w:right="674"/>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1" w:right="7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298" w:lineRule="auto"/>
        <w:rPr>
          <w:sz w:val="20"/>
          <w:szCs w:val="20"/>
          <w:color w:val="auto"/>
        </w:rPr>
      </w:pPr>
      <w:r>
        <w:rPr>
          <w:rFonts w:ascii="Arial" w:cs="Arial" w:eastAsia="Arial" w:hAnsi="Arial"/>
          <w:sz w:val="15"/>
          <w:szCs w:val="15"/>
          <w:color w:val="auto"/>
        </w:rPr>
        <w:t>Pro forma revenue decreased $9.3 million, or 21.4%, for the year ended December 31, 2020 compared to the year ended December 31, 2019. The decrease primarily consists of a decrease in transaction fees earned by Bridge2 Solutions due to a reduction in travel and customers using less loyalty points due to COVID-19. During the year ended December 31, 2020, Opco began receiving net revenue payments from ICE earned pursuant to the Triparty Agreement, resulting in a $2.2 million increase in Opco gross revenue. The increase in Opco gross revenue was exceeded by a $3.6 million increase in Opco contra-revenue resulting from consideration payable to a customer pursuant to the Strategic Alliance Agreement with Starbucks and an increase in rebates and liquidity payments associated with futures transaction activity in the year ended December 31, 2020.</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Unaudited Pro Forma Net Loss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3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5320" w:type="dxa"/>
            <w:vAlign w:val="bottom"/>
          </w:tcPr>
          <w:p>
            <w:pPr>
              <w:spacing w:after="0"/>
              <w:rPr>
                <w:sz w:val="12"/>
                <w:szCs w:val="12"/>
                <w:color w:val="auto"/>
              </w:rPr>
            </w:pPr>
          </w:p>
        </w:tc>
        <w:tc>
          <w:tcPr>
            <w:tcW w:w="860" w:type="dxa"/>
            <w:vAlign w:val="bottom"/>
          </w:tcPr>
          <w:p>
            <w:pPr>
              <w:jc w:val="right"/>
              <w:ind w:right="346"/>
              <w:spacing w:after="0" w:line="147" w:lineRule="exact"/>
              <w:rPr>
                <w:sz w:val="20"/>
                <w:szCs w:val="20"/>
                <w:color w:val="auto"/>
              </w:rPr>
            </w:pPr>
            <w:r>
              <w:rPr>
                <w:rFonts w:ascii="Arial" w:cs="Arial" w:eastAsia="Arial" w:hAnsi="Arial"/>
                <w:sz w:val="14"/>
                <w:szCs w:val="14"/>
                <w:b w:val="1"/>
                <w:bCs w:val="1"/>
                <w:color w:val="auto"/>
              </w:rPr>
              <w:t>2021</w:t>
            </w:r>
          </w:p>
        </w:tc>
        <w:tc>
          <w:tcPr>
            <w:tcW w:w="940" w:type="dxa"/>
            <w:vAlign w:val="bottom"/>
          </w:tcPr>
          <w:p>
            <w:pPr>
              <w:jc w:val="right"/>
              <w:ind w:right="106"/>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w w:val="88"/>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5320" w:type="dxa"/>
            <w:vAlign w:val="bottom"/>
          </w:tcPr>
          <w:p>
            <w:pPr>
              <w:spacing w:after="0"/>
              <w:rPr>
                <w:sz w:val="11"/>
                <w:szCs w:val="11"/>
                <w:color w:val="auto"/>
              </w:rPr>
            </w:pPr>
          </w:p>
        </w:tc>
        <w:tc>
          <w:tcPr>
            <w:tcW w:w="1800" w:type="dxa"/>
            <w:vAlign w:val="bottom"/>
            <w:tcBorders>
              <w:top w:val="single" w:sz="8" w:color="auto"/>
            </w:tcBorders>
            <w:gridSpan w:val="2"/>
          </w:tcPr>
          <w:p>
            <w:pPr>
              <w:jc w:val="right"/>
              <w:ind w:right="206"/>
              <w:spacing w:after="0" w:line="135"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860" w:type="dxa"/>
            <w:vAlign w:val="bottom"/>
            <w:shd w:val="clear" w:color="auto" w:fill="CCEEFF"/>
          </w:tcPr>
          <w:p>
            <w:pPr>
              <w:jc w:val="right"/>
              <w:ind w:right="106"/>
              <w:spacing w:after="0"/>
              <w:rPr>
                <w:sz w:val="20"/>
                <w:szCs w:val="20"/>
                <w:color w:val="auto"/>
              </w:rPr>
            </w:pPr>
            <w:r>
              <w:rPr>
                <w:rFonts w:ascii="Arial" w:cs="Arial" w:eastAsia="Arial" w:hAnsi="Arial"/>
                <w:sz w:val="17"/>
                <w:szCs w:val="17"/>
                <w:color w:val="auto"/>
                <w:w w:val="90"/>
              </w:rPr>
              <w:t>$(89,558)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$(50,482)</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$(39,156)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77.7%</w:t>
            </w:r>
          </w:p>
        </w:tc>
      </w:tr>
    </w:tbl>
    <w:p>
      <w:pPr>
        <w:spacing w:after="0" w:line="193" w:lineRule="exact"/>
        <w:rPr>
          <w:sz w:val="20"/>
          <w:szCs w:val="20"/>
          <w:color w:val="auto"/>
        </w:rPr>
      </w:pPr>
    </w:p>
    <w:p>
      <w:pPr>
        <w:ind w:left="380" w:right="260" w:firstLine="420"/>
        <w:spacing w:after="0" w:line="265" w:lineRule="auto"/>
        <w:rPr>
          <w:sz w:val="20"/>
          <w:szCs w:val="20"/>
          <w:color w:val="auto"/>
        </w:rPr>
      </w:pPr>
      <w:r>
        <w:rPr>
          <w:rFonts w:ascii="Arial" w:cs="Arial" w:eastAsia="Arial" w:hAnsi="Arial"/>
          <w:sz w:val="17"/>
          <w:szCs w:val="17"/>
          <w:color w:val="auto"/>
        </w:rPr>
        <w:t>Pro forma net loss increased $39.2 million, or 77.7%, for the nine months ended September 30, 2021 compared to the nine months ended September 30, 2020. The increase primarily consists of an increase of $15.1 million of marketing expenses related to the launch of our consumer app and $26.9 million of compensation and benefits related to the increase in personnel.</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jc w:val="right"/>
              <w:ind w:right="411"/>
              <w:spacing w:after="0" w:line="147" w:lineRule="exact"/>
              <w:rPr>
                <w:sz w:val="20"/>
                <w:szCs w:val="20"/>
                <w:color w:val="auto"/>
              </w:rPr>
            </w:pPr>
            <w:r>
              <w:rPr>
                <w:rFonts w:ascii="Arial" w:cs="Arial" w:eastAsia="Arial" w:hAnsi="Arial"/>
                <w:sz w:val="14"/>
                <w:szCs w:val="14"/>
                <w:b w:val="1"/>
                <w:bCs w:val="1"/>
                <w:color w:val="auto"/>
              </w:rPr>
              <w:t>2021</w:t>
            </w:r>
          </w:p>
        </w:tc>
        <w:tc>
          <w:tcPr>
            <w:tcW w:w="880" w:type="dxa"/>
            <w:vAlign w:val="bottom"/>
          </w:tcPr>
          <w:p>
            <w:pPr>
              <w:jc w:val="right"/>
              <w:ind w:right="106"/>
              <w:spacing w:after="0" w:line="147"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118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w w:val="91"/>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0" w:type="dxa"/>
            <w:vAlign w:val="bottom"/>
            <w:tcBorders>
              <w:top w:val="single" w:sz="8" w:color="auto"/>
            </w:tcBorders>
            <w:gridSpan w:val="2"/>
          </w:tcPr>
          <w:p>
            <w:pPr>
              <w:jc w:val="right"/>
              <w:ind w:right="186"/>
              <w:spacing w:after="0" w:line="135"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286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$(80,071)</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$(30,232)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0"/>
              </w:rPr>
              <w:t>$(49,839)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164.9%</w:t>
            </w:r>
          </w:p>
        </w:tc>
      </w:tr>
    </w:tbl>
    <w:p>
      <w:pPr>
        <w:spacing w:after="0" w:line="193" w:lineRule="exact"/>
        <w:rPr>
          <w:sz w:val="20"/>
          <w:szCs w:val="20"/>
          <w:color w:val="auto"/>
        </w:rPr>
      </w:pPr>
    </w:p>
    <w:p>
      <w:pPr>
        <w:jc w:val="both"/>
        <w:ind w:left="380" w:firstLine="420"/>
        <w:spacing w:after="0" w:line="291" w:lineRule="auto"/>
        <w:rPr>
          <w:sz w:val="20"/>
          <w:szCs w:val="20"/>
          <w:color w:val="auto"/>
        </w:rPr>
      </w:pPr>
      <w:r>
        <w:rPr>
          <w:rFonts w:ascii="Arial" w:cs="Arial" w:eastAsia="Arial" w:hAnsi="Arial"/>
          <w:sz w:val="15"/>
          <w:szCs w:val="15"/>
          <w:color w:val="auto"/>
        </w:rPr>
        <w:t>Pro forma net loss increased $49.8 million, or 164.9% for the year ended December 31, 2020 compared to the year ended December 31, 2019. The increase primarily consists of an increase of $15.3 million impairment of long-lived assets related to the impairment of the third-party software that was deemed not viable, $12.6 million of acquisition-related costs related to the Bridge2 Solutions acquisition, $4.8 million of marketing expenses,</w:t>
      </w:r>
    </w:p>
    <w:p>
      <w:pPr>
        <w:spacing w:after="0" w:line="1" w:lineRule="exact"/>
        <w:rPr>
          <w:sz w:val="20"/>
          <w:szCs w:val="20"/>
          <w:color w:val="auto"/>
        </w:rPr>
      </w:pPr>
    </w:p>
    <w:p>
      <w:pPr>
        <w:ind w:left="380" w:right="580"/>
        <w:spacing w:after="0" w:line="265" w:lineRule="auto"/>
        <w:rPr>
          <w:sz w:val="20"/>
          <w:szCs w:val="20"/>
          <w:color w:val="auto"/>
        </w:rPr>
      </w:pPr>
      <w:r>
        <w:rPr>
          <w:rFonts w:ascii="Arial" w:cs="Arial" w:eastAsia="Arial" w:hAnsi="Arial"/>
          <w:sz w:val="17"/>
          <w:szCs w:val="17"/>
          <w:color w:val="auto"/>
        </w:rPr>
        <w:t>$4.3 million of compensation and benefits related to increase in personnel, $1.2 million of hosting fees, and the $9.3 million decrease in revenue discussed in the Unaudited Pro Forma Revenue section.</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left="380" w:right="160" w:firstLine="420"/>
        <w:spacing w:after="0" w:line="273" w:lineRule="auto"/>
        <w:rPr>
          <w:sz w:val="20"/>
          <w:szCs w:val="20"/>
          <w:color w:val="auto"/>
        </w:rPr>
      </w:pPr>
      <w:r>
        <w:rPr>
          <w:rFonts w:ascii="Arial" w:cs="Arial" w:eastAsia="Arial" w:hAnsi="Arial"/>
          <w:sz w:val="16"/>
          <w:szCs w:val="16"/>
          <w:color w:val="auto"/>
        </w:rPr>
        <w:t>Since our inception, we have financed our operations through equity financings in the form of capital contributions from our members. As of September 30, 2021, and prior to the Business Combination, we had raised an aggregate of $482.5 million of capital, net of issuance costs, through the issuance of Class B and Class C voting units. In addition, in 2018, ICE contributed certain developed assets and rights to use exchange and clearing licenses enabling us to commence operations. Our principal sources of liquidity are cash and cash equivalents. We did not raise any additional funds during the three and nine months ended September 30, 2021. As of September 30, 2021, we had $22.1 million and $16.5 million of cash and cash equivalents and restricted cash, respectively. As of December 31, 2020, we had $75.4 million and $16.5 million of cash and cash equivalents and restricted cash, respectively. As of September 30, 2020, we had $79.3 million and $17.5 million of cash and cash equivalents and restricted cash, respectively. Cash and cash equivalents consist of cash deposits at banks and money market funds. Restricted cash is held to satisfy certain minimum capital requirements pursuant to regulatory requirements.</w:t>
      </w:r>
    </w:p>
    <w:p>
      <w:pPr>
        <w:spacing w:after="0" w:line="175"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As of September 30, 2021, our liquidity position raised substantial doubt about our ability to continue as a going concern for the 12 months following the issuance of the September 30, 2021 unaudited interim</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860"/>
          </w:cols>
          <w:pgMar w:left="320" w:top="471" w:right="71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20"/>
        <w:spacing w:after="0" w:line="347" w:lineRule="auto"/>
        <w:rPr>
          <w:sz w:val="20"/>
          <w:szCs w:val="20"/>
          <w:color w:val="auto"/>
        </w:rPr>
      </w:pPr>
      <w:r>
        <w:rPr>
          <w:rFonts w:ascii="Arial" w:cs="Arial" w:eastAsia="Arial" w:hAnsi="Arial"/>
          <w:sz w:val="15"/>
          <w:szCs w:val="15"/>
          <w:color w:val="auto"/>
        </w:rPr>
        <w:t>consolidated financial statements without additional capital investment. The closing of the Business Combination on October 15, 2021, which resulted in approximately $479 million of cash on the combined company’s balance sheet, alleviated the doubt about our ability to continue as a going concern.</w:t>
      </w:r>
    </w:p>
    <w:p>
      <w:pPr>
        <w:spacing w:after="0" w:line="11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We intend to use the funds available after the Business Combination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79" w:lineRule="exact"/>
        <w:rPr>
          <w:sz w:val="20"/>
          <w:szCs w:val="20"/>
          <w:color w:val="auto"/>
        </w:rPr>
      </w:pPr>
    </w:p>
    <w:p>
      <w:pPr>
        <w:ind w:left="380" w:right="60" w:firstLine="420"/>
        <w:spacing w:after="0" w:line="289" w:lineRule="auto"/>
        <w:rPr>
          <w:sz w:val="20"/>
          <w:szCs w:val="20"/>
          <w:color w:val="auto"/>
        </w:rPr>
      </w:pPr>
      <w:r>
        <w:rPr>
          <w:rFonts w:ascii="Arial" w:cs="Arial" w:eastAsia="Arial" w:hAnsi="Arial"/>
          <w:sz w:val="16"/>
          <w:szCs w:val="16"/>
          <w:color w:val="auto"/>
        </w:rPr>
        <w:t>Our expected uses of the available funds from the Business Combination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59"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2021, we accelerated our hiring plans and increased our marketing and promotional efforts, which we expect to continue following the closing of the Business Combination. We also intend to increase our investment in software development activities from historical levels to more rapidly advance deployment of new features and functionality in our technology platforms. We may also enter into arrangements to acquire or invest in complementary businesses, services, and technologies which will likely require us to increase our cash consumption.</w:t>
      </w:r>
    </w:p>
    <w:p>
      <w:pPr>
        <w:spacing w:after="0" w:line="181"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In addition, we have evaluated the impact of the COVID-19 pandemic on our liquidity and capital needs, and we anticipate that its effects will be largely neutral.</w:t>
      </w:r>
    </w:p>
    <w:p>
      <w:pPr>
        <w:spacing w:after="0" w:line="165" w:lineRule="exact"/>
        <w:rPr>
          <w:sz w:val="20"/>
          <w:szCs w:val="20"/>
          <w:color w:val="auto"/>
        </w:rPr>
      </w:pPr>
    </w:p>
    <w:p>
      <w:pPr>
        <w:ind w:left="380" w:right="300" w:firstLine="420"/>
        <w:spacing w:after="0" w:line="265" w:lineRule="auto"/>
        <w:rPr>
          <w:sz w:val="20"/>
          <w:szCs w:val="20"/>
          <w:color w:val="auto"/>
        </w:rPr>
      </w:pPr>
      <w:r>
        <w:rPr>
          <w:rFonts w:ascii="Arial" w:cs="Arial" w:eastAsia="Arial" w:hAnsi="Arial"/>
          <w:sz w:val="17"/>
          <w:szCs w:val="17"/>
          <w:color w:val="auto"/>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 The following table summarizes our cash flows for the periods presented:</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7"/>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63"/>
              <w:spacing w:after="0" w:line="147"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1"/>
              <w:spacing w:after="0" w:line="147"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99"/>
              <w:spacing w:after="0" w:line="147"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34"/>
        </w:trPr>
        <w:tc>
          <w:tcPr>
            <w:tcW w:w="4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4"/>
          </w:tcPr>
          <w:p>
            <w:pPr>
              <w:jc w:val="right"/>
              <w:ind w:right="643"/>
              <w:spacing w:after="0" w:line="13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used in operating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w w:val="91"/>
              </w:rPr>
              <w:t>(43,777)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(29,545)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w w:val="91"/>
              </w:rPr>
              <w:t>(30,940)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$(48,496)</w:t>
            </w:r>
          </w:p>
        </w:tc>
      </w:tr>
      <w:tr>
        <w:trPr>
          <w:trHeight w:val="206"/>
        </w:trPr>
        <w:tc>
          <w:tcPr>
            <w:tcW w:w="4720" w:type="dxa"/>
            <w:vAlign w:val="bottom"/>
          </w:tcPr>
          <w:p>
            <w:pPr>
              <w:spacing w:after="0"/>
              <w:rPr>
                <w:sz w:val="20"/>
                <w:szCs w:val="20"/>
                <w:color w:val="auto"/>
              </w:rPr>
            </w:pPr>
            <w:r>
              <w:rPr>
                <w:rFonts w:ascii="Arial" w:cs="Arial" w:eastAsia="Arial" w:hAnsi="Arial"/>
                <w:sz w:val="17"/>
                <w:szCs w:val="17"/>
                <w:color w:val="auto"/>
              </w:rPr>
              <w:t>Net cash flows used in investing activities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23"/>
              <w:spacing w:after="0"/>
              <w:rPr>
                <w:sz w:val="20"/>
                <w:szCs w:val="20"/>
                <w:color w:val="auto"/>
              </w:rPr>
            </w:pPr>
            <w:r>
              <w:rPr>
                <w:rFonts w:ascii="Arial" w:cs="Arial" w:eastAsia="Arial" w:hAnsi="Arial"/>
                <w:sz w:val="17"/>
                <w:szCs w:val="17"/>
                <w:color w:val="auto"/>
              </w:rPr>
              <w:t>(9,087)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(4,228)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43"/>
              <w:spacing w:after="0"/>
              <w:rPr>
                <w:sz w:val="20"/>
                <w:szCs w:val="20"/>
                <w:color w:val="auto"/>
              </w:rPr>
            </w:pPr>
            <w:r>
              <w:rPr>
                <w:rFonts w:ascii="Arial" w:cs="Arial" w:eastAsia="Arial" w:hAnsi="Arial"/>
                <w:sz w:val="17"/>
                <w:szCs w:val="17"/>
                <w:color w:val="auto"/>
              </w:rPr>
              <w:t>(7,929)</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$(40,947)</w:t>
            </w:r>
          </w:p>
        </w:tc>
      </w:tr>
      <w:tr>
        <w:trPr>
          <w:trHeight w:val="20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provided by (used in) financing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(97)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6"/>
              </w:rPr>
              <w:t>37,518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03"/>
              <w:spacing w:after="0"/>
              <w:rPr>
                <w:sz w:val="20"/>
                <w:szCs w:val="20"/>
                <w:color w:val="auto"/>
              </w:rPr>
            </w:pPr>
            <w:r>
              <w:rPr>
                <w:rFonts w:ascii="Arial" w:cs="Arial" w:eastAsia="Arial" w:hAnsi="Arial"/>
                <w:sz w:val="17"/>
                <w:szCs w:val="17"/>
                <w:color w:val="auto"/>
                <w:w w:val="99"/>
              </w:rPr>
              <w:t>37,487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bl>
    <w:p>
      <w:pPr>
        <w:spacing w:after="0" w:line="29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3" w:lineRule="exact"/>
        <w:rPr>
          <w:sz w:val="20"/>
          <w:szCs w:val="20"/>
          <w:color w:val="auto"/>
        </w:rPr>
      </w:pPr>
    </w:p>
    <w:p>
      <w:pPr>
        <w:jc w:val="both"/>
        <w:ind w:left="380" w:right="180" w:firstLine="420"/>
        <w:spacing w:after="0" w:line="317" w:lineRule="auto"/>
        <w:rPr>
          <w:sz w:val="20"/>
          <w:szCs w:val="20"/>
          <w:color w:val="auto"/>
        </w:rPr>
      </w:pPr>
      <w:r>
        <w:rPr>
          <w:rFonts w:ascii="Arial" w:cs="Arial" w:eastAsia="Arial" w:hAnsi="Arial"/>
          <w:sz w:val="15"/>
          <w:szCs w:val="15"/>
          <w:color w:val="auto"/>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140" w:lineRule="exact"/>
        <w:rPr>
          <w:sz w:val="20"/>
          <w:szCs w:val="20"/>
          <w:color w:val="auto"/>
        </w:rPr>
      </w:pPr>
    </w:p>
    <w:p>
      <w:pPr>
        <w:jc w:val="both"/>
        <w:ind w:left="380" w:right="400" w:firstLine="420"/>
        <w:spacing w:after="0" w:line="317" w:lineRule="auto"/>
        <w:rPr>
          <w:sz w:val="20"/>
          <w:szCs w:val="20"/>
          <w:color w:val="auto"/>
        </w:rPr>
      </w:pPr>
      <w:r>
        <w:rPr>
          <w:rFonts w:ascii="Arial" w:cs="Arial" w:eastAsia="Arial" w:hAnsi="Arial"/>
          <w:sz w:val="15"/>
          <w:szCs w:val="15"/>
          <w:color w:val="auto"/>
        </w:rPr>
        <w:t>Net cash used in operating activities of $43.8 million for the nine months ended September 30, 2021 was primarily related to our net loss of $89.6 million, offset by non-cash charges of $16.6 million and net cash inflows of $29.2 million resulting from changes in our operating assets and liabilities. The non-cash charges primarily consisted of depreciation and amortization of $9.0 million, unit-based compensation of $3.1 million,</w:t>
      </w:r>
    </w:p>
    <w:p>
      <w:pPr>
        <w:spacing w:after="0" w:line="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840"/>
          </w:cols>
          <w:pgMar w:left="320" w:top="471" w:right="7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spacing w:after="0" w:line="257" w:lineRule="auto"/>
        <w:rPr>
          <w:sz w:val="20"/>
          <w:szCs w:val="20"/>
          <w:color w:val="auto"/>
        </w:rPr>
      </w:pPr>
      <w:r>
        <w:rPr>
          <w:rFonts w:ascii="Arial" w:cs="Arial" w:eastAsia="Arial" w:hAnsi="Arial"/>
          <w:sz w:val="17"/>
          <w:szCs w:val="17"/>
          <w:color w:val="auto"/>
        </w:rPr>
        <w:t>amortization of consideration payable to a customer pursuant to the Strategic Alliance Agreement of $1.7 million, non-cash professional services expense associated with vesting of Opco’s Class C warrant of $1.0 million, and non-cash lease expense of $0.9 million. Net cash inflows from changes in our operating assets and liabilities resulted primarily from the return of a deposit with our clearinghouse affiliate of $20.2 million, an increase in accounts payable and accrued liabilities of $13.0 million, and an increase in due to related parties of $0.5 million, which were partially offset primarily by an increase in accounts receivable of $2.9 million, an increase in other assets of $1.0 million, and $0.8 million of payments related to operating lease liabilities.</w:t>
      </w:r>
    </w:p>
    <w:p>
      <w:pPr>
        <w:spacing w:after="0" w:line="185" w:lineRule="exact"/>
        <w:rPr>
          <w:sz w:val="20"/>
          <w:szCs w:val="20"/>
          <w:color w:val="auto"/>
        </w:rPr>
      </w:pPr>
    </w:p>
    <w:p>
      <w:pPr>
        <w:ind w:left="380" w:right="300" w:firstLine="420"/>
        <w:spacing w:after="0" w:line="291" w:lineRule="auto"/>
        <w:rPr>
          <w:sz w:val="20"/>
          <w:szCs w:val="20"/>
          <w:color w:val="auto"/>
        </w:rPr>
      </w:pPr>
      <w:r>
        <w:rPr>
          <w:rFonts w:ascii="Arial" w:cs="Arial" w:eastAsia="Arial" w:hAnsi="Arial"/>
          <w:sz w:val="15"/>
          <w:szCs w:val="15"/>
          <w:color w:val="auto"/>
        </w:rPr>
        <w:t>Net cash used in operating activities of $29.5 million for the nine months ended September 30, 2020 was primarily related to our net loss of $50.0 million, which was offset by non-cash charges of $21.7 million, and net cash outflows of $1.3 million resulting from changes in our operating assets and liabilities. The non-cash charges primarily consisted of depreciation and amortization of $5.4 million, unit-based compensation of</w:t>
      </w:r>
    </w:p>
    <w:p>
      <w:pPr>
        <w:spacing w:after="0" w:line="1" w:lineRule="exact"/>
        <w:rPr>
          <w:sz w:val="20"/>
          <w:szCs w:val="20"/>
          <w:color w:val="auto"/>
        </w:rPr>
      </w:pPr>
    </w:p>
    <w:p>
      <w:pPr>
        <w:ind w:left="380" w:right="120"/>
        <w:spacing w:after="0" w:line="286" w:lineRule="auto"/>
        <w:rPr>
          <w:sz w:val="20"/>
          <w:szCs w:val="20"/>
          <w:color w:val="auto"/>
        </w:rPr>
      </w:pPr>
      <w:r>
        <w:rPr>
          <w:rFonts w:ascii="Arial" w:cs="Arial" w:eastAsia="Arial" w:hAnsi="Arial"/>
          <w:sz w:val="15"/>
          <w:szCs w:val="15"/>
          <w:color w:val="auto"/>
        </w:rPr>
        <w:t>$9.9 million, impairment of long-lived assets of $3.8 million, acquisition-related expenses paid by affiliate of $1.4 million, and non-cash lease expense of $1.0 million. Net cash outflows from changes in our operating assets and liabilities resulted primarily from decreases in deferred revenues of</w:t>
      </w:r>
    </w:p>
    <w:p>
      <w:pPr>
        <w:spacing w:after="0" w:line="1"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$3.7 million, amounts due to affiliates of $8.4 million, and payments related to operating leases of $0.9 million, which were offset by decreases in accounts receivable of $0.3 million and deposits with clearinghouse affiliate of $11.0 million, and an increase in accounts payable and accrued liabilities of $0.9 million.</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Net cash used in operating activities of $30.9 million for the year ended December 31, 2020 is primarily attributable to our net loss of</w:t>
      </w:r>
    </w:p>
    <w:p>
      <w:pPr>
        <w:spacing w:after="0" w:line="21" w:lineRule="exact"/>
        <w:rPr>
          <w:sz w:val="20"/>
          <w:szCs w:val="20"/>
          <w:color w:val="auto"/>
        </w:rPr>
      </w:pPr>
    </w:p>
    <w:p>
      <w:pPr>
        <w:ind w:left="380" w:right="100"/>
        <w:spacing w:after="0" w:line="275" w:lineRule="auto"/>
        <w:rPr>
          <w:sz w:val="20"/>
          <w:szCs w:val="20"/>
          <w:color w:val="auto"/>
        </w:rPr>
      </w:pPr>
      <w:r>
        <w:rPr>
          <w:rFonts w:ascii="Arial" w:cs="Arial" w:eastAsia="Arial" w:hAnsi="Arial"/>
          <w:sz w:val="16"/>
          <w:szCs w:val="16"/>
          <w:color w:val="auto"/>
        </w:rPr>
        <w:t>$79.6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 $7.0 million decrease in amounts due to affiliates, a $4.3 million decrease in deferred revenues and $3.7 million decrease in other assets and liabilities, and $1.2 million decrease in operating lease liabilities.</w:t>
      </w:r>
    </w:p>
    <w:p>
      <w:pPr>
        <w:spacing w:after="0" w:line="170" w:lineRule="exact"/>
        <w:rPr>
          <w:sz w:val="20"/>
          <w:szCs w:val="20"/>
          <w:color w:val="auto"/>
        </w:rPr>
      </w:pPr>
    </w:p>
    <w:p>
      <w:pPr>
        <w:ind w:left="380" w:right="40" w:firstLine="420"/>
        <w:spacing w:after="0" w:line="301" w:lineRule="auto"/>
        <w:rPr>
          <w:sz w:val="20"/>
          <w:szCs w:val="20"/>
          <w:color w:val="auto"/>
        </w:rPr>
      </w:pPr>
      <w:r>
        <w:rPr>
          <w:rFonts w:ascii="Arial" w:cs="Arial" w:eastAsia="Arial" w:hAnsi="Arial"/>
          <w:sz w:val="15"/>
          <w:szCs w:val="15"/>
          <w:color w:val="auto"/>
        </w:rPr>
        <w:t>Net cash used in operating activities of $48.5 million for the year ended December 31, 2019 was primarily related to our net loss of $33.0 million, offset by non-cash charges of $11.0 million and net cash outflows of $26.6 million resulting from changes in our operating assets and liabilities. The non-cash charges primarily consisted of depreciation and amortization of $0.3 million and unit-based compensation of $10.7 million. Net cash outflows from changes resulted mainly from payment of a deposit with our clearinghouse affiliate of $39.0 million partially offset by changes in other assets of $2.8 million, an increase in accounts payable and accrued liabilities of $5.9 million and amounts due to affiliates of $9.4 million.</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3" w:lineRule="exact"/>
        <w:rPr>
          <w:sz w:val="20"/>
          <w:szCs w:val="20"/>
          <w:color w:val="auto"/>
        </w:rPr>
      </w:pPr>
    </w:p>
    <w:p>
      <w:pPr>
        <w:ind w:left="380" w:right="60" w:firstLine="420"/>
        <w:spacing w:after="0" w:line="289" w:lineRule="auto"/>
        <w:rPr>
          <w:sz w:val="20"/>
          <w:szCs w:val="20"/>
          <w:color w:val="auto"/>
        </w:rPr>
      </w:pPr>
      <w:r>
        <w:rPr>
          <w:rFonts w:ascii="Arial" w:cs="Arial" w:eastAsia="Arial" w:hAnsi="Arial"/>
          <w:sz w:val="16"/>
          <w:szCs w:val="16"/>
          <w:color w:val="auto"/>
        </w:rPr>
        <w:t>Net cash used in investing activities of $9.1 million for the nine months ended September 30, 2021 primarily consisted of $10.9 million of capital expenditures, offset by $1.8 million in proceeds from sale of shares of affiliate stock. Capital expenditures were primary related to costs paid to third parties and capitalized associated with internally developed software for our technology platforms and other capital expenditures.</w:t>
      </w:r>
    </w:p>
    <w:p>
      <w:pPr>
        <w:spacing w:after="0" w:line="159" w:lineRule="exact"/>
        <w:rPr>
          <w:sz w:val="20"/>
          <w:szCs w:val="20"/>
          <w:color w:val="auto"/>
        </w:rPr>
      </w:pPr>
    </w:p>
    <w:p>
      <w:pPr>
        <w:ind w:left="380" w:right="240" w:firstLine="420"/>
        <w:spacing w:after="0" w:line="261" w:lineRule="auto"/>
        <w:rPr>
          <w:sz w:val="20"/>
          <w:szCs w:val="20"/>
          <w:color w:val="auto"/>
        </w:rPr>
      </w:pPr>
      <w:r>
        <w:rPr>
          <w:rFonts w:ascii="Arial" w:cs="Arial" w:eastAsia="Arial" w:hAnsi="Arial"/>
          <w:sz w:val="17"/>
          <w:szCs w:val="17"/>
          <w:color w:val="auto"/>
        </w:rPr>
        <w:t>Net cash provided by investing activities of $4.2 million for the nine months ended September 30, 2020 primarily consisted of $16.9 million of capital expenditures, offset by $10.7 million cash inflows from the acquisition of Bridge2Solutions and $2.0 million cash inflows from short-term investments. Capital expenditures were primary related to costs paid to third parties and capitalized associated with internally developed software for our technology platforms and other capital expenditures.</w:t>
      </w:r>
    </w:p>
    <w:p>
      <w:pPr>
        <w:spacing w:after="0" w:line="179"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We used $7.9 million in investing activities for the year ended December 31, 2020 consisting of capitalized costs of internally developed software and other capital expenditures. This amount was offset in part by $10.7 million of cash acquired from our acquisition of Bridge2 Solutions and proceeds from the sale of $2.0 million of short-term investments.</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840"/>
          </w:cols>
          <w:pgMar w:left="320" w:top="471" w:right="7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Net cash used in investing activities of $40.9 million for the for the year ended December 31, 2019 was primarily related to acquisitions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$29.8 million, capital expenditures of $9.2 million and purchases of short-term investments of $2.0 million. Capital expenditures were primary related to</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costs paid to third parties and capitalized associated with internally developed software for our technology platforms.</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3" w:lineRule="exact"/>
        <w:rPr>
          <w:sz w:val="20"/>
          <w:szCs w:val="20"/>
          <w:color w:val="auto"/>
        </w:rPr>
      </w:pPr>
    </w:p>
    <w:p>
      <w:pPr>
        <w:ind w:left="380" w:right="360" w:firstLine="420"/>
        <w:spacing w:after="0" w:line="278" w:lineRule="auto"/>
        <w:rPr>
          <w:sz w:val="20"/>
          <w:szCs w:val="20"/>
          <w:color w:val="auto"/>
        </w:rPr>
      </w:pPr>
      <w:r>
        <w:rPr>
          <w:rFonts w:ascii="Arial" w:cs="Arial" w:eastAsia="Arial" w:hAnsi="Arial"/>
          <w:sz w:val="17"/>
          <w:szCs w:val="17"/>
          <w:color w:val="auto"/>
        </w:rPr>
        <w:t>Net cash used in financing activities of less than $1 million for the nine months ended September 30, 2021 resulted from payments of finance lease liabilities.</w:t>
      </w:r>
    </w:p>
    <w:p>
      <w:pPr>
        <w:spacing w:after="0" w:line="165"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Net cash provided by financing activities of $37.5 million for the nine months ended September 30, 2020 resulted from proceeds from issuance of our Series B ownership units of $37.8 million offset by less than 0.3 million of payments of finance leases liabilities.</w:t>
      </w:r>
    </w:p>
    <w:p>
      <w:pPr>
        <w:spacing w:after="0" w:line="165"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Net cash flows provided by financing activities of $37.5 million for the year ended December 31, 2020 resulted from proceeds from issuance of our Class C ownership units of $37.8 million offset by $0.3 million of payments for capital leases during the year.</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Commitments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had no material commitments as of September 30, 2021, December 31, 2020, or December 31, 2019.</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Off-Balance Sheet Arrangements</w:t>
      </w:r>
    </w:p>
    <w:p>
      <w:pPr>
        <w:spacing w:after="0" w:line="119"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Bitcoin held in a custodial capacity on behalf of our customers, which are institutions, market makers, and high net worth individuals, is not included in our consolidated balance sheets.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Non-GAAP Measures</w:t>
      </w:r>
    </w:p>
    <w:p>
      <w:pPr>
        <w:spacing w:after="0" w:line="119"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67"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Adjusted EBITDA</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present Adjusted EBITDA as a non-GAAP financial measure.</w:t>
      </w:r>
    </w:p>
    <w:p>
      <w:pPr>
        <w:spacing w:after="0" w:line="216" w:lineRule="exact"/>
        <w:rPr>
          <w:sz w:val="20"/>
          <w:szCs w:val="20"/>
          <w:color w:val="auto"/>
        </w:rPr>
      </w:pPr>
    </w:p>
    <w:p>
      <w:pPr>
        <w:jc w:val="both"/>
        <w:ind w:left="380" w:right="160" w:firstLine="420"/>
        <w:spacing w:after="0" w:line="282" w:lineRule="auto"/>
        <w:rPr>
          <w:sz w:val="20"/>
          <w:szCs w:val="20"/>
          <w:color w:val="auto"/>
        </w:rPr>
      </w:pPr>
      <w:r>
        <w:rPr>
          <w:rFonts w:ascii="Arial" w:cs="Arial" w:eastAsia="Arial" w:hAnsi="Arial"/>
          <w:sz w:val="16"/>
          <w:szCs w:val="16"/>
          <w:color w:val="auto"/>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860"/>
          </w:cols>
          <w:pgMar w:left="320" w:top="471" w:right="71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40"/>
        <w:spacing w:after="0" w:line="261" w:lineRule="auto"/>
        <w:rPr>
          <w:sz w:val="20"/>
          <w:szCs w:val="20"/>
          <w:color w:val="auto"/>
        </w:rPr>
      </w:pPr>
      <w:r>
        <w:rPr>
          <w:rFonts w:ascii="Arial" w:cs="Arial" w:eastAsia="Arial" w:hAnsi="Arial"/>
          <w:sz w:val="17"/>
          <w:szCs w:val="17"/>
          <w:color w:val="auto"/>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79"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In addition to the items above, Adjusted EBITDA as a non-GAAP financial measure also excludes interest income and other income, and income tax benefit, as these items are not components of our core business operations.</w:t>
      </w:r>
    </w:p>
    <w:p>
      <w:pPr>
        <w:spacing w:after="0" w:line="165" w:lineRule="exact"/>
        <w:rPr>
          <w:sz w:val="20"/>
          <w:szCs w:val="20"/>
          <w:color w:val="auto"/>
        </w:rPr>
      </w:pPr>
    </w:p>
    <w:p>
      <w:pPr>
        <w:ind w:left="380" w:right="280" w:firstLine="420"/>
        <w:spacing w:after="0" w:line="311" w:lineRule="auto"/>
        <w:rPr>
          <w:sz w:val="20"/>
          <w:szCs w:val="20"/>
          <w:color w:val="auto"/>
        </w:rPr>
      </w:pPr>
      <w:r>
        <w:rPr>
          <w:rFonts w:ascii="Arial" w:cs="Arial" w:eastAsia="Arial" w:hAnsi="Arial"/>
          <w:sz w:val="16"/>
          <w:szCs w:val="16"/>
          <w:color w:val="auto"/>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51" w:lineRule="exact"/>
        <w:rPr>
          <w:sz w:val="20"/>
          <w:szCs w:val="20"/>
          <w:color w:val="auto"/>
        </w:rPr>
      </w:pPr>
    </w:p>
    <w:p>
      <w:pPr>
        <w:ind w:left="1300" w:right="120" w:hanging="410"/>
        <w:spacing w:after="0" w:line="289"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68" w:lineRule="exact"/>
        <w:rPr>
          <w:rFonts w:ascii="Arial" w:cs="Arial" w:eastAsia="Arial" w:hAnsi="Arial"/>
          <w:sz w:val="16"/>
          <w:szCs w:val="16"/>
          <w:color w:val="auto"/>
        </w:rPr>
      </w:pPr>
    </w:p>
    <w:p>
      <w:pPr>
        <w:ind w:left="1300" w:right="160" w:hanging="410"/>
        <w:spacing w:after="0" w:line="265"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non-GAAP measures do not reflect changes in, or cash requirements for, our working capital needs.</w:t>
      </w:r>
    </w:p>
    <w:p>
      <w:pPr>
        <w:spacing w:after="0" w:line="216"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Because of these limitations, the non-GAAP financial measures should be considered alongside other financial performance measures, including net loss and our other financial results presented in accordance with GAAP.</w:t>
      </w:r>
    </w:p>
    <w:p>
      <w:pPr>
        <w:spacing w:after="0" w:line="165" w:lineRule="exact"/>
        <w:rPr>
          <w:sz w:val="20"/>
          <w:szCs w:val="20"/>
          <w:color w:val="auto"/>
        </w:rPr>
      </w:pPr>
    </w:p>
    <w:p>
      <w:pPr>
        <w:ind w:left="380" w:right="320" w:firstLine="420"/>
        <w:spacing w:after="0" w:line="278" w:lineRule="auto"/>
        <w:rPr>
          <w:sz w:val="20"/>
          <w:szCs w:val="20"/>
          <w:color w:val="auto"/>
        </w:rPr>
      </w:pPr>
      <w:r>
        <w:rPr>
          <w:rFonts w:ascii="Arial" w:cs="Arial" w:eastAsia="Arial" w:hAnsi="Arial"/>
          <w:sz w:val="17"/>
          <w:szCs w:val="17"/>
          <w:color w:val="auto"/>
        </w:rPr>
        <w:t>The following table presents a reconciliation of net loss, the most directly comparable GAAP operating performance measure, to our Adjusted EBITDA for each of the periods indicated (in thousands, unaudited):</w:t>
      </w:r>
    </w:p>
    <w:p>
      <w:pPr>
        <w:spacing w:after="0" w:line="16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94"/>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3"/>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34"/>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3"/>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14"/>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$(28,847)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$(17,971)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$(89,558)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($50,016)</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(79,605)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(32,976)</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Depreciation and amortization</w:t>
            </w:r>
          </w:p>
        </w:tc>
        <w:tc>
          <w:tcPr>
            <w:tcW w:w="1760" w:type="dxa"/>
            <w:vAlign w:val="bottom"/>
            <w:gridSpan w:val="3"/>
          </w:tcPr>
          <w:p>
            <w:pPr>
              <w:jc w:val="right"/>
              <w:ind w:right="180"/>
              <w:spacing w:after="0"/>
              <w:rPr>
                <w:sz w:val="20"/>
                <w:szCs w:val="20"/>
                <w:color w:val="auto"/>
              </w:rPr>
            </w:pPr>
            <w:r>
              <w:rPr>
                <w:rFonts w:ascii="Arial" w:cs="Arial" w:eastAsia="Arial" w:hAnsi="Arial"/>
                <w:sz w:val="17"/>
                <w:szCs w:val="17"/>
                <w:color w:val="auto"/>
              </w:rPr>
              <w:t>3,270</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2,232</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9,098</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5,536</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8,159</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Add/(Less): Interest (income) expense</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169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Add/(Less): Income tax (benefit) expense</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9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(25,469)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(15,559)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(80,026)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(44,699)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(7,178)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(36,131)</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Acquisition-related transaction costs</w:t>
            </w:r>
          </w:p>
        </w:tc>
        <w:tc>
          <w:tcPr>
            <w:tcW w:w="1760" w:type="dxa"/>
            <w:vAlign w:val="bottom"/>
            <w:gridSpan w:val="3"/>
          </w:tcPr>
          <w:p>
            <w:pPr>
              <w:jc w:val="right"/>
              <w:ind w:right="180"/>
              <w:spacing w:after="0"/>
              <w:rPr>
                <w:sz w:val="20"/>
                <w:szCs w:val="20"/>
                <w:color w:val="auto"/>
              </w:rPr>
            </w:pPr>
            <w:r>
              <w:rPr>
                <w:rFonts w:ascii="Arial" w:cs="Arial" w:eastAsia="Arial" w:hAnsi="Arial"/>
                <w:sz w:val="17"/>
                <w:szCs w:val="17"/>
                <w:color w:val="auto"/>
              </w:rPr>
              <w:t>1,766</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12,075</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11,477</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13,372</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 Unit-based compensation expense</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604</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829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3,116</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370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2,082</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Restructuring charges</w:t>
            </w:r>
          </w:p>
        </w:tc>
        <w:tc>
          <w:tcPr>
            <w:tcW w:w="940" w:type="dxa"/>
            <w:vAlign w:val="bottom"/>
          </w:tcPr>
          <w:p>
            <w:pPr>
              <w:spacing w:after="0"/>
              <w:rPr>
                <w:sz w:val="17"/>
                <w:szCs w:val="17"/>
                <w:color w:val="auto"/>
              </w:rPr>
            </w:pPr>
          </w:p>
        </w:tc>
        <w:tc>
          <w:tcPr>
            <w:tcW w:w="8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588</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 Impairment of long-lived assets</w:t>
            </w:r>
          </w:p>
        </w:tc>
        <w:tc>
          <w:tcPr>
            <w:tcW w:w="9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3,843</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Less: Non-recurring bitcoin sale income, net</w:t>
            </w:r>
          </w:p>
        </w:tc>
        <w:tc>
          <w:tcPr>
            <w:tcW w:w="1760" w:type="dxa"/>
            <w:vAlign w:val="bottom"/>
            <w:gridSpan w:val="3"/>
          </w:tcPr>
          <w:p>
            <w:pPr>
              <w:jc w:val="right"/>
              <w:ind w:right="14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Less: Transition services to Bakkt Clearing</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(24,123)</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(12,280)</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(65,859)</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 (29,009)</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 (40,040)</w:t>
            </w: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 (24,872)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8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294" w:lineRule="auto"/>
        <w:rPr>
          <w:sz w:val="20"/>
          <w:szCs w:val="20"/>
          <w:color w:val="auto"/>
        </w:rPr>
      </w:pPr>
      <w:r>
        <w:rPr>
          <w:rFonts w:ascii="Arial" w:cs="Arial" w:eastAsia="Arial" w:hAnsi="Arial"/>
          <w:sz w:val="15"/>
          <w:szCs w:val="15"/>
          <w:color w:val="auto"/>
        </w:rPr>
        <w:t>Adjusted EBITDA decreased by $11.8 million, or 96.4%, for the three months ended September 30, 2021 compared to three months ended September 30, 2020. The decrease was primarily due to a $10.9 million increase in net loss, a $2.5 million decrease in impairment of long-lived assets and a $1.0 million increase in non-recurring bitcoin sale income, which were partially offset by a $1.8 million increase in acquisition-related transaction costs, a $0.2 million decrease in unit-based compensation expense, and a $1.0 million increase in depreciation and amortization. Adjusted EBITDA decreased by $36.9 million or 127.0%, for the nine months ended September 30, 2021 compared to nine months ended September 30, 2020. The decrease was primarily due to the $39.5 million increase in net loss, $3.8 million decrease in impairment of long-lived assets and a $1.0 million increase in non-recurring bitcoin sale income, which were partially offset by a $0.6 million increase in acquisition-related transaction costs, $3.6 million increase in depreciation and amortization and a $2.7 million increase in unit-based compensation expense. Adjusted EBITDA decreased by $15.2 million or 61.0%, for year ended December 31, 2020 compared to year ended December 31, 2019. The decrease was primarily due to the increase in net loss.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ind w:left="380" w:right="80" w:firstLine="420"/>
        <w:spacing w:after="0" w:line="301" w:lineRule="auto"/>
        <w:rPr>
          <w:sz w:val="20"/>
          <w:szCs w:val="20"/>
          <w:color w:val="auto"/>
        </w:rPr>
      </w:pPr>
      <w:r>
        <w:rPr>
          <w:rFonts w:ascii="Arial" w:cs="Arial" w:eastAsia="Arial" w:hAnsi="Arial"/>
          <w:sz w:val="15"/>
          <w:szCs w:val="15"/>
          <w:color w:val="auto"/>
        </w:rPr>
        <w:t>The preparation of financial statements in conformity with GAAP requires estimates and assumptions that affect the reported amounts of assets and liabilities, revenues and expenses, and related disclosures of contingent assets and liabilities in the consolidated financial statements. Critical accounting policies are those policies that management believes are most important to the representation of our financial position and results of operations, and that require management to make estimates that are difficult, subjective or complex. Based on these criteria, management has identified the following critical accounting policies and estimates, and the methodology and disclosures related to those estimates:</w:t>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Business Combinations</w:t>
      </w:r>
    </w:p>
    <w:p>
      <w:pPr>
        <w:spacing w:after="0" w:line="119" w:lineRule="exact"/>
        <w:rPr>
          <w:sz w:val="20"/>
          <w:szCs w:val="20"/>
          <w:color w:val="auto"/>
        </w:rPr>
      </w:pPr>
    </w:p>
    <w:p>
      <w:pPr>
        <w:ind w:left="380" w:right="40" w:firstLine="420"/>
        <w:spacing w:after="0" w:line="274" w:lineRule="auto"/>
        <w:rPr>
          <w:sz w:val="20"/>
          <w:szCs w:val="20"/>
          <w:color w:val="auto"/>
        </w:rPr>
      </w:pPr>
      <w:r>
        <w:rPr>
          <w:rFonts w:ascii="Arial" w:cs="Arial" w:eastAsia="Arial" w:hAnsi="Arial"/>
          <w:sz w:val="16"/>
          <w:szCs w:val="16"/>
          <w:color w:val="auto"/>
        </w:rPr>
        <w:t>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FASB ASC 805, Business Combinations.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72" w:lineRule="exact"/>
        <w:rPr>
          <w:sz w:val="20"/>
          <w:szCs w:val="20"/>
          <w:color w:val="auto"/>
        </w:rPr>
      </w:pPr>
    </w:p>
    <w:p>
      <w:pPr>
        <w:ind w:left="380" w:firstLine="420"/>
        <w:spacing w:after="0" w:line="317" w:lineRule="auto"/>
        <w:rPr>
          <w:sz w:val="20"/>
          <w:szCs w:val="20"/>
          <w:color w:val="auto"/>
        </w:rPr>
      </w:pPr>
      <w:r>
        <w:rPr>
          <w:rFonts w:ascii="Arial" w:cs="Arial" w:eastAsia="Arial" w:hAnsi="Arial"/>
          <w:sz w:val="15"/>
          <w:szCs w:val="15"/>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40" w:lineRule="exact"/>
        <w:rPr>
          <w:sz w:val="20"/>
          <w:szCs w:val="20"/>
          <w:color w:val="auto"/>
        </w:rPr>
      </w:pPr>
    </w:p>
    <w:p>
      <w:pPr>
        <w:ind w:left="380" w:right="140" w:firstLine="420"/>
        <w:spacing w:after="0" w:line="261" w:lineRule="auto"/>
        <w:rPr>
          <w:sz w:val="20"/>
          <w:szCs w:val="20"/>
          <w:color w:val="auto"/>
        </w:rPr>
      </w:pPr>
      <w:r>
        <w:rPr>
          <w:rFonts w:ascii="Arial" w:cs="Arial" w:eastAsia="Arial" w:hAnsi="Arial"/>
          <w:sz w:val="17"/>
          <w:szCs w:val="17"/>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a business combination are recorded in earnings.</w:t>
      </w:r>
    </w:p>
    <w:p>
      <w:pPr>
        <w:spacing w:after="0" w:line="179"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All acquisition-related costs, other than the costs to issue debt or equity securities, are accounted for as expenses in the period in which they are incurred. Changes in the fair value of any contingent consideration arrangements that are not measurement period adjustments are recognized in earnings.</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840"/>
          </w:cols>
          <w:pgMar w:left="320" w:top="471" w:right="7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Goodwill and Other Intangible Assets</w:t>
      </w:r>
    </w:p>
    <w:p>
      <w:pPr>
        <w:spacing w:after="0" w:line="119"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Goodwill and intangible assets that have indefinite useful lives are accounted for in accordance with FASB ASC 350, Intangibles—Goodwill and Other.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indefinite-lived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73"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65"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We did not record any impairment charges related to goodwill and intangible assets during the three months ended September 30, 2021 and 2020, the nine months ended September 30, 2021 and 2020, or the years ended December 31, 2020 and 2019.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Triparty Agreement</w:t>
      </w:r>
    </w:p>
    <w:p>
      <w:pPr>
        <w:spacing w:after="0" w:line="113"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The Triparty Agreement governs the trading, clearing and custody services for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PDF Contract Traders are generally institutional investors and market makers that enter into agreements separately with each of IFUS, ICUS and Opco for trading, clearing and custody related services, respectively.</w:t>
      </w:r>
    </w:p>
    <w:p>
      <w:pPr>
        <w:spacing w:after="0" w:line="180"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5"/>
          <w:szCs w:val="15"/>
          <w:color w:val="auto"/>
        </w:rPr>
        <w:t>With respect to our provision of custody services that are necessary to support the trading and clearing services provided by IFUS and ICUS for the PDF Contracts, our customers are IFUS and ICUS, who are related parties. In this regard, our obligation is to provide a stand-ready custody function that supports the trading and clearing services for the PDF Contracts. our obligation to provide a stand-ready custody function includes related promises such as: (i) the initial onboarding of PDF Contract Traders to the custody warehouse, which represents the commencement of the custody services;</w:t>
      </w:r>
    </w:p>
    <w:p>
      <w:pPr>
        <w:spacing w:after="0" w:line="1" w:lineRule="exact"/>
        <w:rPr>
          <w:sz w:val="20"/>
          <w:szCs w:val="20"/>
          <w:color w:val="auto"/>
        </w:rPr>
      </w:pPr>
    </w:p>
    <w:p>
      <w:pPr>
        <w:jc w:val="both"/>
        <w:ind w:left="380" w:right="80" w:hanging="4"/>
        <w:spacing w:after="0" w:line="286" w:lineRule="auto"/>
        <w:tabs>
          <w:tab w:leader="none" w:pos="632"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ind w:left="380" w:right="520" w:hanging="4"/>
        <w:spacing w:after="0" w:line="265" w:lineRule="auto"/>
        <w:tabs>
          <w:tab w:leader="none" w:pos="670" w:val="left"/>
        </w:tabs>
        <w:numPr>
          <w:ilvl w:val="0"/>
          <w:numId w:val="56"/>
        </w:numPr>
        <w:rPr>
          <w:rFonts w:ascii="Arial" w:cs="Arial" w:eastAsia="Arial" w:hAnsi="Arial"/>
          <w:sz w:val="17"/>
          <w:szCs w:val="17"/>
          <w:color w:val="auto"/>
        </w:rPr>
      </w:pPr>
      <w:r>
        <w:rPr>
          <w:rFonts w:ascii="Arial" w:cs="Arial" w:eastAsia="Arial" w:hAnsi="Arial"/>
          <w:sz w:val="17"/>
          <w:szCs w:val="17"/>
          <w:color w:val="auto"/>
        </w:rPr>
        <w:t>verifying account balances of PDF Contract Traders as their PDF Contracts approach expiration; (v) making transfers between PDF Contract Traders as instructed by</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860"/>
          </w:cols>
          <w:pgMar w:left="320" w:top="471" w:right="71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347" w:lineRule="auto"/>
        <w:rPr>
          <w:sz w:val="20"/>
          <w:szCs w:val="20"/>
          <w:color w:val="auto"/>
        </w:rPr>
      </w:pPr>
      <w:r>
        <w:rPr>
          <w:rFonts w:ascii="Arial" w:cs="Arial" w:eastAsia="Arial" w:hAnsi="Arial"/>
          <w:sz w:val="15"/>
          <w:szCs w:val="15"/>
          <w:color w:val="auto"/>
        </w:rPr>
        <w:t>ICUS when the PDF Contracts reach expiration; and (vi) permitting withdrawals of bitcoin as directed by PDF Contract Traders. In order to fulfill these promises, Opco has incurred significant time and expense to build, establish and maintain a fully licensed, institutional-grade bitcoin custodian.</w:t>
      </w:r>
    </w:p>
    <w:p>
      <w:pPr>
        <w:spacing w:after="0" w:line="119"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While our performance obligation to IFUS and ICUS is comprised of several related promises as described above, we have concluded that we have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We have concluded that the related activities that collectively comprise this single performance obligation are not separately identifiable within the context of the Triparty Agreement, as all are necessary in order for IFUS and ICUS to offer PDF Contracts. The maximum duration of our performance obligation would extend from trade execution through the later of settlement of a PDF Contract or the ultimate withdrawal of physically-delivered bitcoin underlying the PDF Contract. However, in our experience, less than 1% of PDF Contracts go to physical settlement. We determine the obligation period associated with Triparty Agreement revenue using the portfolio method based on our historical transaction experience, as the PDF Contracts have similar characteristics. The average performance obligation period is less than one month based on application of the portfolio method. Therefore, we recognize revenue for the stand-ready custody services that we provide to IFUS and ICUS on a straight-line basis over the average performance obligation period, which is less than one month.</w:t>
      </w:r>
    </w:p>
    <w:p>
      <w:pPr>
        <w:spacing w:after="0" w:line="176" w:lineRule="exact"/>
        <w:rPr>
          <w:sz w:val="20"/>
          <w:szCs w:val="20"/>
          <w:color w:val="auto"/>
        </w:rPr>
      </w:pPr>
    </w:p>
    <w:p>
      <w:pPr>
        <w:ind w:left="380" w:right="160" w:firstLine="420"/>
        <w:spacing w:after="0" w:line="289" w:lineRule="auto"/>
        <w:rPr>
          <w:sz w:val="20"/>
          <w:szCs w:val="20"/>
          <w:color w:val="auto"/>
        </w:rPr>
      </w:pPr>
      <w:r>
        <w:rPr>
          <w:rFonts w:ascii="Arial" w:cs="Arial" w:eastAsia="Arial" w:hAnsi="Arial"/>
          <w:sz w:val="16"/>
          <w:szCs w:val="16"/>
          <w:color w:val="auto"/>
        </w:rPr>
        <w:t>PDF Contract Traders pay a transaction fee for trading and clearing which is collected by ICUS. Per the terms of the Triparty Agreement, IFUS and ICUS pass to us all trading and clearing transaction fees, net of rebates and liquidity payments issued to PDF Contract Traders. We consider the transaction price to be the net transaction fee received from IFUS and ICUS or paid to IFUS and ICUS.</w:t>
      </w:r>
    </w:p>
    <w:p>
      <w:pPr>
        <w:spacing w:after="0" w:line="159"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us. To the extent the rebates issued to PDF Contract Traders exceed the transaction fees collected by IFUS and ICUS, we pay IFUS and ICUS for the difference between the rebate amounts and the collected transaction fees. We do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w:t>
      </w:r>
      <w:r>
        <w:rPr>
          <w:rFonts w:ascii="Arial" w:cs="Arial" w:eastAsia="Arial" w:hAnsi="Arial"/>
          <w:sz w:val="15"/>
          <w:szCs w:val="15"/>
          <w:i w:val="1"/>
          <w:iCs w:val="1"/>
          <w:color w:val="auto"/>
        </w:rPr>
        <w:t>Net revenues</w:t>
      </w:r>
      <w:r>
        <w:rPr>
          <w:rFonts w:ascii="Arial" w:cs="Arial" w:eastAsia="Arial" w:hAnsi="Arial"/>
          <w:sz w:val="15"/>
          <w:szCs w:val="15"/>
          <w:color w:val="auto"/>
        </w:rPr>
        <w:t>” in the accompanying consolidated statements of operations and comprehensive loss. Because these rebates are measured and resolved within the same reporting period, it is not necessary for us to estimate these at a given reporting period date.</w:t>
      </w:r>
    </w:p>
    <w:p>
      <w:pPr>
        <w:spacing w:after="0" w:line="156" w:lineRule="exact"/>
        <w:rPr>
          <w:sz w:val="20"/>
          <w:szCs w:val="20"/>
          <w:color w:val="auto"/>
        </w:rPr>
      </w:pPr>
    </w:p>
    <w:p>
      <w:pPr>
        <w:ind w:left="380" w:right="420" w:firstLine="420"/>
        <w:spacing w:after="0" w:line="278" w:lineRule="auto"/>
        <w:rPr>
          <w:sz w:val="20"/>
          <w:szCs w:val="20"/>
          <w:color w:val="auto"/>
        </w:rPr>
      </w:pPr>
      <w:r>
        <w:rPr>
          <w:rFonts w:ascii="Arial" w:cs="Arial" w:eastAsia="Arial" w:hAnsi="Arial"/>
          <w:sz w:val="17"/>
          <w:szCs w:val="17"/>
          <w:color w:val="auto"/>
        </w:rPr>
        <w:t>We also recognize a capital contribution for the cost of the trading and clearing services provided by IFUS and ICUS in connection with the Contribution Agreement, which reduces the revenue recognized as part of the net transaction fee.</w:t>
      </w:r>
    </w:p>
    <w:p>
      <w:pPr>
        <w:spacing w:after="0" w:line="165"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Revenue from the Triparty Agreement is included 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in the disaggregation of revenue table within Note 3 of the Unaudited Third Quarter 2021 Financials.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Custody</w:t>
      </w:r>
    </w:p>
    <w:p>
      <w:pPr>
        <w:spacing w:after="0" w:line="11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We provide a bitcoin custody solution institutions and certain high net worth individuals. For PDF Contract Traders with custody accounts related to PDF Contracts, we do not charge a fee specifically for the custody service. For customers using custody services on a standalone basis, we charge a fee, which is generally based on a fixed fee and represents fixed consideration. We invoice customers on a quarterly basis. Our performance obligation related to the storage and custody of a customer’s bitcoin represents an obligation to provide custody services for digital assets. Bitcoin held in a custodial capacity on behalf of our customers is not included in our</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00"/>
          </w:cols>
          <w:pgMar w:left="320" w:top="471" w:right="7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consolidated balance sheet, as we do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9" w:lineRule="exact"/>
        <w:rPr>
          <w:sz w:val="20"/>
          <w:szCs w:val="20"/>
          <w:color w:val="auto"/>
        </w:rPr>
      </w:pPr>
    </w:p>
    <w:p>
      <w:pPr>
        <w:jc w:val="both"/>
        <w:ind w:left="380" w:right="180" w:firstLine="42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w:t>
      </w:r>
      <w:r>
        <w:rPr>
          <w:rFonts w:ascii="Arial" w:cs="Arial" w:eastAsia="Arial" w:hAnsi="Arial"/>
          <w:sz w:val="16"/>
          <w:szCs w:val="16"/>
          <w:i w:val="1"/>
          <w:iCs w:val="1"/>
          <w:color w:val="auto"/>
        </w:rPr>
        <w:t>Net revenues</w:t>
      </w:r>
      <w:r>
        <w:rPr>
          <w:rFonts w:ascii="Arial" w:cs="Arial" w:eastAsia="Arial" w:hAnsi="Arial"/>
          <w:sz w:val="16"/>
          <w:szCs w:val="16"/>
          <w:color w:val="auto"/>
        </w:rPr>
        <w:t>” in the consolidated statements of operations and comprehensive loss.</w:t>
      </w:r>
    </w:p>
    <w:p>
      <w:pPr>
        <w:spacing w:after="0" w:line="159"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Revenue from our custody services is included in “</w:t>
      </w:r>
      <w:r>
        <w:rPr>
          <w:rFonts w:ascii="Arial" w:cs="Arial" w:eastAsia="Arial" w:hAnsi="Arial"/>
          <w:sz w:val="17"/>
          <w:szCs w:val="17"/>
          <w:i w:val="1"/>
          <w:iCs w:val="1"/>
          <w:color w:val="auto"/>
        </w:rPr>
        <w:t>Subscription and services revenue</w:t>
      </w:r>
      <w:r>
        <w:rPr>
          <w:rFonts w:ascii="Arial" w:cs="Arial" w:eastAsia="Arial" w:hAnsi="Arial"/>
          <w:sz w:val="17"/>
          <w:szCs w:val="17"/>
          <w:color w:val="auto"/>
        </w:rPr>
        <w:t>” in the disaggregation of revenue table within Note 3 of the Unaudited Third Quarter 2021 Financials..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redemption platform</w:t>
      </w:r>
    </w:p>
    <w:p>
      <w:pPr>
        <w:spacing w:after="0" w:line="113"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 related to our loyalty redemption platform consist of two performance obligations: (1) access to our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w:t>
      </w:r>
      <w:r>
        <w:rPr>
          <w:rFonts w:ascii="Arial" w:cs="Arial" w:eastAsia="Arial" w:hAnsi="Arial"/>
          <w:sz w:val="15"/>
          <w:szCs w:val="15"/>
          <w:i w:val="1"/>
          <w:iCs w:val="1"/>
          <w:color w:val="auto"/>
        </w:rPr>
        <w:t>Net revenues</w:t>
      </w:r>
      <w:r>
        <w:rPr>
          <w:rFonts w:ascii="Arial" w:cs="Arial" w:eastAsia="Arial" w:hAnsi="Arial"/>
          <w:sz w:val="15"/>
          <w:szCs w:val="15"/>
          <w:color w:val="auto"/>
        </w:rPr>
        <w:t>” in the accompanying consolidated statements of operations and comprehensive loss and include the following:</w:t>
      </w:r>
    </w:p>
    <w:p>
      <w:pPr>
        <w:spacing w:after="0" w:line="66" w:lineRule="exact"/>
        <w:rPr>
          <w:sz w:val="20"/>
          <w:szCs w:val="20"/>
          <w:color w:val="auto"/>
        </w:rPr>
      </w:pPr>
    </w:p>
    <w:p>
      <w:pPr>
        <w:ind w:left="1300" w:right="80" w:hanging="410"/>
        <w:spacing w:after="0" w:line="261"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88" w:lineRule="exact"/>
        <w:rPr>
          <w:rFonts w:ascii="Arial" w:cs="Arial" w:eastAsia="Arial" w:hAnsi="Arial"/>
          <w:sz w:val="17"/>
          <w:szCs w:val="17"/>
          <w:color w:val="auto"/>
        </w:rPr>
      </w:pPr>
    </w:p>
    <w:p>
      <w:pPr>
        <w:ind w:left="1300" w:right="60" w:hanging="410"/>
        <w:spacing w:after="0" w:line="289"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1300" w:right="180" w:hanging="410"/>
        <w:spacing w:after="0" w:line="265"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w:t>
      </w:r>
    </w:p>
    <w:p>
      <w:pPr>
        <w:spacing w:after="0" w:line="85" w:lineRule="exact"/>
        <w:rPr>
          <w:rFonts w:ascii="Arial" w:cs="Arial" w:eastAsia="Arial" w:hAnsi="Arial"/>
          <w:sz w:val="17"/>
          <w:szCs w:val="17"/>
          <w:color w:val="auto"/>
        </w:rPr>
      </w:pPr>
    </w:p>
    <w:p>
      <w:pPr>
        <w:ind w:left="1300" w:right="20" w:hanging="410"/>
        <w:spacing w:after="0" w:line="277"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w:t>
      </w:r>
    </w:p>
    <w:p>
      <w:pPr>
        <w:spacing w:after="0" w:line="167" w:lineRule="exact"/>
        <w:rPr>
          <w:sz w:val="20"/>
          <w:szCs w:val="20"/>
          <w:color w:val="auto"/>
        </w:rPr>
      </w:pPr>
    </w:p>
    <w:p>
      <w:pPr>
        <w:ind w:left="380" w:right="740" w:firstLine="420"/>
        <w:spacing w:after="0" w:line="278" w:lineRule="auto"/>
        <w:rPr>
          <w:sz w:val="20"/>
          <w:szCs w:val="20"/>
          <w:color w:val="auto"/>
        </w:rPr>
      </w:pPr>
      <w:r>
        <w:rPr>
          <w:rFonts w:ascii="Arial" w:cs="Arial" w:eastAsia="Arial" w:hAnsi="Arial"/>
          <w:sz w:val="17"/>
          <w:szCs w:val="17"/>
          <w:color w:val="auto"/>
        </w:rPr>
        <w:t>Revenue from our loyalty redemption platform is included 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and “</w:t>
      </w:r>
      <w:r>
        <w:rPr>
          <w:rFonts w:ascii="Arial" w:cs="Arial" w:eastAsia="Arial" w:hAnsi="Arial"/>
          <w:sz w:val="17"/>
          <w:szCs w:val="17"/>
          <w:i w:val="1"/>
          <w:iCs w:val="1"/>
          <w:color w:val="auto"/>
        </w:rPr>
        <w:t>Subscription and services revenue</w:t>
      </w:r>
      <w:r>
        <w:rPr>
          <w:rFonts w:ascii="Arial" w:cs="Arial" w:eastAsia="Arial" w:hAnsi="Arial"/>
          <w:sz w:val="17"/>
          <w:szCs w:val="17"/>
          <w:color w:val="auto"/>
        </w:rPr>
        <w:t>” in the disaggregation of revenue table in Note 3 of the Unaudited Third Quarter 2021 Financials.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60"/>
          </w:cols>
          <w:pgMar w:left="320" w:top="471" w:right="71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Strategic Alliance Agreement</w:t>
      </w:r>
    </w:p>
    <w:p>
      <w:pPr>
        <w:spacing w:after="0" w:line="107" w:lineRule="exact"/>
        <w:rPr>
          <w:sz w:val="20"/>
          <w:szCs w:val="20"/>
          <w:color w:val="auto"/>
        </w:rPr>
      </w:pPr>
    </w:p>
    <w:p>
      <w:pPr>
        <w:ind w:left="380" w:firstLine="420"/>
        <w:spacing w:after="0" w:line="269" w:lineRule="auto"/>
        <w:rPr>
          <w:sz w:val="20"/>
          <w:szCs w:val="20"/>
          <w:color w:val="auto"/>
        </w:rPr>
      </w:pPr>
      <w:r>
        <w:rPr>
          <w:rFonts w:ascii="Arial" w:cs="Arial" w:eastAsia="Arial" w:hAnsi="Arial"/>
          <w:sz w:val="17"/>
          <w:szCs w:val="17"/>
          <w:color w:val="auto"/>
        </w:rPr>
        <w:t>In February 2020, we entered into a Strategic Alliance Agreement (the “</w:t>
      </w:r>
      <w:r>
        <w:rPr>
          <w:rFonts w:ascii="Arial" w:cs="Arial" w:eastAsia="Arial" w:hAnsi="Arial"/>
          <w:sz w:val="17"/>
          <w:szCs w:val="17"/>
          <w:b w:val="1"/>
          <w:bCs w:val="1"/>
          <w:color w:val="auto"/>
        </w:rPr>
        <w:t>Strategic Alliance Agreement</w:t>
      </w:r>
      <w:r>
        <w:rPr>
          <w:rFonts w:ascii="Arial" w:cs="Arial" w:eastAsia="Arial" w:hAnsi="Arial"/>
          <w:sz w:val="17"/>
          <w:szCs w:val="17"/>
          <w:color w:val="auto"/>
        </w:rPr>
        <w:t>”) with Starbucks to develop and operate a mechanism whereby a Starbucks customer can purchase food and beverage items from Starbucks using our digital wallet related to our alternative payment method offering.</w:t>
      </w:r>
    </w:p>
    <w:p>
      <w:pPr>
        <w:spacing w:after="0" w:line="172"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 xml:space="preserve">In conjunction with this agreement, we issued Starbucks a warrant to purchase 15 million Class B voting units in Opco. We account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We recognize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w:t>
      </w:r>
      <w:r>
        <w:rPr>
          <w:rFonts w:ascii="Arial" w:cs="Arial" w:eastAsia="Arial" w:hAnsi="Arial"/>
          <w:sz w:val="17"/>
          <w:szCs w:val="17"/>
          <w:i w:val="1"/>
          <w:iCs w:val="1"/>
          <w:color w:val="auto"/>
        </w:rPr>
        <w:t>Net revenues</w:t>
      </w:r>
      <w:r>
        <w:rPr>
          <w:rFonts w:ascii="Arial" w:cs="Arial" w:eastAsia="Arial" w:hAnsi="Arial"/>
          <w:sz w:val="17"/>
          <w:szCs w:val="17"/>
          <w:color w:val="auto"/>
        </w:rPr>
        <w:t>” in the accompanying consolidated statements of operations and comprehensive loss. These reductions to revenue are included within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in the disaggregation of revenue table in Note 3 of the Unaudited Third Quarter 2021 Financials.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Sale of cryptocurrency</w:t>
      </w:r>
    </w:p>
    <w:p>
      <w:pPr>
        <w:spacing w:after="0" w:line="113" w:lineRule="exact"/>
        <w:rPr>
          <w:sz w:val="20"/>
          <w:szCs w:val="20"/>
          <w:color w:val="auto"/>
        </w:rPr>
      </w:pPr>
    </w:p>
    <w:p>
      <w:pPr>
        <w:ind w:left="380" w:right="280" w:firstLine="420"/>
        <w:spacing w:after="0" w:line="265" w:lineRule="auto"/>
        <w:rPr>
          <w:sz w:val="20"/>
          <w:szCs w:val="20"/>
          <w:color w:val="auto"/>
        </w:rPr>
      </w:pPr>
      <w:r>
        <w:rPr>
          <w:rFonts w:ascii="Arial" w:cs="Arial" w:eastAsia="Arial" w:hAnsi="Arial"/>
          <w:sz w:val="17"/>
          <w:szCs w:val="17"/>
          <w:color w:val="auto"/>
        </w:rPr>
        <w:t>As part of our operation of the Bakkt Marketplace platform, we transact in bitcoin with consumers. Consumer bitcoin transactions were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Additionally, as part of the Company’s operation of the Bakkt Marketplace platform, we transact in bitcoin with our trading partners in order to adjust our bitcoin inventory based on actual consumer activity to maintain an inventory based on our inventory policy. Transactions in bitcoin with our trading partners in the normal course of business were not material for the three and nine months ended September 30, 2021. There were no transactions in bitcoin with our trading partners in the normal course of business for the three and nine months ended September 30, 2020.</w:t>
      </w:r>
    </w:p>
    <w:p>
      <w:pPr>
        <w:spacing w:after="0" w:line="164"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We maintain an inventory reserve of bitcoin to facilitate consumer transactions if needed. We may adjust our inventory reserve levels under our inventory policy. Sales of bitcoin resulting from inventory reserve adjustments is not part of our normal course of business. Accordingly, proceeds from the sale of bitcoin outside of the normal course of business is included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net of the cost of bitcoin sold, in the consolidated statements of operation and comprehensive loss.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Practical expedients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1300" w:hanging="410"/>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1300" w:right="480" w:hanging="410"/>
        <w:spacing w:after="0" w:line="278"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1300" w:right="240" w:hanging="410"/>
        <w:spacing w:after="0" w:line="289"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20"/>
          </w:cols>
          <w:pgMar w:left="320" w:top="471" w:right="7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640" w:firstLine="420"/>
        <w:spacing w:after="0" w:line="278" w:lineRule="auto"/>
        <w:rPr>
          <w:sz w:val="20"/>
          <w:szCs w:val="20"/>
          <w:color w:val="auto"/>
        </w:rPr>
      </w:pPr>
      <w:r>
        <w:rPr>
          <w:rFonts w:ascii="Arial" w:cs="Arial" w:eastAsia="Arial" w:hAnsi="Arial"/>
          <w:sz w:val="17"/>
          <w:szCs w:val="17"/>
          <w:color w:val="auto"/>
        </w:rPr>
        <w:t>Deferred revenue includes amounts invoiced prior to our meeting the criteria for revenue recognition. We typically invoice customers for subscription fees in arrears on a monthly basis.</w:t>
      </w:r>
    </w:p>
    <w:p>
      <w:pPr>
        <w:spacing w:after="0" w:line="165" w:lineRule="exact"/>
        <w:rPr>
          <w:sz w:val="20"/>
          <w:szCs w:val="20"/>
          <w:color w:val="auto"/>
        </w:rPr>
      </w:pPr>
    </w:p>
    <w:p>
      <w:pPr>
        <w:jc w:val="both"/>
        <w:ind w:left="380" w:right="260" w:firstLine="420"/>
        <w:spacing w:after="0" w:line="261" w:lineRule="auto"/>
        <w:rPr>
          <w:sz w:val="20"/>
          <w:szCs w:val="20"/>
          <w:color w:val="auto"/>
        </w:rPr>
      </w:pPr>
      <w:r>
        <w:rPr>
          <w:rFonts w:ascii="Arial" w:cs="Arial" w:eastAsia="Arial" w:hAnsi="Arial"/>
          <w:sz w:val="17"/>
          <w:szCs w:val="17"/>
          <w:color w:val="auto"/>
        </w:rPr>
        <w:t>We invoice customers for service fees at the time the service is performed, and such fees are recognized as revenue over time as we satisfy our performance obligation. The portion of deferred revenue to be recognized in the succeeding twelve-month period is recorded as non-current deferred revenue, and the remaining portion is recorded as current deferred revenue. We have determined that these arrangements do not contain a significant financing component, and therefore the transaction price is not adjusted.</w:t>
      </w:r>
    </w:p>
    <w:p>
      <w:pPr>
        <w:spacing w:after="0" w:line="179" w:lineRule="exact"/>
        <w:rPr>
          <w:sz w:val="20"/>
          <w:szCs w:val="20"/>
          <w:color w:val="auto"/>
        </w:rPr>
      </w:pPr>
    </w:p>
    <w:p>
      <w:pPr>
        <w:ind w:left="380" w:right="80" w:firstLine="42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140"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The amount of revenue recognized for the year ended December 31, 2020 from the opening deferred revenue balance as of the date of acquisition of Bridge2 Solutions was $11,005,000. We did not have any deferred revenue as of December 31, 2019.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Property, Equipment and Software, Net</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Property, equipment and software are stated at cost, less accumulated depreciation and amortization.</w:t>
      </w:r>
    </w:p>
    <w:p>
      <w:pPr>
        <w:spacing w:after="0" w:line="216" w:lineRule="exact"/>
        <w:rPr>
          <w:sz w:val="20"/>
          <w:szCs w:val="20"/>
          <w:color w:val="auto"/>
        </w:rPr>
      </w:pPr>
    </w:p>
    <w:p>
      <w:pPr>
        <w:jc w:val="both"/>
        <w:ind w:left="380" w:right="140" w:firstLine="420"/>
        <w:spacing w:after="0" w:line="289" w:lineRule="auto"/>
        <w:rPr>
          <w:sz w:val="20"/>
          <w:szCs w:val="20"/>
          <w:color w:val="auto"/>
        </w:rPr>
      </w:pPr>
      <w:r>
        <w:rPr>
          <w:rFonts w:ascii="Arial" w:cs="Arial" w:eastAsia="Arial" w:hAnsi="Arial"/>
          <w:sz w:val="16"/>
          <w:szCs w:val="16"/>
          <w:color w:val="auto"/>
        </w:rPr>
        <w:t>We capitalize costs related to software we develop or obtain for internal use and are included in “</w:t>
      </w:r>
      <w:r>
        <w:rPr>
          <w:rFonts w:ascii="Arial" w:cs="Arial" w:eastAsia="Arial" w:hAnsi="Arial"/>
          <w:sz w:val="16"/>
          <w:szCs w:val="16"/>
          <w:i w:val="1"/>
          <w:iCs w:val="1"/>
          <w:color w:val="auto"/>
        </w:rPr>
        <w:t>Property, equipment and software, net</w:t>
      </w:r>
      <w:r>
        <w:rPr>
          <w:rFonts w:ascii="Arial" w:cs="Arial" w:eastAsia="Arial" w:hAnsi="Arial"/>
          <w:sz w:val="16"/>
          <w:szCs w:val="16"/>
          <w:color w:val="auto"/>
        </w:rPr>
        <w:t>” on the accompanying balance sheet.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Depreciation and amortization are computed using the straight-line method over the following estimated useful lives of assets:</w:t>
      </w:r>
    </w:p>
    <w:p>
      <w:pPr>
        <w:spacing w:after="0" w:line="212"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Estimated Useful</w:t>
            </w:r>
          </w:p>
        </w:tc>
      </w:tr>
      <w:tr>
        <w:trPr>
          <w:trHeight w:val="164"/>
        </w:trPr>
        <w:tc>
          <w:tcPr>
            <w:tcW w:w="608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Life</w:t>
            </w:r>
          </w:p>
        </w:tc>
      </w:tr>
      <w:tr>
        <w:trPr>
          <w:trHeight w:val="19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years</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Purchased software</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 years</w:t>
            </w: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Assets under finance lease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 years</w:t>
            </w: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7-10 years</w:t>
            </w: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 years</w:t>
            </w:r>
          </w:p>
        </w:tc>
      </w:tr>
      <w:tr>
        <w:trPr>
          <w:trHeight w:val="217"/>
        </w:trPr>
        <w:tc>
          <w:tcPr>
            <w:tcW w:w="608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 years</w:t>
            </w:r>
          </w:p>
        </w:tc>
      </w:tr>
    </w:tbl>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Impairment of Long-Lived Assets</w:t>
      </w:r>
    </w:p>
    <w:p>
      <w:pPr>
        <w:spacing w:after="0" w:line="119"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did not record any impairment charges for the three and nine months ended September 30, 2021. We recorded $2.5 million impairment charges and $3.8 million related to long-lived assets for the three and nine months ended September 30, 2020, respectively. We recorded impairment charges of $15.3 million and no impairment charges related to long-lived assets for the years ended December 31, 2020 and December 31, 2019, respectively.</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840"/>
          </w:cols>
          <w:pgMar w:left="320" w:top="471" w:right="7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Unit-Based Compensation</w:t>
      </w:r>
    </w:p>
    <w:p>
      <w:pPr>
        <w:spacing w:after="0" w:line="113" w:lineRule="exact"/>
        <w:rPr>
          <w:sz w:val="20"/>
          <w:szCs w:val="20"/>
          <w:color w:val="auto"/>
        </w:rPr>
      </w:pPr>
    </w:p>
    <w:p>
      <w:pPr>
        <w:ind w:left="380" w:right="20" w:firstLine="420"/>
        <w:spacing w:after="0" w:line="285" w:lineRule="auto"/>
        <w:rPr>
          <w:sz w:val="20"/>
          <w:szCs w:val="20"/>
          <w:color w:val="auto"/>
        </w:rPr>
      </w:pPr>
      <w:r>
        <w:rPr>
          <w:rFonts w:ascii="Arial" w:cs="Arial" w:eastAsia="Arial" w:hAnsi="Arial"/>
          <w:sz w:val="16"/>
          <w:szCs w:val="16"/>
          <w:color w:val="auto"/>
        </w:rPr>
        <w:t>Share-based payments to employees, which consist of incentive units and phantom units (“</w:t>
      </w:r>
      <w:r>
        <w:rPr>
          <w:rFonts w:ascii="Arial" w:cs="Arial" w:eastAsia="Arial" w:hAnsi="Arial"/>
          <w:sz w:val="16"/>
          <w:szCs w:val="16"/>
          <w:b w:val="1"/>
          <w:bCs w:val="1"/>
          <w:color w:val="auto"/>
        </w:rPr>
        <w:t>participation units</w:t>
      </w:r>
      <w:r>
        <w:rPr>
          <w:rFonts w:ascii="Arial" w:cs="Arial" w:eastAsia="Arial" w:hAnsi="Arial"/>
          <w:sz w:val="16"/>
          <w:szCs w:val="16"/>
          <w:color w:val="auto"/>
        </w:rPr>
        <w:t>”), are measured at fair value on the date of grant and recognized as expense in “</w:t>
      </w:r>
      <w:r>
        <w:rPr>
          <w:rFonts w:ascii="Arial" w:cs="Arial" w:eastAsia="Arial" w:hAnsi="Arial"/>
          <w:sz w:val="16"/>
          <w:szCs w:val="16"/>
          <w:i w:val="1"/>
          <w:iCs w:val="1"/>
          <w:color w:val="auto"/>
        </w:rPr>
        <w:t>Compensation and benefits</w:t>
      </w:r>
      <w:r>
        <w:rPr>
          <w:rFonts w:ascii="Arial" w:cs="Arial" w:eastAsia="Arial" w:hAnsi="Arial"/>
          <w:sz w:val="16"/>
          <w:szCs w:val="16"/>
          <w:color w:val="auto"/>
        </w:rPr>
        <w:t>”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w:t>
      </w:r>
    </w:p>
    <w:p>
      <w:pPr>
        <w:spacing w:after="0" w:line="161"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Bakkt Plan and individual award agreements. A portion of the units may be subject to vesting upon a liquidity event, initial public offering, or partial exit event, as defined in the Bakkt Plan, or to the extent any incentive units and participation units remain outstanding and unvested on the date that is the eight-year anniversary of the launch of one of our services in a production environment, which occurred on September 23, 2019, these remaining units will vest based on the calculated fair market value, as defined in the Opco LLC Agreement, as of such date.</w:t>
      </w:r>
    </w:p>
    <w:p>
      <w:pPr>
        <w:spacing w:after="0" w:line="181"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The incentive units include certain put features; as such, we classify the incentive units as “</w:t>
      </w:r>
      <w:r>
        <w:rPr>
          <w:rFonts w:ascii="Arial" w:cs="Arial" w:eastAsia="Arial" w:hAnsi="Arial"/>
          <w:sz w:val="17"/>
          <w:szCs w:val="17"/>
          <w:i w:val="1"/>
          <w:iCs w:val="1"/>
          <w:color w:val="auto"/>
        </w:rPr>
        <w:t>Mezzanine equity</w:t>
      </w:r>
      <w:r>
        <w:rPr>
          <w:rFonts w:ascii="Arial" w:cs="Arial" w:eastAsia="Arial" w:hAnsi="Arial"/>
          <w:sz w:val="17"/>
          <w:szCs w:val="17"/>
          <w:color w:val="auto"/>
        </w:rPr>
        <w:t>” in the accompanying consolidated balance sheets due to the put option which represents a redemption feature. The incentive units will not be subject to remeasurement until exercise of the put option becomes probable.</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right="220" w:firstLine="42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We base our estimates and assumptions on various judgments that we believe to be reasonable under the circumstances. The significant estimates and assumptions that affect our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our consolidated financial statements.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Recently issued and adopted accounting pronouncements are described in Note 2 to the Unaudited Third Quarter 2021 Financials and the Audited</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2020 Financials.</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60"/>
          </w:cols>
          <w:pgMar w:left="320" w:top="471" w:right="71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OF VPC IMPACT ACQUISITION HOLDINGS</w:t>
      </w:r>
    </w:p>
    <w:p>
      <w:pPr>
        <w:spacing w:after="0" w:line="205" w:lineRule="exact"/>
        <w:rPr>
          <w:sz w:val="20"/>
          <w:szCs w:val="20"/>
          <w:color w:val="auto"/>
        </w:rPr>
      </w:pPr>
    </w:p>
    <w:p>
      <w:pPr>
        <w:ind w:left="380" w:right="80" w:firstLine="420"/>
        <w:spacing w:after="0" w:line="255" w:lineRule="auto"/>
        <w:rPr>
          <w:sz w:val="20"/>
          <w:szCs w:val="20"/>
          <w:color w:val="auto"/>
        </w:rPr>
      </w:pPr>
      <w:r>
        <w:rPr>
          <w:rFonts w:ascii="Arial" w:cs="Arial" w:eastAsia="Arial" w:hAnsi="Arial"/>
          <w:sz w:val="17"/>
          <w:szCs w:val="17"/>
          <w:i w:val="1"/>
          <w:iCs w:val="1"/>
          <w:color w:val="auto"/>
        </w:rPr>
        <w:t>References in this section of this prospectus to “we,” “us” or “VIH” and like terms refer to the Company, prior to the consummation of the Business Combination. References to “management” or “management team” refer to VIH’s officers and directors, and references to the “Sponsor” refer to VPC Impact Acquisition Holdings Sponsor, LLC. You should read the following discussion and analysis of VIH’s financial condition and results of operations together with Bakkt Holdings, Inc. historical consolidated financial statements and the unaudited pro forma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Until the consummation of the Business Combination, VIH was a blank check company. VIH was originally incorporated on July 31, 2020 as a Cayman Islands exempted company for the purpose of effecting a business combination.</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 Developments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Restatement of Financial Statements</w:t>
      </w:r>
    </w:p>
    <w:p>
      <w:pPr>
        <w:spacing w:after="0" w:line="113" w:lineRule="exact"/>
        <w:rPr>
          <w:sz w:val="20"/>
          <w:szCs w:val="20"/>
          <w:color w:val="auto"/>
        </w:rPr>
      </w:pPr>
    </w:p>
    <w:p>
      <w:pPr>
        <w:ind w:left="380" w:right="40" w:firstLine="420"/>
        <w:spacing w:after="0" w:line="291" w:lineRule="auto"/>
        <w:rPr>
          <w:sz w:val="20"/>
          <w:szCs w:val="20"/>
          <w:color w:val="auto"/>
        </w:rPr>
      </w:pPr>
      <w:r>
        <w:rPr>
          <w:rFonts w:ascii="Arial" w:cs="Arial" w:eastAsia="Arial" w:hAnsi="Arial"/>
          <w:sz w:val="15"/>
          <w:szCs w:val="15"/>
          <w:color w:val="auto"/>
        </w:rPr>
        <w:t>Bakkt Holdings, Inc.’s management (“</w:t>
      </w:r>
      <w:r>
        <w:rPr>
          <w:rFonts w:ascii="Arial" w:cs="Arial" w:eastAsia="Arial" w:hAnsi="Arial"/>
          <w:sz w:val="15"/>
          <w:szCs w:val="15"/>
          <w:b w:val="1"/>
          <w:bCs w:val="1"/>
          <w:i w:val="1"/>
          <w:iCs w:val="1"/>
          <w:color w:val="auto"/>
        </w:rPr>
        <w:t>Management</w:t>
      </w:r>
      <w:r>
        <w:rPr>
          <w:rFonts w:ascii="Arial" w:cs="Arial" w:eastAsia="Arial" w:hAnsi="Arial"/>
          <w:sz w:val="15"/>
          <w:szCs w:val="15"/>
          <w:color w:val="auto"/>
        </w:rPr>
        <w:t>”) identified errors made in VIH’s historical financial statements where, at the closing of the IPO, VIH improperly valued the Class A Ordinary Shares subject to possible redemption. VIH previously determined the Class A Ordinary Shares subject to possible redemption to be equal to the redemption value of $10.00 per Class A Ordinary Share, while also taking into consideration a redemption cannot result in net tangible assets being less than $5,000,001. Management determined that the Class A Ordinary Shares issued during the IPO can be redeemed or become redeemable subject to the occurrence of future events considered outside of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noted a reclassification error related to temporary equity and permanent equity. This resulted in a restatement to the initial carrying value of the Class A Ordinary Shares subject to possible redemption with the offset recorded to additional paid-in capital (to the extent available), accumulated deficit and Class A Ordinary Shares. Further, due to change in presentation for the Class A Ordinary Shares subject to redemption, the Company also revised its earnings per share calculation to allocate net income (loss) evening to Class A Ordinary Shares and Class B Ordinary Shares. This presentation contemplates a Business Combination as the most likely outcome, in which case, both Class A Common Stock and Class B Common Stock share pro rata in the income (loss) of the Company.</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Please see the section titled “</w:t>
      </w:r>
      <w:r>
        <w:rPr>
          <w:rFonts w:ascii="Arial" w:cs="Arial" w:eastAsia="Arial" w:hAnsi="Arial"/>
          <w:sz w:val="17"/>
          <w:szCs w:val="17"/>
          <w:i w:val="1"/>
          <w:iCs w:val="1"/>
          <w:color w:val="auto"/>
        </w:rPr>
        <w:t>Explanatory Note</w:t>
      </w:r>
      <w:r>
        <w:rPr>
          <w:rFonts w:ascii="Arial" w:cs="Arial" w:eastAsia="Arial" w:hAnsi="Arial"/>
          <w:sz w:val="17"/>
          <w:szCs w:val="17"/>
          <w:color w:val="auto"/>
        </w:rPr>
        <w:t>” in this prospectus.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Until the consummation of the Business Combination, we neither engaged in any operations (other than searching for a business combination after the IPO and entering into the Merger Agreement), nor generated any revenues. Our only activities from inception to September 30, 2021 were organizational activities, those necessary to prepare for the IPO and, after the IPO, identifying a target company for a business combination and entering into the Merger Agreement. We generated non-operating income in the form of interest income on marketable securities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60"/>
          </w:cols>
          <w:pgMar w:left="320" w:top="471" w:right="71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780"/>
        <w:spacing w:after="0" w:line="278" w:lineRule="auto"/>
        <w:rPr>
          <w:sz w:val="20"/>
          <w:szCs w:val="20"/>
          <w:color w:val="auto"/>
        </w:rPr>
      </w:pPr>
      <w:r>
        <w:rPr>
          <w:rFonts w:ascii="Arial" w:cs="Arial" w:eastAsia="Arial" w:hAnsi="Arial"/>
          <w:sz w:val="17"/>
          <w:szCs w:val="17"/>
          <w:color w:val="auto"/>
        </w:rPr>
        <w:t>held in the Trust Account. We incurred expenses as a result of being a public company (for legal, financial reporting, accounting and auditing compliance), as well as for due diligence expenses in connection with completing the Business Combination.</w:t>
      </w:r>
    </w:p>
    <w:p>
      <w:pPr>
        <w:spacing w:after="0" w:line="165" w:lineRule="exact"/>
        <w:rPr>
          <w:sz w:val="20"/>
          <w:szCs w:val="20"/>
          <w:color w:val="auto"/>
        </w:rPr>
      </w:pPr>
    </w:p>
    <w:p>
      <w:pPr>
        <w:ind w:left="380" w:right="40" w:firstLine="420"/>
        <w:spacing w:after="0" w:line="311" w:lineRule="auto"/>
        <w:rPr>
          <w:sz w:val="20"/>
          <w:szCs w:val="20"/>
          <w:color w:val="auto"/>
        </w:rPr>
      </w:pPr>
      <w:r>
        <w:rPr>
          <w:rFonts w:ascii="Arial" w:cs="Arial" w:eastAsia="Arial" w:hAnsi="Arial"/>
          <w:sz w:val="16"/>
          <w:szCs w:val="16"/>
          <w:color w:val="auto"/>
        </w:rPr>
        <w:t>For the three months ended September 30, 2021, we had a net loss of $483,148, which consisted of general and administrative cost of $2,241,776, offset by interest earned on investments held in the Trust Account of $2,669 and change in fair value of warrant liability of $1,755,959.</w:t>
      </w:r>
    </w:p>
    <w:p>
      <w:pPr>
        <w:spacing w:after="0" w:line="141"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For the nine months ended September 30, 2021, we had a net loss of $12,885,106, which consisted of changes in fair value of warrant liability of $7,086,905 and general and administrative cost of $5,822,575, offset by other income of $4,476 and interest earned on investment held in the Trust Account of $19,898.</w:t>
      </w:r>
    </w:p>
    <w:p>
      <w:pPr>
        <w:spacing w:after="0" w:line="176" w:lineRule="exact"/>
        <w:rPr>
          <w:sz w:val="20"/>
          <w:szCs w:val="20"/>
          <w:color w:val="auto"/>
        </w:rPr>
      </w:pPr>
    </w:p>
    <w:p>
      <w:pPr>
        <w:ind w:left="380" w:right="80" w:firstLine="420"/>
        <w:spacing w:after="0" w:line="265" w:lineRule="auto"/>
        <w:rPr>
          <w:sz w:val="20"/>
          <w:szCs w:val="20"/>
          <w:color w:val="auto"/>
        </w:rPr>
      </w:pPr>
      <w:r>
        <w:rPr>
          <w:rFonts w:ascii="Arial" w:cs="Arial" w:eastAsia="Arial" w:hAnsi="Arial"/>
          <w:sz w:val="17"/>
          <w:szCs w:val="17"/>
          <w:color w:val="auto"/>
        </w:rPr>
        <w:t>For the period from July 31, 2020 (inception) through September 30, 2020, we had net loss of $3,032,369, which consisted of formation and operating expenses of $2,932,533 and a change in the fair value of warrant liabilities of $100,000, offset by interest earned on investments held in Trust Account of $164.</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left="380" w:right="400" w:firstLine="420"/>
        <w:spacing w:after="0" w:line="278" w:lineRule="auto"/>
        <w:rPr>
          <w:sz w:val="20"/>
          <w:szCs w:val="20"/>
          <w:color w:val="auto"/>
        </w:rPr>
      </w:pPr>
      <w:r>
        <w:rPr>
          <w:rFonts w:ascii="Arial" w:cs="Arial" w:eastAsia="Arial" w:hAnsi="Arial"/>
          <w:sz w:val="17"/>
          <w:szCs w:val="17"/>
          <w:color w:val="auto"/>
        </w:rPr>
        <w:t>Until the consummation of the IPO, our only source of liquidity was an initial purchase of ordinary shares by the Sponsor and loans from the Sponsor.</w:t>
      </w:r>
    </w:p>
    <w:p>
      <w:pPr>
        <w:spacing w:after="0" w:line="165"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On September 25, 2020, we consummated the IPO of 20,000,000 Units, at a price of $10.00 per Unit, generating gross proceeds of $200,000,000. Simultaneously with the closing of the IPO, we consummated the sale of the Private Placement Warrants to the Sponsor at a price of $1.00 per Private Placement Warrant generating gross proceeds of $6,000,000.</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Following the IPO and the sale of the Private Placement Warrants, a total of $200,000,000 was placed in the Trust Account, and we had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$1,205,178 of cash held outside of the Trust Account, after payment of costs related to the IPO, and available for working capital purposes. We incurred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$11,906,606 in transaction costs, including $4,147,440 of underwriting fees, $7,258,021 of deferred underwriting fees and $501,146 of other offering</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costs.</w:t>
      </w:r>
    </w:p>
    <w:p>
      <w:pPr>
        <w:spacing w:after="0" w:line="205" w:lineRule="exact"/>
        <w:rPr>
          <w:sz w:val="20"/>
          <w:szCs w:val="20"/>
          <w:color w:val="auto"/>
        </w:rPr>
      </w:pPr>
    </w:p>
    <w:p>
      <w:pPr>
        <w:jc w:val="both"/>
        <w:ind w:left="380" w:right="40" w:firstLine="420"/>
        <w:spacing w:after="0" w:line="317" w:lineRule="auto"/>
        <w:rPr>
          <w:sz w:val="20"/>
          <w:szCs w:val="20"/>
          <w:color w:val="auto"/>
        </w:rPr>
      </w:pPr>
      <w:r>
        <w:rPr>
          <w:rFonts w:ascii="Arial" w:cs="Arial" w:eastAsia="Arial" w:hAnsi="Arial"/>
          <w:sz w:val="15"/>
          <w:szCs w:val="15"/>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0"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For the nine months ended September 30, 2021, net cash used in operating activities was $469,036, which consisted of our net loss of $12,885,106 affected by interest earned on investments of $19,898, changes in fair value of warrant liability of $7,086,905 and changes in operating assets and liabilities, which provided $5,349,063 of cash from operating activities.</w:t>
      </w:r>
    </w:p>
    <w:p>
      <w:pPr>
        <w:spacing w:after="0" w:line="176" w:lineRule="exact"/>
        <w:rPr>
          <w:sz w:val="20"/>
          <w:szCs w:val="20"/>
          <w:color w:val="auto"/>
        </w:rPr>
      </w:pPr>
    </w:p>
    <w:p>
      <w:pPr>
        <w:ind w:left="380" w:right="60" w:firstLine="420"/>
        <w:spacing w:after="0" w:line="282" w:lineRule="auto"/>
        <w:rPr>
          <w:sz w:val="20"/>
          <w:szCs w:val="20"/>
          <w:color w:val="auto"/>
        </w:rPr>
      </w:pPr>
      <w:r>
        <w:rPr>
          <w:rFonts w:ascii="Arial" w:cs="Arial" w:eastAsia="Arial" w:hAnsi="Arial"/>
          <w:sz w:val="16"/>
          <w:szCs w:val="16"/>
          <w:color w:val="auto"/>
        </w:rPr>
        <w:t>For the period from July 31, 2020 (inception) through September 30, 2020, net cash used in operating activities was $289,300, which consisted of our net loss of $17,379, interest earned on investments of $164, formation expenses paid by the Sponsor of $6,606, a change in the fair value of warrant liabilities of $100,000, compensation expenses related to warrant liabilities of $2,160,000, transaction costs allocable to warrant liabilities of $754,990 and changes in operating assets and liabilities, which used $278,363 of cash from operating activities.</w:t>
      </w:r>
    </w:p>
    <w:p>
      <w:pPr>
        <w:spacing w:after="0" w:line="164" w:lineRule="exact"/>
        <w:rPr>
          <w:sz w:val="20"/>
          <w:szCs w:val="20"/>
          <w:color w:val="auto"/>
        </w:rPr>
      </w:pPr>
    </w:p>
    <w:p>
      <w:pPr>
        <w:ind w:left="380" w:right="320" w:firstLine="420"/>
        <w:spacing w:after="0" w:line="289" w:lineRule="auto"/>
        <w:rPr>
          <w:sz w:val="20"/>
          <w:szCs w:val="20"/>
          <w:color w:val="auto"/>
        </w:rPr>
      </w:pPr>
      <w:r>
        <w:rPr>
          <w:rFonts w:ascii="Arial" w:cs="Arial" w:eastAsia="Arial" w:hAnsi="Arial"/>
          <w:sz w:val="16"/>
          <w:szCs w:val="16"/>
          <w:color w:val="auto"/>
        </w:rPr>
        <w:t>At September 30, 2021, we had investments held in the Trust Account of $207,396,111. As at September 30, 2021, we intended to use substantially all of the funds held in the Trust Account, including any amounts representing interest earned on the Trust Account, which interest was expected to be net of taxes payable and excluding deferred underwriting commissions, to complete a business combination.</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 September 30, 2021, we had cash of $708,642 held outside of the Trust Account.</w:t>
      </w:r>
    </w:p>
    <w:p>
      <w:pPr>
        <w:spacing w:after="0" w:line="15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60"/>
          </w:cols>
          <w:pgMar w:left="320" w:top="471" w:right="71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Off-Balance Sheet Financing Arrangements</w:t>
      </w:r>
    </w:p>
    <w:p>
      <w:pPr>
        <w:spacing w:after="0" w:line="119" w:lineRule="exact"/>
        <w:rPr>
          <w:sz w:val="20"/>
          <w:szCs w:val="20"/>
          <w:color w:val="auto"/>
        </w:rPr>
      </w:pPr>
    </w:p>
    <w:p>
      <w:pPr>
        <w:ind w:left="380" w:right="220" w:firstLine="420"/>
        <w:spacing w:after="0" w:line="259" w:lineRule="auto"/>
        <w:rPr>
          <w:sz w:val="20"/>
          <w:szCs w:val="20"/>
          <w:color w:val="auto"/>
        </w:rPr>
      </w:pPr>
      <w:r>
        <w:rPr>
          <w:rFonts w:ascii="Arial" w:cs="Arial" w:eastAsia="Arial" w:hAnsi="Arial"/>
          <w:sz w:val="17"/>
          <w:szCs w:val="17"/>
          <w:color w:val="auto"/>
        </w:rPr>
        <w:t>We had no obligations, assets or liabilities, which would be considered off-balance sheet arrangements as of September 30, 2021. We did not participate in transactions that create relationships with unconsolidated entities or financial partnerships, often referred to as variable interest entities, which would have been established for the purpose of facilitating off-balance sheet arrangements. As of September 30, 2021, we had not entered into any off-balance sheet financing arrangements, established any special purpose entities, guaranteed any debt or commitments of other entities, or purchased any non-financial assets.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Derivative Warrant Liability</w:t>
      </w:r>
    </w:p>
    <w:p>
      <w:pPr>
        <w:spacing w:after="0" w:line="119" w:lineRule="exact"/>
        <w:rPr>
          <w:sz w:val="20"/>
          <w:szCs w:val="20"/>
          <w:color w:val="auto"/>
        </w:rPr>
      </w:pPr>
    </w:p>
    <w:p>
      <w:pPr>
        <w:ind w:left="380" w:right="60" w:firstLine="420"/>
        <w:spacing w:after="0" w:line="261"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9"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We issued an aggregate of 16,516,041 warrants in connection with the IPO and private placement, which, as a result of the restatement described in Note 2 “Restatement of Previously Issued Financial Statements” to the consolidated financial statements, are recognized as derivative liabilities in accordance with ASC 815-40. Accordingly, we recognize the warrants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our initial public offering and private placement has been estimated using Option Pricing Model simulations at each measurement date.</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Contractual Obligations</w:t>
      </w:r>
    </w:p>
    <w:p>
      <w:pPr>
        <w:spacing w:after="0" w:line="119" w:lineRule="exact"/>
        <w:rPr>
          <w:sz w:val="20"/>
          <w:szCs w:val="20"/>
          <w:color w:val="auto"/>
        </w:rPr>
      </w:pPr>
    </w:p>
    <w:p>
      <w:pPr>
        <w:ind w:left="380" w:right="40" w:firstLine="420"/>
        <w:spacing w:after="0" w:line="317" w:lineRule="auto"/>
        <w:rPr>
          <w:sz w:val="20"/>
          <w:szCs w:val="20"/>
          <w:color w:val="auto"/>
        </w:rPr>
      </w:pPr>
      <w:r>
        <w:rPr>
          <w:rFonts w:ascii="Arial" w:cs="Arial" w:eastAsia="Arial" w:hAnsi="Arial"/>
          <w:sz w:val="15"/>
          <w:szCs w:val="15"/>
          <w:color w:val="auto"/>
        </w:rPr>
        <w:t>As of September 30, 2021, we did not have any long-term debt, capital lease obligations, operating lease obligations or long-term liabilities, other than an agreement to pay the Sponsor a monthly fee of $10,000 for office space, utilities, secretarial and administrative support services, provided to VIH. We began incurring these fees on September 25, 2020, and we incurred such fees until the consummation of the Business Combination.</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11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The underwriters were paid a cash underwriting discount of $0.20 per Unit, or $4,147,440 in the aggregate. In addition, as of September 30, 2021, $0.35 per public share, or approximately $7,258,021 in the aggregate remained payable to the underwriters for deferred underwriting commissions. The deferred fee would become payable to the underwriters from the amounts held in the Trust Account solely in the event that we completed a business combination, subject to the terms of the underwriting agreement.</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Critical Accounting Policies</w:t>
      </w:r>
    </w:p>
    <w:p>
      <w:pPr>
        <w:spacing w:after="0" w:line="119" w:lineRule="exact"/>
        <w:rPr>
          <w:sz w:val="20"/>
          <w:szCs w:val="20"/>
          <w:color w:val="auto"/>
        </w:rPr>
      </w:pPr>
    </w:p>
    <w:p>
      <w:pPr>
        <w:ind w:left="380" w:right="80" w:firstLine="420"/>
        <w:spacing w:after="0" w:line="306" w:lineRule="auto"/>
        <w:rPr>
          <w:sz w:val="20"/>
          <w:szCs w:val="20"/>
          <w:color w:val="auto"/>
        </w:rPr>
      </w:pPr>
      <w:r>
        <w:rPr>
          <w:rFonts w:ascii="Arial" w:cs="Arial" w:eastAsia="Arial" w:hAnsi="Arial"/>
          <w:sz w:val="15"/>
          <w:szCs w:val="15"/>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Warrant Liabilities</w:t>
      </w:r>
    </w:p>
    <w:p>
      <w:pPr>
        <w:spacing w:after="0" w:line="113"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We accounted for the warrants issued in connection with the IPO in accordance with the guidance contained in ASC 815 under which the warrants do not meet the criteria for equity treatment and must be recorded as liabilities. Accordingly, we classified the warrants as liabilities at their fair value and adjusted the warrants to fair</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840"/>
          </w:cols>
          <w:pgMar w:left="320" w:top="471" w:right="7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61" w:lineRule="auto"/>
        <w:rPr>
          <w:sz w:val="20"/>
          <w:szCs w:val="20"/>
          <w:color w:val="auto"/>
        </w:rPr>
      </w:pPr>
      <w:r>
        <w:rPr>
          <w:rFonts w:ascii="Arial" w:cs="Arial" w:eastAsia="Arial" w:hAnsi="Arial"/>
          <w:sz w:val="17"/>
          <w:szCs w:val="17"/>
          <w:color w:val="auto"/>
        </w:rPr>
        <w:t>value at each reporting period. This liability was subject to re-measurement at each balance sheet date until exercised, and any change in fair value was recognized in our statement of operations. The fair value of the warrants was estimated using a Black-Scholes Option Pricing Model. For periods subsequent to the detachment of the Warrants from the Units, the close price of the Warrant price was used as the fair value of the Warrants as of each relevant date.</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Class A Ordinary Shares Subject to Possible Redemption</w:t>
      </w:r>
    </w:p>
    <w:p>
      <w:pPr>
        <w:spacing w:after="0" w:line="113"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We accounted for Class A Ordinary Shares subject to possible redemption in accordance with the guidance in ASC Topic 480. Class A Ordinary Shares subject to mandatory redemption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featured certain redemption rights that were considered to be outside of our control and subject to occurrence of uncertain future events. Accordingly, Class A Ordinary Shares subject to possible redemption were presented as temporary equity, outside of the shareholders’ equity section of our condensed balance sheets.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Income (Loss) Per Ordinary Share</w:t>
      </w:r>
    </w:p>
    <w:p>
      <w:pPr>
        <w:spacing w:after="0" w:line="113" w:lineRule="exact"/>
        <w:rPr>
          <w:sz w:val="20"/>
          <w:szCs w:val="20"/>
          <w:color w:val="auto"/>
        </w:rPr>
      </w:pPr>
    </w:p>
    <w:p>
      <w:pPr>
        <w:ind w:left="380" w:right="80" w:firstLine="420"/>
        <w:spacing w:after="0" w:line="265" w:lineRule="auto"/>
        <w:rPr>
          <w:sz w:val="20"/>
          <w:szCs w:val="20"/>
          <w:color w:val="auto"/>
        </w:rPr>
      </w:pPr>
      <w:r>
        <w:rPr>
          <w:rFonts w:ascii="Arial" w:cs="Arial" w:eastAsia="Arial" w:hAnsi="Arial"/>
          <w:sz w:val="17"/>
          <w:szCs w:val="17"/>
          <w:color w:val="auto"/>
        </w:rPr>
        <w:t>Net loss per ordinary share was computed by dividing net loss by the weighted average number of ordinary shares outstanding during the period. We applied the two-class method in calculating earnings per share. Accretion associated with the redeemable shares of Class A Ordinary Shares was excluded from earnings per share as the redemption value approximates fair value.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13"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w:t>
      </w:r>
      <w:r>
        <w:rPr>
          <w:rFonts w:ascii="Arial" w:cs="Arial" w:eastAsia="Arial" w:hAnsi="Arial"/>
          <w:sz w:val="16"/>
          <w:szCs w:val="16"/>
          <w:b w:val="1"/>
          <w:bCs w:val="1"/>
          <w:color w:val="auto"/>
        </w:rPr>
        <w:t>ASU2020-06</w:t>
      </w:r>
      <w:r>
        <w:rPr>
          <w:rFonts w:ascii="Arial" w:cs="Arial" w:eastAsia="Arial" w:hAnsi="Arial"/>
          <w:sz w:val="16"/>
          <w:szCs w:val="16"/>
          <w:color w:val="auto"/>
        </w:rPr>
        <w:t>”),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VIH adopted ASU2020-06 effective as of January 1, 2021. The adoption of ASU2020-06 did not have an impact on VIH’s condensed consolidated financial statements.</w:t>
      </w:r>
    </w:p>
    <w:p>
      <w:pPr>
        <w:spacing w:after="0" w:line="171"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VIH’s condensed consolidated financial statements.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JOBS Act</w:t>
      </w:r>
    </w:p>
    <w:p>
      <w:pPr>
        <w:spacing w:after="0" w:line="119"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The JOBS Act contains provisions that, among other things, relax certain reporting requirements for qualifying public companies. Through September 30, 2021, VIH qualified as an “emerging growth company” and under the JOBS Act was allowed to comply with new or revised accounting pronouncements based on the effective date for private (not publicly traded) companies. VIH elected to delay the adoption of new or revised accounting standards, and as a result, it did not necessarily comply with new or revised accounting standards on the relevant dates on which adoption of such standards was required for non-emerging growth companies. As a result, the consolidated financial statements of VIH not be comparable to companies that complied with new or revised accounting pronouncements as of public company effective dates.</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820"/>
          </w:cols>
          <w:pgMar w:left="320" w:top="471" w:right="7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BUSINESS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Our mission is to power commerce by reimagining the digital asset ecosystem, which includes cryptocurrency, loyalty and rewards points, gift cards, in-game assets, and NFTs. We are working to unlock new ways to participate in the digital economy for consumers, businesses and financial institutions by expanding access to, and improving liquidity for, digital assets. We believe we are opportunistically positioned at the center of this digital asset ecosystem, with approximately 1.7 million transacting accounts on our platform year-to-date.</w:t>
      </w:r>
    </w:p>
    <w:p>
      <w:pPr>
        <w:spacing w:after="0" w:line="89" w:lineRule="exact"/>
        <w:rPr>
          <w:sz w:val="20"/>
          <w:szCs w:val="20"/>
          <w:color w:val="auto"/>
        </w:rPr>
      </w:pPr>
    </w:p>
    <w:p>
      <w:pPr>
        <w:ind w:left="1300" w:right="200" w:hanging="410"/>
        <w:spacing w:after="0" w:line="265"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Consumers</w:t>
      </w:r>
      <w:r>
        <w:rPr>
          <w:rFonts w:ascii="Arial" w:cs="Arial" w:eastAsia="Arial" w:hAnsi="Arial"/>
          <w:sz w:val="17"/>
          <w:szCs w:val="17"/>
          <w:color w:val="auto"/>
        </w:rPr>
        <w:t>. We enable individual consumers to aggregate, manage, and spend all their digital assets in one place. Our scalable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creates new opportunities to access cryptoassets, direct merchant offers, loyalty points and gift card discounts, increasing consumer spending power and powering the digital economy.</w:t>
      </w:r>
    </w:p>
    <w:p>
      <w:pPr>
        <w:spacing w:after="0" w:line="85" w:lineRule="exact"/>
        <w:rPr>
          <w:rFonts w:ascii="Arial" w:cs="Arial" w:eastAsia="Arial" w:hAnsi="Arial"/>
          <w:sz w:val="17"/>
          <w:szCs w:val="17"/>
          <w:color w:val="auto"/>
        </w:rPr>
      </w:pPr>
    </w:p>
    <w:p>
      <w:pPr>
        <w:ind w:left="1300" w:right="140" w:hanging="410"/>
        <w:spacing w:after="0" w:line="279"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Businesses</w:t>
      </w:r>
      <w:r>
        <w:rPr>
          <w:rFonts w:ascii="Arial" w:cs="Arial" w:eastAsia="Arial" w:hAnsi="Arial"/>
          <w:sz w:val="16"/>
          <w:szCs w:val="16"/>
          <w:color w:val="auto"/>
        </w:rPr>
        <w:t>. We offer businesses (whom we define as consumer-facing merchants, retailers, and financial institutions with loyalty and</w:t>
      </w:r>
      <w:r>
        <w:rPr>
          <w:rFonts w:ascii="Arial" w:cs="Arial" w:eastAsia="Arial" w:hAnsi="Arial"/>
          <w:sz w:val="16"/>
          <w:szCs w:val="16"/>
          <w:i w:val="1"/>
          <w:iCs w:val="1"/>
          <w:color w:val="auto"/>
        </w:rPr>
        <w:t xml:space="preserve"> </w:t>
      </w:r>
      <w:r>
        <w:rPr>
          <w:rFonts w:ascii="Arial" w:cs="Arial" w:eastAsia="Arial" w:hAnsi="Arial"/>
          <w:sz w:val="16"/>
          <w:szCs w:val="16"/>
          <w:color w:val="auto"/>
        </w:rPr>
        <w:t>rewards programs) the ability to strengthen those programs by delivering new redemption options. We reduce financial liabilities associated with loyalty programs, lower payment processing costs, and drive increased brand loyalty to end customers. We also enable access to new sources of consumer spending power and loyalty programs that drive incremental commerce. Our payment channels allow businesses to access improved payment settlement and processing economics.</w:t>
      </w:r>
    </w:p>
    <w:p>
      <w:pPr>
        <w:spacing w:after="0" w:line="75" w:lineRule="exact"/>
        <w:rPr>
          <w:rFonts w:ascii="Arial" w:cs="Arial" w:eastAsia="Arial" w:hAnsi="Arial"/>
          <w:sz w:val="16"/>
          <w:szCs w:val="16"/>
          <w:color w:val="auto"/>
        </w:rPr>
      </w:pPr>
    </w:p>
    <w:p>
      <w:pPr>
        <w:ind w:left="1300" w:right="80" w:hanging="410"/>
        <w:spacing w:after="0" w:line="259"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Financial Institutions. </w:t>
      </w:r>
      <w:r>
        <w:rPr>
          <w:rFonts w:ascii="Arial" w:cs="Arial" w:eastAsia="Arial" w:hAnsi="Arial"/>
          <w:sz w:val="17"/>
          <w:szCs w:val="17"/>
          <w:color w:val="auto"/>
        </w:rPr>
        <w:t>We provide financial institutions in the investment sector with infrastructure to access new markets and create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Our platform uniquely leverages the technology and infrastructure products of our majority investor Intercontinental Exchange, Inc. (NYSE:ICE), to improve price discovery by offering a monthly bitcoin futures contract and to bring trust and transparency to the digital asset ecosystem. Our products provide greater regulatory clarity, better price discovery, and more effective risk management for financial institutions around the world.</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Our platform has three complementary aspects – a digital asset marketplace, a loyalty redemption service, and an alternative payment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175895</wp:posOffset>
            </wp:positionV>
            <wp:extent cx="4941570" cy="20256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41570" cy="202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b w:val="1"/>
          <w:bCs w:val="1"/>
          <w:i w:val="1"/>
          <w:iCs w:val="1"/>
          <w:color w:val="auto"/>
        </w:rPr>
        <w:t>Digital Asset Marketplace</w:t>
      </w:r>
      <w:r>
        <w:rPr>
          <w:rFonts w:ascii="Arial" w:cs="Arial" w:eastAsia="Arial" w:hAnsi="Arial"/>
          <w:sz w:val="17"/>
          <w:szCs w:val="17"/>
          <w:color w:val="auto"/>
        </w:rPr>
        <w:t>. Our digital asset marketplace is designed to enable participants to seamlessly transact in digital assets,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for individual consumers, businesses (whom we define as consumer-facing merchants, retailers, and financial institutions), and institutional investors. ICE, our majority</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20"/>
          </w:cols>
          <w:pgMar w:left="320" w:top="471" w:right="7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shareholder, has decades of experience building institutional products and solutions. We leveraged that expertise to build an institutional-grade custodian for bitcoin, Bakkt Trust, which is regulated by the NYSDFS. This custodian, marketed as the Bakkt Warehouse, provides custody services that anchor the PDF Contracts, the first end-to-end regulated, physically-delivered bitcoin futures and options contracts which are traded on IFUS and cleared on ICUS, and also provides bitcoin custody to institutions and certain high net-worth individuals on a standalone basis as approved by the NYSDFS. Our custodian also operates as the backbone of many of our consumer- and enterprise-focused offerings. For example, it enables consumers to use our app to transact in bitcoin in real-time.On November 2, 2021, in accordance with our coin listing policies (as approved by the NYSDFS), we self-certified the addition of ether (ETH) as a cryptocurrency that we support for consumer transactions, as described further below. In addition, subject to achieving the necessary regulatory approvals, we plan to add the ability to buy and sell securities such as equities, derivatives and ETFs. We believe that our institutional-grade infrastructure underpins our ability to expand and scale consumer solutions.</w:t>
      </w:r>
    </w:p>
    <w:p>
      <w:pPr>
        <w:spacing w:after="0" w:line="175" w:lineRule="exact"/>
        <w:rPr>
          <w:sz w:val="20"/>
          <w:szCs w:val="20"/>
          <w:color w:val="auto"/>
        </w:rPr>
      </w:pPr>
    </w:p>
    <w:p>
      <w:pPr>
        <w:ind w:left="380" w:right="80" w:firstLine="420"/>
        <w:spacing w:after="0" w:line="274" w:lineRule="auto"/>
        <w:rPr>
          <w:sz w:val="20"/>
          <w:szCs w:val="20"/>
          <w:color w:val="auto"/>
        </w:rPr>
      </w:pPr>
      <w:r>
        <w:rPr>
          <w:rFonts w:ascii="Arial" w:cs="Arial" w:eastAsia="Arial" w:hAnsi="Arial"/>
          <w:sz w:val="16"/>
          <w:szCs w:val="16"/>
          <w:b w:val="1"/>
          <w:bCs w:val="1"/>
          <w:i w:val="1"/>
          <w:iCs w:val="1"/>
          <w:color w:val="auto"/>
        </w:rPr>
        <w:t>Loyalty Redemption</w:t>
      </w:r>
      <w:r>
        <w:rPr>
          <w:rFonts w:ascii="Arial" w:cs="Arial" w:eastAsia="Arial" w:hAnsi="Arial"/>
          <w:sz w:val="16"/>
          <w:szCs w:val="16"/>
          <w:color w:val="auto"/>
        </w:rPr>
        <w:t>. Leveraging our acquisition of Bridge2 Solutions, our loyalty redemption capabilities support our loyalty partners,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In a typical loyalty redemption relationship, we provide the hosted, white-labeled website where a loyalty partner’s customers can redeem their points for goods and services, and we also provide fulfillment services for several of those products through relationships with retailers like Best Buy. Our API connects into the databases where our loyalty partners maintain their points which then enables instantaneous redemption capabilities.</w:t>
      </w:r>
    </w:p>
    <w:p>
      <w:pPr>
        <w:spacing w:after="0" w:line="172" w:lineRule="exact"/>
        <w:rPr>
          <w:sz w:val="20"/>
          <w:szCs w:val="20"/>
          <w:color w:val="auto"/>
        </w:rPr>
      </w:pPr>
    </w:p>
    <w:p>
      <w:pPr>
        <w:ind w:left="380" w:right="60" w:firstLine="420"/>
        <w:spacing w:after="0" w:line="272" w:lineRule="auto"/>
        <w:rPr>
          <w:sz w:val="20"/>
          <w:szCs w:val="20"/>
          <w:color w:val="auto"/>
        </w:rPr>
      </w:pPr>
      <w:r>
        <w:rPr>
          <w:rFonts w:ascii="Arial" w:cs="Arial" w:eastAsia="Arial" w:hAnsi="Arial"/>
          <w:sz w:val="16"/>
          <w:szCs w:val="16"/>
          <w:b w:val="1"/>
          <w:bCs w:val="1"/>
          <w:i w:val="1"/>
          <w:iCs w:val="1"/>
          <w:color w:val="auto"/>
        </w:rPr>
        <w:t>Alternative Payment Method</w:t>
      </w:r>
      <w:r>
        <w:rPr>
          <w:rFonts w:ascii="Arial" w:cs="Arial" w:eastAsia="Arial" w:hAnsi="Arial"/>
          <w:sz w:val="16"/>
          <w:szCs w:val="16"/>
          <w:color w:val="auto"/>
        </w:rPr>
        <w:t>. Our platform will deliver consumer choice and convenience with an alternative payment method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to spend the value of their digital assets with merchants in our ecosystem and also enables merchants to gain access to consumers’ increased spending power, tapping into the trend for alternative payment methods. Our platform will make different types of digital assets essentially fungible from the consumer’s perspective, regardless of the form they take (e.g. bitcoin, loyalty points, cash). While a transaction appears to the consumer as a direct conversion of the digital asset (e.g. bitcoin) to the desired good, service or other digital asset, the transaction occurs in two steps, with cash in the middle (e.g. the consumer sells her bitcoin to us at the current market price, and her wallet is credited with the cash value of that sale. Next, that amount of cash is credited to the merchant.) Merchants, such as Starbucks, that accept our alternative payment method can displace transactions off existing payment card infrastructure, which results in significant reductions in payment fees and, over time, faster settlement. For instance, our agreement with Starbucks, which enables Starbucks mobile app users to reload their Starbucks Card prepaid accounts using bitcoin and other balances held with us— which are credited to Starbucks as cash—provides significant cost savings to Starbucks compared with traditional payment cards. We are compensated by Starbucks for each such transaction that we process.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expect to utilize the foregoing aspects of our business to generate revenue. More specifically:</w:t>
      </w:r>
    </w:p>
    <w:p>
      <w:pPr>
        <w:spacing w:after="0" w:line="126" w:lineRule="exact"/>
        <w:rPr>
          <w:sz w:val="20"/>
          <w:szCs w:val="20"/>
          <w:color w:val="auto"/>
        </w:rPr>
      </w:pPr>
    </w:p>
    <w:p>
      <w:pPr>
        <w:ind w:left="1300" w:right="20" w:hanging="410"/>
        <w:spacing w:after="0" w:line="279"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loyalty redemption services, which we began providing in 2020, generated 108% of revenue in the year ended December 31, 2020 and 107% of revenue in the nine months ended September 30, 2021. Contra revenues from our alternative payment method and digital asset marketplace service offerings comprised the difference between our loyalty redemption services revenue and total revenue. Such contra revenues principally consist of rebates and liquidity payments under the Triparty Agreement, reductions in connection with the Contribution Agreement, and consideration payable to a customer under the Strategic Alliance Agreement.</w:t>
      </w:r>
    </w:p>
    <w:p>
      <w:pPr>
        <w:spacing w:after="0" w:line="75" w:lineRule="exact"/>
        <w:rPr>
          <w:rFonts w:ascii="Arial" w:cs="Arial" w:eastAsia="Arial" w:hAnsi="Arial"/>
          <w:sz w:val="16"/>
          <w:szCs w:val="16"/>
          <w:color w:val="auto"/>
        </w:rPr>
      </w:pPr>
    </w:p>
    <w:p>
      <w:pPr>
        <w:ind w:left="1300" w:right="380" w:hanging="410"/>
        <w:spacing w:after="0" w:line="278"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Revenue generated through our other service offerings (excluding the contra revenue cited above)—including the alternative payment method and the digital asset marketplace—has been immaterial to</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860"/>
          </w:cols>
          <w:pgMar w:left="320" w:top="471" w:right="71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20" w:right="80"/>
        <w:spacing w:after="0" w:line="278" w:lineRule="auto"/>
        <w:rPr>
          <w:sz w:val="20"/>
          <w:szCs w:val="20"/>
          <w:color w:val="auto"/>
        </w:rPr>
      </w:pPr>
      <w:r>
        <w:rPr>
          <w:rFonts w:ascii="Arial" w:cs="Arial" w:eastAsia="Arial" w:hAnsi="Arial"/>
          <w:sz w:val="17"/>
          <w:szCs w:val="17"/>
          <w:color w:val="auto"/>
        </w:rPr>
        <w:t>date. However, we expect our revenue related to loyalty redemption services to decrease as a percentage of overall revenue as the revenue from our other product and service offerings grows.</w:t>
      </w:r>
    </w:p>
    <w:p>
      <w:pPr>
        <w:spacing w:after="0" w:line="75" w:lineRule="exact"/>
        <w:rPr>
          <w:sz w:val="20"/>
          <w:szCs w:val="20"/>
          <w:color w:val="auto"/>
        </w:rPr>
      </w:pPr>
    </w:p>
    <w:p>
      <w:pPr>
        <w:ind w:left="1300" w:right="160" w:hanging="410"/>
        <w:spacing w:after="0" w:line="278"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receive revenue when consumers use the services within our consumer app, including to buy, sell, store and spend digital assets (e.g., transacting in cryptocurrency or spending or converting loyalty points).</w:t>
      </w:r>
    </w:p>
    <w:p>
      <w:pPr>
        <w:spacing w:after="0" w:line="74" w:lineRule="exact"/>
        <w:rPr>
          <w:rFonts w:ascii="Arial" w:cs="Arial" w:eastAsia="Arial" w:hAnsi="Arial"/>
          <w:sz w:val="17"/>
          <w:szCs w:val="17"/>
          <w:color w:val="auto"/>
        </w:rPr>
      </w:pPr>
    </w:p>
    <w:p>
      <w:pPr>
        <w:ind w:left="1300" w:hanging="410"/>
        <w:spacing w:after="0" w:line="273"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expect that revenues from cryptoasset trades and other transactions and subscription fees will be significant drivers of our business, and we expect those revenues to increase in the future as we grow our partner base and our user base. Please see “</w:t>
      </w:r>
      <w:r>
        <w:rPr>
          <w:rFonts w:ascii="Arial" w:cs="Arial" w:eastAsia="Arial" w:hAnsi="Arial"/>
          <w:sz w:val="16"/>
          <w:szCs w:val="16"/>
          <w:i w:val="1"/>
          <w:iCs w:val="1"/>
          <w:color w:val="auto"/>
        </w:rPr>
        <w:t>—Recent Partner</w:t>
      </w:r>
      <w:r>
        <w:rPr>
          <w:rFonts w:ascii="Arial" w:cs="Arial" w:eastAsia="Arial" w:hAnsi="Arial"/>
          <w:sz w:val="16"/>
          <w:szCs w:val="16"/>
          <w:color w:val="auto"/>
        </w:rPr>
        <w:t xml:space="preserve"> </w:t>
      </w:r>
      <w:r>
        <w:rPr>
          <w:rFonts w:ascii="Arial" w:cs="Arial" w:eastAsia="Arial" w:hAnsi="Arial"/>
          <w:sz w:val="16"/>
          <w:szCs w:val="16"/>
          <w:i w:val="1"/>
          <w:iCs w:val="1"/>
          <w:color w:val="auto"/>
        </w:rPr>
        <w:t>Engagement</w:t>
      </w:r>
      <w:r>
        <w:rPr>
          <w:rFonts w:ascii="Arial" w:cs="Arial" w:eastAsia="Arial" w:hAnsi="Arial"/>
          <w:sz w:val="16"/>
          <w:szCs w:val="16"/>
          <w:color w:val="auto"/>
        </w:rPr>
        <w:t>” below for certain of our recent partner engagement activity that we believe will drive additional partner and user growth.</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cryptoasset trades, we believe that the increasing normalization of cryptocurrency should enable increased consumer acceptance of and interest in cryptocurrency, which in turn will further enhance our ability to capture and monetize consumer relationships and near-term revenue from cryptoasset trading. However, there remain numerous risks and uncertainties related to each such revenue-generating activity, including, for example, cryptoasset trades recently being the subject of heightened regulatory scrutiny and our ability to successfully realize the benefits of our partner engagement efforts. For a complete description of the known material risks underlying our business, please see “</w:t>
      </w:r>
      <w:r>
        <w:rPr>
          <w:rFonts w:ascii="Arial" w:cs="Arial" w:eastAsia="Arial" w:hAnsi="Arial"/>
          <w:sz w:val="16"/>
          <w:szCs w:val="16"/>
          <w:i w:val="1"/>
          <w:iCs w:val="1"/>
          <w:color w:val="auto"/>
        </w:rPr>
        <w:t>Risk Factors—Risks Related to Business, Finances and Operations</w:t>
      </w:r>
      <w:r>
        <w:rPr>
          <w:rFonts w:ascii="Arial" w:cs="Arial" w:eastAsia="Arial" w:hAnsi="Arial"/>
          <w:sz w:val="16"/>
          <w:szCs w:val="16"/>
          <w:color w:val="auto"/>
        </w:rPr>
        <w:t>.”</w:t>
      </w:r>
    </w:p>
    <w:p>
      <w:pPr>
        <w:spacing w:after="0" w:line="175"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5"/>
          <w:szCs w:val="15"/>
          <w:b w:val="1"/>
          <w:bCs w:val="1"/>
          <w:i w:val="1"/>
          <w:iCs w:val="1"/>
          <w:color w:val="auto"/>
        </w:rPr>
        <w:t>Consumer App</w:t>
      </w:r>
      <w:r>
        <w:rPr>
          <w:rFonts w:ascii="Arial" w:cs="Arial" w:eastAsia="Arial" w:hAnsi="Arial"/>
          <w:sz w:val="15"/>
          <w:szCs w:val="15"/>
          <w:color w:val="auto"/>
        </w:rPr>
        <w:t>. Our platform is built to operate at the intersection of cryptoassets, loyalty and payments, and offers partners the flexibility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choose some or all of our capabilities, and the manner in which those capabilities are enabled for consumers, based on their needs and objectives. Some partners may choose to keep their consumer users entirely in such partner’s experience, while others may need a “ready-to-go” storefront and therefore leverage more of our capabilities. Partners can choose to fully or partially embed our capabilities within their digital environment, or they can leverage our platform capabilities—like cryptoasset buy, sell, hold and spend—entirely “powered by Bakkt.” For partners choosing a “ready-to-go” storefront, all of our platform’s capabilities around digital asset purchase, sales, redemption and payment come together in a seamless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(like our addition of ether (ETH) in November 2021), and, at a later date, equities, derivatives and ETFs, and in-game assets. The additions of these new cryptocurrencies to our app will be subject to certain policies and procedures requiring an internal risk assessment of such cryptocurrencies by us, including a consideration of conflicts of interest, the assessment of such cryptocurrency as to whether it is a security and other legal, operational and compliance-based considerations. In addition, we plan to add equity securities trading functionality for customers on our platform in the future. For us to add equity trading securities functionality to our platform, we require a broker-dealer license or will need to conduct our business through a licensed broker-dealer. While we plan to submit an application to form a broker-dealer with FINRA, we expect such process to be lengthy, and there can be no guarantee as to the timing of the application or that we will be successful in obtaining our broker-dealer license.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Recent Partner Engagement</w:t>
      </w:r>
      <w:r>
        <w:rPr>
          <w:rFonts w:ascii="Arial" w:cs="Arial" w:eastAsia="Arial" w:hAnsi="Arial"/>
          <w:sz w:val="15"/>
          <w:szCs w:val="15"/>
          <w:color w:val="auto"/>
        </w:rPr>
        <w:t>. We have recently experienced an increase in engagement with current and potential partners, including financial</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institutions, payment service providers, institutional investors and retailers (including those in the travel and entertainment space). For example, we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recently entered into partnerships with Cantaloupe, Inc., a leading provider of self-service retail payment solutions, which will provide consumers the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choice and flexibility to pay for products with bitcoin and supported loyalty points across Cantaloupe’s nationwide network, and with Wyndham</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Hotels &amp; Resorts, which will allow members of the Wyndham Rewards loyalty program to link, view and redeem their Wyndham Rewards points within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consumer app. We recently expanded our relationship with Choice Hotels, which will enable the utilization of Choice Privileges rewards points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through our consumer app. We currently are undertaking an in-store pilot program with Quiznos that enables Quiznos customers to pay with bitcoin at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select locations. We also recently partnered with Mastercard to allow Mastercard partners to offer cryptocurrency solutions, enabling consumers to buy,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sell and hold digital</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860"/>
          </w:cols>
          <w:pgMar w:left="320" w:top="471" w:right="71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95" w:lineRule="auto"/>
        <w:rPr>
          <w:sz w:val="20"/>
          <w:szCs w:val="20"/>
          <w:color w:val="auto"/>
        </w:rPr>
      </w:pPr>
      <w:r>
        <w:rPr>
          <w:rFonts w:ascii="Arial" w:cs="Arial" w:eastAsia="Arial" w:hAnsi="Arial"/>
          <w:sz w:val="15"/>
          <w:szCs w:val="15"/>
          <w:color w:val="auto"/>
        </w:rPr>
        <w:t>assets through custodial wallets powered by our platform. Also, we recently entered into a letter of intent for a strategic partnership with Fiserv whereby our platform would be integrated into Fiserv’s “Carat” omnichannel ecosystem which would allow customers to pursue new options for B2B and B2C payouts, loyalty programs, and transactions, all with cryptoassets accessible via a digital asset wallet. Further, we are in various stages of negotiations with additional partners, including one or more large payments operators, banking platform operators and technology platforms, and anticipate announcing some of these partnerships as soon as the fourth quarter of 2021. If these partnerships are successfully entered into and implemented within the next twelve months, we believe they will be significant drivers in our revenue, including cryptoasset trading revenue. However, there can be no assurance that we will ultimately enter into binding agreements with such counterparties or, if entered into, whether those or any of our other partnerships will be successful. For more information, please see “</w:t>
      </w:r>
      <w:r>
        <w:rPr>
          <w:rFonts w:ascii="Arial" w:cs="Arial" w:eastAsia="Arial" w:hAnsi="Arial"/>
          <w:sz w:val="15"/>
          <w:szCs w:val="15"/>
          <w:i w:val="1"/>
          <w:iCs w:val="1"/>
          <w:color w:val="auto"/>
        </w:rPr>
        <w:t>Risk Factors—Risks Related to Business, Finances and Operations</w:t>
      </w:r>
      <w:r>
        <w:rPr>
          <w:rFonts w:ascii="Arial" w:cs="Arial" w:eastAsia="Arial" w:hAnsi="Arial"/>
          <w:sz w:val="15"/>
          <w:szCs w:val="15"/>
          <w:color w:val="auto"/>
        </w:rPr>
        <w:t>.”</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Opportunity</w:t>
      </w:r>
    </w:p>
    <w:p>
      <w:pPr>
        <w:spacing w:after="0" w:line="119" w:lineRule="exact"/>
        <w:rPr>
          <w:sz w:val="20"/>
          <w:szCs w:val="20"/>
          <w:color w:val="auto"/>
        </w:rPr>
      </w:pPr>
    </w:p>
    <w:p>
      <w:pPr>
        <w:ind w:left="380" w:right="320" w:firstLine="420"/>
        <w:spacing w:after="0" w:line="265" w:lineRule="auto"/>
        <w:rPr>
          <w:sz w:val="20"/>
          <w:szCs w:val="20"/>
          <w:color w:val="auto"/>
        </w:rPr>
      </w:pPr>
      <w:r>
        <w:rPr>
          <w:rFonts w:ascii="Arial" w:cs="Arial" w:eastAsia="Arial" w:hAnsi="Arial"/>
          <w:sz w:val="17"/>
          <w:szCs w:val="17"/>
          <w:color w:val="auto"/>
        </w:rPr>
        <w:t>We believe that the global marketplace for digital assets is rapidly evolving and expanding. As interest in digital asset adoption by consumers, businesses and institutions has increased, the demand for digital payment solutions has accelerated, the number of digital asset alternatives has expanded, and regulatory scrutiny has increased.</w:t>
      </w:r>
    </w:p>
    <w:p>
      <w:pPr>
        <w:spacing w:after="0" w:line="176"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We operate at the intersection of several different types of digital assets, and we are uniquely positioned to enable the broader adoption, use, and monetization by consumers, businesses, and institutions of these digital assets. While each digital asset currently has its own adopters and use cases, the inherent potential of digital assets as a class remains largely unrealized. Our ecosystem is designed to be scalable and agile enough to quickly add additional functionalities and digital assets in a compliant manner, enabling the market to efficiently move to additional uses for these assets, benefiting consumers, loyalty partners, merchants and institutions. Given our ICE heritage, our systems have been built with security and regulatory compliance at their core.</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Cryptocurrency</w:t>
      </w:r>
    </w:p>
    <w:p>
      <w:pPr>
        <w:spacing w:after="0" w:line="113"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Since our inception in 2008, bitcoin and other cryptocurrencies have gained greater mainstream understanding and acceptance as digital assets. Bitcoin, in particular, has become a leading digital asset based on market capitalization and transaction volume. The lack of speed with which the bitcoin blockchain can process transactions and the public and private keys required to manage bitcoin have, to date, made it unattractive to the average consumer. However, significant advancements in the ecosystem have made bitcoin more accessible, and there are a number of apps and services that reduce the complexities commonly associated with buying and storing cryptocurrency. In addition, asset managers, corporations and endowments continue to rebalance balance sheet assets and portfolio asset allocations, with bitcoin increasingly being viewed as an acceptable investment for a portion of such allocations.</w:t>
      </w:r>
    </w:p>
    <w:p>
      <w:pPr>
        <w:spacing w:after="0" w:line="181"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Since 2008, thousands of other cryptocurrencies and cryptotokens have emerged on both public and private blockchains or other proprietary distributed ledger solutions. These include, but are not limited to, cryptoassets such as stablecoins whose value is tied to a basket of fiat currencies, and “forks” of bitcoin and other cryptocurrencies, which occur when developers and users make a conscious decision to stop adhering to protocol updates in order to create a new currency from the original blockchain, creating new versions of the cryptocurrency. Forks are a byproduct of the decentralized structure of the blockchain.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and Rewards Points</w:t>
      </w:r>
    </w:p>
    <w:p>
      <w:pPr>
        <w:spacing w:after="0" w:line="113" w:lineRule="exact"/>
        <w:rPr>
          <w:sz w:val="20"/>
          <w:szCs w:val="20"/>
          <w:color w:val="auto"/>
        </w:rPr>
      </w:pPr>
    </w:p>
    <w:p>
      <w:pPr>
        <w:ind w:left="380" w:right="100" w:firstLine="420"/>
        <w:spacing w:after="0" w:line="282" w:lineRule="auto"/>
        <w:rPr>
          <w:sz w:val="20"/>
          <w:szCs w:val="20"/>
          <w:color w:val="auto"/>
        </w:rPr>
      </w:pPr>
      <w:r>
        <w:rPr>
          <w:rFonts w:ascii="Arial" w:cs="Arial" w:eastAsia="Arial" w:hAnsi="Arial"/>
          <w:sz w:val="16"/>
          <w:szCs w:val="16"/>
          <w:color w:val="auto"/>
        </w:rPr>
        <w:t>Loyalty partners have displayed increasing interest in the pursuit of new strategies and programs that enable consumer empowerment and loyalty liability management while maintaining control over captive programs and the presumed attribution of long-term customer value and loyalty. Loyalty partners seek to improve consumer engagement by providing high perceived value to their consumers via points redemption. Traditional models for these points allowed consumers to redeem points for in-house products and services, such as airline seats and</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860"/>
          </w:cols>
          <w:pgMar w:left="320" w:top="471" w:right="71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8" w:lineRule="auto"/>
        <w:rPr>
          <w:sz w:val="20"/>
          <w:szCs w:val="20"/>
          <w:color w:val="auto"/>
        </w:rPr>
      </w:pPr>
      <w:r>
        <w:rPr>
          <w:rFonts w:ascii="Arial" w:cs="Arial" w:eastAsia="Arial" w:hAnsi="Arial"/>
          <w:sz w:val="17"/>
          <w:szCs w:val="17"/>
          <w:color w:val="auto"/>
        </w:rPr>
        <w:t>hotel rooms. The first evolution of the model afforded third-party service providers an opportunity to provide redemption solutions for products, services and experiences that the loyalty partners could not source in-house.</w:t>
      </w:r>
    </w:p>
    <w:p>
      <w:pPr>
        <w:spacing w:after="0" w:line="165" w:lineRule="exact"/>
        <w:rPr>
          <w:sz w:val="20"/>
          <w:szCs w:val="20"/>
          <w:color w:val="auto"/>
        </w:rPr>
      </w:pPr>
    </w:p>
    <w:p>
      <w:pPr>
        <w:ind w:left="380" w:right="20" w:firstLine="420"/>
        <w:spacing w:after="0" w:line="301" w:lineRule="auto"/>
        <w:rPr>
          <w:sz w:val="20"/>
          <w:szCs w:val="20"/>
          <w:color w:val="auto"/>
        </w:rPr>
      </w:pPr>
      <w:r>
        <w:rPr>
          <w:rFonts w:ascii="Arial" w:cs="Arial" w:eastAsia="Arial" w:hAnsi="Arial"/>
          <w:sz w:val="15"/>
          <w:szCs w:val="15"/>
          <w:color w:val="auto"/>
        </w:rPr>
        <w:t>Opening up redemption to external options was loyalty partners’ attempt to improve the perceived value of their programs and thereby increase consumer loyalty. However, the inflexibility and cost structures of these initial external redemption solutions made them unattractive for large-scale adoption. Loyalty partners continuously seek alternate methods or new programs designed to attract, retain and increase long-term consumer loyalty and value. In addition, based on our deep experience in the loyalty redemption market, we have increasingly experienced that digitally-savvy, informed and cost-conscious consumers continue to demand greater flexibility in the use cases for their accrued loyalty and rewards points.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Closed-Loop Gift Cards</w:t>
      </w:r>
    </w:p>
    <w:p>
      <w:pPr>
        <w:spacing w:after="0" w:line="11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Closed-loop gift cards, which are branded gift cards that may only be used at a specific merchant, retailer or restaurant, have experienced unprecedented growth over the last decade, and their popularity has increased even further as a result of the COVID-19 pandemic. Because closed-loop gift cards can only work within a merchant’s particular store, app, and/or website, they provide the specified merchant with a captive, low-cost source of payment acceptance.</w:t>
      </w:r>
    </w:p>
    <w:p>
      <w:pPr>
        <w:spacing w:after="0" w:line="179" w:lineRule="exact"/>
        <w:rPr>
          <w:sz w:val="20"/>
          <w:szCs w:val="20"/>
          <w:color w:val="auto"/>
        </w:rPr>
      </w:pPr>
    </w:p>
    <w:p>
      <w:pPr>
        <w:ind w:left="380" w:right="20" w:firstLine="420"/>
        <w:spacing w:after="0" w:line="301" w:lineRule="auto"/>
        <w:rPr>
          <w:sz w:val="20"/>
          <w:szCs w:val="20"/>
          <w:color w:val="auto"/>
        </w:rPr>
      </w:pPr>
      <w:r>
        <w:rPr>
          <w:rFonts w:ascii="Arial" w:cs="Arial" w:eastAsia="Arial" w:hAnsi="Arial"/>
          <w:sz w:val="15"/>
          <w:szCs w:val="15"/>
          <w:color w:val="auto"/>
        </w:rPr>
        <w:t>Consumers favor gifting closed-loop gift cards rather than buying a product that a giftee may not enjoy. However, half of consumers have unused gift cards, either because the destination retailer is not to the recipient’s liking, or because an outstanding balance remains on the card once a purchase has been made. This locked value stagnates and eventually is escheated to the state or federal government pursuant to applicable state or federal statutes, providing no value to the merchant or the consumer. Previous efforts to resolve this through secondary market gift card exchanges were rampant with fraud and were shut down because they disintermediated the gift card provider and provided insufficient regulatory safeguards for the consumer.</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In-Game Assets</w:t>
      </w:r>
    </w:p>
    <w:p>
      <w:pPr>
        <w:spacing w:after="0" w:line="113"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The gaming industry, led by Microsoft, Sony and Nintendo, has a value greater than the worldwide film industry and major league sports in North America combined. One-third of the surge in the value of this industry is due in large part to the in-game purchases consumers make for upgrades, skins, weapons and resources.</w:t>
      </w:r>
    </w:p>
    <w:p>
      <w:pPr>
        <w:spacing w:after="0" w:line="176" w:lineRule="exact"/>
        <w:rPr>
          <w:sz w:val="20"/>
          <w:szCs w:val="20"/>
          <w:color w:val="auto"/>
        </w:rPr>
      </w:pPr>
    </w:p>
    <w:p>
      <w:pPr>
        <w:ind w:left="380" w:right="120" w:firstLine="420"/>
        <w:spacing w:after="0" w:line="261" w:lineRule="auto"/>
        <w:rPr>
          <w:sz w:val="20"/>
          <w:szCs w:val="20"/>
          <w:color w:val="auto"/>
        </w:rPr>
      </w:pPr>
      <w:r>
        <w:rPr>
          <w:rFonts w:ascii="Arial" w:cs="Arial" w:eastAsia="Arial" w:hAnsi="Arial"/>
          <w:sz w:val="17"/>
          <w:szCs w:val="17"/>
          <w:color w:val="auto"/>
        </w:rPr>
        <w:t>These digital assets, whether earned or purchased, are illiquid. When the consumer ceases playing the game, those assets stagnate, providing no value to the consumer or to the game publisher. Publishers and consumers both desire a mechanism to make these assets liquid through a neutral, third-party platform that will allow consumers to monetize their digital in-game assets and move in and out of specific games and brands while enabling publishers to build loyalty and a broader consumer base.</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Equity Securities</w:t>
      </w:r>
    </w:p>
    <w:p>
      <w:pPr>
        <w:spacing w:after="0" w:line="113" w:lineRule="exact"/>
        <w:rPr>
          <w:sz w:val="20"/>
          <w:szCs w:val="20"/>
          <w:color w:val="auto"/>
        </w:rPr>
      </w:pPr>
    </w:p>
    <w:p>
      <w:pPr>
        <w:jc w:val="both"/>
        <w:ind w:left="380" w:right="320" w:firstLine="420"/>
        <w:spacing w:after="0" w:line="265" w:lineRule="auto"/>
        <w:rPr>
          <w:sz w:val="20"/>
          <w:szCs w:val="20"/>
          <w:color w:val="auto"/>
        </w:rPr>
      </w:pPr>
      <w:r>
        <w:rPr>
          <w:rFonts w:ascii="Arial" w:cs="Arial" w:eastAsia="Arial" w:hAnsi="Arial"/>
          <w:sz w:val="17"/>
          <w:szCs w:val="17"/>
          <w:color w:val="auto"/>
        </w:rPr>
        <w:t>The equity securities trading markets have been revolutionized by the proliferation of consumer-friendly mobile apps and the abandonment of trading fees. This in turn has enabled new generations and customer segments to embrace securities trading, often with the assistance and support of social media groups focused on the topic.</w:t>
      </w:r>
    </w:p>
    <w:p>
      <w:pPr>
        <w:spacing w:after="0" w:line="176"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We believe that equity securities are at their core digital assets, as relatively few investors ever interact with equity securities in physical form. As such, we believe these assets will represent a natural fit with the other assets enabled within our ecosystem.</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Solution</w:t>
      </w:r>
    </w:p>
    <w:p>
      <w:pPr>
        <w:spacing w:after="0" w:line="119" w:lineRule="exact"/>
        <w:rPr>
          <w:sz w:val="20"/>
          <w:szCs w:val="20"/>
          <w:color w:val="auto"/>
        </w:rPr>
      </w:pPr>
    </w:p>
    <w:p>
      <w:pPr>
        <w:ind w:left="380" w:right="200" w:firstLine="420"/>
        <w:spacing w:after="0" w:line="317" w:lineRule="auto"/>
        <w:rPr>
          <w:sz w:val="20"/>
          <w:szCs w:val="20"/>
          <w:color w:val="auto"/>
        </w:rPr>
      </w:pPr>
      <w:r>
        <w:rPr>
          <w:rFonts w:ascii="Arial" w:cs="Arial" w:eastAsia="Arial" w:hAnsi="Arial"/>
          <w:sz w:val="15"/>
          <w:szCs w:val="15"/>
          <w:color w:val="auto"/>
        </w:rPr>
        <w:t>Our solution uniquely brings together loyalty and commerce. Today, it is comprised of a digital asset marketplace, a loyalty redemption service, and an alternative payment method, all of which are embodied in a platform that can be customized by our partners, and include a “ready-to-go” storefront with our consumer app. We started with our digital asset marketplace and have continued to innovate and expand our platform.</w:t>
      </w:r>
    </w:p>
    <w:p>
      <w:pPr>
        <w:spacing w:after="0" w:line="7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860"/>
          </w:cols>
          <w:pgMar w:left="320" w:top="471" w:right="71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Redemption Service</w:t>
      </w:r>
    </w:p>
    <w:p>
      <w:pPr>
        <w:spacing w:after="0" w:line="113" w:lineRule="exact"/>
        <w:rPr>
          <w:sz w:val="20"/>
          <w:szCs w:val="20"/>
          <w:color w:val="auto"/>
        </w:rPr>
      </w:pPr>
    </w:p>
    <w:p>
      <w:pPr>
        <w:ind w:left="380" w:right="80" w:firstLine="420"/>
        <w:spacing w:after="0" w:line="301" w:lineRule="auto"/>
        <w:rPr>
          <w:sz w:val="20"/>
          <w:szCs w:val="20"/>
          <w:color w:val="auto"/>
        </w:rPr>
      </w:pPr>
      <w:r>
        <w:rPr>
          <w:rFonts w:ascii="Arial" w:cs="Arial" w:eastAsia="Arial" w:hAnsi="Arial"/>
          <w:sz w:val="15"/>
          <w:szCs w:val="15"/>
          <w:color w:val="auto"/>
        </w:rPr>
        <w:t>Our redemption service provides loyalty solutions to a significant portion of the leading loyalty programs in North America. Loyalty and rewards programs are effective in driving consumer payments behavior and incremental sales by tailoring offers and promotions. Loyalty redemption services are integral to the success of the loyalty partner’s program. Demand to grow and develop loyalty programs increases as loyalty partners seek to deepen relationships with consumers. Our services are intended to make it easy for consumers to understand how their loyalty points are earned and redeemed and feel confident in the transparency of value exchange, further increasing the loyalty benefit to the issuing loyalty partners.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benefits of our platform for loyalty partners include:</w:t>
      </w:r>
    </w:p>
    <w:p>
      <w:pPr>
        <w:spacing w:after="0" w:line="126" w:lineRule="exact"/>
        <w:rPr>
          <w:sz w:val="20"/>
          <w:szCs w:val="20"/>
          <w:color w:val="auto"/>
        </w:rPr>
      </w:pPr>
    </w:p>
    <w:p>
      <w:pPr>
        <w:ind w:left="1300" w:right="80" w:hanging="410"/>
        <w:spacing w:after="0" w:line="278"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Broad redemption options</w:t>
      </w:r>
      <w:r>
        <w:rPr>
          <w:rFonts w:ascii="Arial" w:cs="Arial" w:eastAsia="Arial" w:hAnsi="Arial"/>
          <w:sz w:val="17"/>
          <w:szCs w:val="17"/>
          <w:color w:val="auto"/>
        </w:rPr>
        <w:t>. We enable gift cards, electronics and other merchandise from leading merchants, and rewards, including travel</w:t>
      </w:r>
      <w:r>
        <w:rPr>
          <w:rFonts w:ascii="Arial" w:cs="Arial" w:eastAsia="Arial" w:hAnsi="Arial"/>
          <w:sz w:val="17"/>
          <w:szCs w:val="17"/>
          <w:i w:val="1"/>
          <w:iCs w:val="1"/>
          <w:color w:val="auto"/>
        </w:rPr>
        <w:t xml:space="preserve"> </w:t>
      </w:r>
      <w:r>
        <w:rPr>
          <w:rFonts w:ascii="Arial" w:cs="Arial" w:eastAsia="Arial" w:hAnsi="Arial"/>
          <w:sz w:val="17"/>
          <w:szCs w:val="17"/>
          <w:color w:val="auto"/>
        </w:rPr>
        <w:t>packages and innovative and unique experiences (e.g., admission to branded events).</w:t>
      </w:r>
    </w:p>
    <w:p>
      <w:pPr>
        <w:spacing w:after="0" w:line="74" w:lineRule="exact"/>
        <w:rPr>
          <w:rFonts w:ascii="Arial" w:cs="Arial" w:eastAsia="Arial" w:hAnsi="Arial"/>
          <w:sz w:val="17"/>
          <w:szCs w:val="17"/>
          <w:color w:val="auto"/>
        </w:rPr>
      </w:pPr>
    </w:p>
    <w:p>
      <w:pPr>
        <w:ind w:left="1300" w:right="80" w:hanging="410"/>
        <w:spacing w:after="0" w:line="317" w:lineRule="auto"/>
        <w:tabs>
          <w:tab w:leader="none" w:pos="13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Access to exclusive brands</w:t>
      </w:r>
      <w:r>
        <w:rPr>
          <w:rFonts w:ascii="Arial" w:cs="Arial" w:eastAsia="Arial" w:hAnsi="Arial"/>
          <w:sz w:val="15"/>
          <w:szCs w:val="15"/>
          <w:color w:val="auto"/>
        </w:rPr>
        <w:t>. We have an exclusive partnership with a key electronics and entertainment provider that enables us to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a branded experience to its store as a redemption option embedded within our site. Additional merchant benefits include product customizations, like engraving and real- time inventory management. We will seek to expand this model with other leading brands.</w:t>
      </w:r>
    </w:p>
    <w:p>
      <w:pPr>
        <w:spacing w:after="0" w:line="49" w:lineRule="exact"/>
        <w:rPr>
          <w:rFonts w:ascii="Arial" w:cs="Arial" w:eastAsia="Arial" w:hAnsi="Arial"/>
          <w:sz w:val="15"/>
          <w:szCs w:val="15"/>
          <w:color w:val="auto"/>
        </w:rPr>
      </w:pPr>
    </w:p>
    <w:p>
      <w:pPr>
        <w:ind w:left="1300" w:right="60" w:hanging="410"/>
        <w:spacing w:after="0" w:line="347" w:lineRule="auto"/>
        <w:tabs>
          <w:tab w:leader="none" w:pos="13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Balance sheet optimization</w:t>
      </w:r>
      <w:r>
        <w:rPr>
          <w:rFonts w:ascii="Arial" w:cs="Arial" w:eastAsia="Arial" w:hAnsi="Arial"/>
          <w:sz w:val="15"/>
          <w:szCs w:val="15"/>
          <w:color w:val="auto"/>
        </w:rPr>
        <w:t>. Our loyalty redemption services offer higher perceived value to the consumer and increased alternatives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them to spend their rewards points. This in turn allows the loyalty partner to control the cost of redemption and reduce financial liabilities.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Alternative Payment Method</w:t>
      </w:r>
    </w:p>
    <w:p>
      <w:pPr>
        <w:spacing w:after="0" w:line="113"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Alternative payment methods include any form of payment other than cash, checks or traditional bank-issued credit or debit cards. Enabling these methods is becoming a necessity for merchants seeking to grow their business. As goods and services progress, consumers demand a more versatile shopping experience. Merchants are able to address this demand by accepting our alternative payment method. We integrate our alternative payment method directly with merchants, such as Starbucks, and through partners, such as payment service providers, merchant acquirers and checkout providers, to create a closed-loop payment ecosystem.</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benefits of our platform as an alternative payment method include:</w:t>
      </w:r>
    </w:p>
    <w:p>
      <w:pPr>
        <w:spacing w:after="0" w:line="126" w:lineRule="exact"/>
        <w:rPr>
          <w:sz w:val="20"/>
          <w:szCs w:val="20"/>
          <w:color w:val="auto"/>
        </w:rPr>
      </w:pPr>
    </w:p>
    <w:p>
      <w:pPr>
        <w:ind w:left="1300" w:right="220" w:hanging="410"/>
        <w:spacing w:after="0" w:line="278"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Lower cost of acceptance</w:t>
      </w:r>
      <w:r>
        <w:rPr>
          <w:rFonts w:ascii="Arial" w:cs="Arial" w:eastAsia="Arial" w:hAnsi="Arial"/>
          <w:sz w:val="17"/>
          <w:szCs w:val="17"/>
          <w:color w:val="auto"/>
        </w:rPr>
        <w:t>. We reduce cost of payments by displacing transactions off card infrastructure to gain lower payment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faster settlement time.</w:t>
      </w:r>
    </w:p>
    <w:p>
      <w:pPr>
        <w:spacing w:after="0" w:line="74" w:lineRule="exact"/>
        <w:rPr>
          <w:rFonts w:ascii="Arial" w:cs="Arial" w:eastAsia="Arial" w:hAnsi="Arial"/>
          <w:sz w:val="17"/>
          <w:szCs w:val="17"/>
          <w:color w:val="auto"/>
        </w:rPr>
      </w:pPr>
    </w:p>
    <w:p>
      <w:pPr>
        <w:ind w:left="1300" w:right="200" w:hanging="410"/>
        <w:spacing w:after="0" w:line="261"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Reduced checkout abandonment and increased conversions</w:t>
      </w:r>
      <w:r>
        <w:rPr>
          <w:rFonts w:ascii="Arial" w:cs="Arial" w:eastAsia="Arial" w:hAnsi="Arial"/>
          <w:sz w:val="17"/>
          <w:szCs w:val="17"/>
          <w:color w:val="auto"/>
        </w:rPr>
        <w:t>. Consumers are attracted to the concept of choice, giving them more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and power over their purchasing and payments. When a consumer has the choice between multiple online merchants offering similar products, their user experience—including a merchant’s ability to accept their preferred form of payment—can be an important factor in their decision-making process.</w:t>
      </w:r>
    </w:p>
    <w:p>
      <w:pPr>
        <w:spacing w:after="0" w:line="88" w:lineRule="exact"/>
        <w:rPr>
          <w:rFonts w:ascii="Arial" w:cs="Arial" w:eastAsia="Arial" w:hAnsi="Arial"/>
          <w:sz w:val="17"/>
          <w:szCs w:val="17"/>
          <w:color w:val="auto"/>
        </w:rPr>
      </w:pPr>
    </w:p>
    <w:p>
      <w:pPr>
        <w:jc w:val="both"/>
        <w:ind w:left="1300" w:right="100" w:hanging="410"/>
        <w:spacing w:after="0" w:line="265"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Increased ability to reach new consumers</w:t>
      </w:r>
      <w:r>
        <w:rPr>
          <w:rFonts w:ascii="Arial" w:cs="Arial" w:eastAsia="Arial" w:hAnsi="Arial"/>
          <w:sz w:val="17"/>
          <w:szCs w:val="17"/>
          <w:color w:val="auto"/>
        </w:rPr>
        <w:t>. We believe that our payment method will appeal to new consumer segments—e.g., cryptoasset</w:t>
      </w:r>
      <w:r>
        <w:rPr>
          <w:rFonts w:ascii="Arial" w:cs="Arial" w:eastAsia="Arial" w:hAnsi="Arial"/>
          <w:sz w:val="17"/>
          <w:szCs w:val="17"/>
          <w:i w:val="1"/>
          <w:iCs w:val="1"/>
          <w:color w:val="auto"/>
        </w:rPr>
        <w:t xml:space="preserve"> </w:t>
      </w:r>
      <w:r>
        <w:rPr>
          <w:rFonts w:ascii="Arial" w:cs="Arial" w:eastAsia="Arial" w:hAnsi="Arial"/>
          <w:sz w:val="17"/>
          <w:szCs w:val="17"/>
          <w:color w:val="auto"/>
        </w:rPr>
        <w:t>enthusiasts, rewards stackers and gamers—by leveraging captive value in their digital assets. We enable merchants to grow their business by attracting these new consumer segments.</w:t>
      </w:r>
    </w:p>
    <w:p>
      <w:pPr>
        <w:spacing w:after="0" w:line="85" w:lineRule="exact"/>
        <w:rPr>
          <w:rFonts w:ascii="Arial" w:cs="Arial" w:eastAsia="Arial" w:hAnsi="Arial"/>
          <w:sz w:val="17"/>
          <w:szCs w:val="17"/>
          <w:color w:val="auto"/>
        </w:rPr>
      </w:pPr>
    </w:p>
    <w:p>
      <w:pPr>
        <w:ind w:left="1300" w:hanging="410"/>
        <w:spacing w:after="0" w:line="265"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Hyper-personalized offers</w:t>
      </w:r>
      <w:r>
        <w:rPr>
          <w:rFonts w:ascii="Arial" w:cs="Arial" w:eastAsia="Arial" w:hAnsi="Arial"/>
          <w:sz w:val="17"/>
          <w:szCs w:val="17"/>
          <w:color w:val="auto"/>
        </w:rPr>
        <w:t>. We are developing our capability to deepen merchants’ understanding of what consumers want, which will help</w:t>
      </w:r>
      <w:r>
        <w:rPr>
          <w:rFonts w:ascii="Arial" w:cs="Arial" w:eastAsia="Arial" w:hAnsi="Arial"/>
          <w:sz w:val="17"/>
          <w:szCs w:val="17"/>
          <w:i w:val="1"/>
          <w:iCs w:val="1"/>
          <w:color w:val="auto"/>
        </w:rPr>
        <w:t xml:space="preserve"> </w:t>
      </w:r>
      <w:r>
        <w:rPr>
          <w:rFonts w:ascii="Arial" w:cs="Arial" w:eastAsia="Arial" w:hAnsi="Arial"/>
          <w:sz w:val="17"/>
          <w:szCs w:val="17"/>
          <w:color w:val="auto"/>
        </w:rPr>
        <w:t>them offer tailored promotions and offers and improve their marketing efficiency, all while taking significant steps to protect consumer privacy.</w:t>
      </w:r>
    </w:p>
    <w:p>
      <w:pPr>
        <w:spacing w:after="0" w:line="85" w:lineRule="exact"/>
        <w:rPr>
          <w:rFonts w:ascii="Arial" w:cs="Arial" w:eastAsia="Arial" w:hAnsi="Arial"/>
          <w:sz w:val="17"/>
          <w:szCs w:val="17"/>
          <w:color w:val="auto"/>
        </w:rPr>
      </w:pPr>
    </w:p>
    <w:p>
      <w:pPr>
        <w:ind w:left="1300" w:right="220" w:hanging="410"/>
        <w:spacing w:after="0" w:line="278"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Easy integration</w:t>
      </w:r>
      <w:r>
        <w:rPr>
          <w:rFonts w:ascii="Arial" w:cs="Arial" w:eastAsia="Arial" w:hAnsi="Arial"/>
          <w:sz w:val="17"/>
          <w:szCs w:val="17"/>
          <w:color w:val="auto"/>
        </w:rPr>
        <w:t>. Our direct API, designed for use by developers, allows for integration with retailer websites with minimal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merchant settles in fiat currency while our platform enables the digital asset conversion and transfer.</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840"/>
          </w:cols>
          <w:pgMar w:left="320" w:top="471" w:right="7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Digital Asset Marketplace</w:t>
      </w:r>
    </w:p>
    <w:p>
      <w:pPr>
        <w:spacing w:after="0" w:line="113"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Our digital asset marketplace is designed and engineered to support both institutions and consumers and businesses. Our approach is predicated on security, regulatory compliance, and transparency; the absence of one or more of those features in other offerings has contributed to the relative slowness of institutional investors to embrace cryptocurrency investing. We believe our emphasis on these features will help drive institutional acceptance and adoption. Further, we believe that the increasing normalization of cryptocurrency investing among institutions should enable increased consumer acceptance of and interest in cryptocurrency, further enhancing the ability to capture and monetize consumer relationships.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Benefits for institutions and consumers and businesses include:</w:t>
      </w:r>
    </w:p>
    <w:p>
      <w:pPr>
        <w:spacing w:after="0" w:line="126" w:lineRule="exact"/>
        <w:rPr>
          <w:sz w:val="20"/>
          <w:szCs w:val="20"/>
          <w:color w:val="auto"/>
        </w:rPr>
      </w:pPr>
    </w:p>
    <w:p>
      <w:pPr>
        <w:ind w:left="1300" w:right="40" w:hanging="410"/>
        <w:spacing w:after="0" w:line="261"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Standalone custody</w:t>
      </w:r>
      <w:r>
        <w:rPr>
          <w:rFonts w:ascii="Arial" w:cs="Arial" w:eastAsia="Arial" w:hAnsi="Arial"/>
          <w:sz w:val="17"/>
          <w:szCs w:val="17"/>
          <w:color w:val="auto"/>
        </w:rPr>
        <w:t>. The Bakkt Warehouse offers institutional-grade, standalone bitcoin custody to institutions and certain high net worth</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seeking secure bitcoin storage. It also supports the consumer app with respect to bitcoin functionality within the consumer app. We are extending this capability into other cryptocurrencies that, once added, will be the foundation upon which subsequent product offerings will be delivered.</w:t>
      </w:r>
    </w:p>
    <w:p>
      <w:pPr>
        <w:spacing w:after="0" w:line="88" w:lineRule="exact"/>
        <w:rPr>
          <w:rFonts w:ascii="Arial" w:cs="Arial" w:eastAsia="Arial" w:hAnsi="Arial"/>
          <w:sz w:val="17"/>
          <w:szCs w:val="17"/>
          <w:color w:val="auto"/>
        </w:rPr>
      </w:pPr>
    </w:p>
    <w:p>
      <w:pPr>
        <w:ind w:left="1300" w:right="20" w:hanging="410"/>
        <w:spacing w:after="0" w:line="279"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Regulated futures and options</w:t>
      </w:r>
      <w:r>
        <w:rPr>
          <w:rFonts w:ascii="Arial" w:cs="Arial" w:eastAsia="Arial" w:hAnsi="Arial"/>
          <w:sz w:val="16"/>
          <w:szCs w:val="16"/>
          <w:color w:val="auto"/>
        </w:rPr>
        <w:t>. Through our partnership with ICE, we facilitate the offer of a monthly bitcoin futures contract for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Bakkt Warehouse provides custody services, IFUS provides trading services and ICUS provides clearing services. This physically-delivered futures contract is end-to-end regulated and offers unmatched price discovery and transparency. Our partnership with ICE also facilitates the offer of bitcoin options contracts based on the physically-delivered futures contracts, as well as a cash-settled bitcoin futures contract traded and cleared by ICE Singapore in connection with the Singapore Triparty Agreement.</w:t>
      </w:r>
    </w:p>
    <w:p>
      <w:pPr>
        <w:spacing w:after="0" w:line="75" w:lineRule="exact"/>
        <w:rPr>
          <w:rFonts w:ascii="Arial" w:cs="Arial" w:eastAsia="Arial" w:hAnsi="Arial"/>
          <w:sz w:val="16"/>
          <w:szCs w:val="16"/>
          <w:color w:val="auto"/>
        </w:rPr>
      </w:pPr>
    </w:p>
    <w:p>
      <w:pPr>
        <w:ind w:left="1300" w:right="80" w:hanging="410"/>
        <w:spacing w:after="0" w:line="261"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Institutional-grade pricing execution engine</w:t>
      </w:r>
      <w:r>
        <w:rPr>
          <w:rFonts w:ascii="Arial" w:cs="Arial" w:eastAsia="Arial" w:hAnsi="Arial"/>
          <w:sz w:val="17"/>
          <w:szCs w:val="17"/>
          <w:color w:val="auto"/>
        </w:rPr>
        <w:t>. Our pricing execution engine supports institutional-grade bitcoin trading for consumers. By</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the bitcoin in a closed-loop between us and the consumer directly, risk normally associated with deposit and withdrawal and the lethargic throughput of the blockchain is substantially reduced. This approach affords the consumer greater flexibility to spend, send and trade these assets within our ecosystem.</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Our platform capabilities can be customized to meet the needs of partners. For instance, partners that desire to leverage all of our platform capabilities around buying and selling of digital assets, redemption and payment in a seamless customer experience can leverage our app, which we released for general launch in late March 2021.</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860"/>
          </w:cols>
          <w:pgMar w:left="320" w:top="471" w:right="71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196215</wp:posOffset>
            </wp:positionV>
            <wp:extent cx="4729480" cy="526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29480" cy="526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benefits of the app for consumers include:</w:t>
      </w:r>
    </w:p>
    <w:p>
      <w:pPr>
        <w:spacing w:after="0" w:line="126" w:lineRule="exact"/>
        <w:rPr>
          <w:sz w:val="20"/>
          <w:szCs w:val="20"/>
          <w:color w:val="auto"/>
        </w:rPr>
      </w:pPr>
    </w:p>
    <w:p>
      <w:pPr>
        <w:ind w:left="1300" w:right="220" w:hanging="410"/>
        <w:spacing w:after="0" w:line="278"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Personal, intuitive consumer experience</w:t>
      </w:r>
      <w:r>
        <w:rPr>
          <w:rFonts w:ascii="Arial" w:cs="Arial" w:eastAsia="Arial" w:hAnsi="Arial"/>
          <w:sz w:val="17"/>
          <w:szCs w:val="17"/>
          <w:color w:val="auto"/>
        </w:rPr>
        <w:t>. Our simple, end-to-end consumer experience makes it easy for consumers to aggregate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 all of their supported digital assets in one place.</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Seamlessly transact across asset classes</w:t>
      </w:r>
      <w:r>
        <w:rPr>
          <w:rFonts w:ascii="Arial" w:cs="Arial" w:eastAsia="Arial" w:hAnsi="Arial"/>
          <w:sz w:val="15"/>
          <w:szCs w:val="15"/>
          <w:color w:val="auto"/>
        </w:rPr>
        <w:t>. Consumers can quickly and simply aggregate, buy, sell, convert, spend and send digital assets.</w:t>
      </w:r>
    </w:p>
    <w:p>
      <w:pPr>
        <w:spacing w:after="0" w:line="149" w:lineRule="exact"/>
        <w:rPr>
          <w:rFonts w:ascii="Arial" w:cs="Arial" w:eastAsia="Arial" w:hAnsi="Arial"/>
          <w:sz w:val="15"/>
          <w:szCs w:val="15"/>
          <w:color w:val="auto"/>
        </w:rPr>
      </w:pPr>
    </w:p>
    <w:p>
      <w:pPr>
        <w:ind w:left="1300" w:right="20" w:hanging="410"/>
        <w:spacing w:after="0" w:line="265"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Enabling the use of digital assets for everyday spending</w:t>
      </w:r>
      <w:r>
        <w:rPr>
          <w:rFonts w:ascii="Arial" w:cs="Arial" w:eastAsia="Arial" w:hAnsi="Arial"/>
          <w:sz w:val="17"/>
          <w:szCs w:val="17"/>
          <w:color w:val="auto"/>
        </w:rPr>
        <w:t>. Consumers can use digital assets as a funding source for purchases, allowing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them instant access to additional funds. In addition to our alternative payment method, our virtual debit card that launched in June 2021 enables this functionality broadly across retailers.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620"/>
          </w:cols>
          <w:pgMar w:left="320" w:top="471" w:right="9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line="278"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Ability to send and receive digital assets</w:t>
      </w:r>
      <w:r>
        <w:rPr>
          <w:rFonts w:ascii="Arial" w:cs="Arial" w:eastAsia="Arial" w:hAnsi="Arial"/>
          <w:sz w:val="17"/>
          <w:szCs w:val="17"/>
          <w:color w:val="auto"/>
        </w:rPr>
        <w:t>. Consumers can easily send their digital assets to, and receive digital assets from, other consumers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app.</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Increased value in loyalty</w:t>
      </w:r>
      <w:r>
        <w:rPr>
          <w:rFonts w:ascii="Arial" w:cs="Arial" w:eastAsia="Arial" w:hAnsi="Arial"/>
          <w:sz w:val="17"/>
          <w:szCs w:val="17"/>
          <w:color w:val="auto"/>
        </w:rPr>
        <w:t>. Consumers enjoy access to exclusive deals from merchants in the app, without having to register or remember</w:t>
      </w:r>
      <w:r>
        <w:rPr>
          <w:rFonts w:ascii="Arial" w:cs="Arial" w:eastAsia="Arial" w:hAnsi="Arial"/>
          <w:sz w:val="17"/>
          <w:szCs w:val="17"/>
          <w:i w:val="1"/>
          <w:iCs w:val="1"/>
          <w:color w:val="auto"/>
        </w:rPr>
        <w:t xml:space="preserve"> </w:t>
      </w:r>
      <w:r>
        <w:rPr>
          <w:rFonts w:ascii="Arial" w:cs="Arial" w:eastAsia="Arial" w:hAnsi="Arial"/>
          <w:sz w:val="17"/>
          <w:szCs w:val="17"/>
          <w:color w:val="auto"/>
        </w:rPr>
        <w:t>any coupons, codes or vouchers.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Strong Network Effects</w:t>
      </w:r>
    </w:p>
    <w:p>
      <w:pPr>
        <w:spacing w:after="0" w:line="113"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We benefit from self-reinforcing network effects, meaning that the value of our network will increase exponentially as new businesses and digital assets are added to the network. Examples of this effect are:</w:t>
      </w:r>
    </w:p>
    <w:p>
      <w:pPr>
        <w:spacing w:after="0" w:line="75" w:lineRule="exact"/>
        <w:rPr>
          <w:sz w:val="20"/>
          <w:szCs w:val="20"/>
          <w:color w:val="auto"/>
        </w:rPr>
      </w:pPr>
    </w:p>
    <w:p>
      <w:pPr>
        <w:ind w:left="1300" w:right="340" w:hanging="410"/>
        <w:spacing w:after="0" w:line="27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loyalty partners seek new ways to deepen consumer relationships, we believe that they will choose our platform and co-market our platform to their consumers.</w:t>
      </w:r>
    </w:p>
    <w:p>
      <w:pPr>
        <w:spacing w:after="0" w:line="74" w:lineRule="exact"/>
        <w:rPr>
          <w:rFonts w:ascii="Arial" w:cs="Arial" w:eastAsia="Arial" w:hAnsi="Arial"/>
          <w:sz w:val="17"/>
          <w:szCs w:val="17"/>
          <w:color w:val="auto"/>
        </w:rPr>
      </w:pPr>
    </w:p>
    <w:p>
      <w:pPr>
        <w:ind w:left="1300" w:right="260" w:hanging="410"/>
        <w:spacing w:after="0" w:line="27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more options there are in our digital asset marketplace, the more liquidity opportunities consumers will have, and the more reasons they will have to engage with our platform.</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larger our platform user base becomes, the more instant liquidity will be available, and the more attractive our platform and payment method will become for merchants.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more merchants there are on our platform, the more opportunities consumers will have to transact on our platform.</w:t>
      </w:r>
    </w:p>
    <w:p>
      <w:pPr>
        <w:spacing w:after="0" w:line="216"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As consumers transact and the network grows, more revenue will be generated. More opportunities to generate targeted hyper-personalized rewards drive will further consumer engagement with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128905</wp:posOffset>
            </wp:positionV>
            <wp:extent cx="3438525" cy="255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3852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Go To Market Approach</w:t>
      </w:r>
    </w:p>
    <w:p>
      <w:pPr>
        <w:spacing w:after="0" w:line="113"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Our go to market plans address opportunities with institutions, consumers, and businesses. As we see growth in these areas, we will leverage our relationships to utilize co-marketing as the primary channel for consumer acquisition and engagement.</w:t>
      </w:r>
    </w:p>
    <w:p>
      <w:pPr>
        <w:spacing w:after="0" w:line="165"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Our institutional client model involves direct engagement with institutions and is predicated on building products and supporting assets that are unique and appeal to the sector. Our institutional custody and trading plan</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840"/>
          </w:cols>
          <w:pgMar w:left="320" w:top="471" w:right="7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60"/>
        <w:spacing w:after="0" w:line="265" w:lineRule="auto"/>
        <w:rPr>
          <w:sz w:val="20"/>
          <w:szCs w:val="20"/>
          <w:color w:val="auto"/>
        </w:rPr>
      </w:pPr>
      <w:r>
        <w:rPr>
          <w:rFonts w:ascii="Arial" w:cs="Arial" w:eastAsia="Arial" w:hAnsi="Arial"/>
          <w:sz w:val="17"/>
          <w:szCs w:val="17"/>
          <w:color w:val="auto"/>
        </w:rPr>
        <w:t>is to add additional cryptocurrencies and additional futures contracts and evaluate other products, including but not limited to an ETF and lending. We believe executing on this plan will also make our consumer offering more attractive to a wider audience, increasing platform user engagement as users view our platform as an opportunity for value creation resulting in additional liquidity.</w:t>
      </w:r>
    </w:p>
    <w:p>
      <w:pPr>
        <w:spacing w:after="0" w:line="176"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continue to expand our loyalty redemption platform offering within existing enterprise and consumer clients and into new strategic opportunities. For example, while the spend in travel has been depressed by the COVID-19 pandemic, we gained market share by expanding our travel redemption business with two of the top five North American financial institutions ahead of the predicted rebound in late 2021 and 2022. Doing so has created two new strategic clients whose loyalty assets and consumer reach far outweigh the travel redemption revenue opportunity. We will continue to sell our loyalty redemption solutions to strategic targets to solve their loyalty liability issues and open up opportunities to partner with us on our platform user acquisition, engagement and digital asset strategy.</w:t>
      </w:r>
    </w:p>
    <w:p>
      <w:pPr>
        <w:spacing w:after="0" w:line="185" w:lineRule="exact"/>
        <w:rPr>
          <w:sz w:val="20"/>
          <w:szCs w:val="20"/>
          <w:color w:val="auto"/>
        </w:rPr>
      </w:pPr>
    </w:p>
    <w:p>
      <w:pPr>
        <w:ind w:left="380" w:right="280" w:firstLine="420"/>
        <w:spacing w:after="0" w:line="259" w:lineRule="auto"/>
        <w:rPr>
          <w:sz w:val="20"/>
          <w:szCs w:val="20"/>
          <w:color w:val="auto"/>
        </w:rPr>
      </w:pPr>
      <w:r>
        <w:rPr>
          <w:rFonts w:ascii="Arial" w:cs="Arial" w:eastAsia="Arial" w:hAnsi="Arial"/>
          <w:sz w:val="17"/>
          <w:szCs w:val="17"/>
          <w:color w:val="auto"/>
        </w:rPr>
        <w:t>Our consumer acquisition strategy has two main efforts: co-marketing with businesses and other strategic partners and direct to consumer marketing. Co-marketing with strategic partners is the focus of our go to market plan for increasing platform users. We will continue to seek and secure co-marketing opportunities with premier brands with whom we partner on payments (merchants) and/or loyalty conversion (loyalty partners). Direct to consumer marketing represents a fraction of our expected user acquisition forecast and is supported by targeted advertising, user referral programs, blog posts and organic acquisition.</w:t>
      </w:r>
    </w:p>
    <w:p>
      <w:pPr>
        <w:spacing w:after="0" w:line="180" w:lineRule="exact"/>
        <w:rPr>
          <w:sz w:val="20"/>
          <w:szCs w:val="20"/>
          <w:color w:val="auto"/>
        </w:rPr>
      </w:pPr>
    </w:p>
    <w:p>
      <w:pPr>
        <w:ind w:left="380" w:right="600" w:firstLine="420"/>
        <w:spacing w:after="0" w:line="275" w:lineRule="auto"/>
        <w:rPr>
          <w:sz w:val="20"/>
          <w:szCs w:val="20"/>
          <w:color w:val="auto"/>
        </w:rPr>
      </w:pPr>
      <w:r>
        <w:rPr>
          <w:rFonts w:ascii="Arial" w:cs="Arial" w:eastAsia="Arial" w:hAnsi="Arial"/>
          <w:sz w:val="16"/>
          <w:szCs w:val="16"/>
          <w:color w:val="auto"/>
        </w:rPr>
        <w:t>We have established a co-marketing relationship with Starbucks, to whom we provide our alternative payment method. We are engaged in a co-marketing effort to encourage Starbucks’ U.S. domestic users to sign up for our consumer app. We also have entered into</w:t>
      </w:r>
    </w:p>
    <w:p>
      <w:pPr>
        <w:spacing w:after="0" w:line="1"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a co-marketing relationship with Choice Hotels to provide incentives for their users to sign up for our consumer app to register their Choice Privileges points within the app and convert points into other supported assets.</w:t>
      </w:r>
    </w:p>
    <w:p>
      <w:pPr>
        <w:spacing w:after="0" w:line="175"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We are actively pursuing additional co-marketing opportunities across a broad range of market segments, with a targeted approach to generate user acquisition, payment flow and bring large digital asset brands into our ecosystem. We believe these co-marketing efforts will generate network effects reinforcing our direct to consumer and organic growth efforts.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Technology</w:t>
      </w:r>
    </w:p>
    <w:p>
      <w:pPr>
        <w:spacing w:after="0" w:line="11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Our infrastructure allows consumers to redeem and convert, spend and pay, send and trade digital assets. This is enabled by our core platforms and infrastructure which provide loyalty integrations, virtual bank/credit cards, travel redemption, “know your customer” (“</w:t>
      </w:r>
      <w:r>
        <w:rPr>
          <w:rFonts w:ascii="Arial" w:cs="Arial" w:eastAsia="Arial" w:hAnsi="Arial"/>
          <w:sz w:val="17"/>
          <w:szCs w:val="17"/>
          <w:b w:val="1"/>
          <w:bCs w:val="1"/>
          <w:color w:val="auto"/>
        </w:rPr>
        <w:t>KYC</w:t>
      </w:r>
      <w:r>
        <w:rPr>
          <w:rFonts w:ascii="Arial" w:cs="Arial" w:eastAsia="Arial" w:hAnsi="Arial"/>
          <w:sz w:val="17"/>
          <w:szCs w:val="17"/>
          <w:color w:val="auto"/>
        </w:rPr>
        <w:t>”), anti-money laundering (“</w:t>
      </w:r>
      <w:r>
        <w:rPr>
          <w:rFonts w:ascii="Arial" w:cs="Arial" w:eastAsia="Arial" w:hAnsi="Arial"/>
          <w:sz w:val="17"/>
          <w:szCs w:val="17"/>
          <w:b w:val="1"/>
          <w:bCs w:val="1"/>
          <w:color w:val="auto"/>
        </w:rPr>
        <w:t>AML</w:t>
      </w:r>
      <w:r>
        <w:rPr>
          <w:rFonts w:ascii="Arial" w:cs="Arial" w:eastAsia="Arial" w:hAnsi="Arial"/>
          <w:sz w:val="17"/>
          <w:szCs w:val="17"/>
          <w:color w:val="auto"/>
        </w:rPr>
        <w:t>”), anti-fraud, digital asset exchange, and buy/sell trading. Our technology supports all components of our platform: a digital asset marketplace, a loyalty redemption service, an alternative payment method, and our consumer app.</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Redemption Service</w:t>
      </w:r>
    </w:p>
    <w:p>
      <w:pPr>
        <w:spacing w:after="0" w:line="107" w:lineRule="exact"/>
        <w:rPr>
          <w:sz w:val="20"/>
          <w:szCs w:val="20"/>
          <w:color w:val="auto"/>
        </w:rPr>
      </w:pPr>
    </w:p>
    <w:p>
      <w:pPr>
        <w:ind w:left="380" w:right="140" w:firstLine="420"/>
        <w:spacing w:after="0" w:line="263" w:lineRule="auto"/>
        <w:rPr>
          <w:sz w:val="20"/>
          <w:szCs w:val="20"/>
          <w:color w:val="auto"/>
        </w:rPr>
      </w:pPr>
      <w:r>
        <w:rPr>
          <w:rFonts w:ascii="Arial" w:cs="Arial" w:eastAsia="Arial" w:hAnsi="Arial"/>
          <w:sz w:val="17"/>
          <w:szCs w:val="17"/>
          <w:color w:val="auto"/>
        </w:rPr>
        <w:t>Our loyalty redemption service is provided as software as a service (“</w:t>
      </w:r>
      <w:r>
        <w:rPr>
          <w:rFonts w:ascii="Arial" w:cs="Arial" w:eastAsia="Arial" w:hAnsi="Arial"/>
          <w:sz w:val="17"/>
          <w:szCs w:val="17"/>
          <w:b w:val="1"/>
          <w:bCs w:val="1"/>
          <w:color w:val="auto"/>
        </w:rPr>
        <w:t>SaaS</w:t>
      </w:r>
      <w:r>
        <w:rPr>
          <w:rFonts w:ascii="Arial" w:cs="Arial" w:eastAsia="Arial" w:hAnsi="Arial"/>
          <w:sz w:val="17"/>
          <w:szCs w:val="17"/>
          <w:color w:val="auto"/>
        </w:rPr>
        <w:t>”) and powers rewards redemptions for leading loyalty programs. The SaaS storefronts that enable shopping with rewards for merchandise, travel, gift cards, event tickets and branded electronics products all are highly configurable. The service is built upon highly scalable proprietary technology and supports integrations with over 75 suppliers that curate and present over five million catalog items.</w:t>
      </w:r>
    </w:p>
    <w:p>
      <w:pPr>
        <w:spacing w:after="0" w:line="178" w:lineRule="exact"/>
        <w:rPr>
          <w:sz w:val="20"/>
          <w:szCs w:val="20"/>
          <w:color w:val="auto"/>
        </w:rPr>
      </w:pPr>
    </w:p>
    <w:p>
      <w:pPr>
        <w:ind w:left="380" w:right="560" w:firstLine="420"/>
        <w:spacing w:after="0" w:line="278" w:lineRule="auto"/>
        <w:rPr>
          <w:sz w:val="20"/>
          <w:szCs w:val="20"/>
          <w:color w:val="auto"/>
        </w:rPr>
      </w:pPr>
      <w:r>
        <w:rPr>
          <w:rFonts w:ascii="Arial" w:cs="Arial" w:eastAsia="Arial" w:hAnsi="Arial"/>
          <w:sz w:val="17"/>
          <w:szCs w:val="17"/>
          <w:color w:val="auto"/>
        </w:rPr>
        <w:t>The white-labeled loyalty redemption platform is delivered as a mobile-first, responsive web app, and can stand alone or be integrated into partners’ apps or sites. The platform is built for scale and can handle hundreds of thousands of transactions in a day.</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860"/>
          </w:cols>
          <w:pgMar w:left="320" w:top="471" w:right="71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Proprietary Payments Platform</w:t>
      </w:r>
    </w:p>
    <w:p>
      <w:pPr>
        <w:spacing w:after="0" w:line="113"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Our proprietary payments platform is a two-sided, fully integrated, cloud-based scalable payments platform. Transactions processed on this payments platform originate from direct integration with loyalty partners, our loyalty redemption service, or our proprietary cryptocurrency trading platform.</w:t>
      </w:r>
    </w:p>
    <w:p>
      <w:pPr>
        <w:spacing w:after="0" w:line="176" w:lineRule="exact"/>
        <w:rPr>
          <w:sz w:val="20"/>
          <w:szCs w:val="20"/>
          <w:color w:val="auto"/>
        </w:rPr>
      </w:pPr>
    </w:p>
    <w:p>
      <w:pPr>
        <w:ind w:left="380" w:right="40" w:firstLine="420"/>
        <w:spacing w:after="0" w:line="317" w:lineRule="auto"/>
        <w:rPr>
          <w:sz w:val="20"/>
          <w:szCs w:val="20"/>
          <w:color w:val="auto"/>
        </w:rPr>
      </w:pPr>
      <w:r>
        <w:rPr>
          <w:rFonts w:ascii="Arial" w:cs="Arial" w:eastAsia="Arial" w:hAnsi="Arial"/>
          <w:sz w:val="15"/>
          <w:szCs w:val="15"/>
          <w:color w:val="auto"/>
        </w:rPr>
        <w:t>It is deployed using managed container services and managed databases in the cloud to scale on demand. With its cloud-first approach and containerization, our platform can scale horizontally to meet the demands of the business or grow elastically to serve peak traffic. The platform contains an in-house risk and compliance engine as well as third-party tools to manage rules and regulations related to KYC, AML and fraud monitoring.</w:t>
      </w:r>
    </w:p>
    <w:p>
      <w:pPr>
        <w:spacing w:after="0" w:line="140"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Our payment APIs conform to industry standards and are used by merchants to accept our alternative payment method either in-app, in-store or online. We provide management portals for our merchants and our internal support staff. Merchants can use the management portal to administer all aspects of our payment method, including risk, fraud and settlement processing.</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Digital Asset Marketplace</w:t>
      </w:r>
    </w:p>
    <w:p>
      <w:pPr>
        <w:spacing w:after="0" w:line="113"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Our digital asset marketplace is an institutional-grade cryptocurrency custody and trading platform. It is primarily comprised of our custody platform, the Bakkt Warehouse, and our pricing execution engine.</w:t>
      </w:r>
    </w:p>
    <w:p>
      <w:pPr>
        <w:spacing w:after="0" w:line="165" w:lineRule="exact"/>
        <w:rPr>
          <w:sz w:val="20"/>
          <w:szCs w:val="20"/>
          <w:color w:val="auto"/>
        </w:rPr>
      </w:pPr>
    </w:p>
    <w:p>
      <w:pPr>
        <w:ind w:left="380" w:right="140" w:firstLine="420"/>
        <w:spacing w:after="0" w:line="261" w:lineRule="auto"/>
        <w:rPr>
          <w:sz w:val="20"/>
          <w:szCs w:val="20"/>
          <w:color w:val="auto"/>
        </w:rPr>
      </w:pPr>
      <w:r>
        <w:rPr>
          <w:rFonts w:ascii="Arial" w:cs="Arial" w:eastAsia="Arial" w:hAnsi="Arial"/>
          <w:sz w:val="17"/>
          <w:szCs w:val="17"/>
          <w:color w:val="auto"/>
        </w:rPr>
        <w:t>The custody platform is purpose-built from the ground up to safeguard digital assets. Multi-signature wallet policies, hardware security modules and offline storage of private key material, blockchain surveillance and bank-style AML / KYC compliance all are integrated into the core of our platform. The Bakkt Warehouse is integrated with ICE’s futures exchange for ease of trading, clearing, and delivery. The custody platform is hosted in geographically dispersed data centers owned by ICE.</w:t>
      </w:r>
    </w:p>
    <w:p>
      <w:pPr>
        <w:spacing w:after="0" w:line="179" w:lineRule="exact"/>
        <w:rPr>
          <w:sz w:val="20"/>
          <w:szCs w:val="20"/>
          <w:color w:val="auto"/>
        </w:rPr>
      </w:pPr>
    </w:p>
    <w:p>
      <w:pPr>
        <w:ind w:left="380" w:right="120" w:firstLine="420"/>
        <w:spacing w:after="0" w:line="261" w:lineRule="auto"/>
        <w:rPr>
          <w:sz w:val="20"/>
          <w:szCs w:val="20"/>
          <w:color w:val="auto"/>
        </w:rPr>
      </w:pPr>
      <w:r>
        <w:rPr>
          <w:rFonts w:ascii="Arial" w:cs="Arial" w:eastAsia="Arial" w:hAnsi="Arial"/>
          <w:sz w:val="17"/>
          <w:szCs w:val="17"/>
          <w:color w:val="auto"/>
        </w:rPr>
        <w:t>Our pricing execution engine is an automated trading system that facilitates the purchase and sale of cryptocurrencies by consumers. The pricing execution engine is built to maximize availability of funds and mitigate risk, such as pricing discrepancies, short term volatility and market liquidity, both for us and our consumers, using proprietary risk algorithms and external market data. The pricing execution engine is deployed using the cloud to scale on demand.</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Our consumer app is a digital wallet, an alternative payment method, and an asset conversion service for digital assets. Our app is delivered as a native iOS and Android app and provides a simple, personal intuitive customer experience that takes advantage of the unique features of each operating system.</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Competitive Strengths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that our business model will provide us several competitive advantages, including:</w:t>
      </w:r>
    </w:p>
    <w:p>
      <w:pPr>
        <w:spacing w:after="0" w:line="216" w:lineRule="exact"/>
        <w:rPr>
          <w:sz w:val="20"/>
          <w:szCs w:val="20"/>
          <w:color w:val="auto"/>
        </w:rPr>
      </w:pPr>
    </w:p>
    <w:p>
      <w:pPr>
        <w:ind w:left="380" w:right="180" w:firstLine="420"/>
        <w:spacing w:after="0" w:line="265" w:lineRule="auto"/>
        <w:rPr>
          <w:sz w:val="20"/>
          <w:szCs w:val="20"/>
          <w:color w:val="auto"/>
        </w:rPr>
      </w:pPr>
      <w:r>
        <w:rPr>
          <w:rFonts w:ascii="Arial" w:cs="Arial" w:eastAsia="Arial" w:hAnsi="Arial"/>
          <w:sz w:val="17"/>
          <w:szCs w:val="17"/>
          <w:b w:val="1"/>
          <w:bCs w:val="1"/>
          <w:i w:val="1"/>
          <w:iCs w:val="1"/>
          <w:color w:val="auto"/>
        </w:rPr>
        <w:t>Liquidity for Captive Digital Assets</w:t>
      </w:r>
      <w:r>
        <w:rPr>
          <w:rFonts w:ascii="Arial" w:cs="Arial" w:eastAsia="Arial" w:hAnsi="Arial"/>
          <w:sz w:val="17"/>
          <w:szCs w:val="17"/>
          <w:color w:val="auto"/>
        </w:rPr>
        <w:t>. We believe our platform is unique in the digital asset space, enabling the aggregation of a broad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assets, enhancing consumer spending power by creating liquidity for captive digital assets, and adding value for all key stakeholders within the payments and digital assets ecosystem.</w:t>
      </w:r>
    </w:p>
    <w:p>
      <w:pPr>
        <w:spacing w:after="0" w:line="176"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b w:val="1"/>
          <w:bCs w:val="1"/>
          <w:i w:val="1"/>
          <w:iCs w:val="1"/>
          <w:color w:val="auto"/>
        </w:rPr>
        <w:t>Powerful Partnerships and Integrations</w:t>
      </w:r>
      <w:r>
        <w:rPr>
          <w:rFonts w:ascii="Arial" w:cs="Arial" w:eastAsia="Arial" w:hAnsi="Arial"/>
          <w:sz w:val="17"/>
          <w:szCs w:val="17"/>
          <w:color w:val="auto"/>
        </w:rPr>
        <w:t>. We have deep relationships with, and connections into, a significant portion of the premier loyalty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in North America. We believe these connections will provide self- reinforcing network effects such as loyalty partners co-marketing our platform to their customers to deepen customer loyalty, increased merchant participation to attract loyalty customers and other consumers, and increased consumer participation to take advantage of increased liquidity opportunities.</w:t>
      </w:r>
    </w:p>
    <w:p>
      <w:pPr>
        <w:spacing w:after="0" w:line="179" w:lineRule="exact"/>
        <w:rPr>
          <w:sz w:val="20"/>
          <w:szCs w:val="20"/>
          <w:color w:val="auto"/>
        </w:rPr>
      </w:pPr>
    </w:p>
    <w:p>
      <w:pPr>
        <w:ind w:left="380" w:right="180" w:firstLine="420"/>
        <w:spacing w:after="0" w:line="278" w:lineRule="auto"/>
        <w:rPr>
          <w:sz w:val="20"/>
          <w:szCs w:val="20"/>
          <w:color w:val="auto"/>
        </w:rPr>
      </w:pPr>
      <w:r>
        <w:rPr>
          <w:rFonts w:ascii="Arial" w:cs="Arial" w:eastAsia="Arial" w:hAnsi="Arial"/>
          <w:sz w:val="17"/>
          <w:szCs w:val="17"/>
          <w:b w:val="1"/>
          <w:bCs w:val="1"/>
          <w:i w:val="1"/>
          <w:iCs w:val="1"/>
          <w:color w:val="auto"/>
        </w:rPr>
        <w:t>Digital Asset-Native Architecture</w:t>
      </w:r>
      <w:r>
        <w:rPr>
          <w:rFonts w:ascii="Arial" w:cs="Arial" w:eastAsia="Arial" w:hAnsi="Arial"/>
          <w:sz w:val="17"/>
          <w:szCs w:val="17"/>
          <w:color w:val="auto"/>
        </w:rPr>
        <w:t>. Our platform architecture is engineered to natively support digital assets across a wide range of classes,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scalability and strong regulatory and compliance controls, providing</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840"/>
          </w:cols>
          <w:pgMar w:left="320" w:top="471" w:right="7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20"/>
        <w:spacing w:after="0" w:line="278" w:lineRule="auto"/>
        <w:rPr>
          <w:sz w:val="20"/>
          <w:szCs w:val="20"/>
          <w:color w:val="auto"/>
        </w:rPr>
      </w:pPr>
      <w:r>
        <w:rPr>
          <w:rFonts w:ascii="Arial" w:cs="Arial" w:eastAsia="Arial" w:hAnsi="Arial"/>
          <w:sz w:val="17"/>
          <w:szCs w:val="17"/>
          <w:color w:val="auto"/>
        </w:rPr>
        <w:t>competitive differentiation. Rather than being a legacy payment technology trying to support new assets, our platform meets all of the regulatory requirements to accumulate digital assets in a secure environment.</w:t>
      </w:r>
    </w:p>
    <w:p>
      <w:pPr>
        <w:spacing w:after="0" w:line="165"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b w:val="1"/>
          <w:bCs w:val="1"/>
          <w:i w:val="1"/>
          <w:iCs w:val="1"/>
          <w:color w:val="auto"/>
        </w:rPr>
        <w:t>Diversified Revenue Streams</w:t>
      </w:r>
      <w:r>
        <w:rPr>
          <w:rFonts w:ascii="Arial" w:cs="Arial" w:eastAsia="Arial" w:hAnsi="Arial"/>
          <w:sz w:val="16"/>
          <w:szCs w:val="16"/>
          <w:color w:val="auto"/>
        </w:rPr>
        <w:t>. We believe that further growth of our diversified revenue streams should provide a path to positive cash flow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additional capital required post-financing. Across our platform, we have multiple opportunities to generate and grow revenue through a diverse set of fees and charges, including but not limited to merchant discount rates, transaction fees, subscription fees and a margin we add to the price at which a consumer buys or sells cryptoassets to cover risks such as pricing discrepancies, short term volatility and market liquidity.</w:t>
      </w:r>
    </w:p>
    <w:p>
      <w:pPr>
        <w:spacing w:after="0" w:line="164"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b w:val="1"/>
          <w:bCs w:val="1"/>
          <w:i w:val="1"/>
          <w:iCs w:val="1"/>
          <w:color w:val="auto"/>
        </w:rPr>
        <w:t>Trusted Platform</w:t>
      </w:r>
      <w:r>
        <w:rPr>
          <w:rFonts w:ascii="Arial" w:cs="Arial" w:eastAsia="Arial" w:hAnsi="Arial"/>
          <w:sz w:val="17"/>
          <w:szCs w:val="17"/>
          <w:color w:val="auto"/>
        </w:rPr>
        <w:t>. Our approach, which prioritizes technology, privacy, security and compliance, is informed by our team’s decades of collective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We believe these pillars, when applied to the rapidly evolving digital asset space, provide confidence to consumers, merchants, institutions and loyalty partners that participate in our ecosystem.</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Growth Strategies</w:t>
      </w:r>
    </w:p>
    <w:p>
      <w:pPr>
        <w:spacing w:after="0" w:line="119" w:lineRule="exact"/>
        <w:rPr>
          <w:sz w:val="20"/>
          <w:szCs w:val="20"/>
          <w:color w:val="auto"/>
        </w:rPr>
      </w:pPr>
    </w:p>
    <w:p>
      <w:pPr>
        <w:jc w:val="both"/>
        <w:ind w:left="380" w:right="560" w:firstLine="420"/>
        <w:spacing w:after="0" w:line="347" w:lineRule="auto"/>
        <w:rPr>
          <w:sz w:val="20"/>
          <w:szCs w:val="20"/>
          <w:color w:val="auto"/>
        </w:rPr>
      </w:pPr>
      <w:r>
        <w:rPr>
          <w:rFonts w:ascii="Arial" w:cs="Arial" w:eastAsia="Arial" w:hAnsi="Arial"/>
          <w:sz w:val="15"/>
          <w:szCs w:val="15"/>
          <w:color w:val="auto"/>
        </w:rPr>
        <w:t>We believe we are well positioned for future growth by leveraging our operational infrastructure, expertise and institutional and consumer approach and that our platform, partners and products will result in repeat use from our consumers. Our growth strategies include the following:</w:t>
      </w:r>
    </w:p>
    <w:p>
      <w:pPr>
        <w:spacing w:after="0" w:line="119" w:lineRule="exact"/>
        <w:rPr>
          <w:sz w:val="20"/>
          <w:szCs w:val="20"/>
          <w:color w:val="auto"/>
        </w:rPr>
      </w:pPr>
    </w:p>
    <w:p>
      <w:pPr>
        <w:ind w:left="380" w:right="120" w:firstLine="420"/>
        <w:spacing w:after="0" w:line="347" w:lineRule="auto"/>
        <w:rPr>
          <w:sz w:val="20"/>
          <w:szCs w:val="20"/>
          <w:color w:val="auto"/>
        </w:rPr>
      </w:pPr>
      <w:r>
        <w:rPr>
          <w:rFonts w:ascii="Arial" w:cs="Arial" w:eastAsia="Arial" w:hAnsi="Arial"/>
          <w:sz w:val="15"/>
          <w:szCs w:val="15"/>
          <w:b w:val="1"/>
          <w:bCs w:val="1"/>
          <w:i w:val="1"/>
          <w:iCs w:val="1"/>
          <w:color w:val="auto"/>
        </w:rPr>
        <w:t>Increasing the Breadth and Depth of Digital Assets Supported</w:t>
      </w:r>
      <w:r>
        <w:rPr>
          <w:rFonts w:ascii="Arial" w:cs="Arial" w:eastAsia="Arial" w:hAnsi="Arial"/>
          <w:sz w:val="15"/>
          <w:szCs w:val="15"/>
          <w:color w:val="auto"/>
        </w:rPr>
        <w:t>. We plan to add more and varied digital assets to our platform. This includes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additional loyalty points, cryptocurrencies, in-game assets, and securities such as equities, derivatives ETFs and other institutionally-focused products.</w:t>
      </w:r>
    </w:p>
    <w:p>
      <w:pPr>
        <w:spacing w:after="0" w:line="119" w:lineRule="exact"/>
        <w:rPr>
          <w:sz w:val="20"/>
          <w:szCs w:val="20"/>
          <w:color w:val="auto"/>
        </w:rPr>
      </w:pPr>
    </w:p>
    <w:p>
      <w:pPr>
        <w:ind w:left="380" w:right="20" w:firstLine="420"/>
        <w:spacing w:after="0" w:line="317" w:lineRule="auto"/>
        <w:rPr>
          <w:sz w:val="20"/>
          <w:szCs w:val="20"/>
          <w:color w:val="auto"/>
        </w:rPr>
      </w:pPr>
      <w:r>
        <w:rPr>
          <w:rFonts w:ascii="Arial" w:cs="Arial" w:eastAsia="Arial" w:hAnsi="Arial"/>
          <w:sz w:val="15"/>
          <w:szCs w:val="15"/>
          <w:b w:val="1"/>
          <w:bCs w:val="1"/>
          <w:i w:val="1"/>
          <w:iCs w:val="1"/>
          <w:color w:val="auto"/>
        </w:rPr>
        <w:t>Adding Co-Branded Partnerships</w:t>
      </w:r>
      <w:r>
        <w:rPr>
          <w:rFonts w:ascii="Arial" w:cs="Arial" w:eastAsia="Arial" w:hAnsi="Arial"/>
          <w:sz w:val="15"/>
          <w:szCs w:val="15"/>
          <w:color w:val="auto"/>
        </w:rPr>
        <w:t>. We plan to establish co-branded partnerships with leading payment ecosystem participants. We believe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these solutions will broaden the reach of our platform, generate revenue, and generate additional consumers at a favorable cost of customer acquisition. In addition, we believe these partnerships could provide the opportunity for us to become the market platform for digital asset aggregation and liquidity.</w:t>
      </w:r>
    </w:p>
    <w:p>
      <w:pPr>
        <w:spacing w:after="0" w:line="140" w:lineRule="exact"/>
        <w:rPr>
          <w:sz w:val="20"/>
          <w:szCs w:val="20"/>
          <w:color w:val="auto"/>
        </w:rPr>
      </w:pPr>
    </w:p>
    <w:p>
      <w:pPr>
        <w:ind w:left="380" w:right="220" w:firstLine="420"/>
        <w:spacing w:after="0" w:line="282" w:lineRule="auto"/>
        <w:rPr>
          <w:sz w:val="20"/>
          <w:szCs w:val="20"/>
          <w:color w:val="auto"/>
        </w:rPr>
      </w:pPr>
      <w:r>
        <w:rPr>
          <w:rFonts w:ascii="Arial" w:cs="Arial" w:eastAsia="Arial" w:hAnsi="Arial"/>
          <w:sz w:val="16"/>
          <w:szCs w:val="16"/>
          <w:b w:val="1"/>
          <w:bCs w:val="1"/>
          <w:i w:val="1"/>
          <w:iCs w:val="1"/>
          <w:color w:val="auto"/>
        </w:rPr>
        <w:t>Adding Additional Cryptocurrency-Based Products</w:t>
      </w:r>
      <w:r>
        <w:rPr>
          <w:rFonts w:ascii="Arial" w:cs="Arial" w:eastAsia="Arial" w:hAnsi="Arial"/>
          <w:sz w:val="16"/>
          <w:szCs w:val="16"/>
          <w:color w:val="auto"/>
        </w:rPr>
        <w:t>. We believe our institutional-grade cryptocurrency custody solution provides an attractive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 for the expansion of new products and services for retail and institutional investors, for example, cryptolending services and cryptoasset collateralization. By increasing the acceptance of cryptocurrency investing in the institutional space, we believe that these additional products can thereby further interest in cryptocurrency generally among consumers, benefiting our platform.</w:t>
      </w:r>
    </w:p>
    <w:p>
      <w:pPr>
        <w:spacing w:after="0" w:line="164" w:lineRule="exact"/>
        <w:rPr>
          <w:sz w:val="20"/>
          <w:szCs w:val="20"/>
          <w:color w:val="auto"/>
        </w:rPr>
      </w:pPr>
    </w:p>
    <w:p>
      <w:pPr>
        <w:ind w:left="380" w:right="140" w:firstLine="420"/>
        <w:spacing w:after="0" w:line="317" w:lineRule="auto"/>
        <w:rPr>
          <w:sz w:val="20"/>
          <w:szCs w:val="20"/>
          <w:color w:val="auto"/>
        </w:rPr>
      </w:pPr>
      <w:r>
        <w:rPr>
          <w:rFonts w:ascii="Arial" w:cs="Arial" w:eastAsia="Arial" w:hAnsi="Arial"/>
          <w:sz w:val="15"/>
          <w:szCs w:val="15"/>
          <w:b w:val="1"/>
          <w:bCs w:val="1"/>
          <w:i w:val="1"/>
          <w:iCs w:val="1"/>
          <w:color w:val="auto"/>
        </w:rPr>
        <w:t>Increasing Merchant Participation</w:t>
      </w:r>
      <w:r>
        <w:rPr>
          <w:rFonts w:ascii="Arial" w:cs="Arial" w:eastAsia="Arial" w:hAnsi="Arial"/>
          <w:sz w:val="15"/>
          <w:szCs w:val="15"/>
          <w:color w:val="auto"/>
        </w:rPr>
        <w:t>. We plan to increase merchant participation by enhancing existing service offerings to help merchants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businesses and improve margins. These offerings may leverage direct merchant payments, aggregated and de-identified consumer analytics, curated rewards and offers, and other services as warranted and appropriate for the expanded digital assets available within our platform.</w:t>
      </w:r>
    </w:p>
    <w:p>
      <w:pPr>
        <w:spacing w:after="0" w:line="140"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b w:val="1"/>
          <w:bCs w:val="1"/>
          <w:i w:val="1"/>
          <w:iCs w:val="1"/>
          <w:color w:val="auto"/>
        </w:rPr>
        <w:t>Expanding Internationally</w:t>
      </w:r>
      <w:r>
        <w:rPr>
          <w:rFonts w:ascii="Arial" w:cs="Arial" w:eastAsia="Arial" w:hAnsi="Arial"/>
          <w:sz w:val="17"/>
          <w:szCs w:val="17"/>
          <w:color w:val="auto"/>
        </w:rPr>
        <w:t>. We expect to expand our platform into new markets. While the exact sequence and identity of additional markets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yet to be determined, we presently anticipate expanding next into Australia, Canada, and the United Kingdom. Ultimately, the decision as to where to expand will be driven by client and consumer demand and the regulatory environment in those markets.</w:t>
      </w:r>
    </w:p>
    <w:p>
      <w:pPr>
        <w:spacing w:after="0" w:line="176"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b w:val="1"/>
          <w:bCs w:val="1"/>
          <w:i w:val="1"/>
          <w:iCs w:val="1"/>
          <w:color w:val="auto"/>
        </w:rPr>
        <w:t>Supporting NFT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core platform can support and promote NFT markets as they grow and develop across custody, liquidity,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 management. We can deliver a secure, transparent, and scalable model for all NFT participants, including artists/creators, retailers, consumers, investors, and financial institutions.</w:t>
      </w:r>
    </w:p>
    <w:p>
      <w:pPr>
        <w:spacing w:after="0" w:line="176" w:lineRule="exact"/>
        <w:rPr>
          <w:sz w:val="20"/>
          <w:szCs w:val="20"/>
          <w:color w:val="auto"/>
        </w:rPr>
      </w:pPr>
    </w:p>
    <w:p>
      <w:pPr>
        <w:ind w:left="380" w:right="400" w:firstLine="420"/>
        <w:spacing w:after="0" w:line="278" w:lineRule="auto"/>
        <w:rPr>
          <w:sz w:val="20"/>
          <w:szCs w:val="20"/>
          <w:color w:val="auto"/>
        </w:rPr>
      </w:pPr>
      <w:r>
        <w:rPr>
          <w:rFonts w:ascii="Arial" w:cs="Arial" w:eastAsia="Arial" w:hAnsi="Arial"/>
          <w:sz w:val="17"/>
          <w:szCs w:val="17"/>
          <w:b w:val="1"/>
          <w:bCs w:val="1"/>
          <w:i w:val="1"/>
          <w:iCs w:val="1"/>
          <w:color w:val="auto"/>
        </w:rPr>
        <w:t>Forming Loyalty Coalitions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build a suite of integrated loyalty partners and a large active consumer population, we can create deeper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partnerships across merchants with Bakkt at the center of these loyalty</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820"/>
          </w:cols>
          <w:pgMar w:left="320" w:top="471" w:right="7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spacing w:after="0" w:line="278" w:lineRule="auto"/>
        <w:rPr>
          <w:sz w:val="20"/>
          <w:szCs w:val="20"/>
          <w:color w:val="auto"/>
        </w:rPr>
      </w:pPr>
      <w:r>
        <w:rPr>
          <w:rFonts w:ascii="Arial" w:cs="Arial" w:eastAsia="Arial" w:hAnsi="Arial"/>
          <w:sz w:val="17"/>
          <w:szCs w:val="17"/>
          <w:color w:val="auto"/>
        </w:rPr>
        <w:t>“coalitions.” As loyalty programs seek new ways to leverage customer data and behaviors to deliver value, our broad reach and access to multiple areas of consumer behaviors will allow for deeper loyalty program engagement.</w:t>
      </w:r>
    </w:p>
    <w:p>
      <w:pPr>
        <w:spacing w:after="0" w:line="15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b w:val="1"/>
          <w:bCs w:val="1"/>
          <w:i w:val="1"/>
          <w:iCs w:val="1"/>
          <w:color w:val="auto"/>
        </w:rPr>
        <w:t>Powering Central Bank Digital Currencies</w:t>
      </w:r>
      <w:r>
        <w:rPr>
          <w:rFonts w:ascii="Arial" w:cs="Arial" w:eastAsia="Arial" w:hAnsi="Arial"/>
          <w:sz w:val="17"/>
          <w:szCs w:val="17"/>
          <w:color w:val="auto"/>
        </w:rPr>
        <w:t>. Governments around the world are actively exploring central bank digital currencies (“</w:t>
      </w:r>
      <w:r>
        <w:rPr>
          <w:rFonts w:ascii="Arial" w:cs="Arial" w:eastAsia="Arial" w:hAnsi="Arial"/>
          <w:sz w:val="17"/>
          <w:szCs w:val="17"/>
          <w:b w:val="1"/>
          <w:bCs w:val="1"/>
          <w:color w:val="auto"/>
        </w:rPr>
        <w:t>CBDCs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our strategic relationship with ICE, and that ICE Clear Credit LLC has been designated as a “systemically important financial market utility” by the U.S. Financial Stability Oversight Council, we are uniquely positioned to support the creation of CBDCs. Our platform provides the capability to aid in the design, development, and operation of CBDCs for the U.S. and other countries, positioning us as a key potential partner in the development of disruptive new payment systems.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Competition</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loyalty, rewards, payment and investment industries are highly competitive, rapidly changing and highly innovative.</w:t>
      </w:r>
    </w:p>
    <w:p>
      <w:pPr>
        <w:spacing w:after="0" w:line="216" w:lineRule="exact"/>
        <w:rPr>
          <w:sz w:val="20"/>
          <w:szCs w:val="20"/>
          <w:color w:val="auto"/>
        </w:rPr>
      </w:pPr>
    </w:p>
    <w:p>
      <w:pPr>
        <w:ind w:left="380" w:right="360" w:firstLine="420"/>
        <w:spacing w:after="0" w:line="275" w:lineRule="auto"/>
        <w:rPr>
          <w:sz w:val="20"/>
          <w:szCs w:val="20"/>
          <w:color w:val="auto"/>
        </w:rPr>
      </w:pPr>
      <w:r>
        <w:rPr>
          <w:rFonts w:ascii="Arial" w:cs="Arial" w:eastAsia="Arial" w:hAnsi="Arial"/>
          <w:sz w:val="16"/>
          <w:szCs w:val="16"/>
          <w:color w:val="auto"/>
        </w:rPr>
        <w:t>Although we do not believe that we have any single direct competitor for the full range of products we will provide through our platform, we compete or, upon introduction of certain services, will compete at multiple levels, including competition with other: (i) cryptoasset</w:t>
      </w:r>
    </w:p>
    <w:p>
      <w:pPr>
        <w:spacing w:after="0" w:line="1" w:lineRule="exact"/>
        <w:rPr>
          <w:sz w:val="20"/>
          <w:szCs w:val="20"/>
          <w:color w:val="auto"/>
        </w:rPr>
      </w:pPr>
    </w:p>
    <w:p>
      <w:pPr>
        <w:ind w:left="380" w:right="1960"/>
        <w:spacing w:after="0" w:line="296" w:lineRule="auto"/>
        <w:rPr>
          <w:sz w:val="20"/>
          <w:szCs w:val="20"/>
          <w:color w:val="auto"/>
        </w:rPr>
      </w:pPr>
      <w:r>
        <w:rPr>
          <w:rFonts w:ascii="Arial" w:cs="Arial" w:eastAsia="Arial" w:hAnsi="Arial"/>
          <w:sz w:val="16"/>
          <w:szCs w:val="16"/>
          <w:color w:val="auto"/>
        </w:rPr>
        <w:t>exchanges; (ii) peer-to-peer payment systems; (iii) loyalty programs’ redemption solutions; (iv) alternative payment method platforms; (v) app-based platforms for the services we provide; and (vi) equity securities trading apps.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compete primarily on the basis of the following:</w:t>
      </w:r>
    </w:p>
    <w:p>
      <w:pPr>
        <w:spacing w:after="0" w:line="126" w:lineRule="exact"/>
        <w:rPr>
          <w:sz w:val="20"/>
          <w:szCs w:val="20"/>
          <w:color w:val="auto"/>
        </w:rPr>
      </w:pPr>
    </w:p>
    <w:p>
      <w:pPr>
        <w:ind w:left="1300" w:hanging="410"/>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attract, retain, and engage loyalty partners, institutions, merchants and consumers on our platform;</w:t>
      </w:r>
    </w:p>
    <w:p>
      <w:pPr>
        <w:spacing w:after="0" w:line="126" w:lineRule="exact"/>
        <w:rPr>
          <w:rFonts w:ascii="Arial" w:cs="Arial" w:eastAsia="Arial" w:hAnsi="Arial"/>
          <w:sz w:val="17"/>
          <w:szCs w:val="17"/>
          <w:color w:val="auto"/>
        </w:rPr>
      </w:pPr>
    </w:p>
    <w:p>
      <w:pPr>
        <w:ind w:left="1300" w:right="400" w:hanging="410"/>
        <w:spacing w:after="0" w:line="278"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demonstrate to loyalty partners and merchants that they may achieve incremental sales by using and offering our services to consumers;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strength of our integrated solution over other potential coalitions of disparate point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consumer confidence in the safety, security, privacy and control of their information on our platform;</w:t>
      </w:r>
    </w:p>
    <w:p>
      <w:pPr>
        <w:spacing w:after="0" w:line="126" w:lineRule="exact"/>
        <w:rPr>
          <w:rFonts w:ascii="Arial" w:cs="Arial" w:eastAsia="Arial" w:hAnsi="Arial"/>
          <w:sz w:val="17"/>
          <w:szCs w:val="17"/>
          <w:color w:val="auto"/>
        </w:rPr>
      </w:pPr>
    </w:p>
    <w:p>
      <w:pPr>
        <w:ind w:left="1300" w:right="240" w:hanging="410"/>
        <w:spacing w:after="0" w:line="278"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develop products and services across multiple commerce channels, including mobile payments, payments at the retail point of sale, cryptoassets, and loyalty/rewards points; and</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system reliability, regulatory compliance and data security.</w:t>
      </w:r>
    </w:p>
    <w:p>
      <w:pPr>
        <w:spacing w:after="0" w:line="216" w:lineRule="exact"/>
        <w:rPr>
          <w:sz w:val="20"/>
          <w:szCs w:val="20"/>
          <w:color w:val="auto"/>
        </w:rPr>
      </w:pPr>
    </w:p>
    <w:p>
      <w:pPr>
        <w:jc w:val="both"/>
        <w:ind w:left="380" w:right="60" w:firstLine="420"/>
        <w:spacing w:after="0" w:line="265" w:lineRule="auto"/>
        <w:rPr>
          <w:sz w:val="20"/>
          <w:szCs w:val="20"/>
          <w:color w:val="auto"/>
        </w:rPr>
      </w:pPr>
      <w:r>
        <w:rPr>
          <w:rFonts w:ascii="Arial" w:cs="Arial" w:eastAsia="Arial" w:hAnsi="Arial"/>
          <w:sz w:val="17"/>
          <w:szCs w:val="17"/>
          <w:color w:val="auto"/>
        </w:rPr>
        <w:t>In addition to the discussion in this section, see “</w:t>
      </w:r>
      <w:r>
        <w:rPr>
          <w:rFonts w:ascii="Arial" w:cs="Arial" w:eastAsia="Arial" w:hAnsi="Arial"/>
          <w:sz w:val="17"/>
          <w:szCs w:val="17"/>
          <w:i w:val="1"/>
          <w:iCs w:val="1"/>
          <w:color w:val="auto"/>
        </w:rPr>
        <w:t>Risk Factors—Risks Related to Business, Finances and Operations—Bakkt faces substantial and</w:t>
      </w:r>
      <w:r>
        <w:rPr>
          <w:rFonts w:ascii="Arial" w:cs="Arial" w:eastAsia="Arial" w:hAnsi="Arial"/>
          <w:sz w:val="17"/>
          <w:szCs w:val="17"/>
          <w:color w:val="auto"/>
        </w:rPr>
        <w:t xml:space="preserve"> </w:t>
      </w:r>
      <w:r>
        <w:rPr>
          <w:rFonts w:ascii="Arial" w:cs="Arial" w:eastAsia="Arial" w:hAnsi="Arial"/>
          <w:sz w:val="17"/>
          <w:szCs w:val="17"/>
          <w:i w:val="1"/>
          <w:iCs w:val="1"/>
          <w:color w:val="auto"/>
        </w:rPr>
        <w:t>increasingly intense competition worldwide in the loyalty, rewards, payment and investment industries</w:t>
      </w:r>
      <w:r>
        <w:rPr>
          <w:rFonts w:ascii="Arial" w:cs="Arial" w:eastAsia="Arial" w:hAnsi="Arial"/>
          <w:sz w:val="17"/>
          <w:szCs w:val="17"/>
          <w:color w:val="auto"/>
        </w:rPr>
        <w:t>” for further discussion of the potential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on our business.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Cybersecurity</w:t>
      </w:r>
    </w:p>
    <w:p>
      <w:pPr>
        <w:spacing w:after="0" w:line="119" w:lineRule="exact"/>
        <w:rPr>
          <w:sz w:val="20"/>
          <w:szCs w:val="20"/>
          <w:color w:val="auto"/>
        </w:rPr>
      </w:pPr>
    </w:p>
    <w:p>
      <w:pPr>
        <w:ind w:left="380" w:right="120" w:firstLine="420"/>
        <w:spacing w:after="0" w:line="274" w:lineRule="auto"/>
        <w:rPr>
          <w:sz w:val="20"/>
          <w:szCs w:val="20"/>
          <w:color w:val="auto"/>
        </w:rPr>
      </w:pPr>
      <w:r>
        <w:rPr>
          <w:rFonts w:ascii="Arial" w:cs="Arial" w:eastAsia="Arial" w:hAnsi="Arial"/>
          <w:sz w:val="16"/>
          <w:szCs w:val="16"/>
          <w:color w:val="auto"/>
        </w:rPr>
        <w:t>Each of our products is designed, deployed and managed through controls designed to protect our consumers’ sensitive personally identifiable information (“</w:t>
      </w:r>
      <w:r>
        <w:rPr>
          <w:rFonts w:ascii="Arial" w:cs="Arial" w:eastAsia="Arial" w:hAnsi="Arial"/>
          <w:sz w:val="16"/>
          <w:szCs w:val="16"/>
          <w:b w:val="1"/>
          <w:bCs w:val="1"/>
          <w:color w:val="auto"/>
        </w:rPr>
        <w:t>PII</w:t>
      </w:r>
      <w:r>
        <w:rPr>
          <w:rFonts w:ascii="Arial" w:cs="Arial" w:eastAsia="Arial" w:hAnsi="Arial"/>
          <w:sz w:val="16"/>
          <w:szCs w:val="16"/>
          <w:color w:val="auto"/>
        </w:rPr>
        <w:t>”) or other data we store or manage in line with industry best practices. We maintain a comprehensive cyber security program, managed by a dedicated team of security professionals, leveraging multiple layers of defenses to protect consumer data and digital assets, including cryptocurrency that we keep in custody. For example, we operate a combination of physical, technical, and administrative controls, such as the use of biometrics, hardware security modules, Shamir’s secret sharing (a process of breaking up an encryption key into parts managed by different resources who must come together and share the shards for the key to work), 24x7 monitoring, armed guards, strict separation of duties and other controls to protect and restrict the movement of cryptoassets to and from the Bakkt Warehouse. Additionally, we regularly utilize outside consultants, independent penetration testing firms and external auditors to provide added</w:t>
      </w:r>
    </w:p>
    <w:p>
      <w:pPr>
        <w:spacing w:after="0" w:line="10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840"/>
          </w:cols>
          <w:pgMar w:left="320" w:top="471" w:right="7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00"/>
        <w:spacing w:after="0" w:line="275" w:lineRule="auto"/>
        <w:rPr>
          <w:sz w:val="20"/>
          <w:szCs w:val="20"/>
          <w:color w:val="auto"/>
        </w:rPr>
      </w:pPr>
      <w:r>
        <w:rPr>
          <w:rFonts w:ascii="Arial" w:cs="Arial" w:eastAsia="Arial" w:hAnsi="Arial"/>
          <w:sz w:val="16"/>
          <w:szCs w:val="16"/>
          <w:color w:val="auto"/>
        </w:rPr>
        <w:t>assurance that our products are appropriately secured and resilient against modern cyber threats. We currently maintain active AICPA SOC 2 Type 2 certifications for our consumer app as well as our loyalty platform, and maintain active Payment Card Industry Data Security</w:t>
      </w:r>
    </w:p>
    <w:p>
      <w:pPr>
        <w:spacing w:after="0" w:line="1" w:lineRule="exact"/>
        <w:rPr>
          <w:sz w:val="20"/>
          <w:szCs w:val="20"/>
          <w:color w:val="auto"/>
        </w:rPr>
      </w:pPr>
    </w:p>
    <w:p>
      <w:pPr>
        <w:ind w:left="380"/>
        <w:spacing w:after="0" w:line="255" w:lineRule="auto"/>
        <w:rPr>
          <w:sz w:val="20"/>
          <w:szCs w:val="20"/>
          <w:color w:val="auto"/>
        </w:rPr>
      </w:pPr>
      <w:r>
        <w:rPr>
          <w:rFonts w:ascii="Arial" w:cs="Arial" w:eastAsia="Arial" w:hAnsi="Arial"/>
          <w:sz w:val="17"/>
          <w:szCs w:val="17"/>
          <w:color w:val="auto"/>
        </w:rPr>
        <w:t>Standard (“</w:t>
      </w:r>
      <w:r>
        <w:rPr>
          <w:rFonts w:ascii="Arial" w:cs="Arial" w:eastAsia="Arial" w:hAnsi="Arial"/>
          <w:sz w:val="17"/>
          <w:szCs w:val="17"/>
          <w:b w:val="1"/>
          <w:bCs w:val="1"/>
          <w:color w:val="auto"/>
        </w:rPr>
        <w:t>PCI-DSS</w:t>
      </w:r>
      <w:r>
        <w:rPr>
          <w:rFonts w:ascii="Arial" w:cs="Arial" w:eastAsia="Arial" w:hAnsi="Arial"/>
          <w:sz w:val="17"/>
          <w:szCs w:val="17"/>
          <w:color w:val="auto"/>
        </w:rPr>
        <w:t>”) certificates of compliance for the portions of our infrastructure where cardholder data is stored or processed. Finally, because we also access, store, collect, use, transmit, or may otherwise process certain types of data, including PII, we are subject to specific federal and state privacy and information security laws, rules, and regulations that govern how we and others must provide sufficient data privacy and data protection to consumer data. Accordingly, we maintain a privacy program designed to effectively respond to consumer data subject requests, or regulatory requests, in accordance with applicable laws or regulations, including the CCPA.</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Intellectual Property</w:t>
      </w:r>
    </w:p>
    <w:p>
      <w:pPr>
        <w:spacing w:after="0" w:line="119" w:lineRule="exact"/>
        <w:rPr>
          <w:sz w:val="20"/>
          <w:szCs w:val="20"/>
          <w:color w:val="auto"/>
        </w:rPr>
      </w:pPr>
    </w:p>
    <w:p>
      <w:pPr>
        <w:ind w:left="380" w:right="20" w:firstLine="420"/>
        <w:spacing w:after="0" w:line="275" w:lineRule="auto"/>
        <w:rPr>
          <w:sz w:val="20"/>
          <w:szCs w:val="20"/>
          <w:color w:val="auto"/>
        </w:rPr>
      </w:pPr>
      <w:r>
        <w:rPr>
          <w:rFonts w:ascii="Arial" w:cs="Arial" w:eastAsia="Arial" w:hAnsi="Arial"/>
          <w:sz w:val="16"/>
          <w:szCs w:val="16"/>
          <w:color w:val="auto"/>
        </w:rPr>
        <w:t>The protection of our intellectual property and all corresponding rights throughout the world, including our trademarks, service marks, trade dress, logos, trade names, domain names, goodwill, patents, copyrights, works of authorship (whether or not copyrightable), software and trade</w:t>
      </w:r>
    </w:p>
    <w:p>
      <w:pPr>
        <w:spacing w:after="0" w:line="1" w:lineRule="exact"/>
        <w:rPr>
          <w:sz w:val="20"/>
          <w:szCs w:val="20"/>
          <w:color w:val="auto"/>
        </w:rPr>
      </w:pPr>
    </w:p>
    <w:p>
      <w:pPr>
        <w:ind w:left="380" w:right="80"/>
        <w:spacing w:after="0" w:line="286" w:lineRule="auto"/>
        <w:rPr>
          <w:sz w:val="20"/>
          <w:szCs w:val="20"/>
          <w:color w:val="auto"/>
        </w:rPr>
      </w:pPr>
      <w:r>
        <w:rPr>
          <w:rFonts w:ascii="Arial" w:cs="Arial" w:eastAsia="Arial" w:hAnsi="Arial"/>
          <w:sz w:val="15"/>
          <w:szCs w:val="15"/>
          <w:color w:val="auto"/>
        </w:rPr>
        <w:t>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w:t>
      </w:r>
    </w:p>
    <w:p>
      <w:pPr>
        <w:spacing w:after="0" w:line="2" w:lineRule="exact"/>
        <w:rPr>
          <w:sz w:val="20"/>
          <w:szCs w:val="20"/>
          <w:color w:val="auto"/>
        </w:rPr>
      </w:pPr>
    </w:p>
    <w:p>
      <w:pPr>
        <w:ind w:left="380" w:right="340"/>
        <w:spacing w:after="0" w:line="265" w:lineRule="auto"/>
        <w:rPr>
          <w:sz w:val="20"/>
          <w:szCs w:val="20"/>
          <w:color w:val="auto"/>
        </w:rPr>
      </w:pPr>
      <w:r>
        <w:rPr>
          <w:rFonts w:ascii="Arial" w:cs="Arial" w:eastAsia="Arial" w:hAnsi="Arial"/>
          <w:sz w:val="17"/>
          <w:szCs w:val="17"/>
          <w:color w:val="auto"/>
        </w:rPr>
        <w:t>and non-disclosure agreements with external parties with whom we conduct business to control access to, and use and disclosure of, our proprietary information.</w:t>
      </w:r>
    </w:p>
    <w:p>
      <w:pPr>
        <w:spacing w:after="0" w:line="175"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For additional information regarding some of the risks relating to our intellectual property, including costs of protecting our intellectual property, 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Regulation</w:t>
      </w:r>
    </w:p>
    <w:p>
      <w:pPr>
        <w:spacing w:after="0" w:line="119"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It is also possible that current or future laws or regulations could be enacted, interpreted or applied in a manner that would prohibit, alter, or impair our existing or planned products and services, or that could require costly, time-consuming, or otherwise burdensome compliance measures.</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Regulation of Our Payments Business</w:t>
      </w:r>
    </w:p>
    <w:p>
      <w:pPr>
        <w:spacing w:after="0" w:line="113" w:lineRule="exact"/>
        <w:rPr>
          <w:sz w:val="20"/>
          <w:szCs w:val="20"/>
          <w:color w:val="auto"/>
        </w:rPr>
      </w:pPr>
    </w:p>
    <w:p>
      <w:pPr>
        <w:ind w:left="380" w:right="60" w:firstLine="420"/>
        <w:spacing w:after="0" w:line="279" w:lineRule="auto"/>
        <w:rPr>
          <w:sz w:val="20"/>
          <w:szCs w:val="20"/>
          <w:color w:val="auto"/>
        </w:rPr>
      </w:pPr>
      <w:r>
        <w:rPr>
          <w:rFonts w:ascii="Arial" w:cs="Arial" w:eastAsia="Arial" w:hAnsi="Arial"/>
          <w:sz w:val="16"/>
          <w:szCs w:val="16"/>
          <w:color w:val="auto"/>
        </w:rPr>
        <w:t>Bakkt Marketplace, our subsidiary, maintains a money transmitter license in each jurisdiction in which we operate that requires such a license for our activities, or we have otherwise established with the applicable licensing body that a money transmitter license is not required at this time. We will comply with new license requirements as they arise. Bakkt Marketplace is also registered as a “Money Services Business” with FinCEN. These licenses and registrations subject us to, among other things, record-keeping requirements, reporting requirements, bonding requirements, limitations on the investment of customer funds, and examination by state and federal regulatory agencies.</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860"/>
          </w:cols>
          <w:pgMar w:left="320" w:top="471" w:right="71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Regulation of Our Virtual Currency Business</w:t>
      </w:r>
    </w:p>
    <w:p>
      <w:pPr>
        <w:spacing w:after="0" w:line="11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We provide cryptocurrency custody services through Bakkt Trust, a limited purpose trust company that is chartered under the New York Banking Law and subject to the supervision and oversight of the NYSDFS. Consequently, we must comply with laws, rules and regulations promulgated pursuant to the New York Banking Law with respect to the cryptocurrency custody we provide through Bakkt Trust, including those related to capitalization, corporate governance, anti-money laundering, disclosure, reporting and examination, as well as supervisory guidance and requirements. Bakkt Trust is also registered with FinCEN as a financial institution.</w:t>
      </w:r>
    </w:p>
    <w:p>
      <w:pPr>
        <w:spacing w:after="0" w:line="180"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are subject in certain jurisdictions to licensing and regulatory requirements as a result of offering our consumers the ability to aggregate, buy, sell, convert, spend and send virtual currency through our consumer app.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also received a BitLicense from the NYSDFS in the first quarter of 2021. This subjects it to NYSDFS’ oversight with respect to such business activities conducted in New York State and with New York residents.</w:t>
      </w:r>
    </w:p>
    <w:p>
      <w:pPr>
        <w:spacing w:after="0" w:line="185" w:lineRule="exact"/>
        <w:rPr>
          <w:sz w:val="20"/>
          <w:szCs w:val="20"/>
          <w:color w:val="auto"/>
        </w:rPr>
      </w:pPr>
    </w:p>
    <w:p>
      <w:pPr>
        <w:jc w:val="both"/>
        <w:ind w:left="380" w:right="20" w:firstLine="420"/>
        <w:spacing w:after="0" w:line="259" w:lineRule="auto"/>
        <w:rPr>
          <w:sz w:val="20"/>
          <w:szCs w:val="20"/>
          <w:color w:val="auto"/>
        </w:rPr>
      </w:pPr>
      <w:r>
        <w:rPr>
          <w:rFonts w:ascii="Arial" w:cs="Arial" w:eastAsia="Arial" w:hAnsi="Arial"/>
          <w:sz w:val="17"/>
          <w:szCs w:val="17"/>
          <w:color w:val="auto"/>
        </w:rPr>
        <w:t>The laws and regulations applicable to virtual currency and other digital assets are evolving and subject to interpretation and change. For instance, the SEC has indicated that it considers certain cryptocurrencies to possibly constitute securities, but has yet to issue any formal regulation on this point, though the SEC has put forth some guidance on overarching frameworks and relevant factors to consider in this analysis. Therefore, our virtual currency and digital asset services offered through our consumer app or our limited purpose trust company may become subject to regulation by other authorities and / or may subject us to additional requirements.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Privacy and Information Security Regulations</w:t>
      </w:r>
    </w:p>
    <w:p>
      <w:pPr>
        <w:spacing w:after="0" w:line="113" w:lineRule="exact"/>
        <w:rPr>
          <w:sz w:val="20"/>
          <w:szCs w:val="20"/>
          <w:color w:val="auto"/>
        </w:rPr>
      </w:pPr>
    </w:p>
    <w:p>
      <w:pPr>
        <w:ind w:left="380" w:right="160" w:firstLine="420"/>
        <w:spacing w:after="0" w:line="298" w:lineRule="auto"/>
        <w:rPr>
          <w:sz w:val="20"/>
          <w:szCs w:val="20"/>
          <w:color w:val="auto"/>
        </w:rPr>
      </w:pPr>
      <w:r>
        <w:rPr>
          <w:rFonts w:ascii="Arial" w:cs="Arial" w:eastAsia="Arial" w:hAnsi="Arial"/>
          <w:sz w:val="15"/>
          <w:szCs w:val="15"/>
          <w:color w:val="auto"/>
        </w:rPr>
        <w:t>Aspects of our operations or business are subject to privacy and data protection regulation in the United States and elsewhere. Accordingly, we publish our privacy policies and terms of service, which describe our practices concerning the use,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 Regulatory authorities around the world are considering numerous legislative and regulatory proposals concerning privacy and data protection. In addition, the interpretation and application of these privacy and data protection laws in the United States and elsewhere are often uncertain and in a state of flux.</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Protection Regulation</w:t>
      </w:r>
    </w:p>
    <w:p>
      <w:pPr>
        <w:spacing w:after="0" w:line="113" w:lineRule="exact"/>
        <w:rPr>
          <w:sz w:val="20"/>
          <w:szCs w:val="20"/>
          <w:color w:val="auto"/>
        </w:rPr>
      </w:pPr>
    </w:p>
    <w:p>
      <w:pPr>
        <w:ind w:left="380" w:right="20" w:firstLine="420"/>
        <w:spacing w:after="0" w:line="282" w:lineRule="auto"/>
        <w:rPr>
          <w:sz w:val="20"/>
          <w:szCs w:val="20"/>
          <w:color w:val="auto"/>
        </w:rPr>
      </w:pPr>
      <w:r>
        <w:rPr>
          <w:rFonts w:ascii="Arial" w:cs="Arial" w:eastAsia="Arial" w:hAnsi="Arial"/>
          <w:sz w:val="16"/>
          <w:szCs w:val="16"/>
          <w:color w:val="auto"/>
        </w:rPr>
        <w:t>The Consumer Financial Protection Bureau and other federal and state regulatory agencies, including the Federal Trade Commission, broadly regulate financial products, enforce consumer protection laws applicable to credit, deposit, and payments, and other similar products, and prohibit unfair and deceptive practices. Such agencies have broad consumer protection mandates, and they promulgate, interpret, and enforce laws, rules and regulations, including with respect to unfair, deceptive, and abusive acts and practices (“</w:t>
      </w:r>
      <w:r>
        <w:rPr>
          <w:rFonts w:ascii="Arial" w:cs="Arial" w:eastAsia="Arial" w:hAnsi="Arial"/>
          <w:sz w:val="16"/>
          <w:szCs w:val="16"/>
          <w:b w:val="1"/>
          <w:bCs w:val="1"/>
          <w:color w:val="auto"/>
        </w:rPr>
        <w:t>UDAAP</w:t>
      </w:r>
      <w:r>
        <w:rPr>
          <w:rFonts w:ascii="Arial" w:cs="Arial" w:eastAsia="Arial" w:hAnsi="Arial"/>
          <w:sz w:val="16"/>
          <w:szCs w:val="16"/>
          <w:color w:val="auto"/>
        </w:rPr>
        <w:t>”) that may impact or apply to our business.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example, under federal and state financial privacy laws and regulations, we must provide notice to consumers of our policies on</w:t>
      </w:r>
    </w:p>
    <w:p>
      <w:pPr>
        <w:spacing w:after="0" w:line="21" w:lineRule="exact"/>
        <w:rPr>
          <w:sz w:val="20"/>
          <w:szCs w:val="20"/>
          <w:color w:val="auto"/>
        </w:rPr>
      </w:pPr>
    </w:p>
    <w:p>
      <w:pPr>
        <w:ind w:left="380" w:right="20"/>
        <w:spacing w:after="0" w:line="296" w:lineRule="auto"/>
        <w:rPr>
          <w:sz w:val="20"/>
          <w:szCs w:val="20"/>
          <w:color w:val="auto"/>
        </w:rPr>
      </w:pPr>
      <w:r>
        <w:rPr>
          <w:rFonts w:ascii="Arial" w:cs="Arial" w:eastAsia="Arial" w:hAnsi="Arial"/>
          <w:sz w:val="16"/>
          <w:szCs w:val="16"/>
          <w:color w:val="auto"/>
        </w:rPr>
        <w:t>sharing non-public information with third parties, among other requirements. In addition, under the Electronic Fund Transfer Act, we may be required to disclose the terms of our electronic fund transfer services to consumers prior to their use of the service, among other requirements.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Anti-Money Laundering and Counter-Terrorism Regulation</w:t>
      </w:r>
    </w:p>
    <w:p>
      <w:pPr>
        <w:spacing w:after="0" w:line="113"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We are subject to AML laws and regulations in the United States, including those of FinCEN, as well as laws designed to prevent the use of the financial systems to facilitate terrorist activities. We have implemented a</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860"/>
          </w:cols>
          <w:pgMar w:left="320" w:top="471" w:right="71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comprehensive AML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Indirect Regulatory Requirements</w:t>
      </w:r>
    </w:p>
    <w:p>
      <w:pPr>
        <w:spacing w:after="0" w:line="113" w:lineRule="exact"/>
        <w:rPr>
          <w:sz w:val="20"/>
          <w:szCs w:val="20"/>
          <w:color w:val="auto"/>
        </w:rPr>
      </w:pPr>
    </w:p>
    <w:p>
      <w:pPr>
        <w:ind w:left="380" w:right="180" w:firstLine="420"/>
        <w:spacing w:after="0" w:line="289" w:lineRule="auto"/>
        <w:rPr>
          <w:sz w:val="20"/>
          <w:szCs w:val="20"/>
          <w:color w:val="auto"/>
        </w:rPr>
      </w:pPr>
      <w:r>
        <w:rPr>
          <w:rFonts w:ascii="Arial" w:cs="Arial" w:eastAsia="Arial" w:hAnsi="Arial"/>
          <w:sz w:val="16"/>
          <w:szCs w:val="16"/>
          <w:color w:val="auto"/>
        </w:rPr>
        <w:t>We maintain relationships with certain partners, including banks and other financial institutions in the United States, that are regulated by state, local and federal agencies. Because of these relationships, we may be subject to indirect regulation or examination by these institutions’ regulators. Knowing these indirect regulatory requirements may exist, we seek to account for them in our commercial agreements.</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Properties and Employees</w:t>
      </w:r>
    </w:p>
    <w:p>
      <w:pPr>
        <w:spacing w:after="0" w:line="119"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As of November 1, 2021, we had a total of 587 employees, all of whom were located in the United States. None of our employees are represented by a labor union or covered by a collective bargaining agreement. We have not experienced any work stoppages, and we consider our relations with our employees to be good. We also engage temporary employees and consultants as needed to support our operations.</w:t>
      </w:r>
    </w:p>
    <w:p>
      <w:pPr>
        <w:spacing w:after="0" w:line="159" w:lineRule="exact"/>
        <w:rPr>
          <w:sz w:val="20"/>
          <w:szCs w:val="20"/>
          <w:color w:val="auto"/>
        </w:rPr>
      </w:pPr>
    </w:p>
    <w:p>
      <w:pPr>
        <w:ind w:left="380" w:right="60" w:firstLine="420"/>
        <w:spacing w:after="0" w:line="259" w:lineRule="auto"/>
        <w:rPr>
          <w:sz w:val="20"/>
          <w:szCs w:val="20"/>
          <w:color w:val="auto"/>
        </w:rPr>
      </w:pPr>
      <w:r>
        <w:rPr>
          <w:rFonts w:ascii="Arial" w:cs="Arial" w:eastAsia="Arial" w:hAnsi="Arial"/>
          <w:sz w:val="17"/>
          <w:szCs w:val="17"/>
          <w:color w:val="auto"/>
        </w:rPr>
        <w:t>We lease facilities under operating leases in Alpharetta, Georgia, our corporate headquarters, for approximately 50,000 square feet with an expiration date in October 2032, and in Scottsdale, Arizona, our principal customer service center, for approximately 21,000 square feet with an expiration date in April 2023. Additionally, ICE provides us with approximately 800 square feet in its facilities in Sandy Springs, Georgia pursuant to the Transition Services Agreement. We also intend to open an office in New York, New York in 2022 under an operating lease for approximately 9,000 square feet. We do not own any real property.</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Legal Proceedings</w:t>
      </w:r>
    </w:p>
    <w:p>
      <w:pPr>
        <w:spacing w:after="0" w:line="119"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800"/>
          </w:cols>
          <w:pgMar w:left="320" w:top="471" w:right="7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MANAGEMENT</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Executive Officers and Directors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as of the date of this prospectus, our executive officers and directors:</w:t>
      </w:r>
    </w:p>
    <w:p>
      <w:pPr>
        <w:spacing w:after="0" w:line="21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5"/>
                <w:szCs w:val="15"/>
                <w:color w:val="auto"/>
              </w:rPr>
            </w:pPr>
          </w:p>
        </w:tc>
        <w:tc>
          <w:tcPr>
            <w:tcW w:w="4500" w:type="dxa"/>
            <w:vAlign w:val="bottom"/>
          </w:tcPr>
          <w:p>
            <w:pPr>
              <w:ind w:left="20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r>
        <w:trPr>
          <w:trHeight w:val="184"/>
        </w:trPr>
        <w:tc>
          <w:tcPr>
            <w:tcW w:w="5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Gavin Michael</w:t>
            </w:r>
          </w:p>
        </w:tc>
        <w:tc>
          <w:tcPr>
            <w:tcW w:w="5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56</w:t>
            </w:r>
          </w:p>
        </w:tc>
        <w:tc>
          <w:tcPr>
            <w:tcW w:w="42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Chief Executive Officer, Class 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Adam White</w:t>
            </w:r>
          </w:p>
        </w:tc>
        <w:tc>
          <w:tcPr>
            <w:tcW w:w="560" w:type="dxa"/>
            <w:vAlign w:val="bottom"/>
          </w:tcPr>
          <w:p>
            <w:pPr>
              <w:jc w:val="right"/>
              <w:spacing w:after="0"/>
              <w:rPr>
                <w:sz w:val="20"/>
                <w:szCs w:val="20"/>
                <w:color w:val="auto"/>
              </w:rPr>
            </w:pPr>
            <w:r>
              <w:rPr>
                <w:rFonts w:ascii="Arial" w:cs="Arial" w:eastAsia="Arial" w:hAnsi="Arial"/>
                <w:sz w:val="17"/>
                <w:szCs w:val="17"/>
                <w:color w:val="auto"/>
              </w:rPr>
              <w:t>38</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President</w:t>
            </w:r>
          </w:p>
        </w:tc>
      </w:tr>
      <w:tr>
        <w:trPr>
          <w:trHeight w:val="206"/>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LaBenne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Chief Financial Officer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Marc D’Annunzio</w:t>
            </w:r>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General Counsel and Secretary</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Michelle Goldberg</w:t>
            </w:r>
            <w:r>
              <w:rPr>
                <w:rFonts w:ascii="Arial" w:cs="Arial" w:eastAsia="Arial" w:hAnsi="Arial"/>
                <w:sz w:val="23"/>
                <w:szCs w:val="23"/>
                <w:color w:val="auto"/>
                <w:vertAlign w:val="superscript"/>
              </w:rPr>
              <w:t>(1)(3)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David C. Clifton</w:t>
            </w:r>
          </w:p>
        </w:tc>
        <w:tc>
          <w:tcPr>
            <w:tcW w:w="560" w:type="dxa"/>
            <w:vAlign w:val="bottom"/>
          </w:tcPr>
          <w:p>
            <w:pPr>
              <w:jc w:val="right"/>
              <w:spacing w:after="0"/>
              <w:rPr>
                <w:sz w:val="20"/>
                <w:szCs w:val="20"/>
                <w:color w:val="auto"/>
              </w:rPr>
            </w:pPr>
            <w:r>
              <w:rPr>
                <w:rFonts w:ascii="Arial" w:cs="Arial" w:eastAsia="Arial" w:hAnsi="Arial"/>
                <w:sz w:val="17"/>
                <w:szCs w:val="17"/>
                <w:color w:val="auto"/>
              </w:rPr>
              <w:t>44</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Kristyn Cook</w:t>
            </w:r>
            <w:r>
              <w:rPr>
                <w:rFonts w:ascii="Arial" w:cs="Arial" w:eastAsia="Arial" w:hAnsi="Arial"/>
                <w:sz w:val="23"/>
                <w:szCs w:val="23"/>
                <w:color w:val="auto"/>
                <w:vertAlign w:val="superscript"/>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Gordon Watson</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Sean Collins</w:t>
            </w:r>
            <w:r>
              <w:rPr>
                <w:rFonts w:ascii="Arial" w:cs="Arial" w:eastAsia="Arial" w:hAnsi="Arial"/>
                <w:sz w:val="23"/>
                <w:szCs w:val="23"/>
                <w:color w:val="auto"/>
                <w:vertAlign w:val="superscript"/>
              </w:rPr>
              <w:t>(1)(2)(3)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III Director</w:t>
            </w:r>
          </w:p>
        </w:tc>
      </w:tr>
      <w:tr>
        <w:trPr>
          <w:trHeight w:val="206"/>
        </w:trPr>
        <w:tc>
          <w:tcPr>
            <w:tcW w:w="5020" w:type="dxa"/>
            <w:vAlign w:val="bottom"/>
            <w:gridSpan w:val="2"/>
          </w:tcPr>
          <w:p>
            <w:pPr>
              <w:spacing w:after="0" w:line="205" w:lineRule="exact"/>
              <w:rPr>
                <w:sz w:val="20"/>
                <w:szCs w:val="20"/>
                <w:color w:val="auto"/>
              </w:rPr>
            </w:pPr>
            <w:r>
              <w:rPr>
                <w:rFonts w:ascii="Arial" w:cs="Arial" w:eastAsia="Arial" w:hAnsi="Arial"/>
                <w:sz w:val="17"/>
                <w:szCs w:val="17"/>
                <w:color w:val="auto"/>
              </w:rPr>
              <w:t>Richard Lumb</w:t>
            </w:r>
            <w:r>
              <w:rPr>
                <w:rFonts w:ascii="Arial" w:cs="Arial" w:eastAsia="Arial" w:hAnsi="Arial"/>
                <w:sz w:val="23"/>
                <w:szCs w:val="23"/>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7"/>
                <w:szCs w:val="17"/>
                <w:color w:val="auto"/>
              </w:rPr>
              <w:t>60</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III Director</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Andrew A. Main</w:t>
            </w:r>
            <w:r>
              <w:rPr>
                <w:rFonts w:ascii="Arial" w:cs="Arial" w:eastAsia="Arial" w:hAnsi="Arial"/>
                <w:sz w:val="23"/>
                <w:szCs w:val="23"/>
                <w:color w:val="auto"/>
                <w:vertAlign w:val="superscript"/>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81915</wp:posOffset>
            </wp:positionV>
            <wp:extent cx="7353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8" w:lineRule="exact"/>
        <w:rPr>
          <w:sz w:val="20"/>
          <w:szCs w:val="20"/>
          <w:color w:val="auto"/>
        </w:rPr>
      </w:pPr>
    </w:p>
    <w:p>
      <w:pPr>
        <w:ind w:left="780" w:hanging="404"/>
        <w:spacing w:after="0"/>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1" w:lineRule="exact"/>
        <w:rPr>
          <w:rFonts w:ascii="Arial" w:cs="Arial" w:eastAsia="Arial" w:hAnsi="Arial"/>
          <w:sz w:val="17"/>
          <w:szCs w:val="17"/>
          <w:color w:val="auto"/>
        </w:rPr>
      </w:pPr>
    </w:p>
    <w:p>
      <w:pPr>
        <w:ind w:left="780" w:hanging="404"/>
        <w:spacing w:after="0"/>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Executive Officers</w:t>
      </w:r>
    </w:p>
    <w:p>
      <w:pPr>
        <w:spacing w:after="0" w:line="119"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i w:val="1"/>
          <w:iCs w:val="1"/>
          <w:color w:val="auto"/>
        </w:rPr>
        <w:t>Gavin Michael</w:t>
      </w:r>
      <w:r>
        <w:rPr>
          <w:rFonts w:ascii="Arial" w:cs="Arial" w:eastAsia="Arial" w:hAnsi="Arial"/>
          <w:sz w:val="16"/>
          <w:szCs w:val="16"/>
          <w:color w:val="auto"/>
        </w:rPr>
        <w:t>. Gavin Michael has served as our Chief Executive Officer since the Closing. Mr. Michael served in the same role for Opco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2021 until the Closing. Prior to joining Opco, from November 2016 until April 2021, Mr. Michael was the Head of Technology for Citi’s Global Consumer Bank, responsible for the long-term strategic direction, planning and management of Citi’s global technology organization, execution of its cloud architecture, data and services strategies, and driving digitization efforts to accelerate speed to market. Before joining Citi, from April 2013 until November 2016, Mr. Michael was Head of Digital for Consumer &amp; Community Banking at Chase, where he was responsible for all aspects of the digital business, including the Chase Mobile App and Chase Online. Mr.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Mr. Michael earned a Ph.D. in Computer Science from Australian National University and a bachelor’s degree from the University of Western Australia.</w:t>
      </w:r>
    </w:p>
    <w:p>
      <w:pPr>
        <w:spacing w:after="0" w:line="175" w:lineRule="exact"/>
        <w:rPr>
          <w:sz w:val="20"/>
          <w:szCs w:val="20"/>
          <w:color w:val="auto"/>
        </w:rPr>
      </w:pPr>
    </w:p>
    <w:p>
      <w:pPr>
        <w:ind w:left="380" w:right="220" w:firstLine="420"/>
        <w:spacing w:after="0" w:line="274" w:lineRule="auto"/>
        <w:rPr>
          <w:sz w:val="20"/>
          <w:szCs w:val="20"/>
          <w:color w:val="auto"/>
        </w:rPr>
      </w:pPr>
      <w:r>
        <w:rPr>
          <w:rFonts w:ascii="Arial" w:cs="Arial" w:eastAsia="Arial" w:hAnsi="Arial"/>
          <w:sz w:val="16"/>
          <w:szCs w:val="16"/>
          <w:i w:val="1"/>
          <w:iCs w:val="1"/>
          <w:color w:val="auto"/>
        </w:rPr>
        <w:t>Adam White</w:t>
      </w:r>
      <w:r>
        <w:rPr>
          <w:rFonts w:ascii="Arial" w:cs="Arial" w:eastAsia="Arial" w:hAnsi="Arial"/>
          <w:sz w:val="16"/>
          <w:szCs w:val="16"/>
          <w:color w:val="auto"/>
        </w:rPr>
        <w:t>. Adam White has served as our President since the Closing. Mr. White served in the same role for Opco from December 2019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In this role, he is responsible for our operations and strategic direction. Mr. White joined Opco in November 2018 as the Chief Operating Officer. He previously served as Vice President &amp; General Manager of Coinbase. He joined Coinbase in 2013 as the fifth employee, leading business development and strategy and later their payments, trading and institutional products. Prior to Coinbase, Mr. White served as a Captain in the United States Air Force and is a veteran of Iraq and Afghanistan. He has testified before Congress as an expert in the cryptocurrency industry, serves on the Technical Advisory Committee of the Commodity Futures Trading Commission, and has been recognized as one of Fortune’s 40 Under 40 in Finance (2020). Mr. White received his Master of Business Administration from Harvard Business School and his Bachelor of Science in Optical Engineering from the University of California, Davis.</w:t>
      </w:r>
    </w:p>
    <w:p>
      <w:pPr>
        <w:spacing w:after="0" w:line="172"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i w:val="1"/>
          <w:iCs w:val="1"/>
          <w:color w:val="auto"/>
        </w:rPr>
        <w:t>Andrew LaBenne</w:t>
      </w:r>
      <w:r>
        <w:rPr>
          <w:rFonts w:ascii="Arial" w:cs="Arial" w:eastAsia="Arial" w:hAnsi="Arial"/>
          <w:sz w:val="17"/>
          <w:szCs w:val="17"/>
          <w:color w:val="auto"/>
        </w:rPr>
        <w:t>. Andrew LaBenne has served as our Chief Financial Officer since the Closing. Mr. LaBenne served in the same role for Opco</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2021 until the Closing. Prior to joining Opco,</w:t>
      </w:r>
    </w:p>
    <w:p>
      <w:pPr>
        <w:spacing w:after="0" w:line="10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880"/>
          </w:cols>
          <w:pgMar w:left="320" w:top="471" w:right="69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57" w:lineRule="auto"/>
        <w:rPr>
          <w:sz w:val="20"/>
          <w:szCs w:val="20"/>
          <w:color w:val="auto"/>
        </w:rPr>
      </w:pPr>
      <w:r>
        <w:rPr>
          <w:rFonts w:ascii="Arial" w:cs="Arial" w:eastAsia="Arial" w:hAnsi="Arial"/>
          <w:sz w:val="17"/>
          <w:szCs w:val="17"/>
          <w:color w:val="auto"/>
        </w:rPr>
        <w:t>Mr. LaBenne worked for Amalgamated Financial Corp., where served as Chief Financial Officer from April 2015 to April 2021, as a Senior Executive Vice President from April 2017 to April 2021, and as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w:t>
      </w:r>
    </w:p>
    <w:p>
      <w:pPr>
        <w:spacing w:after="0" w:line="181" w:lineRule="exact"/>
        <w:rPr>
          <w:sz w:val="20"/>
          <w:szCs w:val="20"/>
          <w:color w:val="auto"/>
        </w:rPr>
      </w:pPr>
    </w:p>
    <w:p>
      <w:pPr>
        <w:ind w:left="380" w:right="100" w:firstLine="420"/>
        <w:spacing w:after="0" w:line="257" w:lineRule="auto"/>
        <w:rPr>
          <w:sz w:val="20"/>
          <w:szCs w:val="20"/>
          <w:color w:val="auto"/>
        </w:rPr>
      </w:pPr>
      <w:r>
        <w:rPr>
          <w:rFonts w:ascii="Arial" w:cs="Arial" w:eastAsia="Arial" w:hAnsi="Arial"/>
          <w:sz w:val="17"/>
          <w:szCs w:val="17"/>
          <w:i w:val="1"/>
          <w:iCs w:val="1"/>
          <w:color w:val="auto"/>
        </w:rPr>
        <w:t>Marc D’Annunzio</w:t>
      </w:r>
      <w:r>
        <w:rPr>
          <w:rFonts w:ascii="Arial" w:cs="Arial" w:eastAsia="Arial" w:hAnsi="Arial"/>
          <w:sz w:val="17"/>
          <w:szCs w:val="17"/>
          <w:color w:val="auto"/>
        </w:rPr>
        <w:t>. Marc D’Annunzio has served as our General Counsel and Secretary since the Closing. Prior to this role, Mr. D’Annunzio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General Counsel and Secretary for Opco from May 2019 until the Closing. Mr. D’Annunzio is responsible for our legal, regulatory, compliance and governance matters. Mr. D’Annunzio joined Opco in May 2019 from Alston &amp; Bird LLP, an international law firm, where he practiced in its Payments group from June 2015 until May 2019. Mr. D’Annunzio has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Mr. D’Annunzio holds a Juris Doctor and a Bachelor of Arts in Economics and History, each from the University of Michigan.</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Non-Employee Directors</w:t>
      </w:r>
    </w:p>
    <w:p>
      <w:pPr>
        <w:spacing w:after="0" w:line="119" w:lineRule="exact"/>
        <w:rPr>
          <w:sz w:val="20"/>
          <w:szCs w:val="20"/>
          <w:color w:val="auto"/>
        </w:rPr>
      </w:pPr>
    </w:p>
    <w:p>
      <w:pPr>
        <w:ind w:left="380" w:right="260" w:firstLine="420"/>
        <w:spacing w:after="0" w:line="279" w:lineRule="auto"/>
        <w:rPr>
          <w:sz w:val="20"/>
          <w:szCs w:val="20"/>
          <w:color w:val="auto"/>
        </w:rPr>
      </w:pPr>
      <w:r>
        <w:rPr>
          <w:rFonts w:ascii="Arial" w:cs="Arial" w:eastAsia="Arial" w:hAnsi="Arial"/>
          <w:sz w:val="16"/>
          <w:szCs w:val="16"/>
          <w:i w:val="1"/>
          <w:iCs w:val="1"/>
          <w:color w:val="auto"/>
        </w:rPr>
        <w:t>Michelle Goldberg</w:t>
      </w:r>
      <w:r>
        <w:rPr>
          <w:rFonts w:ascii="Arial" w:cs="Arial" w:eastAsia="Arial" w:hAnsi="Arial"/>
          <w:sz w:val="16"/>
          <w:szCs w:val="16"/>
          <w:color w:val="auto"/>
        </w:rPr>
        <w:t>. Michelle J. Goldberg has been an advisor to SoGal Ventures, a venture capital firm, since May 2017, and has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investment, retail disruption, finance and digital media expertise. Prior to joining SoGal, Ms. Goldberg was a partner at Ignition, an early stage enterprise software venture capital firm, from 2000 to 2020. Ms. Goldberg is a seasoned technology investor with strategic, financial and governance experience and a focus on consumer-facing, digital media and retail opportunities leveraging data analytics and investing in emerging consumer technologies. Ms. Goldberg has M.A. from Harvard University and a B.A. from Columbia University.</w:t>
      </w:r>
    </w:p>
    <w:p>
      <w:pPr>
        <w:spacing w:after="0" w:line="165"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We believe that Ms. Goldberg’s previous public board experience has provided her with the leadership experience and background to serve on our board.</w:t>
      </w:r>
    </w:p>
    <w:p>
      <w:pPr>
        <w:spacing w:after="0" w:line="165"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i w:val="1"/>
          <w:iCs w:val="1"/>
          <w:color w:val="auto"/>
        </w:rPr>
        <w:t>David Clifton</w:t>
      </w:r>
      <w:r>
        <w:rPr>
          <w:rFonts w:ascii="Arial" w:cs="Arial" w:eastAsia="Arial" w:hAnsi="Arial"/>
          <w:sz w:val="16"/>
          <w:szCs w:val="16"/>
          <w:color w:val="auto"/>
        </w:rPr>
        <w:t>. David C. Clifton served as Interim Chief Executive Officer for Opco from April 2020 to January 2021. While serving in this role,</w:t>
      </w:r>
      <w:r>
        <w:rPr>
          <w:rFonts w:ascii="Arial" w:cs="Arial" w:eastAsia="Arial" w:hAnsi="Arial"/>
          <w:sz w:val="16"/>
          <w:szCs w:val="16"/>
          <w:i w:val="1"/>
          <w:iCs w:val="1"/>
          <w:color w:val="auto"/>
        </w:rPr>
        <w:t xml:space="preserve"> </w:t>
      </w:r>
      <w:r>
        <w:rPr>
          <w:rFonts w:ascii="Arial" w:cs="Arial" w:eastAsia="Arial" w:hAnsi="Arial"/>
          <w:sz w:val="16"/>
          <w:szCs w:val="16"/>
          <w:color w:val="auto"/>
        </w:rPr>
        <w:t>Mr. Clifton was involved in the development of strategy and the assessment of its strategic alternatives, which resulted in the Business Combination. From February 2014 to present, Mr. Clifton also served as Vice President of M&amp;A and Integration at ICE. In this role, Mr. Clifton oversaw the successful completion of numerous strategic transactions, including ICE’s 2013 acquisition of NYSE Euronext, along with other global strategic transactions and initiatives. Mr. Clifton joined ICE in July 2008, serving previously as ICE’s Associate General Counsel, M&amp;A. Mr. Clifton received his Juris Doctor from Mercer University’s Walter F. George School of Law and is a graduate of Davidson College.</w:t>
      </w:r>
    </w:p>
    <w:p>
      <w:pPr>
        <w:spacing w:after="0" w:line="167"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We believe that Mr. Clifton’s previous experience both with Opco and at ICE have provided him with the strategic and management background to serve on the Board.</w:t>
      </w:r>
    </w:p>
    <w:p>
      <w:pPr>
        <w:spacing w:after="0" w:line="165"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i w:val="1"/>
          <w:iCs w:val="1"/>
          <w:color w:val="auto"/>
        </w:rPr>
        <w:t>Kristyn Cook</w:t>
      </w:r>
      <w:r>
        <w:rPr>
          <w:rFonts w:ascii="Arial" w:cs="Arial" w:eastAsia="Arial" w:hAnsi="Arial"/>
          <w:sz w:val="16"/>
          <w:szCs w:val="16"/>
          <w:color w:val="auto"/>
        </w:rPr>
        <w:t>. Kristyn A. Cook has served as the Senior Vice President of Agency and Marketing at State Farm, an insurance agency since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2019, where she has executive responsibilities for Corporate Agency and Sales, Marketing, Customer Care, Center/Enterprise Shared Services, and Creative Services functions. Prior to becoming the Senior Vice President of Agency and Marketing, Ms. Cook was an Area Vice President for the Southeastern Market Area at State Farm from July 2015 to January 2018, and prior to that, Ms. Cook was Vice President – Agency/ Sales at State Farm from January 2013 to July 2015. Ms. Cook has a B.A. from in Policy Studies from Syracuse University and a master’s degree in Public Administration (MPA) from the Syracuse Maxwell School of Citizenship and Public Affairs.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860"/>
          </w:cols>
          <w:pgMar w:left="320" w:top="471" w:right="71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that Ms. Cook’s roles in leadership have provided her with the experience needed to serve on the Board.</w:t>
      </w:r>
    </w:p>
    <w:p>
      <w:pPr>
        <w:spacing w:after="0" w:line="216" w:lineRule="exact"/>
        <w:rPr>
          <w:sz w:val="20"/>
          <w:szCs w:val="20"/>
          <w:color w:val="auto"/>
        </w:rPr>
      </w:pPr>
    </w:p>
    <w:p>
      <w:pPr>
        <w:ind w:left="380" w:firstLine="420"/>
        <w:spacing w:after="0" w:line="288" w:lineRule="auto"/>
        <w:rPr>
          <w:sz w:val="20"/>
          <w:szCs w:val="20"/>
          <w:color w:val="auto"/>
        </w:rPr>
      </w:pPr>
      <w:r>
        <w:rPr>
          <w:rFonts w:ascii="Arial" w:cs="Arial" w:eastAsia="Arial" w:hAnsi="Arial"/>
          <w:sz w:val="15"/>
          <w:szCs w:val="15"/>
          <w:i w:val="1"/>
          <w:iCs w:val="1"/>
          <w:color w:val="auto"/>
        </w:rPr>
        <w:t>Gordon Watson</w:t>
      </w:r>
      <w:r>
        <w:rPr>
          <w:rFonts w:ascii="Arial" w:cs="Arial" w:eastAsia="Arial" w:hAnsi="Arial"/>
          <w:sz w:val="15"/>
          <w:szCs w:val="15"/>
          <w:color w:val="auto"/>
        </w:rPr>
        <w:t>. Gordon Watson has been President, Chief Operating Officer and Director of the Company since its inception. Mr. Watson joined</w:t>
      </w:r>
      <w:r>
        <w:rPr>
          <w:rFonts w:ascii="Arial" w:cs="Arial" w:eastAsia="Arial" w:hAnsi="Arial"/>
          <w:sz w:val="15"/>
          <w:szCs w:val="15"/>
          <w:i w:val="1"/>
          <w:iCs w:val="1"/>
          <w:color w:val="auto"/>
        </w:rPr>
        <w:t xml:space="preserve"> </w:t>
      </w:r>
      <w:r>
        <w:rPr>
          <w:rFonts w:ascii="Arial" w:cs="Arial" w:eastAsia="Arial" w:hAnsi="Arial"/>
          <w:sz w:val="15"/>
          <w:szCs w:val="15"/>
          <w:color w:val="auto"/>
        </w:rPr>
        <w:t>Victory Park in 2014 and is currently a Partner. Mr. Watson is a member of Victory Park’s investment committee and helps lead its Fintech investing team. Mr. Watson is the Investment Manager for VIH Specialty Lending Investments PLC (LSE: VSL), a Victory Park managed U.K. publicly listed investment trust focused on opportunities in the Fintech market. Gordon is the Co-Chief Executive Officer of VPC Impact Acquisition Holdings II, a special purpose acquisition company, and VPC Impact Acquisition Holdings III, Inc., a special purpose acquisition company.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Mr. Watson received a B.A. in political science from Colgate University and an MBA from Columbia University.</w:t>
      </w:r>
    </w:p>
    <w:p>
      <w:pPr>
        <w:spacing w:after="0" w:line="205"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We believe that Mr. Watson’s leadership experience, as well as his experience in fintech, have provided him with the financial knowledge and background to serve as a director on the Board.</w:t>
      </w:r>
    </w:p>
    <w:p>
      <w:pPr>
        <w:spacing w:after="0" w:line="165" w:lineRule="exact"/>
        <w:rPr>
          <w:sz w:val="20"/>
          <w:szCs w:val="20"/>
          <w:color w:val="auto"/>
        </w:rPr>
      </w:pPr>
    </w:p>
    <w:p>
      <w:pPr>
        <w:ind w:left="380" w:right="20" w:firstLine="420"/>
        <w:spacing w:after="0" w:line="274" w:lineRule="auto"/>
        <w:rPr>
          <w:sz w:val="20"/>
          <w:szCs w:val="20"/>
          <w:color w:val="auto"/>
        </w:rPr>
      </w:pPr>
      <w:r>
        <w:rPr>
          <w:rFonts w:ascii="Arial" w:cs="Arial" w:eastAsia="Arial" w:hAnsi="Arial"/>
          <w:sz w:val="16"/>
          <w:szCs w:val="16"/>
          <w:i w:val="1"/>
          <w:iCs w:val="1"/>
          <w:color w:val="auto"/>
        </w:rPr>
        <w:t>Sean Collins</w:t>
      </w:r>
      <w:r>
        <w:rPr>
          <w:rFonts w:ascii="Arial" w:cs="Arial" w:eastAsia="Arial" w:hAnsi="Arial"/>
          <w:sz w:val="16"/>
          <w:szCs w:val="16"/>
          <w:color w:val="auto"/>
        </w:rPr>
        <w:t>. Sean Collins previously served on the board of managers of Opco since December 2018. Mr. Collins has over twenty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investing, advising, operating, and building companies focused on digital transformation. As co-founder and Managing Partner at Goldfinch Partners from December 2018 to present, he focuses on investing in enterprise software companies and fintechs. Prior to Goldfinch, from January 2015 until November 2018, Mr. Collins was Co-Founder and Chief Investment Officer of BCG Digital Ventures, where he oversaw investments globally into 75+ ventures. Prior to BCG DV, Mr. Collins was SVP of E-commerce, Marketing, and Strategy at the Sports Authority where he helped engineer a turnaround that leveraged digital marketing and e-commerce to drive revenue growth. Prior to Sports Authority, Mr. Collins was an Associate Partner at McKinsey &amp; Company where he advised Retail, TMT, and Private Equity clients. Mr. Collins holds a Bachelor of Arts from Whitman College in Economics and Music. Mr. Collins also serves on the board of Vesta.</w:t>
      </w:r>
    </w:p>
    <w:p>
      <w:pPr>
        <w:spacing w:after="0" w:line="172" w:lineRule="exact"/>
        <w:rPr>
          <w:sz w:val="20"/>
          <w:szCs w:val="20"/>
          <w:color w:val="auto"/>
        </w:rPr>
      </w:pPr>
    </w:p>
    <w:p>
      <w:pPr>
        <w:ind w:left="380" w:right="380" w:firstLine="420"/>
        <w:spacing w:after="0" w:line="278" w:lineRule="auto"/>
        <w:rPr>
          <w:sz w:val="20"/>
          <w:szCs w:val="20"/>
          <w:color w:val="auto"/>
        </w:rPr>
      </w:pPr>
      <w:r>
        <w:rPr>
          <w:rFonts w:ascii="Arial" w:cs="Arial" w:eastAsia="Arial" w:hAnsi="Arial"/>
          <w:sz w:val="17"/>
          <w:szCs w:val="17"/>
          <w:color w:val="auto"/>
        </w:rPr>
        <w:t>We believe that Mr. Collins’ extensive experience across the financial services industry have provided him with the financial knowledge and background to serve as a director on the Board.</w:t>
      </w:r>
    </w:p>
    <w:p>
      <w:pPr>
        <w:spacing w:after="0" w:line="165"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i w:val="1"/>
          <w:iCs w:val="1"/>
          <w:color w:val="auto"/>
        </w:rPr>
        <w:t>Richard Lumb</w:t>
      </w:r>
      <w:r>
        <w:rPr>
          <w:rFonts w:ascii="Arial" w:cs="Arial" w:eastAsia="Arial" w:hAnsi="Arial"/>
          <w:sz w:val="16"/>
          <w:szCs w:val="16"/>
          <w:color w:val="auto"/>
        </w:rPr>
        <w:t>. Richard A. Lumb has served as an Industry Partner at Motive Partners, a private equity firm specializing in enterprise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software growth and buy-out investments since December 2019. Prior to joining Motive Partners, Mr. Lumb enjoyed a 35-year tenure at Accenture, from November 1984 until August 2019, where he held the position of Group Chief Executive of Financial Services from December 2010 to August 2019, serving clients in the banking, insurance and capital markets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spacing w:after="0" w:line="167"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We believe that Mr. Lumb’s extensive experience across the financial services industry has provided him with the financial knowledge and background to serve on the Board.</w:t>
      </w:r>
    </w:p>
    <w:p>
      <w:pPr>
        <w:spacing w:after="0" w:line="165"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i w:val="1"/>
          <w:iCs w:val="1"/>
          <w:color w:val="auto"/>
        </w:rPr>
        <w:t>Andrew Main</w:t>
      </w:r>
      <w:r>
        <w:rPr>
          <w:rFonts w:ascii="Arial" w:cs="Arial" w:eastAsia="Arial" w:hAnsi="Arial"/>
          <w:sz w:val="17"/>
          <w:szCs w:val="17"/>
          <w:color w:val="auto"/>
        </w:rPr>
        <w:t>. Andrew A. Main has served as the Chief Executive Officer of Ogilvy, an advertising, marketing and public relations agency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July 2020. Prior to joining Ogilvy, Mr. Main was the Global Head of Deloitte Digital, the digital consultancy branch of Deloitte from June 2014 to July 2020, where he oversaw the acquisition of multiple creative agencies to grow the brand. Mr. Main has more than 25 years of consulting experience, and has extensive experience working with businesses to modernize and bring new ideas to market quickly. Mr. Main earned a Master of Arts from the University of Edinburgh in Business, Marketing and Geography.</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820"/>
          </w:cols>
          <w:pgMar w:left="320" w:top="471" w:right="7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0" w:firstLine="420"/>
        <w:spacing w:after="0" w:line="278" w:lineRule="auto"/>
        <w:rPr>
          <w:sz w:val="20"/>
          <w:szCs w:val="20"/>
          <w:color w:val="auto"/>
        </w:rPr>
      </w:pPr>
      <w:r>
        <w:rPr>
          <w:rFonts w:ascii="Arial" w:cs="Arial" w:eastAsia="Arial" w:hAnsi="Arial"/>
          <w:sz w:val="17"/>
          <w:szCs w:val="17"/>
          <w:color w:val="auto"/>
        </w:rPr>
        <w:t>We believe that Mr. Main’s experience helping brands grow and modernize, and his focus on digital consultancy, have provided him with the experience needed to serve as a director on the Board.</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Each of our directors has served as such since the Closing.</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Family Relationships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9"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 xml:space="preserve">Our Board has adopted corporate governance guidelines that address items such as the qualifications and responsibilities of our directors and director candidates and corporate governance policies and standards applicable. In addition, the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are posted on the </w:t>
      </w:r>
      <w:r>
        <w:rPr>
          <w:rFonts w:ascii="Arial" w:cs="Arial" w:eastAsia="Arial" w:hAnsi="Arial"/>
          <w:sz w:val="16"/>
          <w:szCs w:val="16"/>
          <w:i w:val="1"/>
          <w:iCs w:val="1"/>
          <w:color w:val="auto"/>
        </w:rPr>
        <w:t>investors.bakkt.com</w:t>
      </w:r>
      <w:r>
        <w:rPr>
          <w:rFonts w:ascii="Arial" w:cs="Arial" w:eastAsia="Arial" w:hAnsi="Arial"/>
          <w:sz w:val="16"/>
          <w:szCs w:val="16"/>
          <w:color w:val="auto"/>
        </w:rPr>
        <w:t xml:space="preserve"> under the “Governance Documents” portion of our website. We will post amendments to our code of business conduct and ethics or waivers of our code of business conduct and ethics for directors and officers on the same website.</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Board Composition</w:t>
      </w:r>
    </w:p>
    <w:p>
      <w:pPr>
        <w:spacing w:after="0" w:line="119"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The Board is divided into three staggered classes of directors. At each annual meeting of our stockholders, a class of directors will be elected for a three-year term to succeed the same class whose term is then expiring, as follows:</w:t>
      </w:r>
    </w:p>
    <w:p>
      <w:pPr>
        <w:spacing w:after="0" w:line="75" w:lineRule="exact"/>
        <w:rPr>
          <w:sz w:val="20"/>
          <w:szCs w:val="20"/>
          <w:color w:val="auto"/>
        </w:rPr>
      </w:pPr>
    </w:p>
    <w:p>
      <w:pPr>
        <w:ind w:left="1300" w:right="20" w:hanging="410"/>
        <w:spacing w:after="0" w:line="278"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Class I directors are Michelle Goldberg and Gavin Michael, whose terms will expire at the annual meeting of stockholders to be held in 2022;</w:t>
      </w:r>
    </w:p>
    <w:p>
      <w:pPr>
        <w:spacing w:after="0" w:line="74" w:lineRule="exact"/>
        <w:rPr>
          <w:rFonts w:ascii="Arial" w:cs="Arial" w:eastAsia="Arial" w:hAnsi="Arial"/>
          <w:sz w:val="17"/>
          <w:szCs w:val="17"/>
          <w:color w:val="auto"/>
        </w:rPr>
      </w:pPr>
    </w:p>
    <w:p>
      <w:pPr>
        <w:ind w:left="1300" w:right="140" w:hanging="410"/>
        <w:spacing w:after="0" w:line="278"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Class II directors are David Clifton, Kristyn Cook and Gordon Watson, whose terms will expire at the annual meeting of stockholders to be held in 2023; and</w:t>
      </w:r>
    </w:p>
    <w:p>
      <w:pPr>
        <w:spacing w:after="0" w:line="74" w:lineRule="exact"/>
        <w:rPr>
          <w:rFonts w:ascii="Arial" w:cs="Arial" w:eastAsia="Arial" w:hAnsi="Arial"/>
          <w:sz w:val="17"/>
          <w:szCs w:val="17"/>
          <w:color w:val="auto"/>
        </w:rPr>
      </w:pPr>
    </w:p>
    <w:p>
      <w:pPr>
        <w:ind w:left="1300" w:hanging="410"/>
        <w:spacing w:after="0" w:line="278"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Class III directors are Sean Collins, Richard Lumb and Andrew A. Main, whose terms will expire at the annual meeting of stockholders to be held in 2024.</w:t>
      </w:r>
    </w:p>
    <w:p>
      <w:pPr>
        <w:spacing w:after="0" w:line="165"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The Certificate of Incorporation and By-Laws provide that the Board must consist of one or more members, and the number of directors may be increased or decreased from time to time by a resolution of the Board.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the Board may have the effect of delaying or preventing changes in control of the Company.</w:t>
      </w:r>
    </w:p>
    <w:p>
      <w:pPr>
        <w:spacing w:after="0" w:line="180"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Each our officers serves at the discretion of the Board and will hold office until his or her successor is duly appointed and qualified or until his or her earlier resignation or removal.</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Director Independence</w:t>
      </w:r>
    </w:p>
    <w:p>
      <w:pPr>
        <w:spacing w:after="0" w:line="119" w:lineRule="exact"/>
        <w:rPr>
          <w:sz w:val="20"/>
          <w:szCs w:val="20"/>
          <w:color w:val="auto"/>
        </w:rPr>
      </w:pPr>
    </w:p>
    <w:p>
      <w:pPr>
        <w:ind w:left="380" w:right="140" w:firstLine="420"/>
        <w:spacing w:after="0" w:line="275" w:lineRule="auto"/>
        <w:rPr>
          <w:sz w:val="20"/>
          <w:szCs w:val="20"/>
          <w:color w:val="auto"/>
        </w:rPr>
      </w:pPr>
      <w:r>
        <w:rPr>
          <w:rFonts w:ascii="Arial" w:cs="Arial" w:eastAsia="Arial" w:hAnsi="Arial"/>
          <w:sz w:val="16"/>
          <w:szCs w:val="16"/>
          <w:color w:val="auto"/>
        </w:rPr>
        <w:t>The Board has undertaken a review of the independence of each director. Based on information provided by each director concerning his or her background, employment, and affiliations, the Board has determined that Sean Collins, Kristyn Cook, Michelle Goldberg, Richard Lumb and Andrew A. Main did not have a relationship that would interfere with the exercise of independent judgment in carrying out the responsibilities of a director and that each of these directors is “independent” as that term is defined under the listing standards of NYSE.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capital stock by each non-employee director, and the transactions involving them, if any, described in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860"/>
          </w:cols>
          <w:pgMar w:left="320" w:top="471" w:right="71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Committees of Our Board</w:t>
      </w:r>
    </w:p>
    <w:p>
      <w:pPr>
        <w:spacing w:after="0" w:line="119" w:lineRule="exact"/>
        <w:rPr>
          <w:sz w:val="20"/>
          <w:szCs w:val="20"/>
          <w:color w:val="auto"/>
        </w:rPr>
      </w:pPr>
    </w:p>
    <w:p>
      <w:pPr>
        <w:ind w:left="380" w:right="240" w:firstLine="420"/>
        <w:spacing w:after="0" w:line="265" w:lineRule="auto"/>
        <w:rPr>
          <w:sz w:val="20"/>
          <w:szCs w:val="20"/>
          <w:color w:val="auto"/>
        </w:rPr>
      </w:pPr>
      <w:r>
        <w:rPr>
          <w:rFonts w:ascii="Arial" w:cs="Arial" w:eastAsia="Arial" w:hAnsi="Arial"/>
          <w:sz w:val="17"/>
          <w:szCs w:val="17"/>
          <w:color w:val="auto"/>
        </w:rPr>
        <w:t>The Board has an audit committee, a compensation committee and a nominating and corporate governance committee. The composition and responsibilities of each of the committees of the Board is described below. Members will serve on these committees until their resignation or until as otherwise determined by the Board.</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Audit Committee</w:t>
      </w:r>
    </w:p>
    <w:p>
      <w:pPr>
        <w:spacing w:after="0" w:line="119"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audit committee consists of Richard Lumb, Sean Collins and Michelle Goldberg, with Richard Lumb serving as the chair of the committee. Each of the members of the audit committee satisfies the requirements for independence and financial literacy under the applicable rules and regulations of the SEC and rules of the NYSE. We have not made an initial determination as to whether any member qualifies as an “audit committee financial expert,” and there can be no assurance that the Board will make such determination in its Annual Report on Form 10-K for the fiscal year ending December 31, 2021. However, the members of the audit committee of the Board individually and collectively have vast educational and business financial experience and training and are believed to collectively hold the requisite expertise to perform the committee’s functions. The audit committee is responsible for, among other things:</w:t>
      </w:r>
    </w:p>
    <w:p>
      <w:pPr>
        <w:spacing w:after="0" w:line="91" w:lineRule="exact"/>
        <w:rPr>
          <w:sz w:val="20"/>
          <w:szCs w:val="20"/>
          <w:color w:val="auto"/>
        </w:rPr>
      </w:pPr>
    </w:p>
    <w:p>
      <w:pPr>
        <w:ind w:left="1300" w:hanging="410"/>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selecting a qualified firm to serve as the independent registered public accounting firm to audit our financial statements;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helping to ensure the independence and performance of the independent registered public accounting firm;</w:t>
      </w:r>
    </w:p>
    <w:p>
      <w:pPr>
        <w:spacing w:after="0" w:line="126" w:lineRule="exact"/>
        <w:rPr>
          <w:rFonts w:ascii="Arial" w:cs="Arial" w:eastAsia="Arial" w:hAnsi="Arial"/>
          <w:sz w:val="17"/>
          <w:szCs w:val="17"/>
          <w:color w:val="auto"/>
        </w:rPr>
      </w:pPr>
    </w:p>
    <w:p>
      <w:pPr>
        <w:ind w:left="1300" w:right="100" w:hanging="410"/>
        <w:spacing w:after="0" w:line="278"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our policies on and oversees risk assessment and risk management, including enterprise risk management;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related party transactions;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reviewing the adequacy and effectiveness of internal control policies and procedures and our disclosure controls and procedures; and</w:t>
      </w:r>
    </w:p>
    <w:p>
      <w:pPr>
        <w:spacing w:after="0" w:line="137" w:lineRule="exact"/>
        <w:rPr>
          <w:rFonts w:ascii="Arial" w:cs="Arial" w:eastAsia="Arial" w:hAnsi="Arial"/>
          <w:sz w:val="16"/>
          <w:szCs w:val="16"/>
          <w:color w:val="auto"/>
        </w:rPr>
      </w:pPr>
    </w:p>
    <w:p>
      <w:pPr>
        <w:ind w:left="1300" w:right="160" w:hanging="410"/>
        <w:spacing w:after="0" w:line="278"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approving or, as required, pre-approving, all audit and all permissible non-audit services, other than de minimis non-audit services, to be performed by the independent registered public accounting firm.</w:t>
      </w:r>
    </w:p>
    <w:p>
      <w:pPr>
        <w:spacing w:after="0" w:line="165" w:lineRule="exact"/>
        <w:rPr>
          <w:sz w:val="20"/>
          <w:szCs w:val="20"/>
          <w:color w:val="auto"/>
        </w:rPr>
      </w:pPr>
    </w:p>
    <w:p>
      <w:pPr>
        <w:ind w:left="380" w:right="116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audit committee which is available on our Investor Relations website available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Committee</w:t>
      </w:r>
    </w:p>
    <w:p>
      <w:pPr>
        <w:spacing w:after="0" w:line="119" w:lineRule="exact"/>
        <w:rPr>
          <w:sz w:val="20"/>
          <w:szCs w:val="20"/>
          <w:color w:val="auto"/>
        </w:rPr>
      </w:pPr>
    </w:p>
    <w:p>
      <w:pPr>
        <w:jc w:val="both"/>
        <w:ind w:left="380" w:right="220" w:firstLine="420"/>
        <w:spacing w:after="0" w:line="265" w:lineRule="auto"/>
        <w:rPr>
          <w:sz w:val="20"/>
          <w:szCs w:val="20"/>
          <w:color w:val="auto"/>
        </w:rPr>
      </w:pPr>
      <w:r>
        <w:rPr>
          <w:rFonts w:ascii="Arial" w:cs="Arial" w:eastAsia="Arial" w:hAnsi="Arial"/>
          <w:sz w:val="17"/>
          <w:szCs w:val="17"/>
          <w:color w:val="auto"/>
        </w:rPr>
        <w:t>The compensation committee consists of Sean Collins and Andrew Main, with Sean Collins serving as the chair of the committee. Each of the members of the Board’s compensation committee meet the requirements for independence under the under the applicable rules and regulations of the SEC and rules of the NYSE. The compensation committee is responsible for, among other things:</w:t>
      </w:r>
    </w:p>
    <w:p>
      <w:pPr>
        <w:spacing w:after="0" w:line="86" w:lineRule="exact"/>
        <w:rPr>
          <w:sz w:val="20"/>
          <w:szCs w:val="20"/>
          <w:color w:val="auto"/>
        </w:rPr>
      </w:pPr>
    </w:p>
    <w:p>
      <w:pPr>
        <w:ind w:left="1300" w:hanging="41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approving and determining the compensation of our officers and key employees;</w:t>
      </w:r>
    </w:p>
    <w:p>
      <w:pPr>
        <w:spacing w:after="0" w:line="126" w:lineRule="exact"/>
        <w:rPr>
          <w:rFonts w:ascii="Arial" w:cs="Arial" w:eastAsia="Arial" w:hAnsi="Arial"/>
          <w:sz w:val="17"/>
          <w:szCs w:val="17"/>
          <w:color w:val="auto"/>
        </w:rPr>
      </w:pPr>
    </w:p>
    <w:p>
      <w:pPr>
        <w:ind w:left="1300" w:right="240" w:hanging="410"/>
        <w:spacing w:after="0" w:line="278" w:lineRule="auto"/>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approving and determining compensation and benefits, including equity awards, to directors for service on the Board or any committee thereof;</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administering our equity compensation plans;</w:t>
      </w:r>
    </w:p>
    <w:p>
      <w:pPr>
        <w:spacing w:after="0" w:line="15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820"/>
          </w:cols>
          <w:pgMar w:left="320" w:top="471" w:right="75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reviewing, approving and making recommendations to the Board regarding incentive compensation and equity compensation plans; and</w:t>
      </w:r>
    </w:p>
    <w:p>
      <w:pPr>
        <w:spacing w:after="0" w:line="149" w:lineRule="exact"/>
        <w:rPr>
          <w:rFonts w:ascii="Arial" w:cs="Arial" w:eastAsia="Arial" w:hAnsi="Arial"/>
          <w:sz w:val="15"/>
          <w:szCs w:val="15"/>
          <w:color w:val="auto"/>
        </w:rPr>
      </w:pPr>
    </w:p>
    <w:p>
      <w:pPr>
        <w:ind w:left="1300" w:hanging="410"/>
        <w:spacing w:after="0"/>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establishing and reviewing general policies relating to compensation and benefits of our employees.</w:t>
      </w:r>
    </w:p>
    <w:p>
      <w:pPr>
        <w:spacing w:after="0" w:line="216"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compensation committee which is available on our Investor Relations website available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Nominating and Corporate Governance Committee</w:t>
      </w:r>
    </w:p>
    <w:p>
      <w:pPr>
        <w:spacing w:after="0" w:line="119" w:lineRule="exact"/>
        <w:rPr>
          <w:sz w:val="20"/>
          <w:szCs w:val="20"/>
          <w:color w:val="auto"/>
        </w:rPr>
      </w:pPr>
    </w:p>
    <w:p>
      <w:pPr>
        <w:ind w:left="380" w:right="340" w:firstLine="420"/>
        <w:spacing w:after="0" w:line="261" w:lineRule="auto"/>
        <w:rPr>
          <w:sz w:val="20"/>
          <w:szCs w:val="20"/>
          <w:color w:val="auto"/>
        </w:rPr>
      </w:pPr>
      <w:r>
        <w:rPr>
          <w:rFonts w:ascii="Arial" w:cs="Arial" w:eastAsia="Arial" w:hAnsi="Arial"/>
          <w:sz w:val="17"/>
          <w:szCs w:val="17"/>
          <w:color w:val="auto"/>
        </w:rPr>
        <w:t>The nominating and corporate governance committee consists of Michelle Goldberg, Sean Collins and Kristyn Cook, with Michelle Goldberg serving as the chair of the committee. Each of the members of the nominating and corporate governance committee meet the requirements for independence under the applicable rules and regulations of the SEC and rules of the NYSE. The nominating and corporate governance committee is responsible for, among other things:</w:t>
      </w:r>
    </w:p>
    <w:p>
      <w:pPr>
        <w:spacing w:after="0" w:line="89" w:lineRule="exact"/>
        <w:rPr>
          <w:sz w:val="20"/>
          <w:szCs w:val="20"/>
          <w:color w:val="auto"/>
        </w:rPr>
      </w:pPr>
    </w:p>
    <w:p>
      <w:pPr>
        <w:ind w:left="1300" w:right="460" w:hanging="410"/>
        <w:spacing w:after="0" w:line="278"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identifying, evaluating and selecting, or making recommendations to the Board regarding, nominees for election to the Board and its committees;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evaluating the performance of the Board and of individual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considering, and making recommendations to the Board regarding, the composition of the Board and its committees;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reviewing developments in corporate governance practices;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evaluating the adequacy of the corporate governance practices and reporting;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developing, and making recommendations to the Board regarding, corporate governance guidelines and matters.</w:t>
      </w:r>
    </w:p>
    <w:p>
      <w:pPr>
        <w:spacing w:after="0" w:line="216"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nominating and corporate governance committee which is available on the Company’s website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Code of Conduct and Ethics</w:t>
      </w:r>
    </w:p>
    <w:p>
      <w:pPr>
        <w:spacing w:after="0" w:line="119"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 xml:space="preserve">We post our code of conduct and ethics and any amendments to or any waivers from a provision of its code of conduct and ethics on our website at </w:t>
      </w:r>
      <w:r>
        <w:rPr>
          <w:rFonts w:ascii="Arial" w:cs="Arial" w:eastAsia="Arial" w:hAnsi="Arial"/>
          <w:sz w:val="17"/>
          <w:szCs w:val="17"/>
          <w:i w:val="1"/>
          <w:iCs w:val="1"/>
          <w:color w:val="auto"/>
        </w:rPr>
        <w:t>investors.bakkt.com</w:t>
      </w:r>
      <w:r>
        <w:rPr>
          <w:rFonts w:ascii="Arial" w:cs="Arial" w:eastAsia="Arial" w:hAnsi="Arial"/>
          <w:sz w:val="17"/>
          <w:szCs w:val="17"/>
          <w:color w:val="auto"/>
        </w:rPr>
        <w:t xml:space="preserve"> under “Governance Documents.” and we also intend to disclose any amendments to or waivers of certain provisions of its code of conduct and ethics on a Form 8-K.</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9"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None of our officers currently serves, and in the past year has served, (a) as a member of the compensation committee or the board of directors of another entity, one of whose officers served on our compensation committee, or (b) as a member of the compensation committee of another entity, one of whose officers served on the Board.</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860"/>
          </w:cols>
          <w:pgMar w:left="320" w:top="471" w:right="71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ind w:left="380" w:right="80" w:firstLine="420"/>
        <w:spacing w:after="0" w:line="265" w:lineRule="auto"/>
        <w:rPr>
          <w:sz w:val="20"/>
          <w:szCs w:val="20"/>
          <w:color w:val="auto"/>
        </w:rPr>
      </w:pPr>
      <w:r>
        <w:rPr>
          <w:rFonts w:ascii="Arial" w:cs="Arial" w:eastAsia="Arial" w:hAnsi="Arial"/>
          <w:sz w:val="17"/>
          <w:szCs w:val="17"/>
          <w:i w:val="1"/>
          <w:iCs w:val="1"/>
          <w:color w:val="auto"/>
        </w:rPr>
        <w:t>As an emerging growth company, we have opted to comply with the executive compensation disclosure rules applicable to “smaller reporting companies” as such term is defined in the rules promulgated under the Securities Act, which generally require compensation disclosure for its principal executive officer and its two other most highly compensated executive officers.</w:t>
      </w:r>
    </w:p>
    <w:p>
      <w:pPr>
        <w:spacing w:after="0" w:line="176"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The following sets forth information about the compensation paid to or accrued by Opco’s interim principal executive officer, its two other most highly compensated persons serving as executive officers as of December 31, 2020 (“</w:t>
      </w:r>
      <w:r>
        <w:rPr>
          <w:rFonts w:ascii="Arial" w:cs="Arial" w:eastAsia="Arial" w:hAnsi="Arial"/>
          <w:sz w:val="17"/>
          <w:szCs w:val="17"/>
          <w:b w:val="1"/>
          <w:bCs w:val="1"/>
          <w:color w:val="auto"/>
        </w:rPr>
        <w:t>fiscal 2020</w:t>
      </w:r>
      <w:r>
        <w:rPr>
          <w:rFonts w:ascii="Arial" w:cs="Arial" w:eastAsia="Arial" w:hAnsi="Arial"/>
          <w:sz w:val="17"/>
          <w:szCs w:val="17"/>
          <w:color w:val="auto"/>
        </w:rPr>
        <w:t>”), and its former principal executive officer. These executives are referred to as the “</w:t>
      </w:r>
      <w:r>
        <w:rPr>
          <w:rFonts w:ascii="Arial" w:cs="Arial" w:eastAsia="Arial" w:hAnsi="Arial"/>
          <w:sz w:val="17"/>
          <w:szCs w:val="17"/>
          <w:b w:val="1"/>
          <w:bCs w:val="1"/>
          <w:color w:val="auto"/>
        </w:rPr>
        <w:t>named executive officers</w:t>
      </w:r>
      <w:r>
        <w:rPr>
          <w:rFonts w:ascii="Arial" w:cs="Arial" w:eastAsia="Arial" w:hAnsi="Arial"/>
          <w:sz w:val="17"/>
          <w:szCs w:val="17"/>
          <w:color w:val="auto"/>
        </w:rPr>
        <w:t>.”</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Summary Compensation Table for Fiscal 2020</w:t>
      </w:r>
    </w:p>
    <w:p>
      <w:pPr>
        <w:spacing w:after="0" w:line="119"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The following table presents information regarding the compensation earned or received by certain of our executive officers for services rendered during the fiscal year ended December 31, 2020.</w:t>
      </w:r>
    </w:p>
    <w:p>
      <w:pPr>
        <w:spacing w:after="0" w:line="16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Bonus</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8"/>
              </w:rPr>
              <w:t>Compensation</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2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(2)</w:t>
            </w:r>
          </w:p>
        </w:tc>
        <w:tc>
          <w:tcPr>
            <w:tcW w:w="26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David C. Clifton</w:t>
            </w:r>
            <w:r>
              <w:rPr>
                <w:rFonts w:ascii="Arial" w:cs="Arial" w:eastAsia="Arial" w:hAnsi="Arial"/>
                <w:sz w:val="17"/>
                <w:szCs w:val="17"/>
                <w:color w:val="auto"/>
                <w:vertAlign w:val="superscript"/>
              </w:rPr>
              <w:t>(9)</w:t>
            </w: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Former Interim 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1,131,000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1,131,000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line="194" w:lineRule="exact"/>
              <w:rPr>
                <w:sz w:val="20"/>
                <w:szCs w:val="20"/>
                <w:color w:val="auto"/>
              </w:rPr>
            </w:pPr>
            <w:r>
              <w:rPr>
                <w:rFonts w:ascii="Arial" w:cs="Arial" w:eastAsia="Arial" w:hAnsi="Arial"/>
                <w:sz w:val="17"/>
                <w:szCs w:val="17"/>
                <w:b w:val="1"/>
                <w:bCs w:val="1"/>
                <w:color w:val="auto"/>
              </w:rPr>
              <w:t>Nicolas Cabrera</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w w:val="88"/>
              </w:rPr>
              <w:t>120,200</w:t>
            </w:r>
            <w:r>
              <w:rPr>
                <w:rFonts w:ascii="Arial" w:cs="Arial" w:eastAsia="Arial" w:hAnsi="Arial"/>
                <w:sz w:val="24"/>
                <w:szCs w:val="24"/>
                <w:color w:val="auto"/>
                <w:w w:val="88"/>
                <w:vertAlign w:val="superscript"/>
              </w:rPr>
              <w:t>(3)</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93,210</w:t>
            </w:r>
            <w:r>
              <w:rPr>
                <w:rFonts w:ascii="Arial" w:cs="Arial" w:eastAsia="Arial" w:hAnsi="Arial"/>
                <w:sz w:val="24"/>
                <w:szCs w:val="24"/>
                <w:color w:val="auto"/>
                <w:vertAlign w:val="superscript"/>
              </w:rPr>
              <w:t>(6)</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160"/>
              <w:spacing w:after="0"/>
              <w:rPr>
                <w:sz w:val="20"/>
                <w:szCs w:val="20"/>
                <w:color w:val="auto"/>
              </w:rPr>
            </w:pPr>
            <w:r>
              <w:rPr>
                <w:rFonts w:ascii="Arial" w:cs="Arial" w:eastAsia="Arial" w:hAnsi="Arial"/>
                <w:sz w:val="17"/>
                <w:szCs w:val="17"/>
                <w:color w:val="auto"/>
              </w:rPr>
              <w:t>Chief Product Officer</w:t>
            </w:r>
          </w:p>
        </w:tc>
        <w:tc>
          <w:tcPr>
            <w:tcW w:w="400" w:type="dxa"/>
            <w:vAlign w:val="bottom"/>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360,833</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1,652,670</w:t>
            </w: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2,226,913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Matthew Johnson</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w w:val="88"/>
              </w:rPr>
              <w:t>102,900</w:t>
            </w:r>
            <w:r>
              <w:rPr>
                <w:rFonts w:ascii="Arial" w:cs="Arial" w:eastAsia="Arial" w:hAnsi="Arial"/>
                <w:sz w:val="24"/>
                <w:szCs w:val="24"/>
                <w:color w:val="auto"/>
                <w:w w:val="88"/>
                <w:vertAlign w:val="superscript"/>
              </w:rPr>
              <w:t>(4)</w:t>
            </w: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18,210</w:t>
            </w:r>
            <w:r>
              <w:rPr>
                <w:rFonts w:ascii="Arial" w:cs="Arial" w:eastAsia="Arial" w:hAnsi="Arial"/>
                <w:sz w:val="24"/>
                <w:szCs w:val="24"/>
                <w:color w:val="auto"/>
                <w:vertAlign w:val="superscript"/>
              </w:rPr>
              <w:t>(7)</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Chief Technology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320,833</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1,154,520</w:t>
            </w:r>
          </w:p>
        </w:tc>
        <w:tc>
          <w:tcPr>
            <w:tcW w:w="2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1,596,463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line="194" w:lineRule="exact"/>
              <w:rPr>
                <w:sz w:val="20"/>
                <w:szCs w:val="20"/>
                <w:color w:val="auto"/>
              </w:rPr>
            </w:pPr>
            <w:r>
              <w:rPr>
                <w:rFonts w:ascii="Arial" w:cs="Arial" w:eastAsia="Arial" w:hAnsi="Arial"/>
                <w:sz w:val="17"/>
                <w:szCs w:val="17"/>
                <w:b w:val="1"/>
                <w:bCs w:val="1"/>
                <w:color w:val="auto"/>
              </w:rPr>
              <w:t>Michael Blandina</w:t>
            </w:r>
            <w:r>
              <w:rPr>
                <w:rFonts w:ascii="Arial" w:cs="Arial" w:eastAsia="Arial" w:hAnsi="Arial"/>
                <w:sz w:val="17"/>
                <w:szCs w:val="17"/>
                <w:color w:val="auto"/>
                <w:vertAlign w:val="superscript"/>
              </w:rPr>
              <w:t>(10)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w w:val="88"/>
              </w:rPr>
              <w:t>250,000</w:t>
            </w:r>
            <w:r>
              <w:rPr>
                <w:rFonts w:ascii="Arial" w:cs="Arial" w:eastAsia="Arial" w:hAnsi="Arial"/>
                <w:sz w:val="24"/>
                <w:szCs w:val="24"/>
                <w:color w:val="auto"/>
                <w:w w:val="88"/>
                <w:vertAlign w:val="superscript"/>
              </w:rPr>
              <w:t>(5)</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3,101</w:t>
            </w:r>
            <w:r>
              <w:rPr>
                <w:rFonts w:ascii="Arial" w:cs="Arial" w:eastAsia="Arial" w:hAnsi="Arial"/>
                <w:sz w:val="24"/>
                <w:szCs w:val="24"/>
                <w:color w:val="auto"/>
                <w:vertAlign w:val="superscript"/>
              </w:rPr>
              <w:t>(8)</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4900" w:type="dxa"/>
            <w:vAlign w:val="bottom"/>
          </w:tcPr>
          <w:p>
            <w:pPr>
              <w:ind w:left="160"/>
              <w:spacing w:after="0"/>
              <w:rPr>
                <w:sz w:val="20"/>
                <w:szCs w:val="20"/>
                <w:color w:val="auto"/>
              </w:rPr>
            </w:pPr>
            <w:r>
              <w:rPr>
                <w:rFonts w:ascii="Arial" w:cs="Arial" w:eastAsia="Arial" w:hAnsi="Arial"/>
                <w:sz w:val="17"/>
                <w:szCs w:val="17"/>
                <w:color w:val="auto"/>
              </w:rPr>
              <w:t>Former Chief Executive Officer</w:t>
            </w:r>
          </w:p>
        </w:tc>
        <w:tc>
          <w:tcPr>
            <w:tcW w:w="400" w:type="dxa"/>
            <w:vAlign w:val="bottom"/>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208,048</w:t>
            </w:r>
          </w:p>
        </w:tc>
        <w:tc>
          <w:tcPr>
            <w:tcW w:w="10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0" w:type="dxa"/>
            <w:vAlign w:val="bottom"/>
            <w:gridSpan w:val="2"/>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461,149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21590</wp:posOffset>
            </wp:positionV>
            <wp:extent cx="7353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53" w:lineRule="exact"/>
        <w:rPr>
          <w:sz w:val="20"/>
          <w:szCs w:val="20"/>
          <w:color w:val="auto"/>
        </w:rPr>
      </w:pPr>
    </w:p>
    <w:p>
      <w:pPr>
        <w:ind w:left="780" w:hanging="404"/>
        <w:spacing w:after="0"/>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Amounts reflect annual base salary paid for fiscal 2020.</w:t>
      </w:r>
    </w:p>
    <w:p>
      <w:pPr>
        <w:spacing w:after="0" w:line="21" w:lineRule="exact"/>
        <w:rPr>
          <w:rFonts w:ascii="Arial" w:cs="Arial" w:eastAsia="Arial" w:hAnsi="Arial"/>
          <w:sz w:val="17"/>
          <w:szCs w:val="17"/>
          <w:color w:val="auto"/>
        </w:rPr>
      </w:pPr>
    </w:p>
    <w:p>
      <w:pPr>
        <w:jc w:val="both"/>
        <w:ind w:left="780" w:right="360" w:hanging="404"/>
        <w:spacing w:after="0" w:line="268" w:lineRule="auto"/>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represent the grant date fair value of equity-based awards granted in fiscal 2020, calculated in accordance with ASC 718, and do not necessarily correspond to the actual value that may be recognized from the equity-based awards. Assumptions used in the calculation of these amounts are described in Note 9 of Opco’s audited consolidated financial statements included in this prospectus.</w:t>
      </w:r>
    </w:p>
    <w:p>
      <w:pPr>
        <w:spacing w:after="0" w:line="1" w:lineRule="exact"/>
        <w:rPr>
          <w:rFonts w:ascii="Arial" w:cs="Arial" w:eastAsia="Arial" w:hAnsi="Arial"/>
          <w:sz w:val="16"/>
          <w:szCs w:val="16"/>
          <w:color w:val="auto"/>
        </w:rPr>
      </w:pPr>
    </w:p>
    <w:p>
      <w:pPr>
        <w:ind w:left="780" w:hanging="404"/>
        <w:spacing w:after="0"/>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Cabrera.</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Johnson.</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Blandina.</w:t>
      </w:r>
    </w:p>
    <w:p>
      <w:pPr>
        <w:spacing w:after="0" w:line="10" w:lineRule="exact"/>
        <w:rPr>
          <w:rFonts w:ascii="Arial" w:cs="Arial" w:eastAsia="Arial" w:hAnsi="Arial"/>
          <w:sz w:val="17"/>
          <w:szCs w:val="17"/>
          <w:color w:val="auto"/>
        </w:rPr>
      </w:pPr>
    </w:p>
    <w:p>
      <w:pPr>
        <w:ind w:left="780" w:right="280" w:hanging="404"/>
        <w:spacing w:after="0" w:line="252" w:lineRule="auto"/>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Cabrera’s 401(k) plan account in the amount of $17,100, (2) imputed income from Opco’s group term life insurance in the amount of $810, (3) telecom allowance in the amount of $300 and (4) relocation expenses of $75,000.</w:t>
      </w:r>
    </w:p>
    <w:p>
      <w:pPr>
        <w:spacing w:after="0" w:line="1" w:lineRule="exact"/>
        <w:rPr>
          <w:rFonts w:ascii="Arial" w:cs="Arial" w:eastAsia="Arial" w:hAnsi="Arial"/>
          <w:sz w:val="17"/>
          <w:szCs w:val="17"/>
          <w:color w:val="auto"/>
        </w:rPr>
      </w:pPr>
    </w:p>
    <w:p>
      <w:pPr>
        <w:ind w:left="780" w:right="260" w:hanging="404"/>
        <w:spacing w:after="0" w:line="252" w:lineRule="auto"/>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Johnson’s 401(k) plan account in the amount of $17,100, (2) imputed income from Opco’s group term life insurance in the amount of $810 and (3) telecom allowance in the amount of $300.</w:t>
      </w:r>
    </w:p>
    <w:p>
      <w:pPr>
        <w:spacing w:after="0" w:line="1" w:lineRule="exact"/>
        <w:rPr>
          <w:rFonts w:ascii="Arial" w:cs="Arial" w:eastAsia="Arial" w:hAnsi="Arial"/>
          <w:sz w:val="17"/>
          <w:szCs w:val="17"/>
          <w:color w:val="auto"/>
        </w:rPr>
      </w:pPr>
    </w:p>
    <w:p>
      <w:pPr>
        <w:ind w:left="780" w:right="300" w:hanging="404"/>
        <w:spacing w:after="0" w:line="252" w:lineRule="auto"/>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Blandina’s 401(k) plan account in the amount of $2,800, (2) imputed income from Opco’s group term life insurance in the amount of $871 and (3) telecom allowance in the amount of $150.</w:t>
      </w:r>
    </w:p>
    <w:p>
      <w:pPr>
        <w:spacing w:after="0" w:line="1" w:lineRule="exact"/>
        <w:rPr>
          <w:rFonts w:ascii="Arial" w:cs="Arial" w:eastAsia="Arial" w:hAnsi="Arial"/>
          <w:sz w:val="17"/>
          <w:szCs w:val="17"/>
          <w:color w:val="auto"/>
        </w:rPr>
      </w:pPr>
    </w:p>
    <w:p>
      <w:pPr>
        <w:ind w:left="780" w:right="140" w:hanging="404"/>
        <w:spacing w:after="0" w:line="252" w:lineRule="auto"/>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Clifton ceased being Opco’s interim Chief Executive Officer on January 11, 2021, when Gavin Michael became our Chief Executive Officer. Mr. Clifton received no other compensation for his services as Opco’s interim Chief Executive Officer other than profits interests in the form of 975,000 preferred incentive units.</w:t>
      </w:r>
    </w:p>
    <w:p>
      <w:pPr>
        <w:spacing w:after="0" w:line="1" w:lineRule="exact"/>
        <w:rPr>
          <w:rFonts w:ascii="Arial" w:cs="Arial" w:eastAsia="Arial" w:hAnsi="Arial"/>
          <w:sz w:val="17"/>
          <w:szCs w:val="17"/>
          <w:color w:val="auto"/>
        </w:rPr>
      </w:pPr>
    </w:p>
    <w:p>
      <w:pPr>
        <w:ind w:left="780" w:hanging="404"/>
        <w:spacing w:after="0"/>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Blandina ceased being Opco’s Chief Executive Officer in May 2020.</w:t>
      </w:r>
    </w:p>
    <w:p>
      <w:pPr>
        <w:spacing w:after="0" w:line="14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880"/>
          </w:cols>
          <w:pgMar w:left="320" w:top="471" w:right="69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Elements of Compensation</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Base Salary</w:t>
      </w:r>
    </w:p>
    <w:p>
      <w:pPr>
        <w:spacing w:after="0" w:line="113"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named executive officer’s scope of responsibility and accountability.</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Annual Bonus</w:t>
      </w:r>
    </w:p>
    <w:p>
      <w:pPr>
        <w:spacing w:after="0" w:line="113"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We provide annual bonuses to our executive officers, including the named executive officers, based on performance for the completed fiscal year on a discretionary basis. We do not currently maintain any company-wide annual cash bonus plan or program. At the end of each fiscal year, the Board reviews and assesses our performance and each individual executive officer and determines an appropriate amount of discretionary bonus to be paid to its executive officers. For certain executive officers who have target bonuses, including Messrs. Cabrera and Johnson, any discretionary bonus would be made within the target bonus. Messrs. Cabrera and Johnson’s previous discretionary bonuses, awarded by Opco pursuant to a compensation plan similar to that which we have adopted, provided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26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Equity-based Compensation</w:t>
      </w:r>
    </w:p>
    <w:p>
      <w:pPr>
        <w:spacing w:after="0" w:line="113"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Opco granted equity awards in the form of Opco Incentive Units and contractual rights to participate in the value of Opco through the cash payment, upon the occurrence of a participation unit payment event, to a participant in an amount equal to the excess, if any, of the then fair market value of an Opco Common Unit over the fair market value of an Opco Common Unit as of the grant date. (“</w:t>
      </w:r>
      <w:r>
        <w:rPr>
          <w:rFonts w:ascii="Arial" w:cs="Arial" w:eastAsia="Arial" w:hAnsi="Arial"/>
          <w:sz w:val="15"/>
          <w:szCs w:val="15"/>
          <w:b w:val="1"/>
          <w:bCs w:val="1"/>
          <w:color w:val="auto"/>
        </w:rPr>
        <w:t>Opco Participation Units</w:t>
      </w:r>
      <w:r>
        <w:rPr>
          <w:rFonts w:ascii="Arial" w:cs="Arial" w:eastAsia="Arial" w:hAnsi="Arial"/>
          <w:sz w:val="15"/>
          <w:szCs w:val="15"/>
          <w:color w:val="auto"/>
        </w:rPr>
        <w:t>”) to its employees, including the named executive officers, as the long-term incentive component of Opco’s compensation program. Opco’s equity-based compensation program allowed Opco’s employees to be eligible for additional compensation for the increase in value of Opco in the event of a liquidity event. Opco’s incentive and participation units were granted to newly hired employees and generally vested as to 100% of the award upon a liquidity event, as to one-third of the award upon an initial public offering, with the remaining two-thirds vesting in two equal installments on each of the first and second anniversaries of the IPO, and as to an amount determined by the award’s performance conditions in the event of a put or call option of investors, a sale of an investor’s units to a third party, or certain additional equity issuances by Opco. Following the Business Combination, we treated the incentive and participation units as if an initial public offering has occurred under the Opco Plan, except that with respect to Opco Incentive Units granted in December 2020, participants had the opportunity, but not the obligation, to require Opco, through the management of Opco, to redeem, effective as of immediately prior to the effective time of the Merger, 40% of the first one-third of their Opco Incentive Units scheduled to vest at the effective time of the Merger for the receipt, as of the Closing, of a cash payment for the portion of Opco Incentive Units redeemed. Pursuant to the Merger Agreement, no new awards will be granted under the Opco Plan, and future equity-based awards will be made under the Equity Incentive Plan.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Employment Arrangements with the Named Executive Officers of Opco</w:t>
      </w:r>
    </w:p>
    <w:p>
      <w:pPr>
        <w:spacing w:after="0" w:line="113" w:lineRule="exact"/>
        <w:rPr>
          <w:sz w:val="20"/>
          <w:szCs w:val="20"/>
          <w:color w:val="auto"/>
        </w:rPr>
      </w:pPr>
    </w:p>
    <w:p>
      <w:pPr>
        <w:jc w:val="both"/>
        <w:ind w:left="380" w:right="40" w:firstLine="420"/>
        <w:spacing w:after="0" w:line="265" w:lineRule="auto"/>
        <w:rPr>
          <w:sz w:val="20"/>
          <w:szCs w:val="20"/>
          <w:color w:val="auto"/>
        </w:rPr>
      </w:pPr>
      <w:r>
        <w:rPr>
          <w:rFonts w:ascii="Arial" w:cs="Arial" w:eastAsia="Arial" w:hAnsi="Arial"/>
          <w:sz w:val="17"/>
          <w:szCs w:val="17"/>
          <w:color w:val="auto"/>
        </w:rPr>
        <w:t>Each of our named executive officers (except for Mr. Clifton) is a party to a written employment arrangement. The material terms of each of those arrangements are summarized below. For a description of the compensation actually paid to the named executive officers for fiscal 2020, please refer to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860"/>
          </w:cols>
          <w:pgMar w:left="320" w:top="471" w:right="71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David C. Clifton</w:t>
      </w:r>
    </w:p>
    <w:p>
      <w:pPr>
        <w:spacing w:after="0" w:line="113"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Mr. Clifton did not have a written arrangement with Opco or ICE regarding his services to Opco as interim CEO. Mr. Clifton commenced his services in this role in April 2020 and received no additional compensation from ICE for such services. In recognition of Mr. Clifton’s services to Opco in fiscal year 2020, Opco granted profits interests in the form of 975,000 preferred incentive units on December 4, 2020 subject to the Opco Plan (as described below).</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Nicolas Cabrera</w:t>
      </w:r>
    </w:p>
    <w:p>
      <w:pPr>
        <w:spacing w:after="0" w:line="113" w:lineRule="exact"/>
        <w:rPr>
          <w:sz w:val="20"/>
          <w:szCs w:val="20"/>
          <w:color w:val="auto"/>
        </w:rPr>
      </w:pPr>
    </w:p>
    <w:p>
      <w:pPr>
        <w:ind w:left="380" w:right="20" w:firstLine="420"/>
        <w:spacing w:after="0" w:line="256" w:lineRule="auto"/>
        <w:rPr>
          <w:sz w:val="20"/>
          <w:szCs w:val="20"/>
          <w:color w:val="auto"/>
        </w:rPr>
      </w:pPr>
      <w:r>
        <w:rPr>
          <w:rFonts w:ascii="Arial" w:cs="Arial" w:eastAsia="Arial" w:hAnsi="Arial"/>
          <w:sz w:val="17"/>
          <w:szCs w:val="17"/>
          <w:color w:val="auto"/>
        </w:rPr>
        <w:t>Mr. Cabrera and ICE entered into an offer letter on June 3, 2019, subsequently amended by a letter of modification of offer letter with Opco dated July 27, 2020 (together, the “</w:t>
      </w:r>
      <w:r>
        <w:rPr>
          <w:rFonts w:ascii="Arial" w:cs="Arial" w:eastAsia="Arial" w:hAnsi="Arial"/>
          <w:sz w:val="17"/>
          <w:szCs w:val="17"/>
          <w:b w:val="1"/>
          <w:bCs w:val="1"/>
          <w:color w:val="auto"/>
        </w:rPr>
        <w:t>Cabrera Offer Letter</w:t>
      </w:r>
      <w:r>
        <w:rPr>
          <w:rFonts w:ascii="Arial" w:cs="Arial" w:eastAsia="Arial" w:hAnsi="Arial"/>
          <w:sz w:val="17"/>
          <w:szCs w:val="17"/>
          <w:color w:val="auto"/>
        </w:rPr>
        <w:t>”). The Cabrera Offer Letter provides Mr. Cabrera an annual base salary, signing bonus, an annual performance-based discretionary cash bonus with a target of 50% of his annual base salary, a grant of Opco Incentive Units under the Opco Plan, relocation bonuses, employee benefit plan eligibility and paid time off in accordance with Opco’s policies. Upon a termination without cause on or prior to December 31, 2021, Mr. Cabrera will be eligible for a lump sum severance payment of his annual base salary of $370,000 and additional amount attributable to 12-months of COBRA costs, subject to an effective release of claims in favor of the Company or Opco. Mr. Cabrera was also party to a Terms of Employment agreement with the Company that contains assignment of inventions, proprietary information, confidentiality, and non-solicit and non-compete covenants.</w:t>
      </w:r>
    </w:p>
    <w:p>
      <w:pPr>
        <w:spacing w:after="0" w:line="287"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Matthew Johnson</w:t>
      </w:r>
    </w:p>
    <w:p>
      <w:pPr>
        <w:spacing w:after="0" w:line="107"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Mr. Johnson and ICE entered into an offer letter on April 12, 2019 (the “</w:t>
      </w:r>
      <w:r>
        <w:rPr>
          <w:rFonts w:ascii="Arial" w:cs="Arial" w:eastAsia="Arial" w:hAnsi="Arial"/>
          <w:sz w:val="17"/>
          <w:szCs w:val="17"/>
          <w:b w:val="1"/>
          <w:bCs w:val="1"/>
          <w:color w:val="auto"/>
        </w:rPr>
        <w:t>Johnson Offer Letter</w:t>
      </w:r>
      <w:r>
        <w:rPr>
          <w:rFonts w:ascii="Arial" w:cs="Arial" w:eastAsia="Arial" w:hAnsi="Arial"/>
          <w:sz w:val="17"/>
          <w:szCs w:val="17"/>
          <w:color w:val="auto"/>
        </w:rPr>
        <w:t>”). The Johnson Offer Letter provides Mr. Johnson an annual base salary, an annual performance-based discretionary cash bonus with a target of 35% of his annual base salary, a grant of Opco Incentive Units under the Opco Plan, employee benefit plan eligibility and paid time off in accordance with Opco’s policies. Mr. Johnson was party to a Terms of Employment agreement with Opco that contains assignment of inventions, proprietary information, confidentiality, and non-solicit and non-compete covenants.</w:t>
      </w:r>
    </w:p>
    <w:p>
      <w:pPr>
        <w:spacing w:after="0" w:line="281"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Michael Blandina</w:t>
      </w:r>
    </w:p>
    <w:p>
      <w:pPr>
        <w:spacing w:after="0" w:line="107" w:lineRule="exact"/>
        <w:rPr>
          <w:sz w:val="20"/>
          <w:szCs w:val="20"/>
          <w:color w:val="auto"/>
        </w:rPr>
      </w:pPr>
    </w:p>
    <w:p>
      <w:pPr>
        <w:jc w:val="both"/>
        <w:ind w:left="380" w:right="480" w:firstLine="420"/>
        <w:spacing w:after="0" w:line="293" w:lineRule="auto"/>
        <w:rPr>
          <w:sz w:val="20"/>
          <w:szCs w:val="20"/>
          <w:color w:val="auto"/>
        </w:rPr>
      </w:pPr>
      <w:r>
        <w:rPr>
          <w:rFonts w:ascii="Arial" w:cs="Arial" w:eastAsia="Arial" w:hAnsi="Arial"/>
          <w:sz w:val="16"/>
          <w:szCs w:val="16"/>
          <w:color w:val="auto"/>
        </w:rPr>
        <w:t>Mr. Blandina and ICE entered into an offer letter dated March 19, 2019 (the “</w:t>
      </w:r>
      <w:r>
        <w:rPr>
          <w:rFonts w:ascii="Arial" w:cs="Arial" w:eastAsia="Arial" w:hAnsi="Arial"/>
          <w:sz w:val="16"/>
          <w:szCs w:val="16"/>
          <w:b w:val="1"/>
          <w:bCs w:val="1"/>
          <w:color w:val="auto"/>
        </w:rPr>
        <w:t>Blandina Offer Letter</w:t>
      </w:r>
      <w:r>
        <w:rPr>
          <w:rFonts w:ascii="Arial" w:cs="Arial" w:eastAsia="Arial" w:hAnsi="Arial"/>
          <w:sz w:val="16"/>
          <w:szCs w:val="16"/>
          <w:color w:val="auto"/>
        </w:rPr>
        <w:t>”). The Blandina Offer Letter provides Mr. Blandina an annual base salary, a grant of preferred incentive units under the Opco Plan, a signing bonus, relocation bonus, a retention bonus payable after one year, employee benefit plan eligibility and paid time off in accordance with Opco’s policies.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119"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185"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840"/>
          </w:cols>
          <w:pgMar w:left="320" w:top="471" w:right="7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The following table summarizes the number of outstanding equity awards held by each of Opco’s named executive officers in the form of profits interests as of December 31, 2020, each granted pursuant to the Opco Plan. The named executive officers do not hold any outstanding equity awards other than the profits interests.</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Market</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6"/>
              </w:rPr>
              <w:t>value of</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91"/>
              </w:rPr>
              <w:t>profits</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91"/>
              </w:rPr>
              <w:t>profits</w:t>
            </w: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profits</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2"/>
              </w:rPr>
              <w:t>interests</w:t>
            </w: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Market value of</w:t>
            </w: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2"/>
              </w:rPr>
              <w:t>interests</w:t>
            </w: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5"/>
              </w:rPr>
              <w:t>interests</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8"/>
              </w:rPr>
              <w:t>units that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8"/>
              </w:rPr>
              <w:t>units that</w:t>
            </w:r>
          </w:p>
        </w:tc>
        <w:tc>
          <w:tcPr>
            <w:tcW w:w="118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w w:val="88"/>
              </w:rPr>
              <w:t>units that</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have</w:t>
            </w:r>
          </w:p>
        </w:tc>
        <w:tc>
          <w:tcPr>
            <w:tcW w:w="9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5"/>
              </w:rPr>
              <w:t>profits interests</w:t>
            </w:r>
          </w:p>
        </w:tc>
        <w:tc>
          <w:tcPr>
            <w:tcW w:w="0" w:type="dxa"/>
            <w:vAlign w:val="bottom"/>
          </w:tcPr>
          <w:p>
            <w:pPr>
              <w:spacing w:after="0"/>
              <w:rPr>
                <w:sz w:val="1"/>
                <w:szCs w:val="1"/>
                <w:color w:val="auto"/>
              </w:rPr>
            </w:pPr>
          </w:p>
        </w:tc>
      </w:tr>
      <w:tr>
        <w:trPr>
          <w:trHeight w:val="141"/>
        </w:trPr>
        <w:tc>
          <w:tcPr>
            <w:tcW w:w="480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have</w:t>
            </w:r>
          </w:p>
        </w:tc>
        <w:tc>
          <w:tcPr>
            <w:tcW w:w="118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w w:val="87"/>
              </w:rPr>
              <w:t>have</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5"/>
              </w:rPr>
              <w:t>not vested</w:t>
            </w:r>
          </w:p>
        </w:tc>
        <w:tc>
          <w:tcPr>
            <w:tcW w:w="9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units that have</w:t>
            </w:r>
          </w:p>
        </w:tc>
        <w:tc>
          <w:tcPr>
            <w:tcW w:w="0" w:type="dxa"/>
            <w:vAlign w:val="bottom"/>
          </w:tcPr>
          <w:p>
            <w:pPr>
              <w:spacing w:after="0"/>
              <w:rPr>
                <w:sz w:val="1"/>
                <w:szCs w:val="1"/>
                <w:color w:val="auto"/>
              </w:rPr>
            </w:pPr>
          </w:p>
        </w:tc>
      </w:tr>
      <w:tr>
        <w:trPr>
          <w:trHeight w:val="164"/>
        </w:trPr>
        <w:tc>
          <w:tcPr>
            <w:tcW w:w="4800" w:type="dxa"/>
            <w:vAlign w:val="bottom"/>
            <w:vMerge w:val="continue"/>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vested (#)</w:t>
            </w: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 xml:space="preserve">vested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(5)</w:t>
            </w:r>
          </w:p>
        </w:tc>
        <w:tc>
          <w:tcPr>
            <w:tcW w:w="64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 xml:space="preserve">not vested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r>
              <w:rPr>
                <w:rFonts w:ascii="Arial" w:cs="Arial" w:eastAsia="Arial" w:hAnsi="Arial"/>
                <w:sz w:val="9"/>
                <w:szCs w:val="9"/>
                <w:b w:val="1"/>
                <w:bCs w:val="1"/>
                <w:color w:val="auto"/>
                <w:w w:val="88"/>
              </w:rPr>
              <w:t>(6)</w:t>
            </w: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7"/>
                <w:szCs w:val="17"/>
                <w:b w:val="1"/>
                <w:bCs w:val="1"/>
                <w:color w:val="auto"/>
              </w:rPr>
              <w:t>David C. Clifton</w:t>
            </w:r>
            <w:r>
              <w:rPr>
                <w:rFonts w:ascii="Arial" w:cs="Arial" w:eastAsia="Arial" w:hAnsi="Arial"/>
                <w:sz w:val="23"/>
                <w:szCs w:val="23"/>
                <w:b w:val="1"/>
                <w:bCs w:val="1"/>
                <w:color w:val="auto"/>
                <w:vertAlign w:val="superscript"/>
              </w:rPr>
              <w:t>(1)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975,000</w:t>
            </w:r>
          </w:p>
        </w:tc>
        <w:tc>
          <w:tcPr>
            <w:tcW w:w="6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line="205" w:lineRule="exact"/>
              <w:rPr>
                <w:sz w:val="20"/>
                <w:szCs w:val="20"/>
                <w:color w:val="auto"/>
              </w:rPr>
            </w:pPr>
            <w:r>
              <w:rPr>
                <w:rFonts w:ascii="Arial" w:cs="Arial" w:eastAsia="Arial" w:hAnsi="Arial"/>
                <w:sz w:val="17"/>
                <w:szCs w:val="17"/>
                <w:b w:val="1"/>
                <w:bCs w:val="1"/>
                <w:color w:val="auto"/>
              </w:rPr>
              <w:t>Nicolas Cabrera</w:t>
            </w:r>
            <w:r>
              <w:rPr>
                <w:rFonts w:ascii="Arial" w:cs="Arial" w:eastAsia="Arial" w:hAnsi="Arial"/>
                <w:sz w:val="23"/>
                <w:szCs w:val="23"/>
                <w:b w:val="1"/>
                <w:bCs w:val="1"/>
                <w:color w:val="auto"/>
                <w:vertAlign w:val="superscript"/>
              </w:rPr>
              <w:t>(2)</w:t>
            </w:r>
          </w:p>
        </w:tc>
        <w:tc>
          <w:tcPr>
            <w:tcW w:w="128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0</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3,099,000</w:t>
            </w:r>
          </w:p>
        </w:tc>
        <w:tc>
          <w:tcPr>
            <w:tcW w:w="6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2,975,040</w:t>
            </w: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spacing w:after="0" w:line="205" w:lineRule="exact"/>
              <w:rPr>
                <w:sz w:val="20"/>
                <w:szCs w:val="20"/>
                <w:color w:val="auto"/>
              </w:rPr>
            </w:pPr>
            <w:r>
              <w:rPr>
                <w:rFonts w:ascii="Arial" w:cs="Arial" w:eastAsia="Arial" w:hAnsi="Arial"/>
                <w:sz w:val="17"/>
                <w:szCs w:val="17"/>
                <w:b w:val="1"/>
                <w:bCs w:val="1"/>
                <w:color w:val="auto"/>
              </w:rPr>
              <w:t>Matthew Johnson</w:t>
            </w:r>
            <w:r>
              <w:rPr>
                <w:rFonts w:ascii="Arial" w:cs="Arial" w:eastAsia="Arial" w:hAnsi="Arial"/>
                <w:sz w:val="23"/>
                <w:szCs w:val="23"/>
                <w:b w:val="1"/>
                <w:bCs w:val="1"/>
                <w:color w:val="auto"/>
                <w:vertAlign w:val="superscript"/>
              </w:rPr>
              <w:t>(3)</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2,544,000</w:t>
            </w:r>
          </w:p>
        </w:tc>
        <w:tc>
          <w:tcPr>
            <w:tcW w:w="6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2,442,240</w:t>
            </w: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7"/>
                <w:szCs w:val="17"/>
                <w:b w:val="1"/>
                <w:bCs w:val="1"/>
                <w:color w:val="auto"/>
              </w:rPr>
              <w:t>Michael Blandina</w:t>
            </w:r>
            <w:r>
              <w:rPr>
                <w:rFonts w:ascii="Arial" w:cs="Arial" w:eastAsia="Arial" w:hAnsi="Arial"/>
                <w:sz w:val="24"/>
                <w:szCs w:val="24"/>
                <w:b w:val="1"/>
                <w:bCs w:val="1"/>
                <w:color w:val="auto"/>
                <w:vertAlign w:val="superscript"/>
              </w:rPr>
              <w:t>(4)</w:t>
            </w:r>
          </w:p>
        </w:tc>
        <w:tc>
          <w:tcPr>
            <w:tcW w:w="128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0</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80" w:right="480" w:hanging="404"/>
        <w:spacing w:after="0" w:line="259"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Clifton was granted 975,000 profits interests in the form of preferred incentive units on December 4, 2020, one-third of which vested at Closing, and one-third of which will vest on each of the first and second anniversaries of the Closing.</w:t>
      </w:r>
    </w:p>
    <w:p>
      <w:pPr>
        <w:ind w:left="780" w:right="240" w:hanging="404"/>
        <w:spacing w:after="0" w:line="252"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Cabrera was granted (1) 2,099,000 profits interests in the form of common incentive units on February 28, 2020 and (2) 1,000,000 profits interests in the form of common incentive units on December 4, 2020 one-third of which vested at Closing, and one-third of which will vest on each of the first and second anniversaries of the Closing.</w:t>
      </w:r>
    </w:p>
    <w:p>
      <w:pPr>
        <w:spacing w:after="0" w:line="1" w:lineRule="exact"/>
        <w:rPr>
          <w:rFonts w:ascii="Arial" w:cs="Arial" w:eastAsia="Arial" w:hAnsi="Arial"/>
          <w:sz w:val="17"/>
          <w:szCs w:val="17"/>
          <w:color w:val="auto"/>
        </w:rPr>
      </w:pPr>
    </w:p>
    <w:p>
      <w:pPr>
        <w:ind w:left="780" w:right="200" w:hanging="404"/>
        <w:spacing w:after="0" w:line="252"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Johnson was granted (1) 2,044,000 profits interests in the form of common incentive units on February 28, 2020 and (2) 500,000 profits interests in the form of common incentive units on December 4, 2020, one-third of which vested at Closing, and one-third of which will vest on each of the first and second anniversaries of the Closing..</w:t>
      </w:r>
    </w:p>
    <w:p>
      <w:pPr>
        <w:spacing w:after="0" w:line="1" w:lineRule="exact"/>
        <w:rPr>
          <w:rFonts w:ascii="Arial" w:cs="Arial" w:eastAsia="Arial" w:hAnsi="Arial"/>
          <w:sz w:val="17"/>
          <w:szCs w:val="17"/>
          <w:color w:val="auto"/>
        </w:rPr>
      </w:pPr>
    </w:p>
    <w:p>
      <w:pPr>
        <w:ind w:left="780" w:right="400" w:hanging="404"/>
        <w:spacing w:after="0" w:line="252"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Blandina was granted 9,000,000 profits interests in the form of preferred incentive units on May 17, 2019, all of which were forfeited by Mr. Blandina upon his voluntary resignation of employment.</w:t>
      </w:r>
    </w:p>
    <w:p>
      <w:pPr>
        <w:spacing w:after="0" w:line="1" w:lineRule="exact"/>
        <w:rPr>
          <w:rFonts w:ascii="Arial" w:cs="Arial" w:eastAsia="Arial" w:hAnsi="Arial"/>
          <w:sz w:val="17"/>
          <w:szCs w:val="17"/>
          <w:color w:val="auto"/>
        </w:rPr>
      </w:pPr>
    </w:p>
    <w:p>
      <w:pPr>
        <w:ind w:left="780" w:right="20" w:hanging="404"/>
        <w:spacing w:after="0" w:line="268"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Closing, each profits interest was exchanged for the right to receive a Paired Interest. With respect to the profits interests granted to Messrs. Clifton, Cabrera and Johnson on December 4, 2020, each of Messrs. Clifton, Cabrera and Johnson also had the opportunity, but not the obligation, to require Opco, through its management, to redeem, effective as of immediately prior to the effective time of the Merger, 40% of the first one-third of his Opco Incentive Units scheduled to vest at the effective time of the Merger for the receipt of a cash payment.</w:t>
      </w:r>
    </w:p>
    <w:p>
      <w:pPr>
        <w:spacing w:after="0" w:line="1" w:lineRule="exact"/>
        <w:rPr>
          <w:rFonts w:ascii="Arial" w:cs="Arial" w:eastAsia="Arial" w:hAnsi="Arial"/>
          <w:sz w:val="16"/>
          <w:szCs w:val="16"/>
          <w:color w:val="auto"/>
        </w:rPr>
      </w:pPr>
    </w:p>
    <w:p>
      <w:pPr>
        <w:ind w:left="780" w:hanging="404"/>
        <w:spacing w:after="0" w:line="259"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the market value of the profits interests units based on the $1.16 per unit value of Legacy Opco’s preferred incentive units (which were granted to Mr. Clifton) and $0.96 per unit value of Opco ’s common incentive units (which were granted to Messrs. Cabrera and Johnson) determined in the most recent valuation of Opco’s membership interests.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Retirement Plans</w:t>
      </w:r>
    </w:p>
    <w:p>
      <w:pPr>
        <w:spacing w:after="0" w:line="119"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All employees are eligible to participate in broad-based and comprehensive employee benefit programs, including medical, dental, vision, life and disability insurance and a 401(k) plan with matching contributions. Our named executive officers of are eligible to participate in these plans on the same basis as our other employees and do not participate in executive level programs. We do not sponsor or maintain any deferred compensation or supplemental retirement plans in addition to its 401(k) plan. The 401(k) matching contributions earned by each named executive officer in fiscal 2020 are shown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Board Compensation</w:t>
      </w:r>
    </w:p>
    <w:p>
      <w:pPr>
        <w:spacing w:after="0" w:line="11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For fiscal year 2020, Opco did not provide any manager compensation to Sean Collins, Akshay Naheta, and Jeffrey C. Sprecher. For fiscal year 2020, each of Thomas E. Noonan and Hon. Sharon Y. Bowen was entitled to</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840"/>
          </w:cols>
          <w:pgMar w:left="320" w:top="471" w:right="7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259" w:lineRule="auto"/>
        <w:rPr>
          <w:sz w:val="20"/>
          <w:szCs w:val="20"/>
          <w:color w:val="auto"/>
        </w:rPr>
      </w:pPr>
      <w:r>
        <w:rPr>
          <w:rFonts w:ascii="Arial" w:cs="Arial" w:eastAsia="Arial" w:hAnsi="Arial"/>
          <w:sz w:val="17"/>
          <w:szCs w:val="17"/>
          <w:color w:val="auto"/>
        </w:rPr>
        <w:t>an annual fee of $30,000 and an additional chair fee of $10,000, and each of Mr. Noonan and Ms. Bowen elected to receive their respective fees in the form of equity. On May 15, 2020, Opco granted to Mr. Noonan profits interests in the form of 121,212 common incentive units of Opco as compensation for his services as a member (and chair) of the board of managers of Opco , and to Ms. Bowen profits interests in the form of 212,121 common incentive units of Opco for her services as a member of the board of managers of Opco and a member (and chair) of the board of managers of Bakkt Trust.</w:t>
      </w:r>
    </w:p>
    <w:p>
      <w:pPr>
        <w:spacing w:after="0" w:line="174" w:lineRule="exact"/>
        <w:rPr>
          <w:sz w:val="20"/>
          <w:szCs w:val="20"/>
          <w:color w:val="auto"/>
        </w:rPr>
      </w:pPr>
    </w:p>
    <w:p>
      <w:pPr>
        <w:ind w:left="380" w:firstLine="420"/>
        <w:spacing w:after="0" w:line="321" w:lineRule="auto"/>
        <w:rPr>
          <w:sz w:val="20"/>
          <w:szCs w:val="20"/>
          <w:color w:val="auto"/>
        </w:rPr>
      </w:pPr>
      <w:r>
        <w:rPr>
          <w:rFonts w:ascii="Arial" w:cs="Arial" w:eastAsia="Arial" w:hAnsi="Arial"/>
          <w:sz w:val="15"/>
          <w:szCs w:val="15"/>
          <w:color w:val="auto"/>
        </w:rPr>
        <w:t>In connection with the Business Combination, we adopted a non-employee director compensation program (the “</w:t>
      </w:r>
      <w:r>
        <w:rPr>
          <w:rFonts w:ascii="Arial" w:cs="Arial" w:eastAsia="Arial" w:hAnsi="Arial"/>
          <w:sz w:val="15"/>
          <w:szCs w:val="15"/>
          <w:b w:val="1"/>
          <w:bCs w:val="1"/>
          <w:color w:val="auto"/>
        </w:rPr>
        <w:t>Outside Director</w:t>
      </w:r>
      <w:r>
        <w:rPr>
          <w:rFonts w:ascii="Arial" w:cs="Arial" w:eastAsia="Arial" w:hAnsi="Arial"/>
          <w:sz w:val="15"/>
          <w:szCs w:val="15"/>
          <w:color w:val="auto"/>
        </w:rPr>
        <w:t xml:space="preserve"> </w:t>
      </w:r>
      <w:r>
        <w:rPr>
          <w:rFonts w:ascii="Arial" w:cs="Arial" w:eastAsia="Arial" w:hAnsi="Arial"/>
          <w:sz w:val="15"/>
          <w:szCs w:val="15"/>
          <w:b w:val="1"/>
          <w:bCs w:val="1"/>
          <w:color w:val="auto"/>
        </w:rPr>
        <w:t>Compensation Program</w:t>
      </w:r>
      <w:r>
        <w:rPr>
          <w:rFonts w:ascii="Arial" w:cs="Arial" w:eastAsia="Arial" w:hAnsi="Arial"/>
          <w:sz w:val="15"/>
          <w:szCs w:val="15"/>
          <w:color w:val="auto"/>
        </w:rPr>
        <w:t>”) based on recommendations and findings regarding comparable market practices, which were provided by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Advisory Partners. The Outside Director Compensation Program provides for the following cash compensation program for our non-employee directors:</w:t>
      </w:r>
    </w:p>
    <w:p>
      <w:pPr>
        <w:spacing w:after="0" w:line="47" w:lineRule="exact"/>
        <w:rPr>
          <w:sz w:val="20"/>
          <w:szCs w:val="20"/>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$50,000 per year for service as a non-employee director;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$100,000 per year for service as non-executive chair of the Board of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$25,000 per year for service as chair of the audit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$10,000 per year for service as a member of the audit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$20,000 per year for service as chair of the compensation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$7,500 per year for service as a member of the compensation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$12,000 per year for service as chair of the corporate governance and nominating committee;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$5,000 per year for service as a member of the corporate governance and nominating committee.</w:t>
      </w:r>
    </w:p>
    <w:p>
      <w:pPr>
        <w:spacing w:after="0" w:line="216" w:lineRule="exact"/>
        <w:rPr>
          <w:sz w:val="20"/>
          <w:szCs w:val="20"/>
          <w:color w:val="auto"/>
        </w:rPr>
      </w:pPr>
    </w:p>
    <w:p>
      <w:pPr>
        <w:ind w:left="380" w:right="100" w:firstLine="420"/>
        <w:spacing w:after="0" w:line="277" w:lineRule="auto"/>
        <w:rPr>
          <w:sz w:val="20"/>
          <w:szCs w:val="20"/>
          <w:color w:val="auto"/>
        </w:rPr>
      </w:pPr>
      <w:r>
        <w:rPr>
          <w:rFonts w:ascii="Arial" w:cs="Arial" w:eastAsia="Arial" w:hAnsi="Arial"/>
          <w:sz w:val="16"/>
          <w:szCs w:val="16"/>
          <w:color w:val="auto"/>
        </w:rPr>
        <w:t>Each non-employee director who serves as a committee chair will receive only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 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members of committees are payable in addition to the annual non-employee director retainer fee.</w:t>
      </w:r>
    </w:p>
    <w:p>
      <w:pPr>
        <w:spacing w:after="0" w:line="161" w:lineRule="exact"/>
        <w:rPr>
          <w:sz w:val="20"/>
          <w:szCs w:val="20"/>
          <w:color w:val="auto"/>
        </w:rPr>
      </w:pPr>
    </w:p>
    <w:p>
      <w:pPr>
        <w:ind w:left="380" w:right="40" w:firstLine="420"/>
        <w:spacing w:after="0" w:line="273" w:lineRule="auto"/>
        <w:rPr>
          <w:sz w:val="20"/>
          <w:szCs w:val="20"/>
          <w:color w:val="auto"/>
        </w:rPr>
      </w:pPr>
      <w:r>
        <w:rPr>
          <w:rFonts w:ascii="Arial" w:cs="Arial" w:eastAsia="Arial" w:hAnsi="Arial"/>
          <w:sz w:val="16"/>
          <w:szCs w:val="16"/>
          <w:color w:val="auto"/>
        </w:rPr>
        <w:t>Each non-employee director will automatically receive, on the date of each annual meeting of our stockholders, an annual award (the “</w:t>
      </w:r>
      <w:r>
        <w:rPr>
          <w:rFonts w:ascii="Arial" w:cs="Arial" w:eastAsia="Arial" w:hAnsi="Arial"/>
          <w:sz w:val="16"/>
          <w:szCs w:val="16"/>
          <w:b w:val="1"/>
          <w:b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color w:val="auto"/>
        </w:rPr>
        <w:t>Equity Award</w:t>
      </w:r>
      <w:r>
        <w:rPr>
          <w:rFonts w:ascii="Arial" w:cs="Arial" w:eastAsia="Arial" w:hAnsi="Arial"/>
          <w:sz w:val="16"/>
          <w:szCs w:val="16"/>
          <w:color w:val="auto"/>
        </w:rPr>
        <w:t>”) of restricted stock units having a value of $200,000. Each Annual Equity Award is expected to be scheduled to vest on the one-year</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grant date, subject to continued services to us through the applicable vesting date. In the event of a change in control of the Company, as defined in the Equity Incentive Plan, each non-employee director’s then outstanding equity awards covering the Company’s Class A Common Stock are expected to accelerate vesting in full, provided that he or she remains a non-employee director through the date of the consummation of such change in control. With respect to outstanding equity awards that are subject to performance-based vesting, all performance goals or other vesting criteria will be deemed achieved at 100% of target levels and all other terms and conditions met unless otherwise provided in a separate agreement. Each Annual Equity Award is expected to be granted under the Equity Incentive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Equity Incentive Plan.</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Executive Compensation Prior to the Business Combination</w:t>
      </w:r>
    </w:p>
    <w:p>
      <w:pPr>
        <w:spacing w:after="0" w:line="119"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Prior to the consummation of the Business Combination, none of the officers or directors of the Company received any compensation for services rendered to the Company. Until the consummation of the Business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860"/>
          </w:cols>
          <w:pgMar w:left="320" w:top="471" w:right="71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Combination, the Company paid an affiliate of the Sponsor a total of $10,000 per month for office space, administrative and support services. Prior to the consummation of the Business Combination, the Sponsor, officers and directors, and their respective affiliates, were reimbursed for any out-of-pocket expenses incurred in connection with activities on behalf of the Company, such as identifying potential target businesses and performing due diligence on suitable business combinations. The Company’s audit committee reviewed on a quarterly basis all payments that were made to the Sponsor, officers, directors or the Company’s or their affiliates.</w:t>
      </w:r>
    </w:p>
    <w:p>
      <w:pPr>
        <w:spacing w:after="0" w:line="11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720"/>
          </w:cols>
          <w:pgMar w:left="320" w:top="471" w:right="85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is a description of each transaction since January 1, 2018, and each currently proposed transaction, in which:</w:t>
      </w:r>
    </w:p>
    <w:p>
      <w:pPr>
        <w:spacing w:after="0" w:line="126" w:lineRule="exact"/>
        <w:rPr>
          <w:sz w:val="20"/>
          <w:szCs w:val="20"/>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were or are to be, or the Company or Opco was, a participant;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amount involved exceeded or exceeds $120,000;</w:t>
      </w:r>
    </w:p>
    <w:p>
      <w:pPr>
        <w:spacing w:after="0" w:line="126" w:lineRule="exact"/>
        <w:rPr>
          <w:rFonts w:ascii="Arial" w:cs="Arial" w:eastAsia="Arial" w:hAnsi="Arial"/>
          <w:sz w:val="17"/>
          <w:szCs w:val="17"/>
          <w:color w:val="auto"/>
        </w:rPr>
      </w:pPr>
    </w:p>
    <w:p>
      <w:pPr>
        <w:jc w:val="both"/>
        <w:ind w:left="1300" w:right="240" w:hanging="410"/>
        <w:spacing w:after="0" w:line="265" w:lineRule="auto"/>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Company Related Person Transactions</w:t>
      </w:r>
    </w:p>
    <w:p>
      <w:pPr>
        <w:spacing w:after="0" w:line="119"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In August 2020, the Sponsor purchased 5,750,000 Class B Ordinary Shares for an aggregate purchase price of $25,000, or approximately $0.004 per share. In September 2020, the Sponsor transferred an aggregate of 60,000 Class B Ordinary Shares to then members of the Board, resulting in the Sponsor holding 5,690,000 Class B Ordinary Shares. As a result of the underwriters’ not exercising the over-allotment option in full in connection with the IPO, the Sponsor forfeited 585,700 Class B Ordinary Shares, resulting in an aggregate of 5,184,300 Class B Ordinary Shares issued and outstanding. In connection with the closing of the Business Combination, such Class B Ordinary Shares automatically converted into shares of Class A Common Stock on a one-for-one basis.</w:t>
      </w:r>
    </w:p>
    <w:p>
      <w:pPr>
        <w:spacing w:after="0" w:line="185" w:lineRule="exact"/>
        <w:rPr>
          <w:sz w:val="20"/>
          <w:szCs w:val="20"/>
          <w:color w:val="auto"/>
        </w:rPr>
      </w:pPr>
    </w:p>
    <w:p>
      <w:pPr>
        <w:ind w:left="380" w:right="100" w:firstLine="420"/>
        <w:spacing w:after="0" w:line="257" w:lineRule="auto"/>
        <w:rPr>
          <w:sz w:val="20"/>
          <w:szCs w:val="20"/>
          <w:color w:val="auto"/>
        </w:rPr>
      </w:pPr>
      <w:r>
        <w:rPr>
          <w:rFonts w:ascii="Arial" w:cs="Arial" w:eastAsia="Arial" w:hAnsi="Arial"/>
          <w:sz w:val="17"/>
          <w:szCs w:val="17"/>
          <w:color w:val="auto"/>
        </w:rPr>
        <w:t>The Sponsor purchased an aggregate of 6,147,440 Private Placement Warrants, at a price of $1.00 per warrant for an aggregate purchase price of $6,147,440 in a private placement that closed simultaneously with the closing of the IPO. Prior to the Domestication, each Private Placement Warrant entitled the holder upon exercise to purchase one Class A Ordinary Share at a price of $11.50 per share, subject to adjustment. On November 17, 2021, in accordance with the terms of the Warrant Agreement, the Company issued and delivered 3,967,362 Private Warrant Shares to the Sponsor in satisfaction of the “cashless exercise” of all 6,147,440 of the Private Placement Warrants. The Company received no consideration from the delivery of the Private Warrant Shares.</w:t>
      </w:r>
    </w:p>
    <w:p>
      <w:pPr>
        <w:spacing w:after="0" w:line="185" w:lineRule="exact"/>
        <w:rPr>
          <w:sz w:val="20"/>
          <w:szCs w:val="20"/>
          <w:color w:val="auto"/>
        </w:rPr>
      </w:pPr>
    </w:p>
    <w:p>
      <w:pPr>
        <w:ind w:left="380" w:right="220" w:firstLine="420"/>
        <w:spacing w:after="0" w:line="279" w:lineRule="auto"/>
        <w:rPr>
          <w:sz w:val="20"/>
          <w:szCs w:val="20"/>
          <w:color w:val="auto"/>
        </w:rPr>
      </w:pPr>
      <w:r>
        <w:rPr>
          <w:rFonts w:ascii="Arial" w:cs="Arial" w:eastAsia="Arial" w:hAnsi="Arial"/>
          <w:sz w:val="16"/>
          <w:szCs w:val="16"/>
          <w:color w:val="auto"/>
        </w:rPr>
        <w:t>The Company entered into an Administrative Services Agreement with the Sponsor pursuant to which the Company paid a total of $10,000 per month for office space, administrative and support services to such affiliate. The Sponsor, officers and directors of the Company, or any of their respective affiliates, were entitled to reimbursement for any out-of-pocket expenses incurred in connection with activities on behalf of the Company, such as identifying potential target businesses and performing due diligence on suitable business combinations. There was no cap or ceiling on the reimbursement of out-of-pocket expenses incurred by such persons in connection with activities on behalf of the Company.</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Sponsor loaned the Company $82,729, which was used for a portion of the expenses of the IPO. This loan was repaid upon the closing of the</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IPO.</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Insider Letter Agreement</w:t>
      </w:r>
    </w:p>
    <w:p>
      <w:pPr>
        <w:spacing w:after="0" w:line="107" w:lineRule="exact"/>
        <w:rPr>
          <w:sz w:val="20"/>
          <w:szCs w:val="20"/>
          <w:color w:val="auto"/>
        </w:rPr>
      </w:pPr>
    </w:p>
    <w:p>
      <w:pPr>
        <w:ind w:left="380" w:right="240" w:firstLine="420"/>
        <w:spacing w:after="0" w:line="269" w:lineRule="auto"/>
        <w:rPr>
          <w:sz w:val="20"/>
          <w:szCs w:val="20"/>
          <w:color w:val="auto"/>
        </w:rPr>
      </w:pPr>
      <w:r>
        <w:rPr>
          <w:rFonts w:ascii="Arial" w:cs="Arial" w:eastAsia="Arial" w:hAnsi="Arial"/>
          <w:sz w:val="17"/>
          <w:szCs w:val="17"/>
          <w:color w:val="auto"/>
        </w:rPr>
        <w:t>On September 22, 2020, the Sponsor, the Company, and the Insiders entered into a letter agreement (as amended, the “</w:t>
      </w:r>
      <w:r>
        <w:rPr>
          <w:rFonts w:ascii="Arial" w:cs="Arial" w:eastAsia="Arial" w:hAnsi="Arial"/>
          <w:sz w:val="17"/>
          <w:szCs w:val="17"/>
          <w:b w:val="1"/>
          <w:bCs w:val="1"/>
          <w:color w:val="auto"/>
        </w:rPr>
        <w:t>Insider Letter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in relation to the IPO. Simultaneously with the execution of the Merger Agreement, on January 11, 2021, the Insider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was amended to add Opco as a party and include certain provisions with respect to the Merger Agreement.</w:t>
      </w:r>
    </w:p>
    <w:p>
      <w:pPr>
        <w:spacing w:after="0" w:line="172"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Pursuant to the Insider Letter Agreement, the Sponsor and the Insiders agreed to waive certain anti-dilution rights under the Company’s Cayman-law constitutional documents that otherwise may have been triggered upon the completion of the transactions contemplated by the Merger Agreement.</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840"/>
          </w:cols>
          <w:pgMar w:left="320" w:top="471" w:right="7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firstLine="420"/>
        <w:spacing w:after="0" w:line="279" w:lineRule="auto"/>
        <w:rPr>
          <w:sz w:val="20"/>
          <w:szCs w:val="20"/>
          <w:color w:val="auto"/>
        </w:rPr>
      </w:pPr>
      <w:r>
        <w:rPr>
          <w:rFonts w:ascii="Arial" w:cs="Arial" w:eastAsia="Arial" w:hAnsi="Arial"/>
          <w:sz w:val="16"/>
          <w:szCs w:val="16"/>
          <w:color w:val="auto"/>
        </w:rPr>
        <w:t>The Sponsor and Insiders also agreed not to transfer, assign or sell any of their Class A Common Stock until the earlier of (a) one year following the Closing and (b) subsequent to the Closing, (i) if the closing price of the Class A Common Stock equals or exceeds $12.00 per share (subject to adjustment) for any 20 trading days within any 30-trading day period commencing at least 150 days after the Closing or (ii) the date on which we complete a liquidation, merger amalgamation, capital stock exchange, reorganization or other similar transaction that results in all of the holders of our Class A Common Stock having the right to exchange their Class A Common Stock for cash, securities or other property.</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Opco Related Person Transactions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Transition Services Agreement</w:t>
      </w:r>
    </w:p>
    <w:p>
      <w:pPr>
        <w:spacing w:after="0" w:line="113" w:lineRule="exact"/>
        <w:rPr>
          <w:sz w:val="20"/>
          <w:szCs w:val="20"/>
          <w:color w:val="auto"/>
        </w:rPr>
      </w:pPr>
    </w:p>
    <w:p>
      <w:pPr>
        <w:jc w:val="both"/>
        <w:ind w:left="380" w:right="220" w:firstLine="420"/>
        <w:spacing w:after="0" w:line="261" w:lineRule="auto"/>
        <w:rPr>
          <w:sz w:val="20"/>
          <w:szCs w:val="20"/>
          <w:color w:val="auto"/>
        </w:rPr>
      </w:pPr>
      <w:r>
        <w:rPr>
          <w:rFonts w:ascii="Arial" w:cs="Arial" w:eastAsia="Arial" w:hAnsi="Arial"/>
          <w:sz w:val="17"/>
          <w:szCs w:val="17"/>
          <w:color w:val="auto"/>
        </w:rPr>
        <w:t>On November 10, 2021, Opco entered into the Transition Services Agreement, which provides for the transition to Opco of services previously provided by ICE to Opco, including technology and data center services, which historically have been provided under the ISA, which was amended, restated and superseded by the Transition Services Agreement. The Transition Services Agreement is expected to remain in place through June 2023, with the possibility to be extended until December 31, 2023.</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Triparty Agreement</w:t>
      </w:r>
    </w:p>
    <w:p>
      <w:pPr>
        <w:spacing w:after="0" w:line="11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On August 29, 2019, Bakkt Trust entered the Triparty Agreement with IFUS and ICUS, which the parties amended on September 11, 2019, December 5, 2019, July 14, 2020 and February 3, 2021.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w:t>
      </w:r>
    </w:p>
    <w:p>
      <w:pPr>
        <w:spacing w:after="0" w:line="179"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Pursuant to the Triparty Agreement, all revenues of IFUS and ICUS with respect to the trading and clearing of digital currency contracts, after deduction of any applicable rebates and liquidity payments, are remitted to us.</w:t>
      </w:r>
    </w:p>
    <w:p>
      <w:pPr>
        <w:spacing w:after="0" w:line="165" w:lineRule="exact"/>
        <w:rPr>
          <w:sz w:val="20"/>
          <w:szCs w:val="20"/>
          <w:color w:val="auto"/>
        </w:rPr>
      </w:pPr>
    </w:p>
    <w:p>
      <w:pPr>
        <w:ind w:left="380" w:right="80" w:firstLine="420"/>
        <w:spacing w:after="0" w:line="298" w:lineRule="auto"/>
        <w:rPr>
          <w:sz w:val="20"/>
          <w:szCs w:val="20"/>
          <w:color w:val="auto"/>
        </w:rPr>
      </w:pPr>
      <w:r>
        <w:rPr>
          <w:rFonts w:ascii="Arial" w:cs="Arial" w:eastAsia="Arial" w:hAnsi="Arial"/>
          <w:sz w:val="15"/>
          <w:szCs w:val="15"/>
          <w:color w:val="auto"/>
        </w:rPr>
        <w:t>Opco entered into the Singapore Triparty Agreement with IFS and ICS on March 11, 2020, in connection with certain bitcoin cash-settled futures contract traded on IFS. Pursuant to the Singapore Triparty Agreement, IFS provides services related to the listing for trading one or more cash-settled digital currency futures and/or options contracts (“</w:t>
      </w:r>
      <w:r>
        <w:rPr>
          <w:rFonts w:ascii="Arial" w:cs="Arial" w:eastAsia="Arial" w:hAnsi="Arial"/>
          <w:sz w:val="15"/>
          <w:szCs w:val="15"/>
          <w:b w:val="1"/>
          <w:bCs w:val="1"/>
          <w:color w:val="auto"/>
        </w:rPr>
        <w:t>digital currency contracts</w:t>
      </w:r>
      <w:r>
        <w:rPr>
          <w:rFonts w:ascii="Arial" w:cs="Arial" w:eastAsia="Arial" w:hAnsi="Arial"/>
          <w:sz w:val="15"/>
          <w:szCs w:val="15"/>
          <w:color w:val="auto"/>
        </w:rPr>
        <w:t>”), ICSG provides clearing and related services for such contracts, and Opco licenses certain 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Insider Letter Agreement</w:t>
      </w:r>
    </w:p>
    <w:p>
      <w:pPr>
        <w:spacing w:after="0" w:line="113"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Simultaneously with the execution of the Merger Agreement, Opco became a party to the Inside Letter Agreement, as described in more detail in “</w:t>
      </w:r>
      <w:r>
        <w:rPr>
          <w:rFonts w:ascii="Arial" w:cs="Arial" w:eastAsia="Arial" w:hAnsi="Arial"/>
          <w:sz w:val="17"/>
          <w:szCs w:val="17"/>
          <w:i w:val="1"/>
          <w:iCs w:val="1"/>
          <w:color w:val="auto"/>
        </w:rPr>
        <w:t>—Company Related Person Transactions—Insider Letter Agreement</w:t>
      </w:r>
      <w:r>
        <w:rPr>
          <w:rFonts w:ascii="Arial" w:cs="Arial" w:eastAsia="Arial" w:hAnsi="Arial"/>
          <w:sz w:val="17"/>
          <w:szCs w:val="17"/>
          <w:color w:val="auto"/>
        </w:rPr>
        <w:t>.”</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Transactions Related to the Business Combination</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Opco LLC Agreement</w:t>
      </w:r>
    </w:p>
    <w:p>
      <w:pPr>
        <w:spacing w:after="0" w:line="113"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840"/>
          </w:cols>
          <w:pgMar w:left="320" w:top="471" w:right="7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94" w:lineRule="auto"/>
        <w:rPr>
          <w:sz w:val="20"/>
          <w:szCs w:val="20"/>
          <w:color w:val="auto"/>
        </w:rPr>
      </w:pPr>
      <w:r>
        <w:rPr>
          <w:rFonts w:ascii="Arial" w:cs="Arial" w:eastAsia="Arial" w:hAnsi="Arial"/>
          <w:sz w:val="15"/>
          <w:szCs w:val="15"/>
          <w:color w:val="auto"/>
        </w:rPr>
        <w:t>under the Opco LLC Agreement or applicable law, except that holders constituting the Required Interest have certain consent rights. “Required Interest” means one or more members (excluding the managing member) holding a majority of the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56" w:lineRule="exact"/>
        <w:rPr>
          <w:sz w:val="20"/>
          <w:szCs w:val="20"/>
          <w:color w:val="auto"/>
        </w:rPr>
      </w:pPr>
    </w:p>
    <w:p>
      <w:pPr>
        <w:jc w:val="both"/>
        <w:ind w:left="380" w:right="100" w:firstLine="420"/>
        <w:spacing w:after="0" w:line="265" w:lineRule="auto"/>
        <w:rPr>
          <w:sz w:val="20"/>
          <w:szCs w:val="20"/>
          <w:color w:val="auto"/>
        </w:rPr>
      </w:pPr>
      <w:r>
        <w:rPr>
          <w:rFonts w:ascii="Arial" w:cs="Arial" w:eastAsia="Arial" w:hAnsi="Arial"/>
          <w:sz w:val="17"/>
          <w:szCs w:val="17"/>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170" w:lineRule="exact"/>
        <w:rPr>
          <w:sz w:val="20"/>
          <w:szCs w:val="20"/>
          <w:color w:val="auto"/>
        </w:rPr>
      </w:pPr>
    </w:p>
    <w:p>
      <w:pPr>
        <w:ind w:left="380" w:firstLine="420"/>
        <w:spacing w:after="0" w:line="263" w:lineRule="auto"/>
        <w:rPr>
          <w:sz w:val="20"/>
          <w:szCs w:val="20"/>
          <w:color w:val="auto"/>
        </w:rPr>
      </w:pPr>
      <w:r>
        <w:rPr>
          <w:rFonts w:ascii="Arial" w:cs="Arial" w:eastAsia="Arial" w:hAnsi="Arial"/>
          <w:sz w:val="17"/>
          <w:szCs w:val="17"/>
          <w:color w:val="auto"/>
        </w:rPr>
        <w:t>The Opco LLC Agreement provides for tax-related cash distributions to the holders of Opco Common Units (“</w:t>
      </w:r>
      <w:r>
        <w:rPr>
          <w:rFonts w:ascii="Arial" w:cs="Arial" w:eastAsia="Arial" w:hAnsi="Arial"/>
          <w:sz w:val="17"/>
          <w:szCs w:val="17"/>
          <w:b w:val="1"/>
          <w:bCs w:val="1"/>
          <w:color w:val="auto"/>
        </w:rPr>
        <w:t>tax</w:t>
      </w:r>
      <w:r>
        <w:rPr>
          <w:rFonts w:ascii="Arial" w:cs="Arial" w:eastAsia="Arial" w:hAnsi="Arial"/>
          <w:sz w:val="17"/>
          <w:szCs w:val="17"/>
          <w:color w:val="auto"/>
        </w:rPr>
        <w:t xml:space="preserve"> distributions”).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107" w:lineRule="exact"/>
        <w:rPr>
          <w:sz w:val="20"/>
          <w:szCs w:val="20"/>
          <w:color w:val="auto"/>
        </w:rPr>
      </w:pPr>
    </w:p>
    <w:p>
      <w:pPr>
        <w:ind w:left="380" w:right="40" w:firstLine="420"/>
        <w:spacing w:after="0" w:line="275" w:lineRule="auto"/>
        <w:rPr>
          <w:sz w:val="20"/>
          <w:szCs w:val="20"/>
          <w:color w:val="auto"/>
        </w:rPr>
      </w:pPr>
      <w:r>
        <w:rPr>
          <w:rFonts w:ascii="Arial" w:cs="Arial" w:eastAsia="Arial" w:hAnsi="Arial"/>
          <w:sz w:val="16"/>
          <w:szCs w:val="16"/>
          <w:color w:val="auto"/>
        </w:rPr>
        <w:t>Concurrently with the Closing, we entered into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with the Sponsor, the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72" w:lineRule="exact"/>
        <w:rPr>
          <w:sz w:val="20"/>
          <w:szCs w:val="20"/>
          <w:color w:val="auto"/>
        </w:rPr>
      </w:pPr>
    </w:p>
    <w:p>
      <w:pPr>
        <w:ind w:left="380" w:right="120" w:firstLine="420"/>
        <w:spacing w:after="0" w:line="282" w:lineRule="auto"/>
        <w:rPr>
          <w:sz w:val="20"/>
          <w:szCs w:val="20"/>
          <w:color w:val="auto"/>
        </w:rPr>
      </w:pPr>
      <w:r>
        <w:rPr>
          <w:rFonts w:ascii="Arial" w:cs="Arial" w:eastAsia="Arial" w:hAnsi="Arial"/>
          <w:sz w:val="16"/>
          <w:szCs w:val="16"/>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Stockholders Agreement</w:t>
      </w:r>
    </w:p>
    <w:p>
      <w:pPr>
        <w:spacing w:after="0" w:line="107" w:lineRule="exact"/>
        <w:rPr>
          <w:sz w:val="20"/>
          <w:szCs w:val="20"/>
          <w:color w:val="auto"/>
        </w:rPr>
      </w:pPr>
    </w:p>
    <w:p>
      <w:pPr>
        <w:ind w:left="380" w:right="60" w:firstLine="420"/>
        <w:spacing w:after="0" w:line="261" w:lineRule="auto"/>
        <w:rPr>
          <w:sz w:val="20"/>
          <w:szCs w:val="20"/>
          <w:color w:val="auto"/>
        </w:rPr>
      </w:pPr>
      <w:r>
        <w:rPr>
          <w:rFonts w:ascii="Arial" w:cs="Arial" w:eastAsia="Arial" w:hAnsi="Arial"/>
          <w:sz w:val="17"/>
          <w:szCs w:val="17"/>
          <w:color w:val="auto"/>
        </w:rPr>
        <w:t>At the Closing, we, the Sponsor and the Opco Equity Holders entered into a Stockholders Agreement (the “</w:t>
      </w:r>
      <w:r>
        <w:rPr>
          <w:rFonts w:ascii="Arial" w:cs="Arial" w:eastAsia="Arial" w:hAnsi="Arial"/>
          <w:sz w:val="17"/>
          <w:szCs w:val="17"/>
          <w:b w:val="1"/>
          <w:bCs w:val="1"/>
          <w:color w:val="auto"/>
        </w:rPr>
        <w:t>Stockholders Agreement</w:t>
      </w:r>
      <w:r>
        <w:rPr>
          <w:rFonts w:ascii="Arial" w:cs="Arial" w:eastAsia="Arial" w:hAnsi="Arial"/>
          <w:sz w:val="17"/>
          <w:szCs w:val="17"/>
          <w:color w:val="auto"/>
        </w:rPr>
        <w: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860"/>
          </w:cols>
          <w:pgMar w:left="320" w:top="471" w:right="71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Furthermore, if prior to the second annual meeting of our stockholders following the Closing at which directors are elected, a vacancy is created at any time by the death, retirement, removal or resignation of either the director 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a designee of ICEH, if ICEH holds at least five percent (5%) of the then-issued and outstanding shares of Class A Common Stock at such time.</w:t>
      </w:r>
    </w:p>
    <w:p>
      <w:pPr>
        <w:spacing w:after="0" w:line="189" w:lineRule="exact"/>
        <w:rPr>
          <w:sz w:val="20"/>
          <w:szCs w:val="20"/>
          <w:color w:val="auto"/>
        </w:rPr>
      </w:pPr>
    </w:p>
    <w:p>
      <w:pPr>
        <w:ind w:left="380" w:right="120" w:firstLine="420"/>
        <w:spacing w:after="0" w:line="279" w:lineRule="auto"/>
        <w:rPr>
          <w:sz w:val="20"/>
          <w:szCs w:val="20"/>
          <w:color w:val="auto"/>
        </w:rPr>
      </w:pPr>
      <w:r>
        <w:rPr>
          <w:rFonts w:ascii="Arial" w:cs="Arial" w:eastAsia="Arial" w:hAnsi="Arial"/>
          <w:sz w:val="16"/>
          <w:szCs w:val="16"/>
          <w:color w:val="auto"/>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April 15, 2022 (provided that any PIPE Shares purchased by an Opco Equity Holder are not subject to such restrictions) and (b) the Sponsor may not transfer, or make a public announcement of any intention to transfer, any equity securities of ours during the Founder Shares Lock-Up Period.</w:t>
      </w:r>
    </w:p>
    <w:p>
      <w:pPr>
        <w:spacing w:after="0" w:line="165"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Voting Agreement</w:t>
      </w:r>
    </w:p>
    <w:p>
      <w:pPr>
        <w:spacing w:after="0" w:line="107" w:lineRule="exact"/>
        <w:rPr>
          <w:sz w:val="20"/>
          <w:szCs w:val="20"/>
          <w:color w:val="auto"/>
        </w:rPr>
      </w:pPr>
    </w:p>
    <w:p>
      <w:pPr>
        <w:ind w:left="380" w:right="140" w:firstLine="420"/>
        <w:spacing w:after="0" w:line="263" w:lineRule="auto"/>
        <w:rPr>
          <w:sz w:val="20"/>
          <w:szCs w:val="20"/>
          <w:color w:val="auto"/>
        </w:rPr>
      </w:pPr>
      <w:r>
        <w:rPr>
          <w:rFonts w:ascii="Arial" w:cs="Arial" w:eastAsia="Arial" w:hAnsi="Arial"/>
          <w:sz w:val="17"/>
          <w:szCs w:val="17"/>
          <w:color w:val="auto"/>
        </w:rPr>
        <w:t>At the Closing, we entered into a Voting Agreement (the “</w:t>
      </w:r>
      <w:r>
        <w:rPr>
          <w:rFonts w:ascii="Arial" w:cs="Arial" w:eastAsia="Arial" w:hAnsi="Arial"/>
          <w:sz w:val="17"/>
          <w:szCs w:val="17"/>
          <w:b w:val="1"/>
          <w:bCs w:val="1"/>
          <w:color w:val="auto"/>
        </w:rPr>
        <w:t>Voting Agreement</w:t>
      </w:r>
      <w:r>
        <w:rPr>
          <w:rFonts w:ascii="Arial" w:cs="Arial" w:eastAsia="Arial" w:hAnsi="Arial"/>
          <w:sz w:val="17"/>
          <w:szCs w:val="17"/>
          <w:color w:val="auto"/>
        </w:rPr>
        <w:t>”) with ICEH, pursuant to which ICEH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178"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Exchange Agreement</w:t>
      </w:r>
    </w:p>
    <w:p>
      <w:pPr>
        <w:spacing w:after="0" w:line="113"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At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176" w:lineRule="exact"/>
        <w:rPr>
          <w:sz w:val="20"/>
          <w:szCs w:val="20"/>
          <w:color w:val="auto"/>
        </w:rPr>
      </w:pPr>
    </w:p>
    <w:p>
      <w:pPr>
        <w:ind w:left="380" w:right="120" w:firstLine="420"/>
        <w:spacing w:after="0" w:line="298" w:lineRule="auto"/>
        <w:rPr>
          <w:sz w:val="20"/>
          <w:szCs w:val="20"/>
          <w:color w:val="auto"/>
        </w:rPr>
      </w:pPr>
      <w:r>
        <w:rPr>
          <w:rFonts w:ascii="Arial" w:cs="Arial" w:eastAsia="Arial" w:hAnsi="Arial"/>
          <w:sz w:val="15"/>
          <w:szCs w:val="15"/>
          <w:color w:val="auto"/>
        </w:rPr>
        <w:t>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840"/>
          </w:cols>
          <w:pgMar w:left="320" w:top="471" w:right="7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07" w:lineRule="exact"/>
        <w:rPr>
          <w:sz w:val="20"/>
          <w:szCs w:val="20"/>
          <w:color w:val="auto"/>
        </w:rPr>
      </w:pPr>
    </w:p>
    <w:p>
      <w:pPr>
        <w:ind w:left="380" w:firstLine="420"/>
        <w:spacing w:after="0" w:line="278" w:lineRule="auto"/>
        <w:rPr>
          <w:sz w:val="20"/>
          <w:szCs w:val="20"/>
          <w:color w:val="auto"/>
        </w:rPr>
      </w:pPr>
      <w:r>
        <w:rPr>
          <w:rFonts w:ascii="Arial" w:cs="Arial" w:eastAsia="Arial" w:hAnsi="Arial"/>
          <w:sz w:val="16"/>
          <w:szCs w:val="16"/>
          <w:color w:val="auto"/>
        </w:rPr>
        <w:t>At Closing, we, and certain Opco Equity Holders entered into a Tax Receivable Agreement (the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Pursuant to the Tax Receivable Agreement, among other things, Opco Equity Holders may, subject to certain conditions, from and after April 15, 2022,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168" w:lineRule="exact"/>
        <w:rPr>
          <w:sz w:val="20"/>
          <w:szCs w:val="20"/>
          <w:color w:val="auto"/>
        </w:rPr>
      </w:pPr>
    </w:p>
    <w:p>
      <w:pPr>
        <w:ind w:left="380" w:right="100" w:firstLine="420"/>
        <w:spacing w:after="0" w:line="289" w:lineRule="auto"/>
        <w:rPr>
          <w:sz w:val="20"/>
          <w:szCs w:val="20"/>
          <w:color w:val="auto"/>
        </w:rPr>
      </w:pPr>
      <w:r>
        <w:rPr>
          <w:rFonts w:ascii="Arial" w:cs="Arial" w:eastAsia="Arial" w:hAnsi="Arial"/>
          <w:sz w:val="16"/>
          <w:szCs w:val="16"/>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59" w:lineRule="exact"/>
        <w:rPr>
          <w:sz w:val="20"/>
          <w:szCs w:val="20"/>
          <w:color w:val="auto"/>
        </w:rPr>
      </w:pPr>
    </w:p>
    <w:p>
      <w:pPr>
        <w:jc w:val="both"/>
        <w:ind w:left="380" w:right="40" w:firstLine="420"/>
        <w:spacing w:after="0" w:line="291" w:lineRule="auto"/>
        <w:rPr>
          <w:sz w:val="20"/>
          <w:szCs w:val="20"/>
          <w:color w:val="auto"/>
        </w:rPr>
      </w:pPr>
      <w:r>
        <w:rPr>
          <w:rFonts w:ascii="Arial" w:cs="Arial" w:eastAsia="Arial" w:hAnsi="Arial"/>
          <w:sz w:val="15"/>
          <w:szCs w:val="15"/>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w:t>
      </w:r>
    </w:p>
    <w:p>
      <w:pPr>
        <w:spacing w:after="0" w:line="1" w:lineRule="exact"/>
        <w:rPr>
          <w:sz w:val="20"/>
          <w:szCs w:val="20"/>
          <w:color w:val="auto"/>
        </w:rPr>
      </w:pPr>
    </w:p>
    <w:p>
      <w:pPr>
        <w:ind w:left="380" w:right="40"/>
        <w:spacing w:after="0" w:line="254" w:lineRule="auto"/>
        <w:rPr>
          <w:sz w:val="20"/>
          <w:szCs w:val="20"/>
          <w:color w:val="auto"/>
        </w:rPr>
      </w:pPr>
      <w:r>
        <w:rPr>
          <w:rFonts w:ascii="Arial" w:cs="Arial" w:eastAsia="Arial" w:hAnsi="Arial"/>
          <w:sz w:val="17"/>
          <w:szCs w:val="17"/>
          <w:color w:val="auto"/>
        </w:rPr>
        <w:t>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Cooperation Agreement</w:t>
      </w:r>
    </w:p>
    <w:p>
      <w:pPr>
        <w:spacing w:after="0" w:line="107" w:lineRule="exact"/>
        <w:rPr>
          <w:sz w:val="20"/>
          <w:szCs w:val="20"/>
          <w:color w:val="auto"/>
        </w:rPr>
      </w:pPr>
    </w:p>
    <w:p>
      <w:pPr>
        <w:ind w:left="380" w:right="80" w:firstLine="420"/>
        <w:spacing w:after="0" w:line="269" w:lineRule="auto"/>
        <w:rPr>
          <w:sz w:val="20"/>
          <w:szCs w:val="20"/>
          <w:color w:val="auto"/>
        </w:rPr>
      </w:pPr>
      <w:r>
        <w:rPr>
          <w:rFonts w:ascii="Arial" w:cs="Arial" w:eastAsia="Arial" w:hAnsi="Arial"/>
          <w:sz w:val="17"/>
          <w:szCs w:val="17"/>
          <w:color w:val="auto"/>
        </w:rPr>
        <w:t>At the Closing Date, we and ICE entered into a cooperation agreement (the “</w:t>
      </w:r>
      <w:r>
        <w:rPr>
          <w:rFonts w:ascii="Arial" w:cs="Arial" w:eastAsia="Arial" w:hAnsi="Arial"/>
          <w:sz w:val="17"/>
          <w:szCs w:val="17"/>
          <w:b w:val="1"/>
          <w:bCs w:val="1"/>
          <w:color w:val="auto"/>
        </w:rPr>
        <w:t>Cooperation Agreement</w:t>
      </w:r>
      <w:r>
        <w:rPr>
          <w:rFonts w:ascii="Arial" w:cs="Arial" w:eastAsia="Arial" w:hAnsi="Arial"/>
          <w:sz w:val="17"/>
          <w:szCs w:val="17"/>
          <w:color w:val="auto"/>
        </w:rPr>
        <w: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119"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180"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A related person transaction is a transaction, arrangement or relationship, or any series of similar transactions, arrangements or relationships, in which we and any related person are, were or will be participants.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760"/>
          </w:cols>
          <w:pgMar w:left="320" w:top="471" w:right="81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Transactions involving compensation for services provided to us as an employee or director are not covered by this policy.</w:t>
      </w:r>
    </w:p>
    <w:p>
      <w:pPr>
        <w:spacing w:after="0" w:line="216"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79" w:lineRule="exact"/>
        <w:rPr>
          <w:sz w:val="20"/>
          <w:szCs w:val="20"/>
          <w:color w:val="auto"/>
        </w:rPr>
      </w:pPr>
    </w:p>
    <w:p>
      <w:pPr>
        <w:ind w:left="380" w:firstLine="420"/>
        <w:spacing w:after="0" w:line="317" w:lineRule="auto"/>
        <w:rPr>
          <w:sz w:val="20"/>
          <w:szCs w:val="20"/>
          <w:color w:val="auto"/>
        </w:rPr>
      </w:pPr>
      <w:r>
        <w:rPr>
          <w:rFonts w:ascii="Arial" w:cs="Arial" w:eastAsia="Arial" w:hAnsi="Arial"/>
          <w:sz w:val="15"/>
          <w:szCs w:val="15"/>
          <w:color w:val="auto"/>
        </w:rPr>
        <w:t>The policy requires that, in determining whether to approve, ratify or reject a related person transaction, our audit committee, or other independent body of the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140"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and transactions available to all employees generally.</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840"/>
          </w:cols>
          <w:pgMar w:left="320" w:top="471" w:right="7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BENEFICIAL OWNERSHIP OF SECURITIES</w:t>
      </w:r>
    </w:p>
    <w:p>
      <w:pPr>
        <w:spacing w:after="0" w:line="222" w:lineRule="exact"/>
        <w:rPr>
          <w:sz w:val="20"/>
          <w:szCs w:val="20"/>
          <w:color w:val="auto"/>
        </w:rPr>
      </w:pPr>
    </w:p>
    <w:p>
      <w:pPr>
        <w:ind w:left="380" w:right="440" w:firstLine="420"/>
        <w:spacing w:after="0" w:line="278" w:lineRule="auto"/>
        <w:rPr>
          <w:sz w:val="20"/>
          <w:szCs w:val="20"/>
          <w:color w:val="auto"/>
        </w:rPr>
      </w:pPr>
      <w:r>
        <w:rPr>
          <w:rFonts w:ascii="Arial" w:cs="Arial" w:eastAsia="Arial" w:hAnsi="Arial"/>
          <w:sz w:val="17"/>
          <w:szCs w:val="17"/>
          <w:color w:val="auto"/>
        </w:rPr>
        <w:t>The following table sets forth information known to the Company regarding ownership of shares of voting securities of the Company, which consists of Class A Common Stock and Paired Interests, as of December 3, 2021 by:</w:t>
      </w:r>
    </w:p>
    <w:p>
      <w:pPr>
        <w:spacing w:after="0" w:line="75" w:lineRule="exact"/>
        <w:rPr>
          <w:sz w:val="20"/>
          <w:szCs w:val="20"/>
          <w:color w:val="auto"/>
        </w:rPr>
      </w:pPr>
    </w:p>
    <w:p>
      <w:pPr>
        <w:ind w:left="1300" w:hanging="410"/>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any class of our common stock;</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of our executive officers and directors;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16"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180" w:lineRule="exact"/>
        <w:rPr>
          <w:sz w:val="20"/>
          <w:szCs w:val="20"/>
          <w:color w:val="auto"/>
        </w:rPr>
      </w:pPr>
    </w:p>
    <w:p>
      <w:pPr>
        <w:ind w:left="380" w:right="360" w:firstLine="420"/>
        <w:spacing w:after="0" w:line="278" w:lineRule="auto"/>
        <w:rPr>
          <w:sz w:val="20"/>
          <w:szCs w:val="20"/>
          <w:color w:val="auto"/>
        </w:rPr>
      </w:pPr>
      <w:r>
        <w:rPr>
          <w:rFonts w:ascii="Arial" w:cs="Arial" w:eastAsia="Arial" w:hAnsi="Arial"/>
          <w:sz w:val="17"/>
          <w:szCs w:val="17"/>
          <w:color w:val="auto"/>
        </w:rPr>
        <w:t>The beneficial ownership percentages set forth in the table below are based on 57,164,283 shares of Class A Common Stock and 207,406,648 Paired Interests issued and outstanding as of December 3, 2021.</w:t>
      </w:r>
    </w:p>
    <w:p>
      <w:pPr>
        <w:spacing w:after="0" w:line="165" w:lineRule="exact"/>
        <w:rPr>
          <w:sz w:val="20"/>
          <w:szCs w:val="20"/>
          <w:color w:val="auto"/>
        </w:rPr>
      </w:pPr>
    </w:p>
    <w:p>
      <w:pPr>
        <w:ind w:left="380" w:right="260" w:firstLine="420"/>
        <w:spacing w:after="0" w:line="265"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beneficially owned by them. Unless otherwise noted, the business address of each of the following entities or individuals is 10000 Avalon Boulevard, Suite 1000, Alpharetta, Georgia, 30009.</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 of</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 of</w:t>
            </w: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Total Number of Shares</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340" w:type="dxa"/>
            <w:vAlign w:val="bottom"/>
            <w:gridSpan w:val="2"/>
            <w:vMerge w:val="continue"/>
          </w:tcPr>
          <w:p>
            <w:pPr>
              <w:spacing w:after="0"/>
              <w:rPr>
                <w:sz w:val="12"/>
                <w:szCs w:val="12"/>
                <w:color w:val="auto"/>
              </w:rPr>
            </w:pPr>
          </w:p>
        </w:tc>
        <w:tc>
          <w:tcPr>
            <w:tcW w:w="100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89"/>
              </w:rPr>
              <w:t>Class A</w:t>
            </w: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vMerge w:val="continue"/>
          </w:tcPr>
          <w:p>
            <w:pPr>
              <w:spacing w:after="0"/>
              <w:rPr>
                <w:sz w:val="12"/>
                <w:szCs w:val="12"/>
                <w:color w:val="auto"/>
              </w:rPr>
            </w:pPr>
          </w:p>
        </w:tc>
        <w:tc>
          <w:tcPr>
            <w:tcW w:w="174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7"/>
              </w:rPr>
              <w:t>of Class A Common</w:t>
            </w:r>
          </w:p>
        </w:tc>
        <w:tc>
          <w:tcPr>
            <w:tcW w:w="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3360" w:type="dxa"/>
            <w:vAlign w:val="bottom"/>
            <w:gridSpan w:val="2"/>
            <w:vMerge w:val="continue"/>
          </w:tcPr>
          <w:p>
            <w:pPr>
              <w:spacing w:after="0"/>
              <w:rPr>
                <w:sz w:val="12"/>
                <w:szCs w:val="12"/>
                <w:color w:val="auto"/>
              </w:rPr>
            </w:pPr>
          </w:p>
        </w:tc>
        <w:tc>
          <w:tcPr>
            <w:tcW w:w="1340" w:type="dxa"/>
            <w:vAlign w:val="bottom"/>
            <w:gridSpan w:val="2"/>
          </w:tcPr>
          <w:p>
            <w:pPr>
              <w:jc w:val="right"/>
              <w:ind w:right="340"/>
              <w:spacing w:after="0" w:line="138" w:lineRule="exact"/>
              <w:rPr>
                <w:sz w:val="20"/>
                <w:szCs w:val="20"/>
                <w:color w:val="auto"/>
              </w:rPr>
            </w:pPr>
            <w:r>
              <w:rPr>
                <w:rFonts w:ascii="Arial" w:cs="Arial" w:eastAsia="Arial" w:hAnsi="Arial"/>
                <w:sz w:val="14"/>
                <w:szCs w:val="14"/>
                <w:b w:val="1"/>
                <w:bCs w:val="1"/>
                <w:color w:val="auto"/>
                <w:w w:val="82"/>
              </w:rPr>
              <w:t>Shares of Class A</w:t>
            </w:r>
          </w:p>
        </w:tc>
        <w:tc>
          <w:tcPr>
            <w:tcW w:w="1000" w:type="dxa"/>
            <w:vAlign w:val="bottom"/>
            <w:gridSpan w:val="2"/>
          </w:tcPr>
          <w:p>
            <w:pPr>
              <w:jc w:val="center"/>
              <w:ind w:right="460"/>
              <w:spacing w:after="0" w:line="138" w:lineRule="exact"/>
              <w:rPr>
                <w:sz w:val="20"/>
                <w:szCs w:val="20"/>
                <w:color w:val="auto"/>
              </w:rPr>
            </w:pPr>
            <w:r>
              <w:rPr>
                <w:rFonts w:ascii="Arial" w:cs="Arial" w:eastAsia="Arial" w:hAnsi="Arial"/>
                <w:sz w:val="14"/>
                <w:szCs w:val="14"/>
                <w:b w:val="1"/>
                <w:bCs w:val="1"/>
                <w:color w:val="auto"/>
                <w:w w:val="88"/>
              </w:rPr>
              <w:t>Common</w:t>
            </w:r>
          </w:p>
        </w:tc>
        <w:tc>
          <w:tcPr>
            <w:tcW w:w="1380" w:type="dxa"/>
            <w:vAlign w:val="bottom"/>
            <w:gridSpan w:val="2"/>
            <w:vMerge w:val="continue"/>
          </w:tcPr>
          <w:p>
            <w:pPr>
              <w:spacing w:after="0"/>
              <w:rPr>
                <w:sz w:val="12"/>
                <w:szCs w:val="12"/>
                <w:color w:val="auto"/>
              </w:rPr>
            </w:pPr>
          </w:p>
        </w:tc>
        <w:tc>
          <w:tcPr>
            <w:tcW w:w="1000" w:type="dxa"/>
            <w:vAlign w:val="bottom"/>
            <w:gridSpan w:val="2"/>
          </w:tcPr>
          <w:p>
            <w:pPr>
              <w:jc w:val="center"/>
              <w:ind w:right="480"/>
              <w:spacing w:after="0" w:line="138" w:lineRule="exact"/>
              <w:rPr>
                <w:sz w:val="20"/>
                <w:szCs w:val="20"/>
                <w:color w:val="auto"/>
              </w:rPr>
            </w:pPr>
            <w:r>
              <w:rPr>
                <w:rFonts w:ascii="Arial" w:cs="Arial" w:eastAsia="Arial" w:hAnsi="Arial"/>
                <w:sz w:val="14"/>
                <w:szCs w:val="14"/>
                <w:b w:val="1"/>
                <w:bCs w:val="1"/>
                <w:color w:val="auto"/>
                <w:w w:val="93"/>
              </w:rPr>
              <w:t>Paired</w:t>
            </w:r>
          </w:p>
        </w:tc>
        <w:tc>
          <w:tcPr>
            <w:tcW w:w="1740" w:type="dxa"/>
            <w:vAlign w:val="bottom"/>
            <w:gridSpan w:val="2"/>
          </w:tcPr>
          <w:p>
            <w:pPr>
              <w:jc w:val="center"/>
              <w:ind w:right="360"/>
              <w:spacing w:after="0" w:line="138" w:lineRule="exact"/>
              <w:rPr>
                <w:sz w:val="20"/>
                <w:szCs w:val="20"/>
                <w:color w:val="auto"/>
              </w:rPr>
            </w:pPr>
            <w:r>
              <w:rPr>
                <w:rFonts w:ascii="Arial" w:cs="Arial" w:eastAsia="Arial" w:hAnsi="Arial"/>
                <w:sz w:val="14"/>
                <w:szCs w:val="14"/>
                <w:b w:val="1"/>
                <w:bCs w:val="1"/>
                <w:color w:val="auto"/>
                <w:w w:val="87"/>
              </w:rPr>
              <w:t>Stock and Class V</w:t>
            </w:r>
          </w:p>
        </w:tc>
        <w:tc>
          <w:tcPr>
            <w:tcW w:w="6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41"/>
        </w:trPr>
        <w:tc>
          <w:tcPr>
            <w:tcW w:w="336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Owners</w:t>
            </w:r>
          </w:p>
        </w:tc>
        <w:tc>
          <w:tcPr>
            <w:tcW w:w="1340" w:type="dxa"/>
            <w:vAlign w:val="bottom"/>
            <w:gridSpan w:val="2"/>
          </w:tcPr>
          <w:p>
            <w:pPr>
              <w:jc w:val="right"/>
              <w:ind w:right="340"/>
              <w:spacing w:after="0" w:line="122" w:lineRule="exact"/>
              <w:rPr>
                <w:sz w:val="20"/>
                <w:szCs w:val="20"/>
                <w:color w:val="auto"/>
              </w:rPr>
            </w:pPr>
            <w:r>
              <w:rPr>
                <w:rFonts w:ascii="Arial" w:cs="Arial" w:eastAsia="Arial" w:hAnsi="Arial"/>
                <w:sz w:val="14"/>
                <w:szCs w:val="14"/>
                <w:b w:val="1"/>
                <w:bCs w:val="1"/>
                <w:color w:val="auto"/>
                <w:w w:val="86"/>
              </w:rPr>
              <w:t>Common Stock</w:t>
            </w:r>
            <w:r>
              <w:rPr>
                <w:rFonts w:ascii="Arial" w:cs="Arial" w:eastAsia="Arial" w:hAnsi="Arial"/>
                <w:sz w:val="9"/>
                <w:szCs w:val="9"/>
                <w:b w:val="1"/>
                <w:bCs w:val="1"/>
                <w:color w:val="auto"/>
                <w:w w:val="86"/>
              </w:rPr>
              <w:t>(1)</w:t>
            </w:r>
          </w:p>
        </w:tc>
        <w:tc>
          <w:tcPr>
            <w:tcW w:w="1000" w:type="dxa"/>
            <w:vAlign w:val="bottom"/>
            <w:gridSpan w:val="2"/>
          </w:tcPr>
          <w:p>
            <w:pPr>
              <w:jc w:val="center"/>
              <w:ind w:right="460"/>
              <w:spacing w:after="0" w:line="122" w:lineRule="exact"/>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jc w:val="right"/>
              <w:ind w:right="340"/>
              <w:spacing w:after="0" w:line="122" w:lineRule="exact"/>
              <w:rPr>
                <w:sz w:val="20"/>
                <w:szCs w:val="20"/>
                <w:color w:val="auto"/>
              </w:rPr>
            </w:pPr>
            <w:r>
              <w:rPr>
                <w:rFonts w:ascii="Arial" w:cs="Arial" w:eastAsia="Arial" w:hAnsi="Arial"/>
                <w:sz w:val="14"/>
                <w:szCs w:val="14"/>
                <w:b w:val="1"/>
                <w:bCs w:val="1"/>
                <w:color w:val="auto"/>
                <w:w w:val="87"/>
              </w:rPr>
              <w:t>Paired Interests</w:t>
            </w:r>
            <w:r>
              <w:rPr>
                <w:rFonts w:ascii="Arial" w:cs="Arial" w:eastAsia="Arial" w:hAnsi="Arial"/>
                <w:sz w:val="9"/>
                <w:szCs w:val="9"/>
                <w:b w:val="1"/>
                <w:bCs w:val="1"/>
                <w:color w:val="auto"/>
                <w:w w:val="87"/>
              </w:rPr>
              <w:t>(2)</w:t>
            </w:r>
          </w:p>
        </w:tc>
        <w:tc>
          <w:tcPr>
            <w:tcW w:w="1000" w:type="dxa"/>
            <w:vAlign w:val="bottom"/>
            <w:gridSpan w:val="2"/>
          </w:tcPr>
          <w:p>
            <w:pPr>
              <w:jc w:val="center"/>
              <w:ind w:right="480"/>
              <w:spacing w:after="0" w:line="122" w:lineRule="exact"/>
              <w:rPr>
                <w:sz w:val="20"/>
                <w:szCs w:val="20"/>
                <w:color w:val="auto"/>
              </w:rPr>
            </w:pPr>
            <w:r>
              <w:rPr>
                <w:rFonts w:ascii="Arial" w:cs="Arial" w:eastAsia="Arial" w:hAnsi="Arial"/>
                <w:sz w:val="14"/>
                <w:szCs w:val="14"/>
                <w:b w:val="1"/>
                <w:bCs w:val="1"/>
                <w:color w:val="auto"/>
                <w:w w:val="89"/>
              </w:rPr>
              <w:t>Interests</w:t>
            </w:r>
          </w:p>
        </w:tc>
        <w:tc>
          <w:tcPr>
            <w:tcW w:w="1740" w:type="dxa"/>
            <w:vAlign w:val="bottom"/>
            <w:gridSpan w:val="2"/>
          </w:tcPr>
          <w:p>
            <w:pPr>
              <w:jc w:val="center"/>
              <w:ind w:right="360"/>
              <w:spacing w:after="0" w:line="122" w:lineRule="exact"/>
              <w:rPr>
                <w:sz w:val="20"/>
                <w:szCs w:val="20"/>
                <w:color w:val="auto"/>
              </w:rPr>
            </w:pPr>
            <w:r>
              <w:rPr>
                <w:rFonts w:ascii="Arial" w:cs="Arial" w:eastAsia="Arial" w:hAnsi="Arial"/>
                <w:sz w:val="14"/>
                <w:szCs w:val="14"/>
                <w:b w:val="1"/>
                <w:bCs w:val="1"/>
                <w:color w:val="auto"/>
                <w:w w:val="87"/>
              </w:rPr>
              <w:t>Common Stock</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90"/>
              </w:rPr>
              <w:t>Power</w:t>
            </w:r>
            <w:r>
              <w:rPr>
                <w:rFonts w:ascii="Arial" w:cs="Arial" w:eastAsia="Arial" w:hAnsi="Arial"/>
                <w:sz w:val="9"/>
                <w:szCs w:val="9"/>
                <w:b w:val="1"/>
                <w:bCs w:val="1"/>
                <w:color w:val="auto"/>
                <w:w w:val="90"/>
              </w:rPr>
              <w:t>(3)</w:t>
            </w:r>
          </w:p>
        </w:tc>
        <w:tc>
          <w:tcPr>
            <w:tcW w:w="0" w:type="dxa"/>
            <w:vAlign w:val="bottom"/>
          </w:tcPr>
          <w:p>
            <w:pPr>
              <w:spacing w:after="0"/>
              <w:rPr>
                <w:sz w:val="1"/>
                <w:szCs w:val="1"/>
                <w:color w:val="auto"/>
              </w:rPr>
            </w:pPr>
          </w:p>
        </w:tc>
      </w:tr>
      <w:tr>
        <w:trPr>
          <w:trHeight w:val="20"/>
        </w:trPr>
        <w:tc>
          <w:tcPr>
            <w:tcW w:w="188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i w:val="1"/>
                <w:iCs w:val="1"/>
                <w:color w:val="auto"/>
              </w:rPr>
              <w:t>Directors and Named Executive Officers:</w:t>
            </w: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spacing w:after="0"/>
              <w:rPr>
                <w:sz w:val="20"/>
                <w:szCs w:val="20"/>
                <w:color w:val="auto"/>
              </w:rPr>
            </w:pPr>
            <w:r>
              <w:rPr>
                <w:rFonts w:ascii="Arial" w:cs="Arial" w:eastAsia="Arial" w:hAnsi="Arial"/>
                <w:sz w:val="17"/>
                <w:szCs w:val="17"/>
                <w:color w:val="auto"/>
              </w:rPr>
              <w:t>Gavin Michael</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LaBenne</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spacing w:after="0" w:line="205" w:lineRule="exact"/>
              <w:rPr>
                <w:sz w:val="20"/>
                <w:szCs w:val="20"/>
                <w:color w:val="auto"/>
              </w:rPr>
            </w:pPr>
            <w:r>
              <w:rPr>
                <w:rFonts w:ascii="Arial" w:cs="Arial" w:eastAsia="Arial" w:hAnsi="Arial"/>
                <w:sz w:val="17"/>
                <w:szCs w:val="17"/>
                <w:color w:val="auto"/>
              </w:rPr>
              <w:t>Adam White</w:t>
            </w:r>
            <w:r>
              <w:rPr>
                <w:rFonts w:ascii="Arial" w:cs="Arial" w:eastAsia="Arial" w:hAnsi="Arial"/>
                <w:sz w:val="23"/>
                <w:szCs w:val="23"/>
                <w:color w:val="auto"/>
                <w:vertAlign w:val="superscript"/>
              </w:rPr>
              <w:t>(4)</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1,219,721</w:t>
            </w: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1,219,721</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Nicolas Cabrera</w:t>
            </w:r>
            <w:r>
              <w:rPr>
                <w:rFonts w:ascii="Arial" w:cs="Arial" w:eastAsia="Arial" w:hAnsi="Arial"/>
                <w:sz w:val="23"/>
                <w:szCs w:val="23"/>
                <w:color w:val="auto"/>
                <w:vertAlign w:val="superscript"/>
              </w:rPr>
              <w:t>(4)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107,912</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107,912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spacing w:after="0" w:line="205" w:lineRule="exact"/>
              <w:rPr>
                <w:sz w:val="20"/>
                <w:szCs w:val="20"/>
                <w:color w:val="auto"/>
              </w:rPr>
            </w:pPr>
            <w:r>
              <w:rPr>
                <w:rFonts w:ascii="Arial" w:cs="Arial" w:eastAsia="Arial" w:hAnsi="Arial"/>
                <w:sz w:val="17"/>
                <w:szCs w:val="17"/>
                <w:color w:val="auto"/>
              </w:rPr>
              <w:t>Matthew Johnson</w:t>
            </w:r>
            <w:r>
              <w:rPr>
                <w:rFonts w:ascii="Arial" w:cs="Arial" w:eastAsia="Arial" w:hAnsi="Arial"/>
                <w:sz w:val="23"/>
                <w:szCs w:val="23"/>
                <w:color w:val="auto"/>
                <w:vertAlign w:val="superscript"/>
              </w:rPr>
              <w:t>(4)</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90,140</w:t>
            </w: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90,140</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Marc D’Annunzio</w:t>
            </w:r>
            <w:r>
              <w:rPr>
                <w:rFonts w:ascii="Arial" w:cs="Arial" w:eastAsia="Arial" w:hAnsi="Arial"/>
                <w:sz w:val="23"/>
                <w:szCs w:val="23"/>
                <w:color w:val="auto"/>
                <w:vertAlign w:val="superscript"/>
              </w:rPr>
              <w:t>(4)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518,237</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518,237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spacing w:after="0"/>
              <w:rPr>
                <w:sz w:val="20"/>
                <w:szCs w:val="20"/>
                <w:color w:val="auto"/>
              </w:rPr>
            </w:pPr>
            <w:r>
              <w:rPr>
                <w:rFonts w:ascii="Arial" w:cs="Arial" w:eastAsia="Arial" w:hAnsi="Arial"/>
                <w:sz w:val="17"/>
                <w:szCs w:val="17"/>
                <w:color w:val="auto"/>
              </w:rPr>
              <w:t>Mike Blandina</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Goldberg</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spacing w:after="0" w:line="205" w:lineRule="exact"/>
              <w:rPr>
                <w:sz w:val="20"/>
                <w:szCs w:val="20"/>
                <w:color w:val="auto"/>
              </w:rPr>
            </w:pPr>
            <w:r>
              <w:rPr>
                <w:rFonts w:ascii="Arial" w:cs="Arial" w:eastAsia="Arial" w:hAnsi="Arial"/>
                <w:sz w:val="17"/>
                <w:szCs w:val="17"/>
                <w:color w:val="auto"/>
              </w:rPr>
              <w:t>David Clifton</w:t>
            </w:r>
            <w:r>
              <w:rPr>
                <w:rFonts w:ascii="Arial" w:cs="Arial" w:eastAsia="Arial" w:hAnsi="Arial"/>
                <w:sz w:val="23"/>
                <w:szCs w:val="23"/>
                <w:color w:val="auto"/>
                <w:vertAlign w:val="superscript"/>
              </w:rPr>
              <w:t>(5)</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162,608</w:t>
            </w: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162,608</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Kristyn Cook</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spacing w:after="0"/>
              <w:rPr>
                <w:sz w:val="20"/>
                <w:szCs w:val="20"/>
                <w:color w:val="auto"/>
              </w:rPr>
            </w:pPr>
            <w:r>
              <w:rPr>
                <w:rFonts w:ascii="Arial" w:cs="Arial" w:eastAsia="Arial" w:hAnsi="Arial"/>
                <w:sz w:val="17"/>
                <w:szCs w:val="17"/>
                <w:color w:val="auto"/>
              </w:rPr>
              <w:t>Gordon Watson</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Sean Collins</w:t>
            </w:r>
            <w:r>
              <w:rPr>
                <w:rFonts w:ascii="Arial" w:cs="Arial" w:eastAsia="Arial" w:hAnsi="Arial"/>
                <w:sz w:val="23"/>
                <w:szCs w:val="23"/>
                <w:color w:val="auto"/>
                <w:vertAlign w:val="superscript"/>
              </w:rPr>
              <w:t>(6)</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582,323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2,908,110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3,490,433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3360" w:type="dxa"/>
            <w:vAlign w:val="bottom"/>
            <w:gridSpan w:val="2"/>
          </w:tcPr>
          <w:p>
            <w:pPr>
              <w:spacing w:after="0"/>
              <w:rPr>
                <w:sz w:val="20"/>
                <w:szCs w:val="20"/>
                <w:color w:val="auto"/>
              </w:rPr>
            </w:pPr>
            <w:r>
              <w:rPr>
                <w:rFonts w:ascii="Arial" w:cs="Arial" w:eastAsia="Arial" w:hAnsi="Arial"/>
                <w:sz w:val="17"/>
                <w:szCs w:val="17"/>
                <w:color w:val="auto"/>
              </w:rPr>
              <w:t>Richard Lumb</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Main</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36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All directors and officers as a group</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gridSpan w:val="2"/>
          </w:tcPr>
          <w:p>
            <w:pPr>
              <w:ind w:left="160"/>
              <w:spacing w:after="0"/>
              <w:rPr>
                <w:sz w:val="20"/>
                <w:szCs w:val="20"/>
                <w:color w:val="auto"/>
              </w:rPr>
            </w:pPr>
            <w:r>
              <w:rPr>
                <w:rFonts w:ascii="Arial" w:cs="Arial" w:eastAsia="Arial" w:hAnsi="Arial"/>
                <w:sz w:val="17"/>
                <w:szCs w:val="17"/>
                <w:i w:val="1"/>
                <w:iCs w:val="1"/>
                <w:color w:val="auto"/>
              </w:rPr>
              <w:t>(11 individuals)</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582,333</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1.0%</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4,808,676</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2.3%</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5,391,009</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Five Percent Holders:</w:t>
            </w: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360" w:type="dxa"/>
            <w:vAlign w:val="bottom"/>
            <w:gridSpan w:val="2"/>
          </w:tcPr>
          <w:p>
            <w:pPr>
              <w:spacing w:after="0" w:line="191" w:lineRule="exact"/>
              <w:rPr>
                <w:sz w:val="20"/>
                <w:szCs w:val="20"/>
                <w:color w:val="auto"/>
              </w:rPr>
            </w:pPr>
            <w:r>
              <w:rPr>
                <w:rFonts w:ascii="Arial" w:cs="Arial" w:eastAsia="Arial" w:hAnsi="Arial"/>
                <w:sz w:val="17"/>
                <w:szCs w:val="17"/>
                <w:color w:val="auto"/>
              </w:rPr>
              <w:t>Funds affiliated with Corbin Capital</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3360" w:type="dxa"/>
            <w:vAlign w:val="bottom"/>
            <w:gridSpan w:val="2"/>
          </w:tcPr>
          <w:p>
            <w:pPr>
              <w:ind w:left="160"/>
              <w:spacing w:after="0"/>
              <w:rPr>
                <w:sz w:val="20"/>
                <w:szCs w:val="20"/>
                <w:color w:val="auto"/>
              </w:rPr>
            </w:pPr>
            <w:r>
              <w:rPr>
                <w:rFonts w:ascii="Arial" w:cs="Arial" w:eastAsia="Arial" w:hAnsi="Arial"/>
                <w:sz w:val="17"/>
                <w:szCs w:val="17"/>
                <w:color w:val="auto"/>
              </w:rPr>
              <w:t>Partners</w:t>
            </w:r>
            <w:r>
              <w:rPr>
                <w:rFonts w:ascii="Arial" w:cs="Arial" w:eastAsia="Arial" w:hAnsi="Arial"/>
                <w:sz w:val="24"/>
                <w:szCs w:val="24"/>
                <w:color w:val="auto"/>
                <w:vertAlign w:val="superscript"/>
              </w:rPr>
              <w:t>(7)</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4,500,000</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7.9%</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4,500,000</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51"/>
        </w:trPr>
        <w:tc>
          <w:tcPr>
            <w:tcW w:w="1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136</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w:t>
            </w: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Total Number of Shares</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320" w:type="dxa"/>
            <w:vAlign w:val="bottom"/>
            <w:gridSpan w:val="2"/>
            <w:vMerge w:val="continue"/>
          </w:tcPr>
          <w:p>
            <w:pPr>
              <w:spacing w:after="0"/>
              <w:rPr>
                <w:sz w:val="12"/>
                <w:szCs w:val="12"/>
                <w:color w:val="auto"/>
              </w:rPr>
            </w:pPr>
          </w:p>
        </w:tc>
        <w:tc>
          <w:tcPr>
            <w:tcW w:w="98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89"/>
              </w:rPr>
              <w:t>Class A</w:t>
            </w: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960" w:type="dxa"/>
            <w:vAlign w:val="bottom"/>
            <w:gridSpan w:val="2"/>
            <w:vMerge w:val="continue"/>
          </w:tcPr>
          <w:p>
            <w:pPr>
              <w:spacing w:after="0"/>
              <w:rPr>
                <w:sz w:val="12"/>
                <w:szCs w:val="12"/>
                <w:color w:val="auto"/>
              </w:rPr>
            </w:pPr>
          </w:p>
        </w:tc>
        <w:tc>
          <w:tcPr>
            <w:tcW w:w="17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of Class A Common</w:t>
            </w:r>
          </w:p>
        </w:tc>
        <w:tc>
          <w:tcPr>
            <w:tcW w:w="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3520" w:type="dxa"/>
            <w:vAlign w:val="bottom"/>
            <w:gridSpan w:val="2"/>
            <w:vMerge w:val="continue"/>
          </w:tcPr>
          <w:p>
            <w:pPr>
              <w:spacing w:after="0"/>
              <w:rPr>
                <w:sz w:val="12"/>
                <w:szCs w:val="12"/>
                <w:color w:val="auto"/>
              </w:rPr>
            </w:pPr>
          </w:p>
        </w:tc>
        <w:tc>
          <w:tcPr>
            <w:tcW w:w="1320" w:type="dxa"/>
            <w:vAlign w:val="bottom"/>
            <w:gridSpan w:val="2"/>
          </w:tcPr>
          <w:p>
            <w:pPr>
              <w:jc w:val="right"/>
              <w:ind w:right="300"/>
              <w:spacing w:after="0" w:line="138" w:lineRule="exact"/>
              <w:rPr>
                <w:sz w:val="20"/>
                <w:szCs w:val="20"/>
                <w:color w:val="auto"/>
              </w:rPr>
            </w:pPr>
            <w:r>
              <w:rPr>
                <w:rFonts w:ascii="Arial" w:cs="Arial" w:eastAsia="Arial" w:hAnsi="Arial"/>
                <w:sz w:val="14"/>
                <w:szCs w:val="14"/>
                <w:b w:val="1"/>
                <w:bCs w:val="1"/>
                <w:color w:val="auto"/>
                <w:w w:val="83"/>
              </w:rPr>
              <w:t>Shares of Class A</w:t>
            </w:r>
          </w:p>
        </w:tc>
        <w:tc>
          <w:tcPr>
            <w:tcW w:w="980" w:type="dxa"/>
            <w:vAlign w:val="bottom"/>
            <w:gridSpan w:val="2"/>
          </w:tcPr>
          <w:p>
            <w:pPr>
              <w:jc w:val="center"/>
              <w:ind w:right="440"/>
              <w:spacing w:after="0" w:line="138" w:lineRule="exact"/>
              <w:rPr>
                <w:sz w:val="20"/>
                <w:szCs w:val="20"/>
                <w:color w:val="auto"/>
              </w:rPr>
            </w:pPr>
            <w:r>
              <w:rPr>
                <w:rFonts w:ascii="Arial" w:cs="Arial" w:eastAsia="Arial" w:hAnsi="Arial"/>
                <w:sz w:val="14"/>
                <w:szCs w:val="14"/>
                <w:b w:val="1"/>
                <w:bCs w:val="1"/>
                <w:color w:val="auto"/>
                <w:w w:val="88"/>
              </w:rPr>
              <w:t>Common</w:t>
            </w:r>
          </w:p>
        </w:tc>
        <w:tc>
          <w:tcPr>
            <w:tcW w:w="1340" w:type="dxa"/>
            <w:vAlign w:val="bottom"/>
            <w:gridSpan w:val="2"/>
            <w:vMerge w:val="continue"/>
          </w:tcPr>
          <w:p>
            <w:pPr>
              <w:spacing w:after="0"/>
              <w:rPr>
                <w:sz w:val="12"/>
                <w:szCs w:val="12"/>
                <w:color w:val="auto"/>
              </w:rPr>
            </w:pPr>
          </w:p>
        </w:tc>
        <w:tc>
          <w:tcPr>
            <w:tcW w:w="960" w:type="dxa"/>
            <w:vAlign w:val="bottom"/>
            <w:gridSpan w:val="2"/>
          </w:tcPr>
          <w:p>
            <w:pPr>
              <w:jc w:val="center"/>
              <w:ind w:right="440"/>
              <w:spacing w:after="0" w:line="138" w:lineRule="exact"/>
              <w:rPr>
                <w:sz w:val="20"/>
                <w:szCs w:val="20"/>
                <w:color w:val="auto"/>
              </w:rPr>
            </w:pPr>
            <w:r>
              <w:rPr>
                <w:rFonts w:ascii="Arial" w:cs="Arial" w:eastAsia="Arial" w:hAnsi="Arial"/>
                <w:sz w:val="14"/>
                <w:szCs w:val="14"/>
                <w:b w:val="1"/>
                <w:bCs w:val="1"/>
                <w:color w:val="auto"/>
                <w:w w:val="93"/>
              </w:rPr>
              <w:t>Paired</w:t>
            </w:r>
          </w:p>
        </w:tc>
        <w:tc>
          <w:tcPr>
            <w:tcW w:w="170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87"/>
              </w:rPr>
              <w:t>Stock and Class V</w:t>
            </w:r>
          </w:p>
        </w:tc>
        <w:tc>
          <w:tcPr>
            <w:tcW w:w="6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41"/>
        </w:trPr>
        <w:tc>
          <w:tcPr>
            <w:tcW w:w="352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Owners</w:t>
            </w:r>
          </w:p>
        </w:tc>
        <w:tc>
          <w:tcPr>
            <w:tcW w:w="1320" w:type="dxa"/>
            <w:vAlign w:val="bottom"/>
            <w:gridSpan w:val="2"/>
          </w:tcPr>
          <w:p>
            <w:pPr>
              <w:jc w:val="right"/>
              <w:ind w:right="300"/>
              <w:spacing w:after="0" w:line="122" w:lineRule="exact"/>
              <w:rPr>
                <w:sz w:val="20"/>
                <w:szCs w:val="20"/>
                <w:color w:val="auto"/>
              </w:rPr>
            </w:pPr>
            <w:r>
              <w:rPr>
                <w:rFonts w:ascii="Arial" w:cs="Arial" w:eastAsia="Arial" w:hAnsi="Arial"/>
                <w:sz w:val="14"/>
                <w:szCs w:val="14"/>
                <w:b w:val="1"/>
                <w:bCs w:val="1"/>
                <w:color w:val="auto"/>
                <w:w w:val="87"/>
              </w:rPr>
              <w:t>Common Stock</w:t>
            </w:r>
            <w:r>
              <w:rPr>
                <w:rFonts w:ascii="Arial" w:cs="Arial" w:eastAsia="Arial" w:hAnsi="Arial"/>
                <w:sz w:val="9"/>
                <w:szCs w:val="9"/>
                <w:b w:val="1"/>
                <w:bCs w:val="1"/>
                <w:color w:val="auto"/>
                <w:w w:val="87"/>
              </w:rPr>
              <w:t>(1)</w:t>
            </w:r>
          </w:p>
        </w:tc>
        <w:tc>
          <w:tcPr>
            <w:tcW w:w="980" w:type="dxa"/>
            <w:vAlign w:val="bottom"/>
            <w:gridSpan w:val="2"/>
          </w:tcPr>
          <w:p>
            <w:pPr>
              <w:jc w:val="center"/>
              <w:ind w:right="440"/>
              <w:spacing w:after="0" w:line="122" w:lineRule="exact"/>
              <w:rPr>
                <w:sz w:val="20"/>
                <w:szCs w:val="20"/>
                <w:color w:val="auto"/>
              </w:rPr>
            </w:pPr>
            <w:r>
              <w:rPr>
                <w:rFonts w:ascii="Arial" w:cs="Arial" w:eastAsia="Arial" w:hAnsi="Arial"/>
                <w:sz w:val="14"/>
                <w:szCs w:val="14"/>
                <w:b w:val="1"/>
                <w:bCs w:val="1"/>
                <w:color w:val="auto"/>
                <w:w w:val="89"/>
              </w:rPr>
              <w:t>Stock</w:t>
            </w:r>
          </w:p>
        </w:tc>
        <w:tc>
          <w:tcPr>
            <w:tcW w:w="1340" w:type="dxa"/>
            <w:vAlign w:val="bottom"/>
            <w:gridSpan w:val="2"/>
          </w:tcPr>
          <w:p>
            <w:pPr>
              <w:jc w:val="right"/>
              <w:ind w:right="300"/>
              <w:spacing w:after="0" w:line="122" w:lineRule="exact"/>
              <w:rPr>
                <w:sz w:val="20"/>
                <w:szCs w:val="20"/>
                <w:color w:val="auto"/>
              </w:rPr>
            </w:pPr>
            <w:r>
              <w:rPr>
                <w:rFonts w:ascii="Arial" w:cs="Arial" w:eastAsia="Arial" w:hAnsi="Arial"/>
                <w:sz w:val="14"/>
                <w:szCs w:val="14"/>
                <w:b w:val="1"/>
                <w:bCs w:val="1"/>
                <w:color w:val="auto"/>
                <w:w w:val="87"/>
              </w:rPr>
              <w:t>Paired Interests</w:t>
            </w:r>
            <w:r>
              <w:rPr>
                <w:rFonts w:ascii="Arial" w:cs="Arial" w:eastAsia="Arial" w:hAnsi="Arial"/>
                <w:sz w:val="9"/>
                <w:szCs w:val="9"/>
                <w:b w:val="1"/>
                <w:bCs w:val="1"/>
                <w:color w:val="auto"/>
                <w:w w:val="87"/>
              </w:rPr>
              <w:t>(2)</w:t>
            </w:r>
          </w:p>
        </w:tc>
        <w:tc>
          <w:tcPr>
            <w:tcW w:w="960" w:type="dxa"/>
            <w:vAlign w:val="bottom"/>
            <w:gridSpan w:val="2"/>
          </w:tcPr>
          <w:p>
            <w:pPr>
              <w:jc w:val="center"/>
              <w:ind w:right="440"/>
              <w:spacing w:after="0" w:line="122" w:lineRule="exact"/>
              <w:rPr>
                <w:sz w:val="20"/>
                <w:szCs w:val="20"/>
                <w:color w:val="auto"/>
              </w:rPr>
            </w:pPr>
            <w:r>
              <w:rPr>
                <w:rFonts w:ascii="Arial" w:cs="Arial" w:eastAsia="Arial" w:hAnsi="Arial"/>
                <w:sz w:val="14"/>
                <w:szCs w:val="14"/>
                <w:b w:val="1"/>
                <w:bCs w:val="1"/>
                <w:color w:val="auto"/>
                <w:w w:val="89"/>
              </w:rPr>
              <w:t>Interests</w:t>
            </w:r>
          </w:p>
        </w:tc>
        <w:tc>
          <w:tcPr>
            <w:tcW w:w="1700" w:type="dxa"/>
            <w:vAlign w:val="bottom"/>
            <w:gridSpan w:val="2"/>
          </w:tcPr>
          <w:p>
            <w:pPr>
              <w:jc w:val="center"/>
              <w:ind w:right="320"/>
              <w:spacing w:after="0" w:line="122" w:lineRule="exact"/>
              <w:rPr>
                <w:sz w:val="20"/>
                <w:szCs w:val="20"/>
                <w:color w:val="auto"/>
              </w:rPr>
            </w:pPr>
            <w:r>
              <w:rPr>
                <w:rFonts w:ascii="Arial" w:cs="Arial" w:eastAsia="Arial" w:hAnsi="Arial"/>
                <w:sz w:val="14"/>
                <w:szCs w:val="14"/>
                <w:b w:val="1"/>
                <w:bCs w:val="1"/>
                <w:color w:val="auto"/>
                <w:w w:val="87"/>
              </w:rPr>
              <w:t>Common Stock</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90"/>
              </w:rPr>
              <w:t>Power</w:t>
            </w:r>
            <w:r>
              <w:rPr>
                <w:rFonts w:ascii="Arial" w:cs="Arial" w:eastAsia="Arial" w:hAnsi="Arial"/>
                <w:sz w:val="9"/>
                <w:szCs w:val="9"/>
                <w:b w:val="1"/>
                <w:bCs w:val="1"/>
                <w:color w:val="auto"/>
                <w:w w:val="90"/>
              </w:rPr>
              <w:t>(3)</w:t>
            </w:r>
          </w:p>
        </w:tc>
        <w:tc>
          <w:tcPr>
            <w:tcW w:w="0" w:type="dxa"/>
            <w:vAlign w:val="bottom"/>
          </w:tcPr>
          <w:p>
            <w:pPr>
              <w:spacing w:after="0"/>
              <w:rPr>
                <w:sz w:val="1"/>
                <w:szCs w:val="1"/>
                <w:color w:val="auto"/>
              </w:rPr>
            </w:pPr>
          </w:p>
        </w:tc>
      </w:tr>
      <w:tr>
        <w:trPr>
          <w:trHeight w:val="20"/>
        </w:trPr>
        <w:tc>
          <w:tcPr>
            <w:tcW w:w="188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520" w:type="dxa"/>
            <w:vAlign w:val="bottom"/>
            <w:gridSpan w:val="2"/>
            <w:shd w:val="clear" w:color="auto" w:fill="CCEEFF"/>
          </w:tcPr>
          <w:p>
            <w:pPr>
              <w:spacing w:after="0" w:line="185" w:lineRule="exact"/>
              <w:rPr>
                <w:sz w:val="20"/>
                <w:szCs w:val="20"/>
                <w:color w:val="auto"/>
              </w:rPr>
            </w:pPr>
            <w:r>
              <w:rPr>
                <w:rFonts w:ascii="Arial" w:cs="Arial" w:eastAsia="Arial" w:hAnsi="Arial"/>
                <w:sz w:val="15"/>
                <w:szCs w:val="15"/>
                <w:color w:val="auto"/>
              </w:rPr>
              <w:t>Intercontinental Exchange Holdings, Inc.</w:t>
            </w:r>
            <w:r>
              <w:rPr>
                <w:rFonts w:ascii="Arial" w:cs="Arial" w:eastAsia="Arial" w:hAnsi="Arial"/>
                <w:sz w:val="21"/>
                <w:szCs w:val="21"/>
                <w:color w:val="auto"/>
                <w:vertAlign w:val="superscript"/>
              </w:rPr>
              <w:t>(8)</w:t>
            </w:r>
          </w:p>
        </w:tc>
        <w:tc>
          <w:tcPr>
            <w:tcW w:w="10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4,714,336</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line="185" w:lineRule="exact"/>
              <w:rPr>
                <w:sz w:val="20"/>
                <w:szCs w:val="20"/>
                <w:color w:val="auto"/>
              </w:rPr>
            </w:pPr>
            <w:r>
              <w:rPr>
                <w:rFonts w:ascii="Arial" w:cs="Arial" w:eastAsia="Arial" w:hAnsi="Arial"/>
                <w:sz w:val="17"/>
                <w:szCs w:val="17"/>
                <w:color w:val="auto"/>
              </w:rPr>
              <w:t>8.2%</w:t>
            </w:r>
          </w:p>
        </w:tc>
        <w:tc>
          <w:tcPr>
            <w:tcW w:w="10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170,079,462</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line="185" w:lineRule="exact"/>
              <w:rPr>
                <w:sz w:val="20"/>
                <w:szCs w:val="20"/>
                <w:color w:val="auto"/>
              </w:rPr>
            </w:pPr>
            <w:r>
              <w:rPr>
                <w:rFonts w:ascii="Arial" w:cs="Arial" w:eastAsia="Arial" w:hAnsi="Arial"/>
                <w:sz w:val="17"/>
                <w:szCs w:val="17"/>
                <w:color w:val="auto"/>
              </w:rPr>
              <w:t>82.0%</w:t>
            </w:r>
          </w:p>
        </w:tc>
        <w:tc>
          <w:tcPr>
            <w:tcW w:w="14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174,793,798</w:t>
            </w:r>
          </w:p>
        </w:tc>
        <w:tc>
          <w:tcPr>
            <w:tcW w:w="3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06"/>
        </w:trPr>
        <w:tc>
          <w:tcPr>
            <w:tcW w:w="3520" w:type="dxa"/>
            <w:vAlign w:val="bottom"/>
            <w:gridSpan w:val="2"/>
          </w:tcPr>
          <w:p>
            <w:pPr>
              <w:spacing w:after="0" w:line="205" w:lineRule="exact"/>
              <w:rPr>
                <w:sz w:val="20"/>
                <w:szCs w:val="20"/>
                <w:color w:val="auto"/>
              </w:rPr>
            </w:pPr>
            <w:r>
              <w:rPr>
                <w:rFonts w:ascii="Arial" w:cs="Arial" w:eastAsia="Arial" w:hAnsi="Arial"/>
                <w:sz w:val="17"/>
                <w:szCs w:val="17"/>
                <w:color w:val="auto"/>
              </w:rPr>
              <w:t>Invesco</w:t>
            </w:r>
            <w:r>
              <w:rPr>
                <w:rFonts w:ascii="Arial" w:cs="Arial" w:eastAsia="Arial" w:hAnsi="Arial"/>
                <w:sz w:val="23"/>
                <w:szCs w:val="23"/>
                <w:color w:val="auto"/>
                <w:vertAlign w:val="superscript"/>
              </w:rPr>
              <w:t>(9)</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3,493,439</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6.1%</w:t>
            </w: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00"/>
              <w:spacing w:after="0"/>
              <w:rPr>
                <w:sz w:val="20"/>
                <w:szCs w:val="20"/>
                <w:color w:val="auto"/>
              </w:rPr>
            </w:pPr>
            <w:r>
              <w:rPr>
                <w:rFonts w:ascii="Arial" w:cs="Arial" w:eastAsia="Arial" w:hAnsi="Arial"/>
                <w:sz w:val="17"/>
                <w:szCs w:val="17"/>
                <w:color w:val="auto"/>
              </w:rPr>
              <w:t>3,493,439</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91"/>
        </w:trPr>
        <w:tc>
          <w:tcPr>
            <w:tcW w:w="352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VPC Impact Acquisition Holdings Sponsor,</w:t>
            </w: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20" w:type="dxa"/>
            <w:vAlign w:val="bottom"/>
            <w:gridSpan w:val="2"/>
            <w:shd w:val="clear" w:color="auto" w:fill="CCEEFF"/>
          </w:tcPr>
          <w:p>
            <w:pPr>
              <w:ind w:left="160"/>
              <w:spacing w:after="0" w:line="221" w:lineRule="exact"/>
              <w:rPr>
                <w:sz w:val="20"/>
                <w:szCs w:val="20"/>
                <w:color w:val="auto"/>
              </w:rPr>
            </w:pPr>
            <w:r>
              <w:rPr>
                <w:rFonts w:ascii="Arial" w:cs="Arial" w:eastAsia="Arial" w:hAnsi="Arial"/>
                <w:sz w:val="25"/>
                <w:szCs w:val="25"/>
                <w:color w:val="auto"/>
                <w:vertAlign w:val="subscript"/>
              </w:rPr>
              <w:t>LLC</w:t>
            </w:r>
            <w:r>
              <w:rPr>
                <w:rFonts w:ascii="Arial" w:cs="Arial" w:eastAsia="Arial" w:hAnsi="Arial"/>
                <w:sz w:val="10"/>
                <w:szCs w:val="10"/>
                <w:color w:val="auto"/>
              </w:rPr>
              <w:t>(10)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9,091,662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9,091,662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81915</wp:posOffset>
            </wp:positionV>
            <wp:extent cx="7353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8" w:lineRule="exact"/>
        <w:rPr>
          <w:sz w:val="20"/>
          <w:szCs w:val="20"/>
          <w:color w:val="auto"/>
        </w:rPr>
      </w:pPr>
    </w:p>
    <w:p>
      <w:pPr>
        <w:ind w:left="780" w:hanging="404"/>
        <w:spacing w:after="0"/>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21" w:lineRule="exact"/>
        <w:rPr>
          <w:sz w:val="20"/>
          <w:szCs w:val="20"/>
          <w:color w:val="auto"/>
        </w:rPr>
      </w:pPr>
    </w:p>
    <w:p>
      <w:pPr>
        <w:ind w:left="780" w:hanging="404"/>
        <w:spacing w:after="0"/>
        <w:tabs>
          <w:tab w:leader="none" w:pos="7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share of Class A Common Stock entitles the holder thereof to one vote per share.</w:t>
      </w:r>
    </w:p>
    <w:p>
      <w:pPr>
        <w:spacing w:after="0" w:line="10" w:lineRule="exact"/>
        <w:rPr>
          <w:rFonts w:ascii="Arial" w:cs="Arial" w:eastAsia="Arial" w:hAnsi="Arial"/>
          <w:sz w:val="17"/>
          <w:szCs w:val="17"/>
          <w:color w:val="auto"/>
        </w:rPr>
      </w:pPr>
    </w:p>
    <w:p>
      <w:pPr>
        <w:ind w:left="780" w:right="160" w:hanging="404"/>
        <w:spacing w:after="0" w:line="286" w:lineRule="auto"/>
        <w:tabs>
          <w:tab w:leader="none" w:pos="7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Each Paired Interest consists of one common unit in Opco and one share of Class V Common Stock, the latter of which entitles the holder to one vote per share of Class V Common Stock. Pursuant to the Exchange Agreement, beginning on April 15,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1" w:lineRule="exact"/>
        <w:rPr>
          <w:rFonts w:ascii="Arial" w:cs="Arial" w:eastAsia="Arial" w:hAnsi="Arial"/>
          <w:sz w:val="15"/>
          <w:szCs w:val="15"/>
          <w:color w:val="auto"/>
        </w:rPr>
      </w:pPr>
    </w:p>
    <w:p>
      <w:pPr>
        <w:ind w:left="780" w:hanging="404"/>
        <w:spacing w:after="0"/>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percentage of voting power of holders of Class A Common Stock and Class V Common Stock voting together as a single class.</w:t>
      </w:r>
    </w:p>
    <w:p>
      <w:pPr>
        <w:spacing w:after="0" w:line="21" w:lineRule="exact"/>
        <w:rPr>
          <w:rFonts w:ascii="Arial" w:cs="Arial" w:eastAsia="Arial" w:hAnsi="Arial"/>
          <w:sz w:val="16"/>
          <w:szCs w:val="16"/>
          <w:color w:val="auto"/>
        </w:rPr>
      </w:pPr>
    </w:p>
    <w:p>
      <w:pPr>
        <w:ind w:left="780" w:right="100" w:hanging="404"/>
        <w:spacing w:after="0" w:line="252" w:lineRule="auto"/>
        <w:tabs>
          <w:tab w:leader="none" w:pos="7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Paired Interests directly held by Bakkt Management, LLC (“</w:t>
      </w:r>
      <w:r>
        <w:rPr>
          <w:rFonts w:ascii="Arial" w:cs="Arial" w:eastAsia="Arial" w:hAnsi="Arial"/>
          <w:sz w:val="17"/>
          <w:szCs w:val="17"/>
          <w:b w:val="1"/>
          <w:bCs w:val="1"/>
          <w:color w:val="auto"/>
        </w:rPr>
        <w:t>Bakkt Management</w:t>
      </w:r>
      <w:r>
        <w:rPr>
          <w:rFonts w:ascii="Arial" w:cs="Arial" w:eastAsia="Arial" w:hAnsi="Arial"/>
          <w:sz w:val="17"/>
          <w:szCs w:val="17"/>
          <w:color w:val="auto"/>
        </w:rPr>
        <w: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will vest on October 15, 2022 and the remaining third will vest on October 15, 2023.</w:t>
      </w:r>
    </w:p>
    <w:p>
      <w:pPr>
        <w:spacing w:after="0" w:line="2" w:lineRule="exact"/>
        <w:rPr>
          <w:rFonts w:ascii="Arial" w:cs="Arial" w:eastAsia="Arial" w:hAnsi="Arial"/>
          <w:sz w:val="17"/>
          <w:szCs w:val="17"/>
          <w:color w:val="auto"/>
        </w:rPr>
      </w:pPr>
    </w:p>
    <w:p>
      <w:pPr>
        <w:ind w:left="780" w:right="140" w:hanging="404"/>
        <w:spacing w:after="0" w:line="252" w:lineRule="auto"/>
        <w:tabs>
          <w:tab w:leader="none" w:pos="7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Paired Interests directly held by Bakkt Management, corresponding to units in Bakkt Management directly held by Mr. Clifton. One this of the Bakkt Management units were released to Mr. Clifton on the date of Closing and the remaining two thirds will be released in one-third increments on each of October 15, 2022 and October 15, 2023.</w:t>
      </w:r>
    </w:p>
    <w:p>
      <w:pPr>
        <w:spacing w:after="0" w:line="1" w:lineRule="exact"/>
        <w:rPr>
          <w:rFonts w:ascii="Arial" w:cs="Arial" w:eastAsia="Arial" w:hAnsi="Arial"/>
          <w:sz w:val="17"/>
          <w:szCs w:val="17"/>
          <w:color w:val="auto"/>
        </w:rPr>
      </w:pPr>
    </w:p>
    <w:p>
      <w:pPr>
        <w:ind w:left="780" w:right="520" w:hanging="404"/>
        <w:spacing w:after="0" w:line="286" w:lineRule="auto"/>
        <w:tabs>
          <w:tab w:leader="none" w:pos="7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Goldfinch Co-Invest IC LP holds 582,323 shares of Class A Common Stock acquired from the Company in connection with the Business Combination. Paired Interests held by Goldfinch Co-Invest I, LP and Goldfinch Co-Invest IB, LP were acquired pursuant to the Merger Agreement.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1" w:lineRule="exact"/>
        <w:rPr>
          <w:rFonts w:ascii="Arial" w:cs="Arial" w:eastAsia="Arial" w:hAnsi="Arial"/>
          <w:sz w:val="15"/>
          <w:szCs w:val="15"/>
          <w:color w:val="auto"/>
        </w:rPr>
      </w:pPr>
    </w:p>
    <w:p>
      <w:pPr>
        <w:ind w:left="780" w:right="40" w:hanging="404"/>
        <w:spacing w:after="0" w:line="268"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(i) 1,259,000 shares of Class A Common Stock held by Corbin ERISA Opportunity Fund, Ltd, a Cayman Islands exempted company, (ii) 2,541,000 shares of Class A Common Stock held by Corbin Opportunity Fund, L.P., a Delaware limited partnership, (iii) 600,000 shares of Class A Common Stock held by Pinehurst Partners, L.P. and (iv) 100,000 shares of Class A Common Stock held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 The principal business address for these entities is 150 North Riverside Plaza, Suite 5200, Chicago, IL.</w:t>
      </w:r>
    </w:p>
    <w:p>
      <w:pPr>
        <w:spacing w:after="0" w:line="2" w:lineRule="exact"/>
        <w:rPr>
          <w:rFonts w:ascii="Arial" w:cs="Arial" w:eastAsia="Arial" w:hAnsi="Arial"/>
          <w:sz w:val="16"/>
          <w:szCs w:val="16"/>
          <w:color w:val="auto"/>
        </w:rPr>
      </w:pPr>
    </w:p>
    <w:p>
      <w:pPr>
        <w:ind w:left="780" w:right="20" w:hanging="404"/>
        <w:spacing w:after="0" w:line="256" w:lineRule="auto"/>
        <w:tabs>
          <w:tab w:leader="none" w:pos="7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80"/>
          </w:cols>
          <w:pgMar w:left="320" w:top="471" w:right="69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780" w:right="120"/>
        <w:spacing w:after="0" w:line="257" w:lineRule="auto"/>
        <w:rPr>
          <w:sz w:val="20"/>
          <w:szCs w:val="20"/>
          <w:color w:val="auto"/>
        </w:rPr>
      </w:pPr>
      <w:r>
        <w:rPr>
          <w:rFonts w:ascii="Arial" w:cs="Arial" w:eastAsia="Arial" w:hAnsi="Arial"/>
          <w:sz w:val="17"/>
          <w:szCs w:val="17"/>
          <w:color w:val="auto"/>
        </w:rPr>
        <w:t>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ind w:left="780" w:hanging="404"/>
        <w:spacing w:after="0" w:line="252" w:lineRule="auto"/>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According to a Schedule 13G/A filed on October 29, 2021, Invesco Ltd. in its capacity as a parent holding company to its investment advisers may be deemed to beneficially own 3,493,439 shares of Class A Common Stock, which are held of record by clients of Invesco Ltd. The address of Invesco Ltd. is 1555 Peachtree Street NE, Suite 1800, Atlanta, GA 30309.</w:t>
      </w:r>
    </w:p>
    <w:p>
      <w:pPr>
        <w:spacing w:after="0" w:line="1" w:lineRule="exact"/>
        <w:rPr>
          <w:rFonts w:ascii="Arial" w:cs="Arial" w:eastAsia="Arial" w:hAnsi="Arial"/>
          <w:sz w:val="17"/>
          <w:szCs w:val="17"/>
          <w:color w:val="auto"/>
        </w:rPr>
      </w:pPr>
    </w:p>
    <w:p>
      <w:pPr>
        <w:jc w:val="both"/>
        <w:ind w:left="780" w:right="300" w:hanging="404"/>
        <w:spacing w:after="0" w:line="259" w:lineRule="auto"/>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860"/>
          </w:cols>
          <w:pgMar w:left="320" w:top="471" w:right="71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SELLING SECURITYHOLDERS</w:t>
      </w:r>
    </w:p>
    <w:p>
      <w:pPr>
        <w:spacing w:after="0" w:line="222" w:lineRule="exact"/>
        <w:rPr>
          <w:sz w:val="20"/>
          <w:szCs w:val="20"/>
          <w:color w:val="auto"/>
        </w:rPr>
      </w:pPr>
    </w:p>
    <w:p>
      <w:pPr>
        <w:ind w:left="380" w:right="440" w:firstLine="420"/>
        <w:spacing w:after="0" w:line="293" w:lineRule="auto"/>
        <w:rPr>
          <w:sz w:val="20"/>
          <w:szCs w:val="20"/>
          <w:color w:val="auto"/>
        </w:rPr>
      </w:pPr>
      <w:r>
        <w:rPr>
          <w:rFonts w:ascii="Arial" w:cs="Arial" w:eastAsia="Arial" w:hAnsi="Arial"/>
          <w:sz w:val="15"/>
          <w:szCs w:val="15"/>
          <w:color w:val="auto"/>
        </w:rPr>
        <w:t>This prospectus relates to the issuance by us, and the resale by the Selling Securityholders, of 190,726,638 shares of Class A Common Stock issuable upon the exchange of issued or issuable the Paired Interests. This prospectus also relates to the resale by the Selling Securityholders of</w:t>
      </w:r>
    </w:p>
    <w:p>
      <w:pPr>
        <w:spacing w:after="0" w:line="1" w:lineRule="exact"/>
        <w:rPr>
          <w:sz w:val="20"/>
          <w:szCs w:val="20"/>
          <w:color w:val="auto"/>
        </w:rPr>
      </w:pPr>
    </w:p>
    <w:p>
      <w:pPr>
        <w:ind w:left="380" w:right="160" w:hanging="4"/>
        <w:spacing w:after="0" w:line="259" w:lineRule="auto"/>
        <w:tabs>
          <w:tab w:leader="none" w:pos="585" w:val="left"/>
        </w:tabs>
        <w:numPr>
          <w:ilvl w:val="0"/>
          <w:numId w:val="83"/>
        </w:numPr>
        <w:rPr>
          <w:rFonts w:ascii="Arial" w:cs="Arial" w:eastAsia="Arial" w:hAnsi="Arial"/>
          <w:sz w:val="17"/>
          <w:szCs w:val="17"/>
          <w:color w:val="auto"/>
        </w:rPr>
      </w:pPr>
      <w:r>
        <w:rPr>
          <w:rFonts w:ascii="Arial" w:cs="Arial" w:eastAsia="Arial" w:hAnsi="Arial"/>
          <w:sz w:val="17"/>
          <w:szCs w:val="17"/>
          <w:color w:val="auto"/>
        </w:rPr>
        <w:t>32,500,000 PIPE Shares, (ii) 5,184,300 Founder Shares and (iii) 3,967,362 shares of Class A Common Stock issued upon the “cashless exercise” of the Private Placement Warrants, which we are registering pursuant to the Registration Rights Agreement and the Subscription Agreements, as applicable.</w:t>
      </w:r>
    </w:p>
    <w:p>
      <w:pPr>
        <w:spacing w:after="0" w:line="179" w:lineRule="exact"/>
        <w:rPr>
          <w:sz w:val="20"/>
          <w:szCs w:val="20"/>
          <w:color w:val="auto"/>
        </w:rPr>
      </w:pPr>
    </w:p>
    <w:p>
      <w:pPr>
        <w:ind w:left="380" w:right="60" w:firstLine="420"/>
        <w:spacing w:after="0" w:line="273" w:lineRule="auto"/>
        <w:rPr>
          <w:sz w:val="20"/>
          <w:szCs w:val="20"/>
          <w:color w:val="auto"/>
        </w:rPr>
      </w:pPr>
      <w:r>
        <w:rPr>
          <w:rFonts w:ascii="Arial" w:cs="Arial" w:eastAsia="Arial" w:hAnsi="Arial"/>
          <w:sz w:val="16"/>
          <w:szCs w:val="16"/>
          <w:color w:val="auto"/>
        </w:rPr>
        <w:t>The Selling Securityholders may from time to time offer and sell any or all of the Class A Common Stock and Warrants set forth below pursuant to this prospectus and any accompanying prospectus supplement. When we refer to the “</w:t>
      </w:r>
      <w:r>
        <w:rPr>
          <w:rFonts w:ascii="Arial" w:cs="Arial" w:eastAsia="Arial" w:hAnsi="Arial"/>
          <w:sz w:val="16"/>
          <w:szCs w:val="16"/>
          <w:b w:val="1"/>
          <w:bCs w:val="1"/>
          <w:color w:val="auto"/>
        </w:rPr>
        <w:t>Selling Securityholders</w:t>
      </w:r>
      <w:r>
        <w:rPr>
          <w:rFonts w:ascii="Arial" w:cs="Arial" w:eastAsia="Arial" w:hAnsi="Arial"/>
          <w:sz w:val="16"/>
          <w:szCs w:val="16"/>
          <w:color w:val="auto"/>
        </w:rPr>
        <w:t>”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or Warrants other than through a public sale. We cannot advise you as to whether the Selling Securityholders will in fact sell any or all of such Class A Common Stock or Warrants. In addition, the Selling Securityholders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For information regarding transactions between us and the Selling Securityholders, see the section titled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w:t>
      </w:r>
    </w:p>
    <w:p>
      <w:pPr>
        <w:spacing w:after="0" w:line="171"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w:t>
      </w:r>
    </w:p>
    <w:p>
      <w:pPr>
        <w:spacing w:after="0" w:line="165"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A Selling Securityholder may sell or otherwise transfer all, some or none of such shares in this offering. See “</w:t>
      </w:r>
      <w:r>
        <w:rPr>
          <w:rFonts w:ascii="Arial" w:cs="Arial" w:eastAsia="Arial" w:hAnsi="Arial"/>
          <w:sz w:val="17"/>
          <w:szCs w:val="17"/>
          <w:i w:val="1"/>
          <w:iCs w:val="1"/>
          <w:color w:val="auto"/>
        </w:rPr>
        <w:t>Plan of Distribution</w:t>
      </w:r>
      <w:r>
        <w:rPr>
          <w:rFonts w:ascii="Arial" w:cs="Arial" w:eastAsia="Arial" w:hAnsi="Arial"/>
          <w:sz w:val="17"/>
          <w:szCs w:val="17"/>
          <w:color w:val="auto"/>
        </w:rPr>
        <w:t>” for more information.</w:t>
      </w:r>
    </w:p>
    <w:p>
      <w:pPr>
        <w:spacing w:after="0" w:line="165" w:lineRule="exact"/>
        <w:rPr>
          <w:sz w:val="20"/>
          <w:szCs w:val="20"/>
          <w:color w:val="auto"/>
        </w:rPr>
      </w:pPr>
    </w:p>
    <w:p>
      <w:pPr>
        <w:ind w:left="380" w:right="120" w:firstLine="420"/>
        <w:spacing w:after="0" w:line="257" w:lineRule="auto"/>
        <w:rPr>
          <w:sz w:val="20"/>
          <w:szCs w:val="20"/>
          <w:color w:val="auto"/>
        </w:rPr>
      </w:pPr>
      <w:r>
        <w:rPr>
          <w:rFonts w:ascii="Arial" w:cs="Arial" w:eastAsia="Arial" w:hAnsi="Arial"/>
          <w:sz w:val="17"/>
          <w:szCs w:val="17"/>
          <w:color w:val="auto"/>
        </w:rPr>
        <w:t>The following table sets forth, as of December 3, 2021, the names of the Selling Securityholders, the aggregate number of shares of Class A Common Stock and Warrants that the Selling Securityholders may offer pursuant to this prospectus, the beneficial ownership of the Selling Securityholders both before and after the offering, and the shares of Class A Common Stock and Warrants being offered by the Selling Securityholders. The following table does not reflect any other Company securities that the Selling Securityholder may own, beneficially or otherwise. For purposes of the table below, we have assumed that all of the shares covered by this prospectus will be sold and that the Company will deliver shares of Class A Common Stock upon exchange of all Paired Interests.</w:t>
      </w:r>
    </w:p>
    <w:p>
      <w:pPr>
        <w:spacing w:after="0" w:line="18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5"/>
              </w:rPr>
              <w:t>Class A</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17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Shares of Class A</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Common</w:t>
            </w:r>
          </w:p>
        </w:tc>
        <w:tc>
          <w:tcPr>
            <w:tcW w:w="1160" w:type="dxa"/>
            <w:vAlign w:val="bottom"/>
            <w:gridSpan w:val="2"/>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Stock Held</w:t>
            </w:r>
          </w:p>
        </w:tc>
        <w:tc>
          <w:tcPr>
            <w:tcW w:w="11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Class A</w:t>
            </w:r>
          </w:p>
        </w:tc>
        <w:tc>
          <w:tcPr>
            <w:tcW w:w="1720" w:type="dxa"/>
            <w:vAlign w:val="bottom"/>
            <w:gridSpan w:val="4"/>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Common Stock Held of</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of Record</w:t>
            </w:r>
          </w:p>
        </w:tc>
        <w:tc>
          <w:tcPr>
            <w:tcW w:w="116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Common</w:t>
            </w:r>
          </w:p>
        </w:tc>
        <w:tc>
          <w:tcPr>
            <w:tcW w:w="1720" w:type="dxa"/>
            <w:vAlign w:val="bottom"/>
            <w:gridSpan w:val="4"/>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Record After the Offering</w:t>
            </w:r>
          </w:p>
        </w:tc>
        <w:tc>
          <w:tcPr>
            <w:tcW w:w="0" w:type="dxa"/>
            <w:vAlign w:val="bottom"/>
          </w:tcPr>
          <w:p>
            <w:pPr>
              <w:spacing w:after="0"/>
              <w:rPr>
                <w:sz w:val="1"/>
                <w:szCs w:val="1"/>
                <w:color w:val="auto"/>
              </w:rPr>
            </w:pPr>
          </w:p>
        </w:tc>
      </w:tr>
      <w:tr>
        <w:trPr>
          <w:trHeight w:val="22"/>
        </w:trPr>
        <w:tc>
          <w:tcPr>
            <w:tcW w:w="2200" w:type="dxa"/>
            <w:vAlign w:val="bottom"/>
            <w:vMerge w:val="restart"/>
          </w:tcPr>
          <w:p>
            <w:pPr>
              <w:spacing w:after="0" w:line="20" w:lineRule="exact"/>
              <w:rPr>
                <w:sz w:val="1"/>
                <w:szCs w:val="1"/>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1860" w:type="dxa"/>
            <w:vAlign w:val="bottom"/>
            <w:vMerge w:val="restart"/>
          </w:tcPr>
          <w:p>
            <w:pPr>
              <w:spacing w:after="0" w:line="20" w:lineRule="exact"/>
              <w:rPr>
                <w:sz w:val="1"/>
                <w:szCs w:val="1"/>
                <w:color w:val="auto"/>
              </w:rPr>
            </w:pPr>
          </w:p>
        </w:tc>
        <w:tc>
          <w:tcPr>
            <w:tcW w:w="1180" w:type="dxa"/>
            <w:vAlign w:val="bottom"/>
            <w:gridSpan w:val="2"/>
            <w:vMerge w:val="restart"/>
          </w:tcPr>
          <w:p>
            <w:pPr>
              <w:jc w:val="center"/>
              <w:ind w:right="260"/>
              <w:spacing w:after="0" w:line="141" w:lineRule="exact"/>
              <w:rPr>
                <w:sz w:val="20"/>
                <w:szCs w:val="20"/>
                <w:color w:val="auto"/>
              </w:rPr>
            </w:pPr>
            <w:r>
              <w:rPr>
                <w:rFonts w:ascii="Arial" w:cs="Arial" w:eastAsia="Arial" w:hAnsi="Arial"/>
                <w:sz w:val="14"/>
                <w:szCs w:val="14"/>
                <w:b w:val="1"/>
                <w:bCs w:val="1"/>
                <w:color w:val="auto"/>
                <w:w w:val="90"/>
              </w:rPr>
              <w:t>Prior to the</w:t>
            </w:r>
          </w:p>
        </w:tc>
        <w:tc>
          <w:tcPr>
            <w:tcW w:w="1160" w:type="dxa"/>
            <w:vAlign w:val="bottom"/>
            <w:gridSpan w:val="2"/>
            <w:vMerge w:val="restart"/>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Stock Being</w:t>
            </w: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22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1"/>
        </w:trPr>
        <w:tc>
          <w:tcPr>
            <w:tcW w:w="220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860" w:type="dxa"/>
            <w:vAlign w:val="bottom"/>
          </w:tcPr>
          <w:p>
            <w:pPr>
              <w:spacing w:after="0"/>
              <w:rPr>
                <w:sz w:val="13"/>
                <w:szCs w:val="13"/>
                <w:color w:val="auto"/>
              </w:rPr>
            </w:pPr>
          </w:p>
        </w:tc>
        <w:tc>
          <w:tcPr>
            <w:tcW w:w="118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91"/>
              </w:rPr>
              <w:t>Offering</w:t>
            </w:r>
          </w:p>
        </w:tc>
        <w:tc>
          <w:tcPr>
            <w:tcW w:w="116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2"/>
              </w:rPr>
              <w:t>Offered</w:t>
            </w:r>
          </w:p>
        </w:tc>
        <w:tc>
          <w:tcPr>
            <w:tcW w:w="100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gridSpan w:val="3"/>
            <w:shd w:val="clear" w:color="auto" w:fill="CCEEFF"/>
          </w:tcPr>
          <w:p>
            <w:pPr>
              <w:spacing w:after="0" w:line="191" w:lineRule="exact"/>
              <w:rPr>
                <w:sz w:val="20"/>
                <w:szCs w:val="20"/>
                <w:color w:val="auto"/>
              </w:rPr>
            </w:pPr>
            <w:r>
              <w:rPr>
                <w:rFonts w:ascii="Arial" w:cs="Arial" w:eastAsia="Arial" w:hAnsi="Arial"/>
                <w:sz w:val="16"/>
                <w:szCs w:val="16"/>
                <w:color w:val="auto"/>
              </w:rPr>
              <w:t>Intercontinental Exchange Holdings, Inc.</w:t>
            </w:r>
            <w:r>
              <w:rPr>
                <w:rFonts w:ascii="Arial" w:cs="Arial" w:eastAsia="Arial" w:hAnsi="Arial"/>
                <w:sz w:val="22"/>
                <w:szCs w:val="22"/>
                <w:color w:val="auto"/>
                <w:vertAlign w:val="superscript"/>
              </w:rPr>
              <w:t>(1)</w:t>
            </w:r>
          </w:p>
        </w:tc>
        <w:tc>
          <w:tcPr>
            <w:tcW w:w="18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95"/>
              </w:rPr>
              <w:t>174,793,798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93"/>
              </w:rPr>
              <w:t>174,793,798</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line="192"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ind w:left="400"/>
              <w:spacing w:after="0" w:line="192"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80" w:type="dxa"/>
            <w:vAlign w:val="bottom"/>
            <w:gridSpan w:val="3"/>
          </w:tcPr>
          <w:p>
            <w:pPr>
              <w:spacing w:after="0" w:line="205" w:lineRule="exact"/>
              <w:rPr>
                <w:sz w:val="20"/>
                <w:szCs w:val="20"/>
                <w:color w:val="auto"/>
              </w:rPr>
            </w:pPr>
            <w:r>
              <w:rPr>
                <w:rFonts w:ascii="Arial" w:cs="Arial" w:eastAsia="Arial" w:hAnsi="Arial"/>
                <w:sz w:val="17"/>
                <w:szCs w:val="17"/>
                <w:color w:val="auto"/>
              </w:rPr>
              <w:t>VPC Impact Acquisition Holdings Sponsor, LLC</w:t>
            </w:r>
            <w:r>
              <w:rPr>
                <w:rFonts w:ascii="Arial" w:cs="Arial" w:eastAsia="Arial" w:hAnsi="Arial"/>
                <w:sz w:val="23"/>
                <w:szCs w:val="23"/>
                <w:color w:val="auto"/>
                <w:vertAlign w:val="superscript"/>
              </w:rPr>
              <w:t>(2)</w:t>
            </w:r>
          </w:p>
        </w:tc>
        <w:tc>
          <w:tcPr>
            <w:tcW w:w="3040" w:type="dxa"/>
            <w:vAlign w:val="bottom"/>
            <w:gridSpan w:val="3"/>
          </w:tcPr>
          <w:p>
            <w:pPr>
              <w:jc w:val="right"/>
              <w:ind w:right="260"/>
              <w:spacing w:after="0"/>
              <w:rPr>
                <w:sz w:val="20"/>
                <w:szCs w:val="20"/>
                <w:color w:val="auto"/>
              </w:rPr>
            </w:pPr>
            <w:r>
              <w:rPr>
                <w:rFonts w:ascii="Arial" w:cs="Arial" w:eastAsia="Arial" w:hAnsi="Arial"/>
                <w:sz w:val="17"/>
                <w:szCs w:val="17"/>
                <w:color w:val="auto"/>
              </w:rPr>
              <w:t>9,091,662</w:t>
            </w:r>
          </w:p>
        </w:tc>
        <w:tc>
          <w:tcPr>
            <w:tcW w:w="900" w:type="dxa"/>
            <w:vAlign w:val="bottom"/>
          </w:tcPr>
          <w:p>
            <w:pPr>
              <w:jc w:val="right"/>
              <w:spacing w:after="0"/>
              <w:rPr>
                <w:sz w:val="20"/>
                <w:szCs w:val="20"/>
                <w:color w:val="auto"/>
              </w:rPr>
            </w:pPr>
            <w:r>
              <w:rPr>
                <w:rFonts w:ascii="Arial" w:cs="Arial" w:eastAsia="Arial" w:hAnsi="Arial"/>
                <w:sz w:val="17"/>
                <w:szCs w:val="17"/>
                <w:color w:val="auto"/>
              </w:rPr>
              <w:t>9,091,662</w:t>
            </w:r>
          </w:p>
        </w:tc>
        <w:tc>
          <w:tcPr>
            <w:tcW w:w="260" w:type="dxa"/>
            <w:vAlign w:val="bottom"/>
          </w:tcPr>
          <w:p>
            <w:pPr>
              <w:spacing w:after="0"/>
              <w:rPr>
                <w:sz w:val="17"/>
                <w:szCs w:val="17"/>
                <w:color w:val="auto"/>
              </w:rPr>
            </w:pP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58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Goldfinch</w:t>
            </w:r>
            <w:r>
              <w:rPr>
                <w:rFonts w:ascii="Arial" w:cs="Arial" w:eastAsia="Arial" w:hAnsi="Arial"/>
                <w:sz w:val="23"/>
                <w:szCs w:val="23"/>
                <w:color w:val="auto"/>
                <w:vertAlign w:val="superscript"/>
              </w:rPr>
              <w:t>(3)</w:t>
            </w:r>
          </w:p>
        </w:tc>
        <w:tc>
          <w:tcPr>
            <w:tcW w:w="3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3,490,433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3,490,433</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580" w:type="dxa"/>
            <w:vAlign w:val="bottom"/>
            <w:gridSpan w:val="3"/>
          </w:tcPr>
          <w:p>
            <w:pPr>
              <w:spacing w:after="0" w:line="205" w:lineRule="exact"/>
              <w:rPr>
                <w:sz w:val="20"/>
                <w:szCs w:val="20"/>
                <w:color w:val="auto"/>
              </w:rPr>
            </w:pPr>
            <w:r>
              <w:rPr>
                <w:rFonts w:ascii="Arial" w:cs="Arial" w:eastAsia="Arial" w:hAnsi="Arial"/>
                <w:sz w:val="17"/>
                <w:szCs w:val="17"/>
                <w:color w:val="auto"/>
              </w:rPr>
              <w:t>Securityholders Affiliated with Corbin Capital Partners</w:t>
            </w:r>
            <w:r>
              <w:rPr>
                <w:rFonts w:ascii="Arial" w:cs="Arial" w:eastAsia="Arial" w:hAnsi="Arial"/>
                <w:sz w:val="23"/>
                <w:szCs w:val="23"/>
                <w:color w:val="auto"/>
                <w:vertAlign w:val="superscript"/>
              </w:rPr>
              <w:t>(4)</w:t>
            </w:r>
          </w:p>
        </w:tc>
        <w:tc>
          <w:tcPr>
            <w:tcW w:w="3040" w:type="dxa"/>
            <w:vAlign w:val="bottom"/>
            <w:gridSpan w:val="3"/>
          </w:tcPr>
          <w:p>
            <w:pPr>
              <w:jc w:val="right"/>
              <w:ind w:right="260"/>
              <w:spacing w:after="0"/>
              <w:rPr>
                <w:sz w:val="20"/>
                <w:szCs w:val="20"/>
                <w:color w:val="auto"/>
              </w:rPr>
            </w:pPr>
            <w:r>
              <w:rPr>
                <w:rFonts w:ascii="Arial" w:cs="Arial" w:eastAsia="Arial" w:hAnsi="Arial"/>
                <w:sz w:val="17"/>
                <w:szCs w:val="17"/>
                <w:color w:val="auto"/>
              </w:rPr>
              <w:t>3,010,876</w:t>
            </w:r>
          </w:p>
        </w:tc>
        <w:tc>
          <w:tcPr>
            <w:tcW w:w="900" w:type="dxa"/>
            <w:vAlign w:val="bottom"/>
          </w:tcPr>
          <w:p>
            <w:pPr>
              <w:jc w:val="right"/>
              <w:spacing w:after="0"/>
              <w:rPr>
                <w:sz w:val="20"/>
                <w:szCs w:val="20"/>
                <w:color w:val="auto"/>
              </w:rPr>
            </w:pPr>
            <w:r>
              <w:rPr>
                <w:rFonts w:ascii="Arial" w:cs="Arial" w:eastAsia="Arial" w:hAnsi="Arial"/>
                <w:sz w:val="17"/>
                <w:szCs w:val="17"/>
                <w:color w:val="auto"/>
              </w:rPr>
              <w:t>3,000,000</w:t>
            </w:r>
          </w:p>
        </w:tc>
        <w:tc>
          <w:tcPr>
            <w:tcW w:w="26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Arial" w:cs="Arial" w:eastAsia="Arial" w:hAnsi="Arial"/>
                <w:sz w:val="17"/>
                <w:szCs w:val="17"/>
                <w:color w:val="auto"/>
              </w:rPr>
              <w:t>10,876</w:t>
            </w:r>
          </w:p>
        </w:tc>
        <w:tc>
          <w:tcPr>
            <w:tcW w:w="7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58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Empyrean Capital Overseas Master Fund Ltd.</w:t>
            </w:r>
            <w:r>
              <w:rPr>
                <w:rFonts w:ascii="Arial" w:cs="Arial" w:eastAsia="Arial" w:hAnsi="Arial"/>
                <w:sz w:val="23"/>
                <w:szCs w:val="23"/>
                <w:color w:val="auto"/>
                <w:vertAlign w:val="superscript"/>
              </w:rPr>
              <w:t>(5)</w:t>
            </w:r>
          </w:p>
        </w:tc>
        <w:tc>
          <w:tcPr>
            <w:tcW w:w="3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3,000,000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580" w:type="dxa"/>
            <w:vAlign w:val="bottom"/>
            <w:gridSpan w:val="3"/>
          </w:tcPr>
          <w:p>
            <w:pPr>
              <w:spacing w:after="0" w:line="205" w:lineRule="exact"/>
              <w:rPr>
                <w:sz w:val="20"/>
                <w:szCs w:val="20"/>
                <w:color w:val="auto"/>
              </w:rPr>
            </w:pPr>
            <w:r>
              <w:rPr>
                <w:rFonts w:ascii="Arial" w:cs="Arial" w:eastAsia="Arial" w:hAnsi="Arial"/>
                <w:sz w:val="17"/>
                <w:szCs w:val="17"/>
                <w:color w:val="auto"/>
              </w:rPr>
              <w:t>Tech Opportunities LLC</w:t>
            </w:r>
            <w:r>
              <w:rPr>
                <w:rFonts w:ascii="Arial" w:cs="Arial" w:eastAsia="Arial" w:hAnsi="Arial"/>
                <w:sz w:val="23"/>
                <w:szCs w:val="23"/>
                <w:color w:val="auto"/>
                <w:vertAlign w:val="superscript"/>
              </w:rPr>
              <w:t>(6)</w:t>
            </w:r>
          </w:p>
        </w:tc>
        <w:tc>
          <w:tcPr>
            <w:tcW w:w="3040" w:type="dxa"/>
            <w:vAlign w:val="bottom"/>
            <w:gridSpan w:val="3"/>
          </w:tcPr>
          <w:p>
            <w:pPr>
              <w:jc w:val="right"/>
              <w:ind w:right="260"/>
              <w:spacing w:after="0"/>
              <w:rPr>
                <w:sz w:val="20"/>
                <w:szCs w:val="20"/>
                <w:color w:val="auto"/>
              </w:rPr>
            </w:pPr>
            <w:r>
              <w:rPr>
                <w:rFonts w:ascii="Arial" w:cs="Arial" w:eastAsia="Arial" w:hAnsi="Arial"/>
                <w:sz w:val="17"/>
                <w:szCs w:val="17"/>
                <w:color w:val="auto"/>
              </w:rPr>
              <w:t>3,000,000</w:t>
            </w:r>
          </w:p>
        </w:tc>
        <w:tc>
          <w:tcPr>
            <w:tcW w:w="900" w:type="dxa"/>
            <w:vAlign w:val="bottom"/>
          </w:tcPr>
          <w:p>
            <w:pPr>
              <w:jc w:val="right"/>
              <w:spacing w:after="0"/>
              <w:rPr>
                <w:sz w:val="20"/>
                <w:szCs w:val="20"/>
                <w:color w:val="auto"/>
              </w:rPr>
            </w:pPr>
            <w:r>
              <w:rPr>
                <w:rFonts w:ascii="Arial" w:cs="Arial" w:eastAsia="Arial" w:hAnsi="Arial"/>
                <w:sz w:val="17"/>
                <w:szCs w:val="17"/>
                <w:color w:val="auto"/>
              </w:rPr>
              <w:t>3,000,000</w:t>
            </w:r>
          </w:p>
        </w:tc>
        <w:tc>
          <w:tcPr>
            <w:tcW w:w="260" w:type="dxa"/>
            <w:vAlign w:val="bottom"/>
          </w:tcPr>
          <w:p>
            <w:pPr>
              <w:spacing w:after="0"/>
              <w:rPr>
                <w:sz w:val="17"/>
                <w:szCs w:val="17"/>
                <w:color w:val="auto"/>
              </w:rPr>
            </w:pP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58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The Boston Consulting Group, Inc.</w:t>
            </w:r>
            <w:r>
              <w:rPr>
                <w:rFonts w:ascii="Arial" w:cs="Arial" w:eastAsia="Arial" w:hAnsi="Arial"/>
                <w:sz w:val="23"/>
                <w:szCs w:val="23"/>
                <w:color w:val="auto"/>
                <w:vertAlign w:val="superscript"/>
              </w:rPr>
              <w:t>(7)</w:t>
            </w:r>
          </w:p>
        </w:tc>
        <w:tc>
          <w:tcPr>
            <w:tcW w:w="3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2,752,933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2,752,933</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580" w:type="dxa"/>
            <w:vAlign w:val="bottom"/>
            <w:gridSpan w:val="3"/>
          </w:tcPr>
          <w:p>
            <w:pPr>
              <w:spacing w:after="0" w:line="205" w:lineRule="exact"/>
              <w:rPr>
                <w:sz w:val="20"/>
                <w:szCs w:val="20"/>
                <w:color w:val="auto"/>
              </w:rPr>
            </w:pPr>
            <w:r>
              <w:rPr>
                <w:rFonts w:ascii="Arial" w:cs="Arial" w:eastAsia="Arial" w:hAnsi="Arial"/>
                <w:sz w:val="17"/>
                <w:szCs w:val="17"/>
                <w:color w:val="auto"/>
              </w:rPr>
              <w:t>Pantera BH LLC</w:t>
            </w:r>
            <w:r>
              <w:rPr>
                <w:rFonts w:ascii="Arial" w:cs="Arial" w:eastAsia="Arial" w:hAnsi="Arial"/>
                <w:sz w:val="23"/>
                <w:szCs w:val="23"/>
                <w:color w:val="auto"/>
                <w:vertAlign w:val="superscript"/>
              </w:rPr>
              <w:t>(8)</w:t>
            </w:r>
          </w:p>
        </w:tc>
        <w:tc>
          <w:tcPr>
            <w:tcW w:w="3040" w:type="dxa"/>
            <w:vAlign w:val="bottom"/>
            <w:gridSpan w:val="3"/>
          </w:tcPr>
          <w:p>
            <w:pPr>
              <w:jc w:val="right"/>
              <w:ind w:right="260"/>
              <w:spacing w:after="0"/>
              <w:rPr>
                <w:sz w:val="20"/>
                <w:szCs w:val="20"/>
                <w:color w:val="auto"/>
              </w:rPr>
            </w:pPr>
            <w:r>
              <w:rPr>
                <w:rFonts w:ascii="Arial" w:cs="Arial" w:eastAsia="Arial" w:hAnsi="Arial"/>
                <w:sz w:val="17"/>
                <w:szCs w:val="17"/>
                <w:color w:val="auto"/>
              </w:rPr>
              <w:t>2,717,437</w:t>
            </w:r>
          </w:p>
        </w:tc>
        <w:tc>
          <w:tcPr>
            <w:tcW w:w="900" w:type="dxa"/>
            <w:vAlign w:val="bottom"/>
          </w:tcPr>
          <w:p>
            <w:pPr>
              <w:jc w:val="right"/>
              <w:spacing w:after="0"/>
              <w:rPr>
                <w:sz w:val="20"/>
                <w:szCs w:val="20"/>
                <w:color w:val="auto"/>
              </w:rPr>
            </w:pPr>
            <w:r>
              <w:rPr>
                <w:rFonts w:ascii="Arial" w:cs="Arial" w:eastAsia="Arial" w:hAnsi="Arial"/>
                <w:sz w:val="17"/>
                <w:szCs w:val="17"/>
                <w:color w:val="auto"/>
              </w:rPr>
              <w:t>2,717,437</w:t>
            </w:r>
          </w:p>
        </w:tc>
        <w:tc>
          <w:tcPr>
            <w:tcW w:w="260" w:type="dxa"/>
            <w:vAlign w:val="bottom"/>
          </w:tcPr>
          <w:p>
            <w:pPr>
              <w:spacing w:after="0"/>
              <w:rPr>
                <w:sz w:val="17"/>
                <w:szCs w:val="17"/>
                <w:color w:val="auto"/>
              </w:rPr>
            </w:pP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58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Microsoft Global Finance</w:t>
            </w:r>
            <w:r>
              <w:rPr>
                <w:rFonts w:ascii="Arial" w:cs="Arial" w:eastAsia="Arial" w:hAnsi="Arial"/>
                <w:sz w:val="23"/>
                <w:szCs w:val="23"/>
                <w:color w:val="auto"/>
                <w:vertAlign w:val="superscript"/>
              </w:rPr>
              <w:t>(9)</w:t>
            </w:r>
          </w:p>
        </w:tc>
        <w:tc>
          <w:tcPr>
            <w:tcW w:w="3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2,697,399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2,697,399</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6"/>
        </w:trPr>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jc w:val="right"/>
              <w:ind w:right="974"/>
              <w:spacing w:after="0"/>
              <w:rPr>
                <w:sz w:val="20"/>
                <w:szCs w:val="20"/>
                <w:color w:val="auto"/>
              </w:rPr>
            </w:pPr>
            <w:r>
              <w:rPr>
                <w:rFonts w:ascii="Arial" w:cs="Arial" w:eastAsia="Arial" w:hAnsi="Arial"/>
                <w:sz w:val="17"/>
                <w:szCs w:val="17"/>
                <w:color w:val="auto"/>
              </w:rPr>
              <w:t>139</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Class A</w:t>
            </w: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18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 of Class A</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Common</w:t>
            </w:r>
          </w:p>
        </w:tc>
        <w:tc>
          <w:tcPr>
            <w:tcW w:w="1040" w:type="dxa"/>
            <w:vAlign w:val="bottom"/>
            <w:gridSpan w:val="2"/>
            <w:vMerge w:val="continue"/>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Stock Held</w:t>
            </w:r>
          </w:p>
        </w:tc>
        <w:tc>
          <w:tcPr>
            <w:tcW w:w="10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Class A</w:t>
            </w:r>
          </w:p>
        </w:tc>
        <w:tc>
          <w:tcPr>
            <w:tcW w:w="1820" w:type="dxa"/>
            <w:vAlign w:val="bottom"/>
            <w:gridSpan w:val="4"/>
          </w:tcPr>
          <w:p>
            <w:pPr>
              <w:jc w:val="center"/>
              <w:ind w:right="80"/>
              <w:spacing w:after="0" w:line="141" w:lineRule="exact"/>
              <w:rPr>
                <w:sz w:val="20"/>
                <w:szCs w:val="20"/>
                <w:color w:val="auto"/>
              </w:rPr>
            </w:pPr>
            <w:r>
              <w:rPr>
                <w:rFonts w:ascii="Arial" w:cs="Arial" w:eastAsia="Arial" w:hAnsi="Arial"/>
                <w:sz w:val="14"/>
                <w:szCs w:val="14"/>
                <w:b w:val="1"/>
                <w:bCs w:val="1"/>
                <w:color w:val="auto"/>
                <w:w w:val="89"/>
              </w:rPr>
              <w:t>Common Stock Held of</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of Record</w:t>
            </w:r>
          </w:p>
        </w:tc>
        <w:tc>
          <w:tcPr>
            <w:tcW w:w="10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Common</w:t>
            </w:r>
          </w:p>
        </w:tc>
        <w:tc>
          <w:tcPr>
            <w:tcW w:w="1820" w:type="dxa"/>
            <w:vAlign w:val="bottom"/>
            <w:gridSpan w:val="4"/>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Record After the Offering</w:t>
            </w:r>
          </w:p>
        </w:tc>
        <w:tc>
          <w:tcPr>
            <w:tcW w:w="0" w:type="dxa"/>
            <w:vAlign w:val="bottom"/>
          </w:tcPr>
          <w:p>
            <w:pPr>
              <w:spacing w:after="0"/>
              <w:rPr>
                <w:sz w:val="1"/>
                <w:szCs w:val="1"/>
                <w:color w:val="auto"/>
              </w:rPr>
            </w:pPr>
          </w:p>
        </w:tc>
      </w:tr>
      <w:tr>
        <w:trPr>
          <w:trHeight w:val="22"/>
        </w:trPr>
        <w:tc>
          <w:tcPr>
            <w:tcW w:w="2280" w:type="dxa"/>
            <w:vAlign w:val="bottom"/>
            <w:vMerge w:val="restart"/>
          </w:tcPr>
          <w:p>
            <w:pPr>
              <w:spacing w:after="0" w:line="20" w:lineRule="exact"/>
              <w:rPr>
                <w:sz w:val="1"/>
                <w:szCs w:val="1"/>
                <w:color w:val="auto"/>
              </w:rPr>
            </w:pPr>
          </w:p>
        </w:tc>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1040" w:type="dxa"/>
            <w:vAlign w:val="bottom"/>
            <w:gridSpan w:val="2"/>
            <w:vMerge w:val="restart"/>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Prior to the</w:t>
            </w:r>
          </w:p>
        </w:tc>
        <w:tc>
          <w:tcPr>
            <w:tcW w:w="1040" w:type="dxa"/>
            <w:vAlign w:val="bottom"/>
            <w:gridSpan w:val="2"/>
            <w:vMerge w:val="restart"/>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Stock Being</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2280" w:type="dxa"/>
            <w:vAlign w:val="bottom"/>
            <w:vMerge w:val="continue"/>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104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1"/>
              </w:rPr>
              <w:t>Offering</w:t>
            </w:r>
          </w:p>
        </w:tc>
        <w:tc>
          <w:tcPr>
            <w:tcW w:w="104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2"/>
              </w:rPr>
              <w:t>Offered</w:t>
            </w: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Adage Capital Partners, L.P.</w:t>
            </w:r>
          </w:p>
        </w:tc>
        <w:tc>
          <w:tcPr>
            <w:tcW w:w="1820" w:type="dxa"/>
            <w:vAlign w:val="bottom"/>
            <w:tcBorders>
              <w:top w:val="single" w:sz="8" w:color="auto"/>
            </w:tcBorders>
            <w:shd w:val="clear" w:color="auto" w:fill="CCEEFF"/>
          </w:tcPr>
          <w:p>
            <w:pPr>
              <w:spacing w:after="0"/>
              <w:rPr>
                <w:sz w:val="16"/>
                <w:szCs w:val="16"/>
                <w:color w:val="auto"/>
              </w:rPr>
            </w:pPr>
          </w:p>
        </w:tc>
        <w:tc>
          <w:tcPr>
            <w:tcW w:w="25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2,500,000</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2,500,000</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520"/>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460"/>
              <w:spacing w:after="0" w:line="192"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Beaumont Glory Limited</w:t>
            </w:r>
            <w:r>
              <w:rPr>
                <w:rFonts w:ascii="Arial" w:cs="Arial" w:eastAsia="Arial" w:hAnsi="Arial"/>
                <w:sz w:val="23"/>
                <w:szCs w:val="23"/>
                <w:color w:val="auto"/>
                <w:vertAlign w:val="superscript"/>
              </w:rPr>
              <w:t>(10)</w:t>
            </w:r>
          </w:p>
        </w:tc>
        <w:tc>
          <w:tcPr>
            <w:tcW w:w="780" w:type="dxa"/>
            <w:vAlign w:val="bottom"/>
          </w:tcPr>
          <w:p>
            <w:pPr>
              <w:jc w:val="right"/>
              <w:spacing w:after="0"/>
              <w:rPr>
                <w:sz w:val="20"/>
                <w:szCs w:val="20"/>
                <w:color w:val="auto"/>
              </w:rPr>
            </w:pPr>
            <w:r>
              <w:rPr>
                <w:rFonts w:ascii="Arial" w:cs="Arial" w:eastAsia="Arial" w:hAnsi="Arial"/>
                <w:sz w:val="17"/>
                <w:szCs w:val="17"/>
                <w:color w:val="auto"/>
              </w:rPr>
              <w:t>2,263,876</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2,263,876</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Starbucks Corporation</w:t>
            </w:r>
            <w:r>
              <w:rPr>
                <w:rFonts w:ascii="Arial" w:cs="Arial" w:eastAsia="Arial" w:hAnsi="Arial"/>
                <w:sz w:val="23"/>
                <w:szCs w:val="23"/>
                <w:color w:val="auto"/>
                <w:vertAlign w:val="superscript"/>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2,191,307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2,191,307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Securityholders Affiliated with Aristeia</w:t>
            </w:r>
            <w:r>
              <w:rPr>
                <w:rFonts w:ascii="Arial" w:cs="Arial" w:eastAsia="Arial" w:hAnsi="Arial"/>
                <w:sz w:val="23"/>
                <w:szCs w:val="23"/>
                <w:color w:val="auto"/>
                <w:vertAlign w:val="superscript"/>
              </w:rPr>
              <w:t>(12)</w:t>
            </w:r>
          </w:p>
        </w:tc>
        <w:tc>
          <w:tcPr>
            <w:tcW w:w="780" w:type="dxa"/>
            <w:vAlign w:val="bottom"/>
          </w:tcPr>
          <w:p>
            <w:pPr>
              <w:jc w:val="right"/>
              <w:spacing w:after="0"/>
              <w:rPr>
                <w:sz w:val="20"/>
                <w:szCs w:val="20"/>
                <w:color w:val="auto"/>
              </w:rPr>
            </w:pPr>
            <w:r>
              <w:rPr>
                <w:rFonts w:ascii="Arial" w:cs="Arial" w:eastAsia="Arial" w:hAnsi="Arial"/>
                <w:sz w:val="17"/>
                <w:szCs w:val="17"/>
                <w:color w:val="auto"/>
              </w:rPr>
              <w:t>2,000,000</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Soroban Opportunities Master Fund LP</w:t>
            </w:r>
            <w:r>
              <w:rPr>
                <w:rFonts w:ascii="Arial" w:cs="Arial" w:eastAsia="Arial" w:hAnsi="Arial"/>
                <w:sz w:val="23"/>
                <w:szCs w:val="23"/>
                <w:color w:val="auto"/>
                <w:vertAlign w:val="superscript"/>
              </w:rPr>
              <w:t>(13)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PayU Fintech Investments B.V. (Naspers)</w:t>
            </w:r>
            <w:r>
              <w:rPr>
                <w:rFonts w:ascii="Arial" w:cs="Arial" w:eastAsia="Arial" w:hAnsi="Arial"/>
                <w:sz w:val="23"/>
                <w:szCs w:val="23"/>
                <w:color w:val="auto"/>
                <w:vertAlign w:val="superscript"/>
              </w:rPr>
              <w:t>(14)</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1,611,519</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1,611,519</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Apollo</w:t>
            </w:r>
            <w:r>
              <w:rPr>
                <w:rFonts w:ascii="Arial" w:cs="Arial" w:eastAsia="Arial" w:hAnsi="Arial"/>
                <w:sz w:val="23"/>
                <w:szCs w:val="23"/>
                <w:color w:val="auto"/>
                <w:vertAlign w:val="superscript"/>
              </w:rPr>
              <w:t>(15)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MMF LT, LLC</w:t>
            </w:r>
            <w:r>
              <w:rPr>
                <w:rFonts w:ascii="Arial" w:cs="Arial" w:eastAsia="Arial" w:hAnsi="Arial"/>
                <w:sz w:val="23"/>
                <w:szCs w:val="23"/>
                <w:color w:val="auto"/>
                <w:vertAlign w:val="superscript"/>
              </w:rPr>
              <w:t>(16)</w:t>
            </w:r>
          </w:p>
        </w:tc>
        <w:tc>
          <w:tcPr>
            <w:tcW w:w="780" w:type="dxa"/>
            <w:vAlign w:val="bottom"/>
          </w:tcPr>
          <w:p>
            <w:pPr>
              <w:jc w:val="right"/>
              <w:spacing w:after="0"/>
              <w:rPr>
                <w:sz w:val="20"/>
                <w:szCs w:val="20"/>
                <w:color w:val="auto"/>
              </w:rPr>
            </w:pPr>
            <w:r>
              <w:rPr>
                <w:rFonts w:ascii="Arial" w:cs="Arial" w:eastAsia="Arial" w:hAnsi="Arial"/>
                <w:sz w:val="17"/>
                <w:szCs w:val="17"/>
                <w:color w:val="auto"/>
              </w:rPr>
              <w:t>1,500,000</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Luxor</w:t>
            </w:r>
            <w:r>
              <w:rPr>
                <w:rFonts w:ascii="Arial" w:cs="Arial" w:eastAsia="Arial" w:hAnsi="Arial"/>
                <w:sz w:val="23"/>
                <w:szCs w:val="23"/>
                <w:color w:val="auto"/>
                <w:vertAlign w:val="superscript"/>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1,250,000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Elwood US Investor 1 Inc.</w:t>
            </w:r>
            <w:r>
              <w:rPr>
                <w:rFonts w:ascii="Arial" w:cs="Arial" w:eastAsia="Arial" w:hAnsi="Arial"/>
                <w:sz w:val="23"/>
                <w:szCs w:val="23"/>
                <w:color w:val="auto"/>
                <w:vertAlign w:val="superscript"/>
              </w:rPr>
              <w:t>(18)</w:t>
            </w:r>
          </w:p>
        </w:tc>
        <w:tc>
          <w:tcPr>
            <w:tcW w:w="780" w:type="dxa"/>
            <w:vAlign w:val="bottom"/>
          </w:tcPr>
          <w:p>
            <w:pPr>
              <w:jc w:val="right"/>
              <w:spacing w:after="0"/>
              <w:rPr>
                <w:sz w:val="20"/>
                <w:szCs w:val="20"/>
                <w:color w:val="auto"/>
              </w:rPr>
            </w:pPr>
            <w:r>
              <w:rPr>
                <w:rFonts w:ascii="Arial" w:cs="Arial" w:eastAsia="Arial" w:hAnsi="Arial"/>
                <w:sz w:val="17"/>
                <w:szCs w:val="17"/>
                <w:color w:val="auto"/>
              </w:rPr>
              <w:t>1,100,777</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1,100,777</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Galaxy Digital Ventures LLC</w:t>
            </w:r>
            <w:r>
              <w:rPr>
                <w:rFonts w:ascii="Arial" w:cs="Arial" w:eastAsia="Arial" w:hAnsi="Arial"/>
                <w:sz w:val="23"/>
                <w:szCs w:val="23"/>
                <w:color w:val="auto"/>
                <w:vertAlign w:val="superscript"/>
              </w:rPr>
              <w:t>(19)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1,100,777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1,100,777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Highbridge Tactical Credit Master Fund, L.P.</w:t>
            </w:r>
          </w:p>
        </w:tc>
        <w:tc>
          <w:tcPr>
            <w:tcW w:w="780" w:type="dxa"/>
            <w:vAlign w:val="bottom"/>
          </w:tcPr>
          <w:p>
            <w:pPr>
              <w:jc w:val="right"/>
              <w:spacing w:after="0"/>
              <w:rPr>
                <w:sz w:val="20"/>
                <w:szCs w:val="20"/>
                <w:color w:val="auto"/>
              </w:rPr>
            </w:pPr>
            <w:r>
              <w:rPr>
                <w:rFonts w:ascii="Arial" w:cs="Arial" w:eastAsia="Arial" w:hAnsi="Arial"/>
                <w:sz w:val="17"/>
                <w:szCs w:val="17"/>
                <w:color w:val="auto"/>
              </w:rPr>
              <w:t>1,000,000</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1,000,000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TimesSquare Investment Advisor</w:t>
            </w:r>
            <w:r>
              <w:rPr>
                <w:rFonts w:ascii="Arial" w:cs="Arial" w:eastAsia="Arial" w:hAnsi="Arial"/>
                <w:sz w:val="23"/>
                <w:szCs w:val="23"/>
                <w:color w:val="auto"/>
                <w:vertAlign w:val="superscript"/>
              </w:rPr>
              <w:t>(20)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Securityholders Affiliated with CMT</w:t>
            </w:r>
            <w:r>
              <w:rPr>
                <w:rFonts w:ascii="Arial" w:cs="Arial" w:eastAsia="Arial" w:hAnsi="Arial"/>
                <w:sz w:val="23"/>
                <w:szCs w:val="23"/>
                <w:color w:val="auto"/>
                <w:vertAlign w:val="superscript"/>
              </w:rPr>
              <w:t>(21)</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714,026</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714,026</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Seven Grand</w:t>
            </w:r>
            <w:r>
              <w:rPr>
                <w:rFonts w:ascii="Arial" w:cs="Arial" w:eastAsia="Arial" w:hAnsi="Arial"/>
                <w:sz w:val="23"/>
                <w:szCs w:val="23"/>
                <w:color w:val="auto"/>
                <w:vertAlign w:val="superscript"/>
              </w:rPr>
              <w:t>(22)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Alyeska Master Fund, L.P.</w:t>
            </w:r>
            <w:r>
              <w:rPr>
                <w:rFonts w:ascii="Arial" w:cs="Arial" w:eastAsia="Arial" w:hAnsi="Arial"/>
                <w:sz w:val="23"/>
                <w:szCs w:val="23"/>
                <w:color w:val="auto"/>
                <w:vertAlign w:val="superscript"/>
              </w:rPr>
              <w:t>(23)</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tcPr>
          <w:p>
            <w:pPr>
              <w:ind w:left="300"/>
              <w:spacing w:after="0"/>
              <w:rPr>
                <w:sz w:val="20"/>
                <w:szCs w:val="20"/>
                <w:color w:val="auto"/>
              </w:rPr>
            </w:pPr>
            <w:r>
              <w:rPr>
                <w:rFonts w:ascii="Arial" w:cs="Arial" w:eastAsia="Arial" w:hAnsi="Arial"/>
                <w:sz w:val="17"/>
                <w:szCs w:val="17"/>
                <w:color w:val="auto"/>
              </w:rPr>
              <w:t>47,042</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Eagle Seven Digital Investments, LLC</w:t>
            </w:r>
            <w:r>
              <w:rPr>
                <w:rFonts w:ascii="Arial" w:cs="Arial" w:eastAsia="Arial" w:hAnsi="Arial"/>
                <w:sz w:val="23"/>
                <w:szCs w:val="23"/>
                <w:color w:val="auto"/>
                <w:vertAlign w:val="superscript"/>
              </w:rPr>
              <w:t>(24)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565,969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565,969</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Securityholders Affiliated with Maso Capital</w:t>
            </w:r>
            <w:r>
              <w:rPr>
                <w:rFonts w:ascii="Arial" w:cs="Arial" w:eastAsia="Arial" w:hAnsi="Arial"/>
                <w:sz w:val="23"/>
                <w:szCs w:val="23"/>
                <w:color w:val="auto"/>
                <w:vertAlign w:val="superscript"/>
              </w:rPr>
              <w:t>(25)</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Monashee</w:t>
            </w:r>
            <w:r>
              <w:rPr>
                <w:rFonts w:ascii="Arial" w:cs="Arial" w:eastAsia="Arial" w:hAnsi="Arial"/>
                <w:sz w:val="23"/>
                <w:szCs w:val="23"/>
                <w:color w:val="auto"/>
                <w:vertAlign w:val="superscript"/>
              </w:rPr>
              <w:t>(26)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Securityholders Affiliated with Nantahala Capital Management, LLC</w:t>
            </w:r>
            <w:r>
              <w:rPr>
                <w:rFonts w:ascii="Arial" w:cs="Arial" w:eastAsia="Arial" w:hAnsi="Arial"/>
                <w:sz w:val="23"/>
                <w:szCs w:val="23"/>
                <w:color w:val="auto"/>
                <w:vertAlign w:val="superscript"/>
              </w:rPr>
              <w:t>(27)</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Kepos Alpha Master Fund L.P.</w:t>
            </w:r>
            <w:r>
              <w:rPr>
                <w:rFonts w:ascii="Arial" w:cs="Arial" w:eastAsia="Arial" w:hAnsi="Arial"/>
                <w:sz w:val="23"/>
                <w:szCs w:val="23"/>
                <w:color w:val="auto"/>
                <w:vertAlign w:val="superscript"/>
              </w:rPr>
              <w:t>(28)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Magnetar Capital Master Fund, Ltd</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Sculptor Special Funding, LP</w:t>
            </w:r>
            <w:r>
              <w:rPr>
                <w:rFonts w:ascii="Arial" w:cs="Arial" w:eastAsia="Arial" w:hAnsi="Arial"/>
                <w:sz w:val="23"/>
                <w:szCs w:val="23"/>
                <w:color w:val="auto"/>
                <w:vertAlign w:val="superscript"/>
              </w:rPr>
              <w:t>(29)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Securityholders Affiliated with Glazer</w:t>
            </w:r>
            <w:r>
              <w:rPr>
                <w:rFonts w:ascii="Arial" w:cs="Arial" w:eastAsia="Arial" w:hAnsi="Arial"/>
                <w:sz w:val="23"/>
                <w:szCs w:val="23"/>
                <w:color w:val="auto"/>
                <w:vertAlign w:val="superscript"/>
              </w:rPr>
              <w:t>(30)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Water Island</w:t>
            </w:r>
            <w:r>
              <w:rPr>
                <w:rFonts w:ascii="Arial" w:cs="Arial" w:eastAsia="Arial" w:hAnsi="Arial"/>
                <w:sz w:val="23"/>
                <w:szCs w:val="23"/>
                <w:color w:val="auto"/>
                <w:vertAlign w:val="superscript"/>
              </w:rPr>
              <w:t>(31)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Ghisallo Master Fund LP</w:t>
            </w:r>
            <w:r>
              <w:rPr>
                <w:rFonts w:ascii="Arial" w:cs="Arial" w:eastAsia="Arial" w:hAnsi="Arial"/>
                <w:sz w:val="23"/>
                <w:szCs w:val="23"/>
                <w:color w:val="auto"/>
                <w:vertAlign w:val="superscript"/>
              </w:rPr>
              <w:t>(32)</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250,000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250,000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Securityholders Affiliated with Benjamin Nickoll</w:t>
            </w:r>
            <w:r>
              <w:rPr>
                <w:rFonts w:ascii="Arial" w:cs="Arial" w:eastAsia="Arial" w:hAnsi="Arial"/>
                <w:sz w:val="23"/>
                <w:szCs w:val="23"/>
                <w:color w:val="auto"/>
                <w:vertAlign w:val="superscript"/>
              </w:rPr>
              <w:t>(33)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Securityholders Affiliated with Richard Marini</w:t>
            </w:r>
            <w:r>
              <w:rPr>
                <w:rFonts w:ascii="Arial" w:cs="Arial" w:eastAsia="Arial" w:hAnsi="Arial"/>
                <w:sz w:val="23"/>
                <w:szCs w:val="23"/>
                <w:color w:val="auto"/>
                <w:vertAlign w:val="superscript"/>
              </w:rPr>
              <w:t>(34)</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226,387</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226,387</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WNI LLC</w:t>
            </w:r>
            <w:r>
              <w:rPr>
                <w:rFonts w:ascii="Arial" w:cs="Arial" w:eastAsia="Arial" w:hAnsi="Arial"/>
                <w:sz w:val="23"/>
                <w:szCs w:val="23"/>
                <w:color w:val="auto"/>
                <w:vertAlign w:val="superscript"/>
              </w:rPr>
              <w:t>(35)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Kurt Summers</w:t>
            </w:r>
            <w:r>
              <w:rPr>
                <w:rFonts w:ascii="Arial" w:cs="Arial" w:eastAsia="Arial" w:hAnsi="Arial"/>
                <w:sz w:val="23"/>
                <w:szCs w:val="23"/>
                <w:color w:val="auto"/>
                <w:vertAlign w:val="superscript"/>
              </w:rPr>
              <w:t>(36)</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Kai Schmitz</w:t>
            </w:r>
            <w:r>
              <w:rPr>
                <w:rFonts w:ascii="Arial" w:cs="Arial" w:eastAsia="Arial" w:hAnsi="Arial"/>
                <w:sz w:val="23"/>
                <w:szCs w:val="23"/>
                <w:color w:val="auto"/>
                <w:vertAlign w:val="superscript"/>
              </w:rPr>
              <w:t>(37)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line="205" w:lineRule="exact"/>
              <w:rPr>
                <w:sz w:val="20"/>
                <w:szCs w:val="20"/>
                <w:color w:val="auto"/>
              </w:rPr>
            </w:pPr>
            <w:r>
              <w:rPr>
                <w:rFonts w:ascii="Arial" w:cs="Arial" w:eastAsia="Arial" w:hAnsi="Arial"/>
                <w:sz w:val="17"/>
                <w:szCs w:val="17"/>
                <w:color w:val="auto"/>
              </w:rPr>
              <w:t>Adrienne Harris</w:t>
            </w:r>
            <w:r>
              <w:rPr>
                <w:rFonts w:ascii="Arial" w:cs="Arial" w:eastAsia="Arial" w:hAnsi="Arial"/>
                <w:sz w:val="23"/>
                <w:szCs w:val="23"/>
                <w:color w:val="auto"/>
                <w:vertAlign w:val="superscript"/>
              </w:rPr>
              <w:t>(38)</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line="205" w:lineRule="exact"/>
              <w:rPr>
                <w:sz w:val="20"/>
                <w:szCs w:val="20"/>
                <w:color w:val="auto"/>
              </w:rPr>
            </w:pPr>
            <w:r>
              <w:rPr>
                <w:rFonts w:ascii="Arial" w:cs="Arial" w:eastAsia="Arial" w:hAnsi="Arial"/>
                <w:sz w:val="17"/>
                <w:szCs w:val="17"/>
                <w:color w:val="auto"/>
              </w:rPr>
              <w:t>BNCA 2011 Directed Irrevocable Trust</w:t>
            </w:r>
            <w:r>
              <w:rPr>
                <w:rFonts w:ascii="Arial" w:cs="Arial" w:eastAsia="Arial" w:hAnsi="Arial"/>
                <w:sz w:val="23"/>
                <w:szCs w:val="23"/>
                <w:color w:val="auto"/>
                <w:vertAlign w:val="superscript"/>
              </w:rPr>
              <w:t>(39)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6600" w:type="dxa"/>
            <w:vAlign w:val="bottom"/>
            <w:gridSpan w:val="3"/>
          </w:tcPr>
          <w:p>
            <w:pPr>
              <w:spacing w:after="0"/>
              <w:rPr>
                <w:sz w:val="20"/>
                <w:szCs w:val="20"/>
                <w:color w:val="auto"/>
              </w:rPr>
            </w:pPr>
            <w:r>
              <w:rPr>
                <w:rFonts w:ascii="Arial" w:cs="Arial" w:eastAsia="Arial" w:hAnsi="Arial"/>
                <w:sz w:val="17"/>
                <w:szCs w:val="17"/>
                <w:color w:val="auto"/>
              </w:rPr>
              <w:t>Christine Armstrong</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45,000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45,000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80" w:hanging="404"/>
        <w:spacing w:after="0"/>
        <w:tabs>
          <w:tab w:leader="none" w:pos="7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1" w:lineRule="exact"/>
        <w:rPr>
          <w:sz w:val="20"/>
          <w:szCs w:val="20"/>
          <w:color w:val="auto"/>
        </w:rPr>
      </w:pPr>
    </w:p>
    <w:p>
      <w:pPr>
        <w:ind w:left="780" w:right="60" w:hanging="404"/>
        <w:spacing w:after="0" w:line="252" w:lineRule="auto"/>
        <w:tabs>
          <w:tab w:leader="none" w:pos="7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4,714,336 shares of Class A Common Stock beneficially owned and (ii) 170,079,462 shares of Class A Common Stock that may be acquired upon the exchange of a corresponding number of Paired Interests. For information regarding the relationship between the Selling Stockholder and the Company, please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780" w:right="80" w:hanging="404"/>
        <w:spacing w:after="0" w:line="256" w:lineRule="auto"/>
        <w:tabs>
          <w:tab w:leader="none" w:pos="7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880"/>
          </w:cols>
          <w:pgMar w:left="320" w:top="471" w:right="6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780" w:hanging="404"/>
        <w:spacing w:after="0" w:line="254" w:lineRule="auto"/>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582,323 shares of Class A Common Stock held directly by Goldfinch Co-Invest IC LP, (ii) 2,751,943 shares of Class A Common Stock that may be acquired by Goldfinch Co-Invest I LP upon the exchange of a corresponding number of Paired Interests and (iii) 156,167 shares of Class A Common Stock that may be acquired by Goldfinch Co-Invest IB LP upon the exchange of a corresponding number of Paired Interests. Sean Collins, a member of our Board and prior to the Closing, a member of the board of managers of Opco, is a Managing Partner of Goldfinch Co-Invest I GP LLC, the general partner of each of Goldfinch Co-Invest IC LP, Goldfinch Co-Invest I, LP and Goldfinch Co-Invest IB, LP, which has voting and investment discretion over these shares. Mr. Collins disclaims beneficial ownership of the shares except to the extent of his pecuniary interest therein.</w:t>
      </w:r>
    </w:p>
    <w:p>
      <w:pPr>
        <w:spacing w:after="0" w:line="3" w:lineRule="exact"/>
        <w:rPr>
          <w:rFonts w:ascii="Arial" w:cs="Arial" w:eastAsia="Arial" w:hAnsi="Arial"/>
          <w:sz w:val="17"/>
          <w:szCs w:val="17"/>
          <w:color w:val="auto"/>
        </w:rPr>
      </w:pPr>
    </w:p>
    <w:p>
      <w:pPr>
        <w:ind w:left="780" w:hanging="404"/>
        <w:spacing w:after="0" w:line="268" w:lineRule="auto"/>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(i) 1,551,876 shares of Class A Common Stock held directly by Corbin ERISA Opportunity Fund, Ltd., (ii) 44,608 shares of Class A Common Stock that may be acquired upon the exercise of Warrants held directly by Corbin ERISA Opportunity Fund, Ltd., (iii) 759,000 shares of Class A Common Stock held directly by Corbin Opportunity Fund, L.P., (iv) 23,131 shares of Class A Common Stock that may be acquired upon the exercise of Warrants held directly by Corbin Opportunity Fund, L.P., (v) 600,000 shares of Class A Common Stock held directly by Pinehurst Partners, L.P. and (vi) 100,000 shares of Class A Common Stock held directly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w:t>
      </w:r>
    </w:p>
    <w:p>
      <w:pPr>
        <w:spacing w:after="0" w:line="3" w:lineRule="exact"/>
        <w:rPr>
          <w:rFonts w:ascii="Arial" w:cs="Arial" w:eastAsia="Arial" w:hAnsi="Arial"/>
          <w:sz w:val="16"/>
          <w:szCs w:val="16"/>
          <w:color w:val="auto"/>
        </w:rPr>
      </w:pPr>
    </w:p>
    <w:p>
      <w:pPr>
        <w:jc w:val="both"/>
        <w:ind w:left="780" w:hanging="404"/>
        <w:spacing w:after="0" w:line="286" w:lineRule="auto"/>
        <w:tabs>
          <w:tab w:leader="none" w:pos="7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Empyrean Capital Partners, LP (“</w:t>
      </w:r>
      <w:r>
        <w:rPr>
          <w:rFonts w:ascii="Arial" w:cs="Arial" w:eastAsia="Arial" w:hAnsi="Arial"/>
          <w:sz w:val="15"/>
          <w:szCs w:val="15"/>
          <w:b w:val="1"/>
          <w:bCs w:val="1"/>
          <w:color w:val="auto"/>
        </w:rPr>
        <w:t>Empyrean</w:t>
      </w:r>
      <w:r>
        <w:rPr>
          <w:rFonts w:ascii="Arial" w:cs="Arial" w:eastAsia="Arial" w:hAnsi="Arial"/>
          <w:sz w:val="15"/>
          <w:szCs w:val="15"/>
          <w:color w:val="auto"/>
        </w:rPr>
        <w:t>”) serves as investment manager to Empyrean Capital Overseas Master Fund, Ltd. (“</w:t>
      </w:r>
      <w:r>
        <w:rPr>
          <w:rFonts w:ascii="Arial" w:cs="Arial" w:eastAsia="Arial" w:hAnsi="Arial"/>
          <w:sz w:val="15"/>
          <w:szCs w:val="15"/>
          <w:b w:val="1"/>
          <w:bCs w:val="1"/>
          <w:color w:val="auto"/>
        </w:rPr>
        <w:t>ECOMF</w:t>
      </w:r>
      <w:r>
        <w:rPr>
          <w:rFonts w:ascii="Arial" w:cs="Arial" w:eastAsia="Arial" w:hAnsi="Arial"/>
          <w:sz w:val="15"/>
          <w:szCs w:val="15"/>
          <w:color w:val="auto"/>
        </w:rPr>
        <w:t>”), and has voting and investment control of the shares held by ECOMF. Empyrean Capital, LLC serves as the general partner to Empyrean. Amos Meron is the managing member of Empyrean Capital, LLC, and as such may be deemed to have voting and dispositive control of the shares held by</w:t>
      </w:r>
    </w:p>
    <w:p>
      <w:pPr>
        <w:ind w:left="780"/>
        <w:spacing w:after="0"/>
        <w:rPr>
          <w:rFonts w:ascii="Arial" w:cs="Arial" w:eastAsia="Arial" w:hAnsi="Arial"/>
          <w:sz w:val="15"/>
          <w:szCs w:val="15"/>
          <w:color w:val="auto"/>
        </w:rPr>
      </w:pPr>
      <w:r>
        <w:rPr>
          <w:rFonts w:ascii="Arial" w:cs="Arial" w:eastAsia="Arial" w:hAnsi="Arial"/>
          <w:sz w:val="17"/>
          <w:szCs w:val="17"/>
          <w:color w:val="auto"/>
        </w:rPr>
        <w:t>ECOMF.</w:t>
      </w:r>
    </w:p>
    <w:p>
      <w:pPr>
        <w:spacing w:after="0" w:line="10" w:lineRule="exact"/>
        <w:rPr>
          <w:rFonts w:ascii="Arial" w:cs="Arial" w:eastAsia="Arial" w:hAnsi="Arial"/>
          <w:sz w:val="15"/>
          <w:szCs w:val="15"/>
          <w:color w:val="auto"/>
        </w:rPr>
      </w:pPr>
    </w:p>
    <w:p>
      <w:pPr>
        <w:ind w:left="780" w:right="40" w:hanging="404"/>
        <w:spacing w:after="0" w:line="268" w:lineRule="auto"/>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w:t>
      </w:r>
    </w:p>
    <w:p>
      <w:pPr>
        <w:spacing w:after="0" w:line="1" w:lineRule="exact"/>
        <w:rPr>
          <w:rFonts w:ascii="Arial" w:cs="Arial" w:eastAsia="Arial" w:hAnsi="Arial"/>
          <w:sz w:val="16"/>
          <w:szCs w:val="16"/>
          <w:color w:val="auto"/>
        </w:rPr>
      </w:pPr>
    </w:p>
    <w:p>
      <w:pPr>
        <w:ind w:left="780" w:hanging="404"/>
        <w:spacing w:after="0" w:line="286" w:lineRule="auto"/>
        <w:tabs>
          <w:tab w:leader="none" w:pos="7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(i) 1,959,581 shares of Class A Common Stock that may be acquired upon the exchange of a corresponding number of Paired Interests held directly by the Boston Consulting Group (“</w:t>
      </w:r>
      <w:r>
        <w:rPr>
          <w:rFonts w:ascii="Arial" w:cs="Arial" w:eastAsia="Arial" w:hAnsi="Arial"/>
          <w:sz w:val="15"/>
          <w:szCs w:val="15"/>
          <w:b w:val="1"/>
          <w:bCs w:val="1"/>
          <w:color w:val="auto"/>
        </w:rPr>
        <w:t>BCG</w:t>
      </w:r>
      <w:r>
        <w:rPr>
          <w:rFonts w:ascii="Arial" w:cs="Arial" w:eastAsia="Arial" w:hAnsi="Arial"/>
          <w:sz w:val="15"/>
          <w:szCs w:val="15"/>
          <w:color w:val="auto"/>
        </w:rPr>
        <w:t>”) and (ii) 793,352 shares of Class A Common Stock that may be acquired upon the exchange of a corresponding number of Paired Interests, which Paired Interests may be acquired upon the exercise of outstanding of warrants held directly by BCG. A portion of such warrants are subject to ongoing vesting requirements. The resale of such warrants is not registered hereby. BCG had certain Opco board observer rights prior to the Closing, and it has provided, and may in the future provide, Opco with certain consulting services. Paul Tranter as CFO of BCG has the power to vote or dispose of these securities pursuant to authority delegated to him under BCG’s governance structure. Mr. Tranter disclaims beneficial ownership of these securities except to the extent of his indirect pecuniary interest therein.</w:t>
      </w:r>
    </w:p>
    <w:p>
      <w:pPr>
        <w:spacing w:after="0" w:line="1" w:lineRule="exact"/>
        <w:rPr>
          <w:rFonts w:ascii="Arial" w:cs="Arial" w:eastAsia="Arial" w:hAnsi="Arial"/>
          <w:sz w:val="15"/>
          <w:szCs w:val="15"/>
          <w:color w:val="auto"/>
        </w:rPr>
      </w:pPr>
    </w:p>
    <w:p>
      <w:pPr>
        <w:ind w:left="780" w:right="20" w:hanging="404"/>
        <w:spacing w:after="0" w:line="252" w:lineRule="auto"/>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2,598,230 shares of Class A Common Stock that may be acquired upon the exchange of a corresponding number of Paired Interests and (ii) 119,207 shares of Class A Common Stock.</w:t>
      </w:r>
    </w:p>
    <w:p>
      <w:pPr>
        <w:spacing w:after="0" w:line="1" w:lineRule="exact"/>
        <w:rPr>
          <w:rFonts w:ascii="Arial" w:cs="Arial" w:eastAsia="Arial" w:hAnsi="Arial"/>
          <w:sz w:val="17"/>
          <w:szCs w:val="17"/>
          <w:color w:val="auto"/>
        </w:rPr>
      </w:pPr>
    </w:p>
    <w:p>
      <w:pPr>
        <w:ind w:left="780" w:hanging="404"/>
        <w:spacing w:after="0"/>
        <w:tabs>
          <w:tab w:leader="none" w:pos="7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2,697,399 shares of Class A Common Stock that may be acquired upon the exchange of a corresponding number of Paired interests.</w:t>
      </w:r>
    </w:p>
    <w:p>
      <w:pPr>
        <w:spacing w:after="0" w:line="33" w:lineRule="exact"/>
        <w:rPr>
          <w:rFonts w:ascii="Arial" w:cs="Arial" w:eastAsia="Arial" w:hAnsi="Arial"/>
          <w:sz w:val="15"/>
          <w:szCs w:val="15"/>
          <w:color w:val="auto"/>
        </w:rPr>
      </w:pPr>
    </w:p>
    <w:p>
      <w:pPr>
        <w:ind w:left="780" w:right="20" w:hanging="404"/>
        <w:spacing w:after="0" w:line="252" w:lineRule="auto"/>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2,201,554 shares of Class A Common Stock that may be acquired upon the exchange of a corresponding number of Paired Interests and (ii) 62,322 shares of Class A Common Stock.</w:t>
      </w:r>
    </w:p>
    <w:p>
      <w:pPr>
        <w:spacing w:after="0" w:line="1" w:lineRule="exact"/>
        <w:rPr>
          <w:rFonts w:ascii="Arial" w:cs="Arial" w:eastAsia="Arial" w:hAnsi="Arial"/>
          <w:sz w:val="17"/>
          <w:szCs w:val="17"/>
          <w:color w:val="auto"/>
        </w:rPr>
      </w:pPr>
    </w:p>
    <w:p>
      <w:pPr>
        <w:ind w:left="780" w:right="200" w:hanging="404"/>
        <w:spacing w:after="0" w:line="259" w:lineRule="auto"/>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2,191,307 shares of Class A Common Stock that may be acquired upon the exchange of a corresponding number of Paired Interests. The Selling Securityholder is our partner, with which we have an ongoing relationship. Rachel Ruggeri has the power to vote or dispose of the shares held by the Selling Securityholder.</w:t>
      </w:r>
    </w:p>
    <w:p>
      <w:pPr>
        <w:spacing w:after="0" w:line="11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840"/>
          </w:cols>
          <w:pgMar w:left="320" w:top="471" w:right="7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780" w:right="60" w:hanging="404"/>
        <w:spacing w:after="0" w:line="28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1,704,562 shares of Class A Common Stock held directly by Aristeia Master, L.P., (ii) 129,419 shares of Class A Common Stock held directly by ASIG International Limited, (iii) 117,852 shares of Class A Common Stock held directly by DS Liquid Div RVA ARST, LLC and (iv) 48,167 shares of Class A Common Stock held directly by Windermere Ireland Fund PLC. Aristeia Capital, L.L.C. and Aristeia Advisors, L.L.C. (collectively, “</w:t>
      </w:r>
      <w:r>
        <w:rPr>
          <w:rFonts w:ascii="Arial" w:cs="Arial" w:eastAsia="Arial" w:hAnsi="Arial"/>
          <w:sz w:val="15"/>
          <w:szCs w:val="15"/>
          <w:b w:val="1"/>
          <w:bCs w:val="1"/>
          <w:color w:val="auto"/>
        </w:rPr>
        <w:t>Aristeia</w:t>
      </w:r>
      <w:r>
        <w:rPr>
          <w:rFonts w:ascii="Arial" w:cs="Arial" w:eastAsia="Arial" w:hAnsi="Arial"/>
          <w:sz w:val="15"/>
          <w:szCs w:val="15"/>
          <w:color w:val="auto"/>
        </w:rPr>
        <w:t>”) may be deemed the beneficial owners of the securities described herein in their capacity as the investment manager and/or general partner, as the case may be, of Aristeia Master, L.P., ASIG International Limited, DS Liquid Div RVA ARST, LLC, and Windermere Ireland Fund PLC (each a “</w:t>
      </w:r>
      <w:r>
        <w:rPr>
          <w:rFonts w:ascii="Arial" w:cs="Arial" w:eastAsia="Arial" w:hAnsi="Arial"/>
          <w:sz w:val="15"/>
          <w:szCs w:val="15"/>
          <w:b w:val="1"/>
          <w:bCs w:val="1"/>
          <w:color w:val="auto"/>
        </w:rPr>
        <w:t>Fund</w:t>
      </w:r>
      <w:r>
        <w:rPr>
          <w:rFonts w:ascii="Arial" w:cs="Arial" w:eastAsia="Arial" w:hAnsi="Arial"/>
          <w:sz w:val="15"/>
          <w:szCs w:val="15"/>
          <w:color w:val="auto"/>
        </w:rPr>
        <w:t>” and collectively, the “</w:t>
      </w:r>
      <w:r>
        <w:rPr>
          <w:rFonts w:ascii="Arial" w:cs="Arial" w:eastAsia="Arial" w:hAnsi="Arial"/>
          <w:sz w:val="15"/>
          <w:szCs w:val="15"/>
          <w:b w:val="1"/>
          <w:bCs w:val="1"/>
          <w:color w:val="auto"/>
        </w:rPr>
        <w:t>Funds</w:t>
      </w:r>
      <w:r>
        <w:rPr>
          <w:rFonts w:ascii="Arial" w:cs="Arial" w:eastAsia="Arial" w:hAnsi="Arial"/>
          <w:sz w:val="15"/>
          <w:szCs w:val="15"/>
          <w:color w:val="auto"/>
        </w:rPr>
        <w:t>”), which are the holders of such securities. As investment manager and/or general partner of each Fund, Aristeia has voting and investment control with respect to the securities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ind w:left="780" w:right="40" w:hanging="404"/>
        <w:spacing w:after="0" w:line="286"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Such shares (the “</w:t>
      </w:r>
      <w:r>
        <w:rPr>
          <w:rFonts w:ascii="Arial" w:cs="Arial" w:eastAsia="Arial" w:hAnsi="Arial"/>
          <w:sz w:val="15"/>
          <w:szCs w:val="15"/>
          <w:b w:val="1"/>
          <w:bCs w:val="1"/>
          <w:color w:val="auto"/>
        </w:rPr>
        <w:t>Soroban Shares</w:t>
      </w:r>
      <w:r>
        <w:rPr>
          <w:rFonts w:ascii="Arial" w:cs="Arial" w:eastAsia="Arial" w:hAnsi="Arial"/>
          <w:sz w:val="15"/>
          <w:szCs w:val="15"/>
          <w:color w:val="auto"/>
        </w:rPr>
        <w:t>”) are held in the account of Soroban Opportunities Master Fund LP. Soroban Capital GP LLC may be deemed to beneficially own the Soroban Shares by virtue of its role as general partner of Soroban Opportunities Master Fund LP. Soroban Capital Partners LP may be deemed to beneficially own the Soroban Shares by virtue of its role as investment manager of Soroban Opportunities Master Fund LP. Soroban Capital Partners GP LLC may be deemed to beneficially own the Soroban Shares by virtue of its role as general partner of Soroban Capital Partners LP. Eric W. Mandelblatt may be deemed to beneficially own the Soroban Shares by virtue of his role as Managing Partner of Soroban Capital Partners GP LLC. Each of Soroban Capital GP LLC. Soroban Capital Partners LP. Soroban Capital Partners GP LLC and Eric W. Mandelblatt disclaim beneficial ownership of the Soroban Shares except to the extent of his or its pecuniary interest.</w:t>
      </w:r>
    </w:p>
    <w:p>
      <w:pPr>
        <w:spacing w:after="0" w:line="1" w:lineRule="exact"/>
        <w:rPr>
          <w:rFonts w:ascii="Arial" w:cs="Arial" w:eastAsia="Arial" w:hAnsi="Arial"/>
          <w:sz w:val="15"/>
          <w:szCs w:val="15"/>
          <w:color w:val="auto"/>
        </w:rPr>
      </w:pPr>
    </w:p>
    <w:p>
      <w:pPr>
        <w:ind w:left="780" w:right="360" w:hanging="404"/>
        <w:spacing w:after="0" w:line="268"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shares of Class A Common Stock that may be acquired upon the exchange of a corresponding number of Paired Interests. PayU is ultimately controlled by Prosus N.V. and Naspers Ltd., which are publicly listed entities with widely dispersed ownership.</w:t>
      </w:r>
    </w:p>
    <w:p>
      <w:pPr>
        <w:ind w:left="780" w:hanging="404"/>
        <w:spacing w:after="0" w:line="286"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1,140,000 shares of Class A Common Stock held by Apollo Credit Strategies Master Fund Ltd. (“</w:t>
      </w:r>
      <w:r>
        <w:rPr>
          <w:rFonts w:ascii="Arial" w:cs="Arial" w:eastAsia="Arial" w:hAnsi="Arial"/>
          <w:sz w:val="15"/>
          <w:szCs w:val="15"/>
          <w:b w:val="1"/>
          <w:bCs w:val="1"/>
          <w:color w:val="auto"/>
        </w:rPr>
        <w:t>Credit Strategies</w:t>
      </w:r>
      <w:r>
        <w:rPr>
          <w:rFonts w:ascii="Arial" w:cs="Arial" w:eastAsia="Arial" w:hAnsi="Arial"/>
          <w:sz w:val="15"/>
          <w:szCs w:val="15"/>
          <w:color w:val="auto"/>
        </w:rPr>
        <w:t>”), (ii) 165,000 shares of Class A Common Stock held by Apollo PPF Credit Strategies, LLC (“</w:t>
      </w:r>
      <w:r>
        <w:rPr>
          <w:rFonts w:ascii="Arial" w:cs="Arial" w:eastAsia="Arial" w:hAnsi="Arial"/>
          <w:sz w:val="15"/>
          <w:szCs w:val="15"/>
          <w:b w:val="1"/>
          <w:bCs w:val="1"/>
          <w:color w:val="auto"/>
        </w:rPr>
        <w:t>PPF Credit Strategies</w:t>
      </w:r>
      <w:r>
        <w:rPr>
          <w:rFonts w:ascii="Arial" w:cs="Arial" w:eastAsia="Arial" w:hAnsi="Arial"/>
          <w:sz w:val="15"/>
          <w:szCs w:val="15"/>
          <w:color w:val="auto"/>
        </w:rPr>
        <w:t>”), (iii) 105,000 shares of Class A Common Stock held by Apollo A-N Credit Fund (Delaware), L.P. (“</w:t>
      </w:r>
      <w:r>
        <w:rPr>
          <w:rFonts w:ascii="Arial" w:cs="Arial" w:eastAsia="Arial" w:hAnsi="Arial"/>
          <w:sz w:val="15"/>
          <w:szCs w:val="15"/>
          <w:b w:val="1"/>
          <w:bCs w:val="1"/>
          <w:color w:val="auto"/>
        </w:rPr>
        <w:t>A-N Credit</w:t>
      </w:r>
      <w:r>
        <w:rPr>
          <w:rFonts w:ascii="Arial" w:cs="Arial" w:eastAsia="Arial" w:hAnsi="Arial"/>
          <w:sz w:val="15"/>
          <w:szCs w:val="15"/>
          <w:color w:val="auto"/>
        </w:rPr>
        <w:t>”) and (iv) 90,000 shares of Class A Common Stock held by Apollo Atlas Master Fund, LLC (“</w:t>
      </w:r>
      <w:r>
        <w:rPr>
          <w:rFonts w:ascii="Arial" w:cs="Arial" w:eastAsia="Arial" w:hAnsi="Arial"/>
          <w:sz w:val="15"/>
          <w:szCs w:val="15"/>
          <w:b w:val="1"/>
          <w:bCs w:val="1"/>
          <w:color w:val="auto"/>
        </w:rPr>
        <w:t>Atlas</w:t>
      </w:r>
      <w:r>
        <w:rPr>
          <w:rFonts w:ascii="Arial" w:cs="Arial" w:eastAsia="Arial" w:hAnsi="Arial"/>
          <w:sz w:val="15"/>
          <w:szCs w:val="15"/>
          <w:color w:val="auto"/>
        </w:rPr>
        <w:t>”). Apollo A-N Credit Management, LLC (“</w:t>
      </w:r>
      <w:r>
        <w:rPr>
          <w:rFonts w:ascii="Arial" w:cs="Arial" w:eastAsia="Arial" w:hAnsi="Arial"/>
          <w:sz w:val="15"/>
          <w:szCs w:val="15"/>
          <w:b w:val="1"/>
          <w:bCs w:val="1"/>
          <w:color w:val="auto"/>
        </w:rPr>
        <w:t>A-N Credit Management</w:t>
      </w:r>
      <w:r>
        <w:rPr>
          <w:rFonts w:ascii="Arial" w:cs="Arial" w:eastAsia="Arial" w:hAnsi="Arial"/>
          <w:sz w:val="15"/>
          <w:szCs w:val="15"/>
          <w:color w:val="auto"/>
        </w:rPr>
        <w:t>”) serves as the investment manager for A-N Credit. Apollo Atlas Management, LLC (“</w:t>
      </w:r>
      <w:r>
        <w:rPr>
          <w:rFonts w:ascii="Arial" w:cs="Arial" w:eastAsia="Arial" w:hAnsi="Arial"/>
          <w:sz w:val="15"/>
          <w:szCs w:val="15"/>
          <w:b w:val="1"/>
          <w:bCs w:val="1"/>
          <w:color w:val="auto"/>
        </w:rPr>
        <w:t>Atlas Management</w:t>
      </w:r>
      <w:r>
        <w:rPr>
          <w:rFonts w:ascii="Arial" w:cs="Arial" w:eastAsia="Arial" w:hAnsi="Arial"/>
          <w:sz w:val="15"/>
          <w:szCs w:val="15"/>
          <w:color w:val="auto"/>
        </w:rPr>
        <w:t>”) serves as the investment manager of Atlas Master Fund. Credit Strategies is the sole member of PPF Credit Strategies. Apollo ST Fund Management LLC (“</w:t>
      </w:r>
      <w:r>
        <w:rPr>
          <w:rFonts w:ascii="Arial" w:cs="Arial" w:eastAsia="Arial" w:hAnsi="Arial"/>
          <w:sz w:val="15"/>
          <w:szCs w:val="15"/>
          <w:b w:val="1"/>
          <w:bCs w:val="1"/>
          <w:color w:val="auto"/>
        </w:rPr>
        <w:t>ST Management</w:t>
      </w:r>
      <w:r>
        <w:rPr>
          <w:rFonts w:ascii="Arial" w:cs="Arial" w:eastAsia="Arial" w:hAnsi="Arial"/>
          <w:sz w:val="15"/>
          <w:szCs w:val="15"/>
          <w:color w:val="auto"/>
        </w:rPr>
        <w:t>”) serves as the investment manager for Credit Strategies. Apollo Capital Management, L.P. (“</w:t>
      </w:r>
      <w:r>
        <w:rPr>
          <w:rFonts w:ascii="Arial" w:cs="Arial" w:eastAsia="Arial" w:hAnsi="Arial"/>
          <w:sz w:val="15"/>
          <w:szCs w:val="15"/>
          <w:b w:val="1"/>
          <w:bCs w:val="1"/>
          <w:color w:val="auto"/>
        </w:rPr>
        <w:t>Capital Management</w:t>
      </w:r>
      <w:r>
        <w:rPr>
          <w:rFonts w:ascii="Arial" w:cs="Arial" w:eastAsia="Arial" w:hAnsi="Arial"/>
          <w:sz w:val="15"/>
          <w:szCs w:val="15"/>
          <w:color w:val="auto"/>
        </w:rPr>
        <w:t>”) serves as the sole member of A-N Credit Management and Atlas Management, the sole member and manager of ST Management Holdings. Apollo Capital Management GP, LLC (“</w:t>
      </w:r>
      <w:r>
        <w:rPr>
          <w:rFonts w:ascii="Arial" w:cs="Arial" w:eastAsia="Arial" w:hAnsi="Arial"/>
          <w:sz w:val="15"/>
          <w:szCs w:val="15"/>
          <w:b w:val="1"/>
          <w:bCs w:val="1"/>
          <w:color w:val="auto"/>
        </w:rPr>
        <w:t>Capital Management GP</w:t>
      </w:r>
      <w:r>
        <w:rPr>
          <w:rFonts w:ascii="Arial" w:cs="Arial" w:eastAsia="Arial" w:hAnsi="Arial"/>
          <w:sz w:val="15"/>
          <w:szCs w:val="15"/>
          <w:color w:val="auto"/>
        </w:rPr>
        <w:t>”) serves as the general partner of Capital Management. Apollo Management Holdings, L.P. (“</w:t>
      </w:r>
      <w:r>
        <w:rPr>
          <w:rFonts w:ascii="Arial" w:cs="Arial" w:eastAsia="Arial" w:hAnsi="Arial"/>
          <w:sz w:val="15"/>
          <w:szCs w:val="15"/>
          <w:b w:val="1"/>
          <w:bCs w:val="1"/>
          <w:color w:val="auto"/>
        </w:rPr>
        <w:t>Management Holdings</w:t>
      </w:r>
      <w:r>
        <w:rPr>
          <w:rFonts w:ascii="Arial" w:cs="Arial" w:eastAsia="Arial" w:hAnsi="Arial"/>
          <w:sz w:val="15"/>
          <w:szCs w:val="15"/>
          <w:color w:val="auto"/>
        </w:rPr>
        <w:t>”) serves as the sole member and manager of Capital Management GP, and Apollo Management Holdings GP, LLC (“</w:t>
      </w:r>
      <w:r>
        <w:rPr>
          <w:rFonts w:ascii="Arial" w:cs="Arial" w:eastAsia="Arial" w:hAnsi="Arial"/>
          <w:sz w:val="15"/>
          <w:szCs w:val="15"/>
          <w:b w:val="1"/>
          <w:bCs w:val="1"/>
          <w:color w:val="auto"/>
        </w:rPr>
        <w:t>Management Holdings GP</w:t>
      </w:r>
      <w:r>
        <w:rPr>
          <w:rFonts w:ascii="Arial" w:cs="Arial" w:eastAsia="Arial" w:hAnsi="Arial"/>
          <w:sz w:val="15"/>
          <w:szCs w:val="15"/>
          <w:color w:val="auto"/>
        </w:rPr>
        <w:t>”) serves as the general partner of Management Holdings. Joshua Harris, Marc Rowan, Scott Kleinman and James Zelter are the managers, as well as executive officers, of Management Holdings GP. Each of Messrs. Harris, Rowan, Kleinman and Zelter disclaims beneficial ownership of all shares of Common Stock reported as owned by the Apollo Funds, and the filing of the registration statement shall not be construed as an admission that any such person is the beneficial owner of any such securities for purposes of Section 13(d) or 13(g) of the Exchange Act, or for any other purpose.</w:t>
      </w:r>
    </w:p>
    <w:p>
      <w:pPr>
        <w:spacing w:after="0" w:line="3" w:lineRule="exact"/>
        <w:rPr>
          <w:rFonts w:ascii="Arial" w:cs="Arial" w:eastAsia="Arial" w:hAnsi="Arial"/>
          <w:sz w:val="15"/>
          <w:szCs w:val="15"/>
          <w:color w:val="auto"/>
        </w:rPr>
      </w:pPr>
    </w:p>
    <w:p>
      <w:pPr>
        <w:ind w:left="780" w:right="140" w:hanging="404"/>
        <w:spacing w:after="0" w:line="252" w:lineRule="auto"/>
        <w:tabs>
          <w:tab w:leader="none" w:pos="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w:t>
      </w:r>
    </w:p>
    <w:p>
      <w:pPr>
        <w:spacing w:after="0" w:line="1" w:lineRule="exact"/>
        <w:rPr>
          <w:rFonts w:ascii="Arial" w:cs="Arial" w:eastAsia="Arial" w:hAnsi="Arial"/>
          <w:sz w:val="17"/>
          <w:szCs w:val="17"/>
          <w:color w:val="auto"/>
        </w:rPr>
      </w:pPr>
    </w:p>
    <w:p>
      <w:pPr>
        <w:ind w:left="780" w:right="360" w:hanging="404"/>
        <w:spacing w:after="0" w:line="265" w:lineRule="auto"/>
        <w:tabs>
          <w:tab w:leader="none" w:pos="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404,014 shares of Class A Common Stock held directly by Luxor Capital Partners, LP, (ii) 253,075 shares of Class A Common Stock held directly by Luxor Capital Partners Offshore Master Fund,</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60"/>
          </w:cols>
          <w:pgMar w:left="320" w:top="471" w:right="71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LP, (iii) 174,153 shares of Class A Common Stock held directly by Luxor Wavefront, LP, (iv) 27,343 shares of Class A Common Stock held</w:t>
      </w:r>
    </w:p>
    <w:p>
      <w:pPr>
        <w:spacing w:after="0" w:line="3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directly by Luxor Gibraltar, LP-Series I, (v) 10,358 shares of Class A Common Stock held directly by Luxor Capital Partners Long, LP, (vi) 2,864</w:t>
      </w:r>
    </w:p>
    <w:p>
      <w:pPr>
        <w:spacing w:after="0" w:line="3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shares of Class A Common Stock held directly by Luxor Capital Partners Long Offshore Master Fund, LP and (vii) 378,193 shares of Class A</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Common Stock held directly by Lugard Road Capital Master Fund, LP (the Selling Securityholders listed in (i) through (vi), collectively, the</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Luxor Funds</w:t>
      </w:r>
      <w:r>
        <w:rPr>
          <w:rFonts w:ascii="Arial" w:cs="Arial" w:eastAsia="Arial" w:hAnsi="Arial"/>
          <w:sz w:val="15"/>
          <w:szCs w:val="15"/>
          <w:color w:val="auto"/>
        </w:rPr>
        <w:t>”). Christian Leone has the power to vote or dispose of the shares held by the Luxor Funds, and Jonathan Green has the power to</w:t>
      </w:r>
    </w:p>
    <w:p>
      <w:pPr>
        <w:spacing w:after="0" w:line="3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vote or dispose of the shares held by Lugard Road Capital Master Fund, LP.</w:t>
      </w:r>
    </w:p>
    <w:p>
      <w:pPr>
        <w:spacing w:after="0" w:line="10" w:lineRule="exact"/>
        <w:rPr>
          <w:sz w:val="20"/>
          <w:szCs w:val="20"/>
          <w:color w:val="auto"/>
        </w:rPr>
      </w:pPr>
    </w:p>
    <w:p>
      <w:pPr>
        <w:ind w:left="780" w:right="340" w:hanging="404"/>
        <w:spacing w:after="0" w:line="252"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Represents shares of Class A Common stock that may be acquired upon the exchange of a corresponding number of Paired Interests. Mr. Alan Eldad Howard may be deemed the beneficial owner of the shares held directly by the Selling Securityholder.</w:t>
      </w:r>
    </w:p>
    <w:p>
      <w:pPr>
        <w:spacing w:after="0" w:line="1" w:lineRule="exact"/>
        <w:rPr>
          <w:rFonts w:ascii="Arial" w:cs="Arial" w:eastAsia="Arial" w:hAnsi="Arial"/>
          <w:sz w:val="17"/>
          <w:szCs w:val="17"/>
          <w:color w:val="auto"/>
        </w:rPr>
      </w:pPr>
    </w:p>
    <w:p>
      <w:pPr>
        <w:ind w:left="780" w:right="100" w:hanging="404"/>
        <w:spacing w:after="0" w:line="252"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Represents shares of Class A Common stock that may be acquired upon the exchange of a corresponding number of Paired Interests. Mr. Michael Novogratz may be deemed the beneficial owner of the shares held directly by the Selling Securityholder.</w:t>
      </w:r>
    </w:p>
    <w:p>
      <w:pPr>
        <w:spacing w:after="0" w:line="1" w:lineRule="exact"/>
        <w:rPr>
          <w:rFonts w:ascii="Arial" w:cs="Arial" w:eastAsia="Arial" w:hAnsi="Arial"/>
          <w:sz w:val="17"/>
          <w:szCs w:val="17"/>
          <w:color w:val="auto"/>
        </w:rPr>
      </w:pPr>
    </w:p>
    <w:p>
      <w:pPr>
        <w:ind w:left="780" w:hanging="404"/>
        <w:spacing w:after="0" w:line="268"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(i) 5,500 shares of Class A Common Stock held directly by American Legacy Fund, (ii) 119,900 shares of Class A Common Stock held directly by AMG TimesSquare Small Cap Growth Fund, (iii) 49,400 shares of Class A Common Stock held directly by Cox Enterprises Inc. Master Trust, (iv) 58,100 shares of Class A Common Stock held directly by Guidestone Capital Management, LLC, (v) 8,300 shares of Class A Common Stock held directly by Hallmark Cards Incorporated Master Trust, (vi) 1,800 shares of Class A Common Stock held directly by PGE Bargained VEBA, (vii) 40,100 shares of Class A Common Stock held directly by PGE Retirement Plan Master Trust, (viii) 326,800 shares of Class A Common Stock held directly by Prudential Retirement Insurance and Annuity Company, (xi) 41,100 shares of Class A Common Stock held directly by Savings Banks Employees Retirement Association, (x) 2,300 shares of Class A Common Stock held directly by SUPERVALU INC. Retirement Plan, (xi) 5,900 shares of Class A Common Stock held directly by The Kemper Ethel Marley Foundation and (xii) 140,800 shares of Class A Common Stock held directly by TimesSquare Small Cap Growth Fund CIT.</w:t>
      </w:r>
    </w:p>
    <w:p>
      <w:pPr>
        <w:spacing w:after="0" w:line="3" w:lineRule="exact"/>
        <w:rPr>
          <w:rFonts w:ascii="Arial" w:cs="Arial" w:eastAsia="Arial" w:hAnsi="Arial"/>
          <w:sz w:val="16"/>
          <w:szCs w:val="16"/>
          <w:color w:val="auto"/>
        </w:rPr>
      </w:pPr>
    </w:p>
    <w:p>
      <w:pPr>
        <w:ind w:left="780" w:right="160" w:hanging="404"/>
        <w:spacing w:after="0" w:line="252"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(i) 539,480 shares of Class A Common Stock that may be acquired upon the exchange of a corresponding number of Paired Interests held directly by CMT Digital Ventures Fund I LLC, (ii) 69,418 shares of Class A Common Stock that may be acquired upon the exchange of a corresponding number of Paired Interests held directly by CMT Digital Investments I LLC—Series I, (iii) 52,564 shares of Class A Common Stock that may be acquired upon the exchange of a corresponding number of Paired Interests held directly by CMT Capital Markets Trading 401(k) Plan #2B and (iv) 52,564 shares of Class A Common Stock that may be acquired upon the exchange of a corresponding number of Paired Interests held directly by MACWA 401(k) Plan (CMT).</w:t>
      </w:r>
    </w:p>
    <w:p>
      <w:pPr>
        <w:spacing w:after="0" w:line="3" w:lineRule="exact"/>
        <w:rPr>
          <w:rFonts w:ascii="Arial" w:cs="Arial" w:eastAsia="Arial" w:hAnsi="Arial"/>
          <w:sz w:val="17"/>
          <w:szCs w:val="17"/>
          <w:color w:val="auto"/>
        </w:rPr>
      </w:pPr>
    </w:p>
    <w:p>
      <w:pPr>
        <w:ind w:left="780" w:right="80" w:hanging="404"/>
        <w:spacing w:after="0" w:line="286"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Consists of (i) 218,840 shares of Class A Common Stock held directly by Boothbay Absolute Return Strategies, LP, (ii) 33,599 shares of Class A Common Stock that may be acquired upon the exercise of warrants held directly by Boothbay Absolute Return Strategies, LP, (iii) 120,130 shares of Class A Common Stock held directly by Boothbay Diversified Alpha Master Fund, LP, (iv) 18,446 shares of Class A Common Stock that may be acquired upon the exercise of warrants held directly by Boothbay Diversified Alpha Master Fund, LP and (v) 261,030 shares of Class A Common Stock held directly by Seven Grand Partners, LLC. Chris Fahy, the Managing Member of Seven Grand Partners GP LLC, the General Partner of the Selling Securityholders, has the power to vote or dispose of the shares held directly by the Selling Securityholders.</w:t>
      </w:r>
    </w:p>
    <w:p>
      <w:pPr>
        <w:spacing w:after="0" w:line="1" w:lineRule="exact"/>
        <w:rPr>
          <w:rFonts w:ascii="Arial" w:cs="Arial" w:eastAsia="Arial" w:hAnsi="Arial"/>
          <w:sz w:val="15"/>
          <w:szCs w:val="15"/>
          <w:color w:val="auto"/>
        </w:rPr>
      </w:pPr>
    </w:p>
    <w:p>
      <w:pPr>
        <w:jc w:val="both"/>
        <w:ind w:left="780" w:right="120" w:hanging="404"/>
        <w:spacing w:after="0" w:line="268"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Alyeska Investment Group, L.P., the investment manager of Alyeska Master Fund, L.P. (the “</w:t>
      </w:r>
      <w:r>
        <w:rPr>
          <w:rFonts w:ascii="Arial" w:cs="Arial" w:eastAsia="Arial" w:hAnsi="Arial"/>
          <w:sz w:val="16"/>
          <w:szCs w:val="16"/>
          <w:b w:val="1"/>
          <w:bCs w:val="1"/>
          <w:color w:val="auto"/>
        </w:rPr>
        <w:t>Alyeska</w:t>
      </w:r>
      <w:r>
        <w:rPr>
          <w:rFonts w:ascii="Arial" w:cs="Arial" w:eastAsia="Arial" w:hAnsi="Arial"/>
          <w:sz w:val="16"/>
          <w:szCs w:val="16"/>
          <w:color w:val="auto"/>
        </w:rPr>
        <w:t>”),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w:t>
      </w:r>
    </w:p>
    <w:p>
      <w:pPr>
        <w:spacing w:after="0" w:line="1" w:lineRule="exact"/>
        <w:rPr>
          <w:rFonts w:ascii="Arial" w:cs="Arial" w:eastAsia="Arial" w:hAnsi="Arial"/>
          <w:sz w:val="16"/>
          <w:szCs w:val="16"/>
          <w:color w:val="auto"/>
        </w:rPr>
      </w:pPr>
    </w:p>
    <w:p>
      <w:pPr>
        <w:jc w:val="both"/>
        <w:ind w:left="780" w:right="140" w:hanging="404"/>
        <w:spacing w:after="0" w:line="252"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(i) 550,389 shares of Class A Common Stock that may be acquired upon the exchange of a corresponding number of Paired Interests and (ii) 15,580 shares of Class A Common Stock. Stuart Shalowitz may be deemed the beneficial owner of the shares held directly by the Selling Securityholder.</w:t>
      </w:r>
    </w:p>
    <w:p>
      <w:pPr>
        <w:spacing w:after="0" w:line="1" w:lineRule="exact"/>
        <w:rPr>
          <w:rFonts w:ascii="Arial" w:cs="Arial" w:eastAsia="Arial" w:hAnsi="Arial"/>
          <w:sz w:val="17"/>
          <w:szCs w:val="17"/>
          <w:color w:val="auto"/>
        </w:rPr>
      </w:pPr>
    </w:p>
    <w:p>
      <w:pPr>
        <w:ind w:left="780" w:right="460" w:hanging="404"/>
        <w:spacing w:after="0" w:line="265"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(i) 275,000 shares of Class A Common Stock held directly by Blackwell Partners LLC—Series A, (ii) 125,000 shares of Class A Common Stock held directly by STAR V PARTNERS LLC and</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880"/>
          </w:cols>
          <w:pgMar w:left="320" w:top="471" w:right="69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780" w:right="260"/>
        <w:spacing w:after="0" w:line="257" w:lineRule="auto"/>
        <w:rPr>
          <w:sz w:val="20"/>
          <w:szCs w:val="20"/>
          <w:color w:val="auto"/>
        </w:rPr>
      </w:pPr>
      <w:r>
        <w:rPr>
          <w:rFonts w:ascii="Arial" w:cs="Arial" w:eastAsia="Arial" w:hAnsi="Arial"/>
          <w:sz w:val="17"/>
          <w:szCs w:val="17"/>
          <w:color w:val="auto"/>
        </w:rPr>
        <w:t>(iii) 100,000 shares of Class A Common Stock held directly by MASO CAPITAL INVESTMENTS LIMITED. Manoj Jain and Sohit Khurana, Directors and Co-CIOs of Maso Capital Partners Limited, the Investment Manager of the Selling Securityholders have the power to vote or dispose of the shares held directly by the Selling Securityholders.</w:t>
      </w:r>
    </w:p>
    <w:p>
      <w:pPr>
        <w:ind w:left="780" w:right="80" w:hanging="404"/>
        <w:spacing w:after="0" w:line="268"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145,392 shares of Class A Common Stock held directly by BEMAP Master Fund Ltd., (ii) 124,848 shares of Class A Common Stock held directly by DS Liquid Div RVA MON LLC , (iii) 101,519 shares of Class A Common Stock held directly by Monashee Solitario Fund LP, (iv) 84,486 shares of Class A Common Stock held directly by Monashee Pure Alpha SPV I LP, (v) 24,692 shares of Class A Common Stock held directly by SFL SPV I LLC, (vi) 19,063 shares of Class A Common Stock held directly by Bespoke Alpha MAC MIM LP. Jeff Muller COO, Monashee Investment Management LLC, has the power to vote or dispose of the shares held by the Selling Securityholders.</w:t>
      </w:r>
    </w:p>
    <w:p>
      <w:pPr>
        <w:spacing w:after="0" w:line="1" w:lineRule="exact"/>
        <w:rPr>
          <w:rFonts w:ascii="Arial" w:cs="Arial" w:eastAsia="Arial" w:hAnsi="Arial"/>
          <w:sz w:val="16"/>
          <w:szCs w:val="16"/>
          <w:color w:val="auto"/>
        </w:rPr>
      </w:pPr>
    </w:p>
    <w:p>
      <w:pPr>
        <w:ind w:left="780" w:hanging="404"/>
        <w:spacing w:after="0" w:line="268"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203,210 shares of Class A Common Stock held directly by Nantahala Capital Partners SI, LP, (ii) 98,232 shares of Class A Common Stock held directly by Nantahala Capital Partners II Limited Partnership, (iii) 87,380 shares of Class A Common Stock held directly by Blackwell Partners LLC—Series A, (iv) 41,020 shares of Class A Common Stock held directly by NCP QR LP, (v) 36,688 shares of Class A Common Stock held directly by NCP RFM LP and (vi) 33,470 shares of Class A Common Stock held directly by Nantahala Capital Partners Limited Partnership. Nantahala Capital Management, LLC is a Registered Investment Adviser and has been delegated the legal power to vote and/or direct the disposition of such securities on behalf of the selling stockholder as a General Partner or Investment Manager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spacing w:after="0" w:line="3" w:lineRule="exact"/>
        <w:rPr>
          <w:rFonts w:ascii="Arial" w:cs="Arial" w:eastAsia="Arial" w:hAnsi="Arial"/>
          <w:sz w:val="16"/>
          <w:szCs w:val="16"/>
          <w:color w:val="auto"/>
        </w:rPr>
      </w:pPr>
    </w:p>
    <w:p>
      <w:pPr>
        <w:ind w:left="780" w:hanging="404"/>
        <w:spacing w:after="0" w:line="268"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w:t>
      </w:r>
      <w:r>
        <w:rPr>
          <w:rFonts w:ascii="Arial" w:cs="Arial" w:eastAsia="Arial" w:hAnsi="Arial"/>
          <w:sz w:val="16"/>
          <w:szCs w:val="16"/>
          <w:b w:val="1"/>
          <w:bCs w:val="1"/>
          <w:color w:val="auto"/>
        </w:rPr>
        <w:t>Kepos GP</w:t>
      </w:r>
      <w:r>
        <w:rPr>
          <w:rFonts w:ascii="Arial" w:cs="Arial" w:eastAsia="Arial" w:hAnsi="Arial"/>
          <w:sz w:val="16"/>
          <w:szCs w:val="16"/>
          <w:color w:val="auto"/>
        </w:rPr>
        <w:t>”) and the Managing Member of Kepos Partners LLC is Kepos Partners MM LLC (“</w:t>
      </w:r>
      <w:r>
        <w:rPr>
          <w:rFonts w:ascii="Arial" w:cs="Arial" w:eastAsia="Arial" w:hAnsi="Arial"/>
          <w:sz w:val="16"/>
          <w:szCs w:val="16"/>
          <w:b w:val="1"/>
          <w:bCs w:val="1"/>
          <w:color w:val="auto"/>
        </w:rPr>
        <w:t>Kepos MM</w:t>
      </w:r>
      <w:r>
        <w:rPr>
          <w:rFonts w:ascii="Arial" w:cs="Arial" w:eastAsia="Arial" w:hAnsi="Arial"/>
          <w:sz w:val="16"/>
          <w:szCs w:val="16"/>
          <w:color w:val="auto"/>
        </w:rPr>
        <w:t>”). Mark Carhart controls Kepos GP and Kepos MM and, accordingly, may be deemed to have voting and dispositive power with respect to the shares held by this Selling Securityholder. Mr. Carhart disclaims beneficial ownership of the shares held by the Selling Securityholder.</w:t>
      </w:r>
    </w:p>
    <w:p>
      <w:pPr>
        <w:spacing w:after="0" w:line="1" w:lineRule="exact"/>
        <w:rPr>
          <w:rFonts w:ascii="Arial" w:cs="Arial" w:eastAsia="Arial" w:hAnsi="Arial"/>
          <w:sz w:val="16"/>
          <w:szCs w:val="16"/>
          <w:color w:val="auto"/>
        </w:rPr>
      </w:pPr>
    </w:p>
    <w:p>
      <w:pPr>
        <w:ind w:left="780" w:right="20" w:hanging="404"/>
        <w:spacing w:after="0" w:line="252" w:lineRule="auto"/>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Sculptor Special Funding, LP (“</w:t>
      </w:r>
      <w:r>
        <w:rPr>
          <w:rFonts w:ascii="Arial" w:cs="Arial" w:eastAsia="Arial" w:hAnsi="Arial"/>
          <w:sz w:val="17"/>
          <w:szCs w:val="17"/>
          <w:b w:val="1"/>
          <w:bCs w:val="1"/>
          <w:color w:val="auto"/>
        </w:rPr>
        <w:t>NRMD</w:t>
      </w:r>
      <w:r>
        <w:rPr>
          <w:rFonts w:ascii="Arial" w:cs="Arial" w:eastAsia="Arial" w:hAnsi="Arial"/>
          <w:sz w:val="17"/>
          <w:szCs w:val="17"/>
          <w:color w:val="auto"/>
        </w:rPr>
        <w:t>”), a Cayman Islands exempted limited partnership, is the beneficial owner of 500,000 shares of Class A Common Stock. NRMD is wholly owned by Sculptor Master Fund, Ltd. (“</w:t>
      </w:r>
      <w:r>
        <w:rPr>
          <w:rFonts w:ascii="Arial" w:cs="Arial" w:eastAsia="Arial" w:hAnsi="Arial"/>
          <w:sz w:val="17"/>
          <w:szCs w:val="17"/>
          <w:b w:val="1"/>
          <w:bCs w:val="1"/>
          <w:color w:val="auto"/>
        </w:rPr>
        <w:t>SCMF</w:t>
      </w:r>
      <w:r>
        <w:rPr>
          <w:rFonts w:ascii="Arial" w:cs="Arial" w:eastAsia="Arial" w:hAnsi="Arial"/>
          <w:sz w:val="17"/>
          <w:szCs w:val="17"/>
          <w:color w:val="auto"/>
        </w:rPr>
        <w:t>”), a Cayman Islands exempted limited partnership, and thus SCMF may be deemed a beneficial owner of the shares held by NRMD. Sculptor Capital LP (“</w:t>
      </w:r>
      <w:r>
        <w:rPr>
          <w:rFonts w:ascii="Arial" w:cs="Arial" w:eastAsia="Arial" w:hAnsi="Arial"/>
          <w:sz w:val="17"/>
          <w:szCs w:val="17"/>
          <w:b w:val="1"/>
          <w:bCs w:val="1"/>
          <w:color w:val="auto"/>
        </w:rPr>
        <w:t>Sculptor</w:t>
      </w:r>
      <w:r>
        <w:rPr>
          <w:rFonts w:ascii="Arial" w:cs="Arial" w:eastAsia="Arial" w:hAnsi="Arial"/>
          <w:sz w:val="17"/>
          <w:szCs w:val="17"/>
          <w:color w:val="auto"/>
        </w:rPr>
        <w:t>”), a Delaware limited partnership, is the investment adviser to NRMD and SCMF and thus may be deemed a beneficial owner of the shares held by NRMD and SCMF. Sculptor Capital Holding Corporation, a Delaware corporation (“</w:t>
      </w:r>
      <w:r>
        <w:rPr>
          <w:rFonts w:ascii="Arial" w:cs="Arial" w:eastAsia="Arial" w:hAnsi="Arial"/>
          <w:sz w:val="17"/>
          <w:szCs w:val="17"/>
          <w:b w:val="1"/>
          <w:bCs w:val="1"/>
          <w:color w:val="auto"/>
        </w:rPr>
        <w:t>SCHC</w:t>
      </w:r>
      <w:r>
        <w:rPr>
          <w:rFonts w:ascii="Arial" w:cs="Arial" w:eastAsia="Arial" w:hAnsi="Arial"/>
          <w:sz w:val="17"/>
          <w:szCs w:val="17"/>
          <w:color w:val="auto"/>
        </w:rPr>
        <w:t>”), serves as the sole general partner of Sculptor. As such, SCHC may be deemed to control Sculptor and, therefore, may be deemed a beneficial owner of the shares held by NRMD and SCMF. Sculptor Capital Management, Inc. (“</w:t>
      </w:r>
      <w:r>
        <w:rPr>
          <w:rFonts w:ascii="Arial" w:cs="Arial" w:eastAsia="Arial" w:hAnsi="Arial"/>
          <w:sz w:val="17"/>
          <w:szCs w:val="17"/>
          <w:b w:val="1"/>
          <w:bCs w:val="1"/>
          <w:color w:val="auto"/>
        </w:rPr>
        <w:t>SCU</w:t>
      </w:r>
      <w:r>
        <w:rPr>
          <w:rFonts w:ascii="Arial" w:cs="Arial" w:eastAsia="Arial" w:hAnsi="Arial"/>
          <w:sz w:val="17"/>
          <w:szCs w:val="17"/>
          <w:color w:val="auto"/>
        </w:rPr>
        <w:t>”), a Delaware corporation, is the sole shareholder of SCHC, and may be deemed a beneficial owner of the shares in the accounts managed by Sculptor, including NRMD and SCMF.</w:t>
      </w:r>
    </w:p>
    <w:p>
      <w:pPr>
        <w:spacing w:after="0" w:line="4" w:lineRule="exact"/>
        <w:rPr>
          <w:rFonts w:ascii="Arial" w:cs="Arial" w:eastAsia="Arial" w:hAnsi="Arial"/>
          <w:sz w:val="17"/>
          <w:szCs w:val="17"/>
          <w:color w:val="auto"/>
        </w:rPr>
      </w:pPr>
    </w:p>
    <w:p>
      <w:pPr>
        <w:ind w:left="780" w:hanging="404"/>
        <w:spacing w:after="0" w:line="268"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77,894 shares held by Glazer Enhanced Fund L.P., (ii) 183,607 shares held by Glazer Enhanced Offshore Fund, Ltd., and (iii) 38,499 shares held by Highmark Limited, In Respect of Its Segregated Account, Highmark Multi-Strategy 2 (collectively, the “</w:t>
      </w:r>
      <w:r>
        <w:rPr>
          <w:rFonts w:ascii="Arial" w:cs="Arial" w:eastAsia="Arial" w:hAnsi="Arial"/>
          <w:sz w:val="16"/>
          <w:szCs w:val="16"/>
          <w:b w:val="1"/>
          <w:bCs w:val="1"/>
          <w:color w:val="auto"/>
        </w:rPr>
        <w:t>Glazer Funds</w:t>
      </w:r>
      <w:r>
        <w:rPr>
          <w:rFonts w:ascii="Arial" w:cs="Arial" w:eastAsia="Arial" w:hAnsi="Arial"/>
          <w:sz w:val="16"/>
          <w:szCs w:val="16"/>
          <w:color w:val="auto"/>
        </w:rPr>
        <w:t>”). Voting and investment power over the shares held by such entities resides with their investment manager, Glazer Capital, LLC (“</w:t>
      </w:r>
      <w:r>
        <w:rPr>
          <w:rFonts w:ascii="Arial" w:cs="Arial" w:eastAsia="Arial" w:hAnsi="Arial"/>
          <w:sz w:val="16"/>
          <w:szCs w:val="16"/>
          <w:b w:val="1"/>
          <w:bCs w:val="1"/>
          <w:color w:val="auto"/>
        </w:rPr>
        <w:t>Glazer</w:t>
      </w:r>
      <w:r>
        <w:rPr>
          <w:rFonts w:ascii="Arial" w:cs="Arial" w:eastAsia="Arial" w:hAnsi="Arial"/>
          <w:sz w:val="16"/>
          <w:szCs w:val="16"/>
          <w:color w:val="auto"/>
        </w:rPr>
        <w:t xml:space="preserve"> </w:t>
      </w:r>
      <w:r>
        <w:rPr>
          <w:rFonts w:ascii="Arial" w:cs="Arial" w:eastAsia="Arial" w:hAnsi="Arial"/>
          <w:sz w:val="16"/>
          <w:szCs w:val="16"/>
          <w:b w:val="1"/>
          <w:bCs w:val="1"/>
          <w:color w:val="auto"/>
        </w:rPr>
        <w:t>Capital</w:t>
      </w:r>
      <w:r>
        <w:rPr>
          <w:rFonts w:ascii="Arial" w:cs="Arial" w:eastAsia="Arial" w:hAnsi="Arial"/>
          <w:sz w:val="16"/>
          <w:szCs w:val="16"/>
          <w:color w:val="auto"/>
        </w:rPr>
        <w:t>”). Mr. Paul J. Glazer (“</w:t>
      </w:r>
      <w:r>
        <w:rPr>
          <w:rFonts w:ascii="Arial" w:cs="Arial" w:eastAsia="Arial" w:hAnsi="Arial"/>
          <w:sz w:val="16"/>
          <w:szCs w:val="16"/>
          <w:b w:val="1"/>
          <w:bCs w:val="1"/>
          <w:color w:val="auto"/>
        </w:rPr>
        <w:t>Mr. Glazer</w:t>
      </w:r>
      <w:r>
        <w:rPr>
          <w:rFonts w:ascii="Arial" w:cs="Arial" w:eastAsia="Arial" w:hAnsi="Arial"/>
          <w:sz w:val="16"/>
          <w:szCs w:val="16"/>
          <w:color w:val="auto"/>
        </w:rPr>
        <w:t>”), serves as the Managing Member of Glazer Capital and may be deemed to be the beneficial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held by such entities. Mr. Glazer, however, disclaims any beneficial ownership of the shares held by such entities.</w:t>
      </w:r>
    </w:p>
    <w:p>
      <w:pPr>
        <w:spacing w:after="0" w:line="1" w:lineRule="exact"/>
        <w:rPr>
          <w:rFonts w:ascii="Arial" w:cs="Arial" w:eastAsia="Arial" w:hAnsi="Arial"/>
          <w:sz w:val="16"/>
          <w:szCs w:val="16"/>
          <w:color w:val="auto"/>
        </w:rPr>
      </w:pPr>
    </w:p>
    <w:p>
      <w:pPr>
        <w:ind w:left="780" w:right="240" w:hanging="404"/>
        <w:spacing w:after="0" w:line="259" w:lineRule="auto"/>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(i) 171,827 shares of Class A Common Stock held directly by Arbitrage Fund, (ii) 71,816 shares of Class A Common Stock held directly by PartnerSelect Alternative Strategies Fund, (iii) 29,314 shares of Class A Common Stock held directly by Water Island Event-Driven Fund, (iv) 15,580 shares of Class A</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860"/>
          </w:cols>
          <w:pgMar w:left="320" w:top="471" w:right="71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780" w:right="80"/>
        <w:spacing w:after="0" w:line="291" w:lineRule="auto"/>
        <w:rPr>
          <w:sz w:val="20"/>
          <w:szCs w:val="20"/>
          <w:color w:val="auto"/>
        </w:rPr>
      </w:pPr>
      <w:r>
        <w:rPr>
          <w:rFonts w:ascii="Arial" w:cs="Arial" w:eastAsia="Arial" w:hAnsi="Arial"/>
          <w:sz w:val="15"/>
          <w:szCs w:val="15"/>
          <w:color w:val="auto"/>
        </w:rPr>
        <w:t>Common Stock held directly by Water Island Merger Arbitrage Institutional Commingled Fund, LP, (v) 8,973 shares of Class A Common Stock held directly by Morningstar Alternatives Fund and (vi) shares of Class A Common Stock held directly by AltShares Event-Driven ETF. John Orrico, president and CIO of Water Island Capital, LLC, has the power to vote or dispose of the shares held by the Selling Securityholders.</w:t>
      </w:r>
    </w:p>
    <w:p>
      <w:pPr>
        <w:spacing w:after="0" w:line="1" w:lineRule="exact"/>
        <w:rPr>
          <w:sz w:val="20"/>
          <w:szCs w:val="20"/>
          <w:color w:val="auto"/>
        </w:rPr>
      </w:pPr>
    </w:p>
    <w:p>
      <w:pPr>
        <w:ind w:left="780" w:right="260" w:hanging="404"/>
        <w:spacing w:after="0" w:line="252" w:lineRule="auto"/>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Michael Germino, Managing Member of Ghisallo Capital Management LLC, the shareholder’s investment manager, has the power to vote or dispose of the shares held by the Selling Securityholder.</w:t>
      </w:r>
    </w:p>
    <w:p>
      <w:pPr>
        <w:spacing w:after="0" w:line="1" w:lineRule="exact"/>
        <w:rPr>
          <w:rFonts w:ascii="Arial" w:cs="Arial" w:eastAsia="Arial" w:hAnsi="Arial"/>
          <w:sz w:val="17"/>
          <w:szCs w:val="17"/>
          <w:color w:val="auto"/>
        </w:rPr>
      </w:pPr>
    </w:p>
    <w:p>
      <w:pPr>
        <w:ind w:left="780" w:right="160" w:hanging="404"/>
        <w:spacing w:after="0" w:line="286" w:lineRule="auto"/>
        <w:tabs>
          <w:tab w:leader="none" w:pos="7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120,000 shares of Class A Common Stock held directly by Benjamin Nickoll, (ii) 45,000 shares of Class A Common Stock held directly by Equity Trust Company as Custodian and (iii) 70,000 shares of Class Common Stock held directly by John F Nickoll Marital Trust. Mr. Benjamin Nickoll is the beneficial owner of the shares held by Equity Trust Company and the trustee of the John F Nickoll Marital Trust.</w:t>
      </w:r>
    </w:p>
    <w:p>
      <w:pPr>
        <w:jc w:val="both"/>
        <w:ind w:left="780" w:hanging="404"/>
        <w:spacing w:after="0" w:line="252" w:lineRule="auto"/>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Consists of (i) 220,155 shares of Class A Common Stock that may be acquired upon the exchange of a corresponding number of Paired Interests held directly by Protocol Ventures LP and (ii) 6,232 shares of Class A Common Stock held directly by Richard Marini. Mr. Marini has the power to vote or dispose of the shares held by Protocol Ventures LP.</w:t>
      </w:r>
    </w:p>
    <w:p>
      <w:pPr>
        <w:spacing w:after="0" w:line="1" w:lineRule="exact"/>
        <w:rPr>
          <w:rFonts w:ascii="Arial" w:cs="Arial" w:eastAsia="Arial" w:hAnsi="Arial"/>
          <w:sz w:val="17"/>
          <w:szCs w:val="17"/>
          <w:color w:val="auto"/>
        </w:rPr>
      </w:pPr>
    </w:p>
    <w:p>
      <w:pPr>
        <w:ind w:left="780" w:hanging="404"/>
        <w:spacing w:after="0"/>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John Irish, Manager of the Selling Securityholder, has the power to vote or dispose of the shares held by the Selling Securityholder.</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Selling Securityholder was a member of the Board prior to the Business Combination.</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Selling Securityholder was a member of the Board prior to the Business Combination.</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Selling Securityholder was a member of the Board prior to the Business Combination.</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David S. Untracht, the Trustee of the Selling Securityholder, has the power to vote or dispose of the shares held by the Selling Securityholder.</w:t>
      </w:r>
    </w:p>
    <w:p>
      <w:pPr>
        <w:spacing w:after="0" w:line="16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740"/>
          </w:cols>
          <w:pgMar w:left="320" w:top="471" w:right="8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DESCRIPTION OF SECURITIES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General</w:t>
      </w:r>
    </w:p>
    <w:p>
      <w:pPr>
        <w:spacing w:after="0" w:line="119"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The following is a summary of the rights of the Company’s securities and certain provisions of the Certificate of Incorporation and By-Laws. This summary does not purport to be complete and is qualified in its entirety by the provisions of the Certificate of Incorporation and By-Laws, copies of which have been filed as exhibits to the registration statement of which this prospectus is a part.</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Authorized and Outstanding Stock</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authorized capital stock of the Company consists of 1,001,000,000 shares of capital stock, $0.0001 par value per share, of which:</w:t>
      </w:r>
    </w:p>
    <w:p>
      <w:pPr>
        <w:spacing w:after="0" w:line="138" w:lineRule="exact"/>
        <w:rPr>
          <w:sz w:val="20"/>
          <w:szCs w:val="20"/>
          <w:color w:val="auto"/>
        </w:rPr>
      </w:pPr>
    </w:p>
    <w:p>
      <w:pPr>
        <w:ind w:left="1300" w:hanging="410"/>
        <w:spacing w:after="0"/>
        <w:tabs>
          <w:tab w:leader="none" w:pos="13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750,000,000 shares are designated as Class A Common Stock;</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250,000,000 shares are designated as Class V Common Stock;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1,000,000 shares are designated as Preferred Stock.</w:t>
      </w:r>
    </w:p>
    <w:p>
      <w:pPr>
        <w:spacing w:after="0" w:line="216"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As of December 3, 2021, there were 57,164,283 shares of Class A Common Stock, 207,406,648 shares of Class V Common Stock outstanding and no shares of Preferred Stock outstanding. Each outstanding share of Class V Common Stock is paired with, and inseparable from, one Opco Common Unit (representing a limited liability company interest in Opco), and together they form one Paired Interest. No Opco Common Unit may exist without the corresponding share of Class V Common Stock (and no Class V Common Stock shall exist other than in conjunction with an Opco Common Unit), which together comprise the Paired Interests.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Common Stock</w:t>
      </w:r>
    </w:p>
    <w:p>
      <w:pPr>
        <w:spacing w:after="0" w:line="119" w:lineRule="exact"/>
        <w:rPr>
          <w:sz w:val="20"/>
          <w:szCs w:val="20"/>
          <w:color w:val="auto"/>
        </w:rPr>
      </w:pPr>
    </w:p>
    <w:p>
      <w:pPr>
        <w:ind w:left="380" w:right="380" w:firstLine="420"/>
        <w:spacing w:after="0" w:line="278" w:lineRule="auto"/>
        <w:rPr>
          <w:sz w:val="20"/>
          <w:szCs w:val="20"/>
          <w:color w:val="auto"/>
        </w:rPr>
      </w:pPr>
      <w:r>
        <w:rPr>
          <w:rFonts w:ascii="Arial" w:cs="Arial" w:eastAsia="Arial" w:hAnsi="Arial"/>
          <w:sz w:val="17"/>
          <w:szCs w:val="17"/>
          <w:color w:val="auto"/>
        </w:rPr>
        <w:t>The Certificate of Incorporation authorizes two classes of common stock: Class A Common Stock and Class V Common Stock. The rights of holders of Class A Common Stock and Class V Common Stock are identical, except as set forth below.</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3" w:lineRule="exact"/>
        <w:rPr>
          <w:sz w:val="20"/>
          <w:szCs w:val="20"/>
          <w:color w:val="auto"/>
        </w:rPr>
      </w:pPr>
    </w:p>
    <w:p>
      <w:pPr>
        <w:ind w:left="380" w:right="420" w:firstLine="420"/>
        <w:spacing w:after="0" w:line="347" w:lineRule="auto"/>
        <w:rPr>
          <w:sz w:val="20"/>
          <w:szCs w:val="20"/>
          <w:color w:val="auto"/>
        </w:rPr>
      </w:pPr>
      <w:r>
        <w:rPr>
          <w:rFonts w:ascii="Arial" w:cs="Arial" w:eastAsia="Arial" w:hAnsi="Arial"/>
          <w:sz w:val="15"/>
          <w:szCs w:val="15"/>
          <w:color w:val="auto"/>
        </w:rPr>
        <w:t>Subject to preferences that may be applicable to any outstanding Preferred Stock, holders of shares of Class A Common Stock are entitled to receive ratably such dividends, if any, as may be declared from time to time by the Board out of funds legally available for such purposes.</w:t>
      </w:r>
    </w:p>
    <w:p>
      <w:pPr>
        <w:spacing w:after="0" w:line="119" w:lineRule="exact"/>
        <w:rPr>
          <w:sz w:val="20"/>
          <w:szCs w:val="20"/>
          <w:color w:val="auto"/>
        </w:rPr>
      </w:pPr>
    </w:p>
    <w:p>
      <w:pPr>
        <w:ind w:left="380" w:right="320" w:firstLine="420"/>
        <w:spacing w:after="0" w:line="311" w:lineRule="auto"/>
        <w:rPr>
          <w:sz w:val="20"/>
          <w:szCs w:val="20"/>
          <w:color w:val="auto"/>
        </w:rPr>
      </w:pPr>
      <w:r>
        <w:rPr>
          <w:rFonts w:ascii="Arial" w:cs="Arial" w:eastAsia="Arial" w:hAnsi="Arial"/>
          <w:sz w:val="16"/>
          <w:szCs w:val="16"/>
          <w:color w:val="auto"/>
        </w:rPr>
        <w:t>Shares of Class V Common Stock are not entitled to dividends declared by the Board. However, holders of shares Class V Common Stock are entitled to pro rata distributions by virtue of holding Opco Common Units paired with such shares of Class V Common Stock.</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Voting Rights</w:t>
      </w:r>
    </w:p>
    <w:p>
      <w:pPr>
        <w:spacing w:after="0" w:line="113"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Except as set forth in the Voting Agreement, each holder of Class A Common Stock and Class V Common Stock is entitled to one vote for each share of Class A Common Stock and each share of Class V Common Stock held of record by such holder on all matters on which stockholders generally are entitled to vote. Holders of Class A Common Stock and Class V Common Stock do not have cumulative voting rights in the election of directors. Holders of Class V Common Stock will vote together with holders of the Class A Common Stock as a single class on all matters presented to the Company’s stockholders for their vote or approval, other than as required by the DGCL.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860"/>
          </w:cols>
          <w:pgMar w:left="320" w:top="471" w:right="71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113" w:lineRule="exact"/>
        <w:rPr>
          <w:sz w:val="20"/>
          <w:szCs w:val="20"/>
          <w:color w:val="auto"/>
        </w:rPr>
      </w:pPr>
    </w:p>
    <w:p>
      <w:pPr>
        <w:ind w:left="380" w:right="200" w:firstLine="420"/>
        <w:spacing w:after="0" w:line="289" w:lineRule="auto"/>
        <w:rPr>
          <w:sz w:val="20"/>
          <w:szCs w:val="20"/>
          <w:color w:val="auto"/>
        </w:rPr>
      </w:pPr>
      <w:r>
        <w:rPr>
          <w:rFonts w:ascii="Arial" w:cs="Arial" w:eastAsia="Arial" w:hAnsi="Arial"/>
          <w:sz w:val="16"/>
          <w:szCs w:val="16"/>
          <w:color w:val="auto"/>
        </w:rPr>
        <w:t>In the event of any voluntary or involuntary liquidation, dissolution or winding up of the Company’s affairs, holders of Class A Common Stock are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59"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color w:val="auto"/>
        </w:rPr>
        <w:t>In the event of any voluntary or involuntary liquidation, dissolution or winding up of the Company’s affairs, holders of Class V Common Stock are not entitled to receive any assets of the Company; however, by virtue of holding Opco Units, such holders are entitled to share ratably in all assets of Opco remaining after payment of Opco’s debts and other liabilities.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shares of Class A Common Stock and Class V Common Stock are fully paid and non-assessable.</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 Preemptive, Conversion or Similar Rights</w:t>
      </w:r>
    </w:p>
    <w:p>
      <w:pPr>
        <w:spacing w:after="0" w:line="113"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The holders of Class A Common Stock and Class V Common Stock have no pre-emptive or conversion rights or other subscription rights. There are no redemption or sinking fund provisions applicable to the Class A Common Stock or the Class V Common Stock. The rights, preferences and privileges of holders of the Class A Common Stock and Class V Common Stock will be subject to those of holders of any shares of the Preferred Stock the Company may issue in the future.</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and Retirement of Class V Common Stock</w:t>
      </w:r>
    </w:p>
    <w:p>
      <w:pPr>
        <w:spacing w:after="0" w:line="113" w:lineRule="exact"/>
        <w:rPr>
          <w:sz w:val="20"/>
          <w:szCs w:val="20"/>
          <w:color w:val="auto"/>
        </w:rPr>
      </w:pPr>
    </w:p>
    <w:p>
      <w:pPr>
        <w:ind w:left="380" w:right="100" w:firstLine="420"/>
        <w:spacing w:after="0" w:line="306" w:lineRule="auto"/>
        <w:rPr>
          <w:sz w:val="20"/>
          <w:szCs w:val="20"/>
          <w:color w:val="auto"/>
        </w:rPr>
      </w:pPr>
      <w:r>
        <w:rPr>
          <w:rFonts w:ascii="Arial" w:cs="Arial" w:eastAsia="Arial" w:hAnsi="Arial"/>
          <w:sz w:val="15"/>
          <w:szCs w:val="15"/>
          <w:color w:val="auto"/>
        </w:rPr>
        <w:t>Outstanding shares of Class V Common Stock will be retired upon the surrender to the Company of Paired Interests in exchange for shares of Class A Common Stock or a cash amount, as specified in the Exchange Agreement. The Company will not issue additional shares of Class V Common Stock other than in connection with the valid issuance or transfer of paired Opco Common Units, in accordance with the Opco LLC Agreement. Please see “</w:t>
      </w:r>
      <w:r>
        <w:rPr>
          <w:rFonts w:ascii="Arial" w:cs="Arial" w:eastAsia="Arial" w:hAnsi="Arial"/>
          <w:sz w:val="15"/>
          <w:szCs w:val="15"/>
          <w:i w:val="1"/>
          <w:iCs w:val="1"/>
          <w:color w:val="auto"/>
        </w:rPr>
        <w:t>Certain Relationships and Related Party Transactions—Transactions Related to the Business Combination</w:t>
      </w:r>
      <w:r>
        <w:rPr>
          <w:rFonts w:ascii="Arial" w:cs="Arial" w:eastAsia="Arial" w:hAnsi="Arial"/>
          <w:sz w:val="15"/>
          <w:szCs w:val="15"/>
          <w:color w:val="auto"/>
        </w:rPr>
        <w:t>” for more information.</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Preferred Stock</w:t>
      </w:r>
    </w:p>
    <w:p>
      <w:pPr>
        <w:spacing w:after="0" w:line="119"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The Certificate of Incorporation authorizes the Board to establish one or more series of Preferred Stock. Unless required by law or any stock exchange, the authorized shares of Preferred Stock are available for issuance without further action by holders of any class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64"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the stockholders. Additionally, the issuance of Preferred Stock may adversely affect holders of shares of common stock by restricting dividends on the Class A Common Stock, diluting the voting power of the Class A Common Stock and the Class V Common Stock or subordinating the liquidation rights of the Class A Common Stock. As a result of these or other factors, the issuance of Preferred Stock could have an adverse impact on the market price of the Class A Common Stock.</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Warrants</w:t>
      </w:r>
    </w:p>
    <w:p>
      <w:pPr>
        <w:spacing w:after="0" w:line="119" w:lineRule="exact"/>
        <w:rPr>
          <w:sz w:val="20"/>
          <w:szCs w:val="20"/>
          <w:color w:val="auto"/>
        </w:rPr>
      </w:pPr>
    </w:p>
    <w:p>
      <w:pPr>
        <w:ind w:left="380" w:right="100" w:firstLine="420"/>
        <w:spacing w:after="0" w:line="311" w:lineRule="auto"/>
        <w:rPr>
          <w:sz w:val="20"/>
          <w:szCs w:val="20"/>
          <w:color w:val="auto"/>
        </w:rPr>
      </w:pPr>
      <w:r>
        <w:rPr>
          <w:rFonts w:ascii="Arial" w:cs="Arial" w:eastAsia="Arial" w:hAnsi="Arial"/>
          <w:sz w:val="16"/>
          <w:szCs w:val="16"/>
          <w:color w:val="auto"/>
        </w:rPr>
        <w:t>As of December 3, 2021, there were an aggregate of 7,139,969 Warrants outstanding. As a result of the Domestication, the Warrants, which were previously exercisable for Class A Ordinary Shares, became warrants to purchase shares of Class A Common Stock.</w:t>
      </w:r>
    </w:p>
    <w:p>
      <w:pPr>
        <w:spacing w:after="0" w:line="7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840"/>
          </w:cols>
          <w:pgMar w:left="320" w:top="471" w:right="7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Each Warrant entitles the registered holder to purchase one share of Class A Common Stock at a price of $11.50 per share, subject to adjustment as discussed below, at any time starting on November 14, 2021. Pursuant to the Warrant Agreement, a Warrant Holder may exercise its Warrants only for a whole number of shares. This means that only an even number of Warrants may be exercised at any given time by a holder of Warrants. However, except as set forth below, no Warrants will be exercisable for cash unless the Company has an effective and current registration statement covering the Class A Common Stock issuable upon exercise of the Warrants and a current prospectus relating to such. Notwithstanding the foregoing, if a registration statement covering the Class A Common Stock is not effective within 60 business days from the Closing, holders of Warrants may, until such time as there is an effective registration statement and during any period when the Company fails to maintain an effective registration statement, exercise Warrants on a cashless basis pursuant to an available exemption from registration under the Securities Act. If an exemption from registration is not available, holders of Warrants will not be able to exercise their Warrants on a cashless basis. To the extent they are not redeemed or liquidated earlier, the Warrants will expire at 5:00 p.m., Eastern Time on October 15, 2026.</w:t>
      </w:r>
    </w:p>
    <w:p>
      <w:pPr>
        <w:spacing w:after="0" w:line="171" w:lineRule="exact"/>
        <w:rPr>
          <w:sz w:val="20"/>
          <w:szCs w:val="20"/>
          <w:color w:val="auto"/>
        </w:rPr>
      </w:pPr>
    </w:p>
    <w:p>
      <w:pPr>
        <w:ind w:left="380" w:firstLine="420"/>
        <w:spacing w:after="0" w:line="271" w:lineRule="auto"/>
        <w:rPr>
          <w:sz w:val="20"/>
          <w:szCs w:val="20"/>
          <w:color w:val="auto"/>
        </w:rPr>
      </w:pPr>
      <w:r>
        <w:rPr>
          <w:rFonts w:ascii="Arial" w:cs="Arial" w:eastAsia="Arial" w:hAnsi="Arial"/>
          <w:sz w:val="16"/>
          <w:szCs w:val="16"/>
          <w:color w:val="auto"/>
        </w:rPr>
        <w:t>If the shares of Class A Common Stock are, at the time of any exercise of a Warrant, not listed on a national securities exchange such that they satisfy the definition of “covered securities” under the Securities Act, the Company may, at its option, require holders of Warrants who exercise Warrants to exercise such Warrants on a “cashless basis” and (i) in the event the Company so elects, the Company will not be required to file or maintain in effect a registration statement for the registration, under the Securities Act, of the shares of Class A Common Stock issuable upon exercise of the Warrants, or (ii) if the Company does not so elect, the Company must use its best efforts to register or qualify for sale the shares of Class A Common Stock issuable upon exercise of the Warrants under the blue sky laws of the state of residence of the exercising Warrant holder to the extent an exemption is not available. If the Company requires the “cashless” exercise of Warrants, each holder would pay the exercise price by surrendering the Warrants for that number of shares of Class A Common Stock equal to the quotient obtained by dividing (x) the product of the number of shares underlying the Warrants, multiplied by the difference between the exercise price of the Warrants and the “fair market value” (defined below) by (y) the fair market value. The “fair market value” will mean the average reported last sale price of the shares of Class A Common Stock for the 10 trading days ending on the third trading day prior to the date on which the notice of redemption is sent to the holders of Warrants. Whether the Company will exercise its option to require all holders to exercise their Warrants on a “cashless basis” will depend on a variety of factors including the price of the shares of Class A Common Stock at the time the Warrants are called for redemption, The Company’s cash needs at such time and concerns regarding dilutive share issuances.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Redemption for Cash</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Company may call the Warrants for redemption, in whole and not in part, at a price of $0.01 per Warrant:</w:t>
      </w:r>
    </w:p>
    <w:p>
      <w:pPr>
        <w:spacing w:after="0" w:line="126" w:lineRule="exact"/>
        <w:rPr>
          <w:sz w:val="20"/>
          <w:szCs w:val="20"/>
          <w:color w:val="auto"/>
        </w:rPr>
      </w:pPr>
    </w:p>
    <w:p>
      <w:pPr>
        <w:ind w:left="1300" w:hanging="410"/>
        <w:spacing w:after="0"/>
        <w:tabs>
          <w:tab w:leader="none" w:pos="13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at any time while the Warrants are exercisable;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Warrants;</w:t>
      </w:r>
    </w:p>
    <w:p>
      <w:pPr>
        <w:spacing w:after="0" w:line="126" w:lineRule="exact"/>
        <w:rPr>
          <w:rFonts w:ascii="Arial" w:cs="Arial" w:eastAsia="Arial" w:hAnsi="Arial"/>
          <w:sz w:val="17"/>
          <w:szCs w:val="17"/>
          <w:color w:val="auto"/>
        </w:rPr>
      </w:pPr>
    </w:p>
    <w:p>
      <w:pPr>
        <w:ind w:left="1300" w:hanging="410"/>
        <w:spacing w:after="0" w:line="347" w:lineRule="auto"/>
        <w:tabs>
          <w:tab w:leader="none" w:pos="13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shares of the Class A Common Stock equals or exceeds $18.00 per share, for any 20 trading days within a 30-day trading period ending on the third business day prior to the notice of redemption to holders of Warrant; and</w:t>
      </w:r>
    </w:p>
    <w:p>
      <w:pPr>
        <w:spacing w:after="0" w:line="28" w:lineRule="exact"/>
        <w:rPr>
          <w:rFonts w:ascii="Arial" w:cs="Arial" w:eastAsia="Arial" w:hAnsi="Arial"/>
          <w:sz w:val="15"/>
          <w:szCs w:val="15"/>
          <w:color w:val="auto"/>
        </w:rPr>
      </w:pPr>
    </w:p>
    <w:p>
      <w:pPr>
        <w:jc w:val="both"/>
        <w:ind w:left="1300" w:right="80" w:hanging="410"/>
        <w:spacing w:after="0" w:line="347" w:lineRule="auto"/>
        <w:tabs>
          <w:tab w:leader="none" w:pos="13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if and only if, there is a current registration statement in effect with respect to the Class A Common Stock underlying such Warrants at the redemption date and for the entire 30-day trading period referred to above and continuing each day thereafter until the date of redemption.</w:t>
      </w:r>
    </w:p>
    <w:p>
      <w:pPr>
        <w:spacing w:after="0" w:line="5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860"/>
          </w:cols>
          <w:pgMar w:left="320" w:top="471" w:right="71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Redemption for Shares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Company may call the Warrants redemption of shares of Class A Common Stock, in whole and not in part, at a price of $0.10 per Warrant:</w:t>
      </w:r>
    </w:p>
    <w:p>
      <w:pPr>
        <w:spacing w:after="0" w:line="149" w:lineRule="exact"/>
        <w:rPr>
          <w:sz w:val="20"/>
          <w:szCs w:val="20"/>
          <w:color w:val="auto"/>
        </w:rPr>
      </w:pPr>
    </w:p>
    <w:p>
      <w:pPr>
        <w:ind w:left="1300" w:hanging="410"/>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any time while the Warrants are exercisable;</w:t>
      </w:r>
    </w:p>
    <w:p>
      <w:pPr>
        <w:spacing w:after="0" w:line="126" w:lineRule="exact"/>
        <w:rPr>
          <w:rFonts w:ascii="Arial" w:cs="Arial" w:eastAsia="Arial" w:hAnsi="Arial"/>
          <w:sz w:val="17"/>
          <w:szCs w:val="17"/>
          <w:color w:val="auto"/>
        </w:rPr>
      </w:pPr>
    </w:p>
    <w:p>
      <w:pPr>
        <w:ind w:left="1300" w:right="160" w:hanging="410"/>
        <w:spacing w:after="0" w:line="317" w:lineRule="auto"/>
        <w:tabs>
          <w:tab w:leader="none" w:pos="13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 xml:space="preserve">upon not less than 30 days’ prior written notice of redemption to each Warrant Holder;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holders will be able to exercise their Warrants on a cashless basis prior to redemption and receive that number of shares determined by reference to the table below, based on the redemption date and the “fair market value” (as defined below) of the Class A Common Stock except as otherwise described below;</w:t>
      </w:r>
    </w:p>
    <w:p>
      <w:pPr>
        <w:spacing w:after="0" w:line="49" w:lineRule="exact"/>
        <w:rPr>
          <w:rFonts w:ascii="Arial" w:cs="Arial" w:eastAsia="Arial" w:hAnsi="Arial"/>
          <w:sz w:val="15"/>
          <w:szCs w:val="15"/>
          <w:color w:val="auto"/>
        </w:rPr>
      </w:pPr>
    </w:p>
    <w:p>
      <w:pPr>
        <w:ind w:left="1300" w:right="20" w:hanging="410"/>
        <w:spacing w:after="0" w:line="311"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shares of the Class A Common Stock equals or exceeds $10.00 per share, for any 20 trading days within a 30-day trading period ending on the third business day prior to the notice of redemption to Warrant Holders;</w:t>
      </w:r>
    </w:p>
    <w:p>
      <w:pPr>
        <w:spacing w:after="0" w:line="50" w:lineRule="exact"/>
        <w:rPr>
          <w:rFonts w:ascii="Arial" w:cs="Arial" w:eastAsia="Arial" w:hAnsi="Arial"/>
          <w:sz w:val="16"/>
          <w:szCs w:val="16"/>
          <w:color w:val="auto"/>
        </w:rPr>
      </w:pPr>
    </w:p>
    <w:p>
      <w:pPr>
        <w:ind w:left="1300" w:right="260" w:hanging="410"/>
        <w:spacing w:after="0" w:line="265" w:lineRule="auto"/>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on the third trading day prior to the date on which the notice of redemption is sent to the Warrant Holders is less than $18.00 per share, the Warrants must be concurrently called for redemption on the same terms as the outstanding Warrants; and</w:t>
      </w:r>
    </w:p>
    <w:p>
      <w:pPr>
        <w:spacing w:after="0" w:line="85" w:lineRule="exact"/>
        <w:rPr>
          <w:rFonts w:ascii="Arial" w:cs="Arial" w:eastAsia="Arial" w:hAnsi="Arial"/>
          <w:sz w:val="17"/>
          <w:szCs w:val="17"/>
          <w:color w:val="auto"/>
        </w:rPr>
      </w:pPr>
    </w:p>
    <w:p>
      <w:pPr>
        <w:ind w:left="1300" w:right="100" w:hanging="410"/>
        <w:spacing w:after="0" w:line="347" w:lineRule="auto"/>
        <w:tabs>
          <w:tab w:leader="none" w:pos="13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and only if, there is a current registration statement in effect with respect to the Class A Common Stock underlying the Warrants at the redemption date and for the entire 30-day trading period referred to above and continuing each day thereafter until the date of redemption.</w:t>
      </w:r>
    </w:p>
    <w:p>
      <w:pPr>
        <w:spacing w:after="0" w:line="119" w:lineRule="exact"/>
        <w:rPr>
          <w:sz w:val="20"/>
          <w:szCs w:val="20"/>
          <w:color w:val="auto"/>
        </w:rPr>
      </w:pPr>
    </w:p>
    <w:p>
      <w:pPr>
        <w:ind w:left="380" w:right="160" w:firstLine="420"/>
        <w:spacing w:after="0" w:line="255"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the Company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volume-weighted average price of the shares of Class A Common Stock during the 10 trading days immediately following the date on which the notice of redemption is sent to the Warrant holders, and the number of months that the corresponding redemption date precedes the expiration date of the Warrants, each as set forth in the table below. The Company will provide Warrant holders with the final fair market value no later than one business day after the 10-trading day period described above ends.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16"/>
          </w:tcPr>
          <w:p>
            <w:pPr>
              <w:jc w:val="center"/>
              <w:ind w:right="140"/>
              <w:spacing w:after="0"/>
              <w:rPr>
                <w:sz w:val="20"/>
                <w:szCs w:val="20"/>
                <w:color w:val="auto"/>
              </w:rPr>
            </w:pPr>
            <w:r>
              <w:rPr>
                <w:rFonts w:ascii="Arial" w:cs="Arial" w:eastAsia="Arial" w:hAnsi="Arial"/>
                <w:sz w:val="14"/>
                <w:szCs w:val="14"/>
                <w:b w:val="1"/>
                <w:bCs w:val="1"/>
                <w:color w:val="auto"/>
                <w:w w:val="88"/>
              </w:rPr>
              <w:t>Redemption Fair Market Value of Shares of Class A Common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(period to expiration of Warrants)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20" w:type="dxa"/>
            <w:vAlign w:val="bottom"/>
            <w:vMerge w:val="continue"/>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86"/>
              </w:rPr>
              <w:t>£</w:t>
            </w:r>
            <w:r>
              <w:rPr>
                <w:rFonts w:ascii="Arial" w:cs="Arial" w:eastAsia="Arial" w:hAnsi="Arial"/>
                <w:sz w:val="14"/>
                <w:szCs w:val="14"/>
                <w:b w:val="1"/>
                <w:bCs w:val="1"/>
                <w:color w:val="auto"/>
                <w:w w:val="86"/>
              </w:rPr>
              <w:t>$10.00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$11.00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$12.00</w:t>
            </w:r>
          </w:p>
        </w:tc>
        <w:tc>
          <w:tcPr>
            <w:tcW w:w="20" w:type="dxa"/>
            <w:vAlign w:val="bottom"/>
          </w:tcPr>
          <w:p>
            <w:pPr>
              <w:spacing w:after="0"/>
              <w:rPr>
                <w:sz w:val="12"/>
                <w:szCs w:val="12"/>
                <w:color w:val="auto"/>
              </w:rPr>
            </w:pPr>
          </w:p>
        </w:tc>
        <w:tc>
          <w:tcPr>
            <w:tcW w:w="6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$13.00</w:t>
            </w: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$14.00</w:t>
            </w:r>
          </w:p>
        </w:tc>
        <w:tc>
          <w:tcPr>
            <w:tcW w:w="1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7"/>
              </w:rPr>
              <w:t>$17.00</w:t>
            </w:r>
          </w:p>
        </w:tc>
        <w:tc>
          <w:tcPr>
            <w:tcW w:w="140" w:type="dxa"/>
            <w:vAlign w:val="bottom"/>
          </w:tcPr>
          <w:p>
            <w:pPr>
              <w:spacing w:after="0"/>
              <w:rPr>
                <w:sz w:val="12"/>
                <w:szCs w:val="12"/>
                <w:color w:val="auto"/>
              </w:rPr>
            </w:pPr>
          </w:p>
        </w:tc>
        <w:tc>
          <w:tcPr>
            <w:tcW w:w="500" w:type="dxa"/>
            <w:vAlign w:val="bottom"/>
          </w:tcPr>
          <w:p>
            <w:pPr>
              <w:ind w:left="40"/>
              <w:spacing w:after="0" w:line="147" w:lineRule="exact"/>
              <w:rPr>
                <w:sz w:val="20"/>
                <w:szCs w:val="20"/>
                <w:color w:val="auto"/>
              </w:rPr>
            </w:pPr>
            <w:r>
              <w:rPr>
                <w:rFonts w:ascii="Arial" w:cs="Arial" w:eastAsia="Arial" w:hAnsi="Arial"/>
                <w:sz w:val="14"/>
                <w:szCs w:val="14"/>
                <w:color w:val="auto"/>
                <w:w w:val="92"/>
              </w:rPr>
              <w:t>³</w:t>
            </w:r>
            <w:r>
              <w:rPr>
                <w:rFonts w:ascii="Arial" w:cs="Arial" w:eastAsia="Arial" w:hAnsi="Arial"/>
                <w:sz w:val="14"/>
                <w:szCs w:val="14"/>
                <w:b w:val="1"/>
                <w:bCs w:val="1"/>
                <w:color w:val="auto"/>
                <w:w w:val="92"/>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60 months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0.281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0.311</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0.337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0.358</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57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0.257</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0.277</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0.294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0.310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0.324</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0.337</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0.348</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0.358</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54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0.272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0.307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0.322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0.335</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0.357</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51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0.246</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0.268</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0.287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0.304</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0.320</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0.357</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48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0.241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0.263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0.301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0.317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0.332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0.344</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45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0.235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0.258</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0.279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0.298</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0.315</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0.330</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0.343</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42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0.294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0.312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0.328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0.355</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39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0.221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0.246</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0.269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0.290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0.309</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0.325</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0.340</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0.354</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36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0.285</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0.305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0.323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0.339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33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0.205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0.232</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0.257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0.280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0.301</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0.320</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0.337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0.352</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30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0.274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0.297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0.316</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0.335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27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0.185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0.214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0.242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0.268</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0.291</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0.313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0.332</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0.350</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24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0.173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0.260</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0.285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0.308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0.329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0.348</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Arial" w:cs="Arial" w:eastAsia="Arial" w:hAnsi="Arial"/>
                <w:sz w:val="17"/>
                <w:szCs w:val="17"/>
                <w:color w:val="auto"/>
              </w:rPr>
              <w:t>21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0.161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0.193</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0.223</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0.252</w:t>
            </w: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0.279</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0.304</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0.326</w:t>
            </w:r>
          </w:p>
        </w:tc>
        <w:tc>
          <w:tcPr>
            <w:tcW w:w="1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0.347</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335"/>
        </w:trPr>
        <w:tc>
          <w:tcPr>
            <w:tcW w:w="4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149</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16"/>
          </w:tcPr>
          <w:p>
            <w:pPr>
              <w:jc w:val="center"/>
              <w:ind w:right="140"/>
              <w:spacing w:after="0"/>
              <w:rPr>
                <w:sz w:val="20"/>
                <w:szCs w:val="20"/>
                <w:color w:val="auto"/>
              </w:rPr>
            </w:pPr>
            <w:r>
              <w:rPr>
                <w:rFonts w:ascii="Arial" w:cs="Arial" w:eastAsia="Arial" w:hAnsi="Arial"/>
                <w:sz w:val="14"/>
                <w:szCs w:val="14"/>
                <w:b w:val="1"/>
                <w:bCs w:val="1"/>
                <w:color w:val="auto"/>
                <w:w w:val="88"/>
              </w:rPr>
              <w:t>Redemption Fair Market Value of Shares of Class A Common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(period to expiration of Warrants)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20" w:type="dxa"/>
            <w:vAlign w:val="bottom"/>
            <w:vMerge w:val="continue"/>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86"/>
              </w:rPr>
              <w:t>£</w:t>
            </w:r>
            <w:r>
              <w:rPr>
                <w:rFonts w:ascii="Arial" w:cs="Arial" w:eastAsia="Arial" w:hAnsi="Arial"/>
                <w:sz w:val="14"/>
                <w:szCs w:val="14"/>
                <w:b w:val="1"/>
                <w:bCs w:val="1"/>
                <w:color w:val="auto"/>
                <w:w w:val="86"/>
              </w:rPr>
              <w:t>$10.00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$11.00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$12.00</w:t>
            </w:r>
          </w:p>
        </w:tc>
        <w:tc>
          <w:tcPr>
            <w:tcW w:w="20" w:type="dxa"/>
            <w:vAlign w:val="bottom"/>
          </w:tcPr>
          <w:p>
            <w:pPr>
              <w:spacing w:after="0"/>
              <w:rPr>
                <w:sz w:val="12"/>
                <w:szCs w:val="12"/>
                <w:color w:val="auto"/>
              </w:rPr>
            </w:pPr>
          </w:p>
        </w:tc>
        <w:tc>
          <w:tcPr>
            <w:tcW w:w="6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$13.00</w:t>
            </w: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$14.00</w:t>
            </w:r>
          </w:p>
        </w:tc>
        <w:tc>
          <w:tcPr>
            <w:tcW w:w="1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7"/>
              </w:rPr>
              <w:t>$17.00</w:t>
            </w:r>
          </w:p>
        </w:tc>
        <w:tc>
          <w:tcPr>
            <w:tcW w:w="140" w:type="dxa"/>
            <w:vAlign w:val="bottom"/>
          </w:tcPr>
          <w:p>
            <w:pPr>
              <w:spacing w:after="0"/>
              <w:rPr>
                <w:sz w:val="12"/>
                <w:szCs w:val="12"/>
                <w:color w:val="auto"/>
              </w:rPr>
            </w:pPr>
          </w:p>
        </w:tc>
        <w:tc>
          <w:tcPr>
            <w:tcW w:w="500" w:type="dxa"/>
            <w:vAlign w:val="bottom"/>
          </w:tcPr>
          <w:p>
            <w:pPr>
              <w:ind w:left="40"/>
              <w:spacing w:after="0" w:line="147" w:lineRule="exact"/>
              <w:rPr>
                <w:sz w:val="20"/>
                <w:szCs w:val="20"/>
                <w:color w:val="auto"/>
              </w:rPr>
            </w:pPr>
            <w:r>
              <w:rPr>
                <w:rFonts w:ascii="Arial" w:cs="Arial" w:eastAsia="Arial" w:hAnsi="Arial"/>
                <w:sz w:val="14"/>
                <w:szCs w:val="14"/>
                <w:color w:val="auto"/>
                <w:w w:val="92"/>
              </w:rPr>
              <w:t>³</w:t>
            </w:r>
            <w:r>
              <w:rPr>
                <w:rFonts w:ascii="Arial" w:cs="Arial" w:eastAsia="Arial" w:hAnsi="Arial"/>
                <w:sz w:val="14"/>
                <w:szCs w:val="14"/>
                <w:b w:val="1"/>
                <w:bCs w:val="1"/>
                <w:color w:val="auto"/>
                <w:w w:val="92"/>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18 months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0.146</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0.179</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0.211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0.242</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0.271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0.322</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0.345</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15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0.130</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0.164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0.197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0.230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0.262</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0.291</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0.317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0.342</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12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0.111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0.146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0.216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0.250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0.282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0.312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0.339</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9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0.090</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0.125</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0.199</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0.237</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0.272</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0.305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0.336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6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0.065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0.099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0.178</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0.219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0.259</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0.296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0.331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0.034</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0.065</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0.104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0.150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0.197</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0.243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0.286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0.326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0 months</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0.042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0.115</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0.179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0.281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100" w:firstLine="420"/>
        <w:spacing w:after="0" w:line="271"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shares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volume-weighted average price of the shares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177"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jc w:val="both"/>
        <w:ind w:left="380" w:right="200" w:firstLine="420"/>
        <w:spacing w:after="0" w:line="317" w:lineRule="auto"/>
        <w:rPr>
          <w:sz w:val="20"/>
          <w:szCs w:val="20"/>
          <w:color w:val="auto"/>
        </w:rPr>
      </w:pPr>
      <w:r>
        <w:rPr>
          <w:rFonts w:ascii="Arial" w:cs="Arial" w:eastAsia="Arial" w:hAnsi="Arial"/>
          <w:sz w:val="15"/>
          <w:szCs w:val="15"/>
          <w:color w:val="auto"/>
        </w:rPr>
        <w:t>The redemption criteria for the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w:t>
      </w:r>
    </w:p>
    <w:p>
      <w:pPr>
        <w:spacing w:after="0" w:line="140" w:lineRule="exact"/>
        <w:rPr>
          <w:sz w:val="20"/>
          <w:szCs w:val="20"/>
          <w:color w:val="auto"/>
        </w:rPr>
      </w:pPr>
    </w:p>
    <w:p>
      <w:pPr>
        <w:ind w:left="380" w:right="20" w:firstLine="420"/>
        <w:spacing w:after="0" w:line="256" w:lineRule="auto"/>
        <w:rPr>
          <w:sz w:val="20"/>
          <w:szCs w:val="20"/>
          <w:color w:val="auto"/>
        </w:rPr>
      </w:pPr>
      <w:r>
        <w:rPr>
          <w:rFonts w:ascii="Arial" w:cs="Arial" w:eastAsia="Arial" w:hAnsi="Arial"/>
          <w:sz w:val="17"/>
          <w:szCs w:val="17"/>
          <w:color w:val="auto"/>
        </w:rPr>
        <w:t>The Warrants are issued pursuant to the Warrant Agreement. The Warrant Agreement provides that the terms of the Warrants may be amended without the consent of any holder for the purpose of (a) curing any ambiguity or to correct any defective provision or mistake, including to conform the provisions of the Warrant Agreement to the description of the terms of the Warrants and the Warrant Agreement set forth in this prospectus, (b) adjusting the provisions relating to cash dividends on ordinary shares as contemplated by and in accordance with the Warrant Agreement or (c)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Warrants is required to make any change that adversely affects the interests of the registered holders of Warrants.</w:t>
      </w:r>
    </w:p>
    <w:p>
      <w:pPr>
        <w:spacing w:after="0" w:line="35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880"/>
          </w:cols>
          <w:pgMar w:left="320" w:top="471" w:right="69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firstLine="420"/>
        <w:spacing w:after="0" w:line="256" w:lineRule="auto"/>
        <w:rPr>
          <w:sz w:val="20"/>
          <w:szCs w:val="20"/>
          <w:color w:val="auto"/>
        </w:rPr>
      </w:pPr>
      <w:r>
        <w:rPr>
          <w:rFonts w:ascii="Arial" w:cs="Arial" w:eastAsia="Arial" w:hAnsi="Arial"/>
          <w:sz w:val="17"/>
          <w:szCs w:val="17"/>
          <w:color w:val="auto"/>
        </w:rPr>
        <w:t>The exercise price and number of shares of Class A Common Stock issuable on exercise of the Warrants may be adjusted in certain circumstances including in the event of a share dividend, extraordinary dividend or the Company’s recapitalization, reorganization, merger or consolidation. However, the Warrants will not be adjusted for issuances of Class A Common Stock at a price below their respective exercise prices. The Company is also permitted, in its sole discretion, to lower the exercise price (but not below the par value of Class A Common Stock) at any time prior to the expiration date for a period of not less than 15 business days; provided, however, that the Company provides at least five days’ prior written notice of such reduction to registered holders of the Warrants and that any such reduction will be applied consistently to all Warrants. Any such reduction in the exercise price will comply with any applicable regulations under the U.S. federal securities laws, including Rule 13e-4 under the Exchange Act generally and Rule 13e-4(f)(1)(i) specifically.</w:t>
      </w:r>
    </w:p>
    <w:p>
      <w:pPr>
        <w:spacing w:after="0" w:line="184"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the Company, for the number of Warrants being exercised. The Warrant Holder will not have the rights or privileges of holders of the Company’ Class A Ordinary Shares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shareholders.</w:t>
      </w:r>
    </w:p>
    <w:p>
      <w:pPr>
        <w:spacing w:after="0" w:line="167" w:lineRule="exact"/>
        <w:rPr>
          <w:sz w:val="20"/>
          <w:szCs w:val="20"/>
          <w:color w:val="auto"/>
        </w:rPr>
      </w:pPr>
    </w:p>
    <w:p>
      <w:pPr>
        <w:ind w:left="380" w:right="60" w:firstLine="420"/>
        <w:spacing w:after="0" w:line="272" w:lineRule="auto"/>
        <w:rPr>
          <w:sz w:val="20"/>
          <w:szCs w:val="20"/>
          <w:color w:val="auto"/>
        </w:rPr>
      </w:pPr>
      <w:r>
        <w:rPr>
          <w:rFonts w:ascii="Arial" w:cs="Arial" w:eastAsia="Arial" w:hAnsi="Arial"/>
          <w:sz w:val="16"/>
          <w:szCs w:val="16"/>
          <w:color w:val="auto"/>
        </w:rPr>
        <w:t>Except as described above, no Warrants will be exercisable, and the Company will not be obligated to issue shares of Class A Common Stock unless at the time a holder seeks to exercise such Warrant, a prospectus relating to the Class A Common Stock issuable upon exercise of the Warrants is current and the shares of Class A Common Stock have been registered or qualified or deemed to be exempt under the securities laws of the state of residence of the holder of the Warrants. Under the terms of the Warrant Agreement, the Company has agreed to use its best efforts to meet these conditions and to maintain a current prospectus relating to the Class A Common Stock issuable upon exercise of the Warrants until the expiration of the Warrants. However, the Company cannot assure you that it will be able to do so and, if it does not maintain a current prospectus relating to the Class A Common Stock issuable upon exercise of the Warrants, holders will be unable to exercise their Warrants and the Company will not be required to settle any such Warrant. If the prospectus relating to the Class A Common Stock issuable upon the exercise of the Warrants is not current or if the Class A Common Stock is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spacing w:after="0" w:line="176"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Holders of Warrants may elect, at their sole option and discretion, to be subject to a restriction on the exercise of their Warrants such that an electing holder of Warrants (and his, her or its affiliates) would not be able to exercise their Warrants to the extent that, after giving effect to such exercise, such holder (and his, her or its affiliates) would beneficially own in excess of 4.9% or 9.8% (as specified by the holder) of the shares of Class A Common Stock outstanding. Notwithstanding the foregoing, any person who acquires a Warrant with the purpose or effect of changing or influencing the control of the Company, or in connection with or as a participant in any transaction having such purpose or effect, immediately upon such acquisition will be deemed to be the beneficial owner of the underlying Class A Common Stock and not be able to take advantage of this provision.</w:t>
      </w:r>
    </w:p>
    <w:p>
      <w:pPr>
        <w:spacing w:after="0" w:line="156"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(as a result of a subsequent share dividend payable in shares of Class A Common Stock, or by a split up of the shares of Class A Common Stock or other similar event), the Company will, upon exercise, round up or down to the nearest whole number the number of Class A Common Stock to be issued to the holder of the Warrant.</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840"/>
          </w:cols>
          <w:pgMar w:left="320" w:top="471" w:right="7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Anti-Dilution Adjustments</w:t>
      </w:r>
    </w:p>
    <w:p>
      <w:pPr>
        <w:spacing w:after="0" w:line="113" w:lineRule="exact"/>
        <w:rPr>
          <w:sz w:val="20"/>
          <w:szCs w:val="20"/>
          <w:color w:val="auto"/>
        </w:rPr>
      </w:pPr>
    </w:p>
    <w:p>
      <w:pPr>
        <w:ind w:left="380" w:right="60" w:firstLine="420"/>
        <w:spacing w:after="0" w:line="274" w:lineRule="auto"/>
        <w:rPr>
          <w:sz w:val="20"/>
          <w:szCs w:val="20"/>
          <w:color w:val="auto"/>
        </w:rPr>
      </w:pPr>
      <w:r>
        <w:rPr>
          <w:rFonts w:ascii="Arial" w:cs="Arial" w:eastAsia="Arial" w:hAnsi="Arial"/>
          <w:sz w:val="16"/>
          <w:szCs w:val="16"/>
          <w:color w:val="auto"/>
        </w:rPr>
        <w:t xml:space="preserve">The exercise price and number of shares of Class A Common Stock issuable on exercise of the Warrants may be adjusted in certain circumstances including in the event of a share dividend, extraordinary dividend or recapitalization, reorganization, merger or consolidation. However, the Warrants will not be adjusted for issuances of shares of Class A Common Stock at a price below their respective exercise prices. The Company is also permitted, in its sole discretion, to lower the exercise price (but not below the par value of a share of Class A Common Stock) at any time prior to the expiration date for a period of not less than 15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Company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Exchange Act generally and Rule 13e-4(f)(1)(i) specifically.</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Anti-Takeover Effects of the Certificate of Incorporation, the By-Laws and Certain Provisions of Delaware Law</w:t>
      </w:r>
    </w:p>
    <w:p>
      <w:pPr>
        <w:spacing w:after="0" w:line="119"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The Certificate of Incorporation, the By-Laws and the DGCL contain provisions, which are summarized in the following paragraphs, which are intended to enhance the likelihood of continuity and stability in the composition of the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Board to maximize stockholder value in connection with any unsolicited offer to acquire the Company.</w:t>
      </w:r>
    </w:p>
    <w:p>
      <w:pPr>
        <w:spacing w:after="0" w:line="180" w:lineRule="exact"/>
        <w:rPr>
          <w:sz w:val="20"/>
          <w:szCs w:val="20"/>
          <w:color w:val="auto"/>
        </w:rPr>
      </w:pPr>
    </w:p>
    <w:p>
      <w:pPr>
        <w:ind w:left="380" w:right="40" w:firstLine="420"/>
        <w:spacing w:after="0" w:line="293" w:lineRule="auto"/>
        <w:rPr>
          <w:sz w:val="20"/>
          <w:szCs w:val="20"/>
          <w:color w:val="auto"/>
        </w:rPr>
      </w:pPr>
      <w:r>
        <w:rPr>
          <w:rFonts w:ascii="Arial" w:cs="Arial" w:eastAsia="Arial" w:hAnsi="Arial"/>
          <w:sz w:val="15"/>
          <w:szCs w:val="15"/>
          <w:color w:val="auto"/>
        </w:rPr>
        <w:t>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Class A Common Stock. The Certificate of Incorporation provides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Class V Common Stock, voting separately as a class, or, to the extent expressly permitted to do so by the certificate of designation relating to one or more series of Preferred Stock, voting separately as a series or separately as a class with one or more other such series, may be taken without a meeting, without prior notice and without a vote, if a consent or consents, setting forth the action so taken, are signed by holders of outstanding shares of the relevant class or series having not less than the minimum number of votes that would be necessary to authorize or take such action at a meeting at which all shares entitled to vote thereon were present and voted and are delivered to the Company in the manner forth in Section 228 of the DGCL.</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13" w:lineRule="exact"/>
        <w:rPr>
          <w:sz w:val="20"/>
          <w:szCs w:val="20"/>
          <w:color w:val="auto"/>
        </w:rPr>
      </w:pPr>
    </w:p>
    <w:p>
      <w:pPr>
        <w:ind w:left="380" w:right="260" w:firstLine="420"/>
        <w:spacing w:after="0" w:line="25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NYSE, which would apply if and so long as the Class A Common Stock remains listed on NYSE, require stockholder approval of certain issuances equal to or exceeding 20% of the then outstanding voting power or then outstanding number of shares of Class A Common Stock. Additional shares that may be issued in the future may be used for a variety of corporate purposes, including future public offerings, to raise additional capital or to facilitate acquisitions.</w:t>
      </w:r>
    </w:p>
    <w:p>
      <w:pPr>
        <w:spacing w:after="0" w:line="180"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Class A Common Stock at prices higher than prevailing market prices.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860"/>
          </w:cols>
          <w:pgMar w:left="320" w:top="471" w:right="71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Election of Directors and Vacancies</w:t>
      </w:r>
    </w:p>
    <w:p>
      <w:pPr>
        <w:spacing w:after="0" w:line="113"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The Certificate of Incorporation provides that the Board will determine the number of directors who will serve on the Board. Subject to the Stockholders Agreement, the exact number of directors is fixed from time to time by a majority of the Board. The Board is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w:t>
      </w:r>
    </w:p>
    <w:p>
      <w:pPr>
        <w:spacing w:after="0" w:line="181" w:lineRule="exact"/>
        <w:rPr>
          <w:sz w:val="20"/>
          <w:szCs w:val="20"/>
          <w:color w:val="auto"/>
        </w:rPr>
      </w:pPr>
    </w:p>
    <w:p>
      <w:pPr>
        <w:ind w:left="380" w:right="160" w:firstLine="420"/>
        <w:spacing w:after="0" w:line="265" w:lineRule="auto"/>
        <w:rPr>
          <w:sz w:val="20"/>
          <w:szCs w:val="20"/>
          <w:color w:val="auto"/>
        </w:rPr>
      </w:pPr>
      <w:r>
        <w:rPr>
          <w:rFonts w:ascii="Arial" w:cs="Arial" w:eastAsia="Arial" w:hAnsi="Arial"/>
          <w:sz w:val="17"/>
          <w:szCs w:val="17"/>
          <w:color w:val="auto"/>
        </w:rPr>
        <w:t>In addition, the Certificate of Incorporation provides that any vacancy on the Board, including a vacancy that results from an increase in the number of directors or a vacancy that results from the removal of a director with cause, may be filled only by a majority of the directors then in office, subject to the provisions of the Stockholders Agreement and any rights of holders of Preferred Stock.</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3"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The Company has elected not to be governed by Section 203 of the DGCL. Notwithstanding the foregoing, the Certificate of Incorporation provides that the Company will not engage in any “business combinations” (as defined in the Certificate of Incorporation), at any point in time at which the Company’s securities are registered under Section 12(b) or 12(g) of the Exchange Act, with any “interested stockholder” (as defined in the Certificate of Incorporation) for a three-year period after the time that such person became an interested stockholder unless:</w:t>
      </w:r>
    </w:p>
    <w:p>
      <w:pPr>
        <w:spacing w:after="0" w:line="74" w:lineRule="exact"/>
        <w:rPr>
          <w:sz w:val="20"/>
          <w:szCs w:val="20"/>
          <w:color w:val="auto"/>
        </w:rPr>
      </w:pPr>
    </w:p>
    <w:p>
      <w:pPr>
        <w:ind w:left="1300" w:right="200" w:hanging="410"/>
        <w:spacing w:after="0" w:line="278" w:lineRule="auto"/>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prior to such time, the Board approved either the business combination or the transaction which resulted in the stockholder becoming an interested stockholder;</w:t>
      </w:r>
    </w:p>
    <w:p>
      <w:pPr>
        <w:spacing w:after="0" w:line="74" w:lineRule="exact"/>
        <w:rPr>
          <w:rFonts w:ascii="Arial" w:cs="Arial" w:eastAsia="Arial" w:hAnsi="Arial"/>
          <w:sz w:val="17"/>
          <w:szCs w:val="17"/>
          <w:color w:val="auto"/>
        </w:rPr>
      </w:pPr>
    </w:p>
    <w:p>
      <w:pPr>
        <w:ind w:left="1300" w:hanging="410"/>
        <w:spacing w:after="0" w:line="291" w:lineRule="auto"/>
        <w:tabs>
          <w:tab w:leader="none" w:pos="1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ind w:left="1300" w:right="500"/>
        <w:spacing w:after="0" w:line="296" w:lineRule="auto"/>
        <w:rPr>
          <w:rFonts w:ascii="Arial" w:cs="Arial" w:eastAsia="Arial" w:hAnsi="Arial"/>
          <w:sz w:val="15"/>
          <w:szCs w:val="15"/>
          <w:color w:val="auto"/>
        </w:rPr>
      </w:pPr>
      <w:r>
        <w:rPr>
          <w:rFonts w:ascii="Arial" w:cs="Arial" w:eastAsia="Arial" w:hAnsi="Arial"/>
          <w:sz w:val="16"/>
          <w:szCs w:val="16"/>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5"/>
          <w:szCs w:val="15"/>
          <w:color w:val="auto"/>
        </w:rPr>
      </w:pPr>
    </w:p>
    <w:p>
      <w:pPr>
        <w:ind w:left="1300" w:right="20" w:hanging="410"/>
        <w:spacing w:after="0" w:line="265" w:lineRule="auto"/>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 or subsequent to such time, the business combination is approved by the Board and authorized at an annual or special meeting of stockholders, and not by written consent, by the affirmative vote of at least 66 2/3% of the outstanding voting stock of the Company which is not owned by the interested stockholder.</w:t>
      </w:r>
    </w:p>
    <w:p>
      <w:pPr>
        <w:spacing w:after="0" w:line="176" w:lineRule="exact"/>
        <w:rPr>
          <w:sz w:val="20"/>
          <w:szCs w:val="20"/>
          <w:color w:val="auto"/>
        </w:rPr>
      </w:pPr>
    </w:p>
    <w:p>
      <w:pPr>
        <w:ind w:left="380" w:right="100" w:firstLine="420"/>
        <w:spacing w:after="0" w:line="293" w:lineRule="auto"/>
        <w:rPr>
          <w:sz w:val="20"/>
          <w:szCs w:val="20"/>
          <w:color w:val="auto"/>
        </w:rPr>
      </w:pPr>
      <w:r>
        <w:rPr>
          <w:rFonts w:ascii="Arial" w:cs="Arial" w:eastAsia="Arial" w:hAnsi="Arial"/>
          <w:sz w:val="15"/>
          <w:szCs w:val="15"/>
          <w:color w:val="auto"/>
        </w:rPr>
        <w:t>Under the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Certificate of Incorporation expressly excludes certain of the Company’s stockholders with whom the Company will enter into the Stockholders Agreement, certain of their respective direct or indirect transferees, and their respective successors and affiliates from the definition of “interested stockholder” irrespective of the percentage ownership of the total voting power beneficially owned by them. Under certain circumstances, such provisions in the Certificate of Incorporation make it more difficult for a person who would be an “interested stockholder” to effect various business combinations with a corporation for a three-year period. Accordingly, such provisions in the Certificate of Incorporation could have an anti-takeover effect with respect to certain transactions which the Board does not approve in advance. Such provisions may encourage companies interested in acquiring the Company to negotiate in advance with the Board because the stockholder approval requirement</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840"/>
          </w:cols>
          <w:pgMar w:left="320" w:top="471" w:right="7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0"/>
        <w:spacing w:after="0" w:line="261" w:lineRule="auto"/>
        <w:rPr>
          <w:sz w:val="20"/>
          <w:szCs w:val="20"/>
          <w:color w:val="auto"/>
        </w:rPr>
      </w:pPr>
      <w:r>
        <w:rPr>
          <w:rFonts w:ascii="Arial" w:cs="Arial" w:eastAsia="Arial" w:hAnsi="Arial"/>
          <w:sz w:val="17"/>
          <w:szCs w:val="17"/>
          <w:color w:val="auto"/>
        </w:rPr>
        <w:t>would be avoided if the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Quorum</w:t>
      </w:r>
    </w:p>
    <w:p>
      <w:pPr>
        <w:spacing w:after="0" w:line="113" w:lineRule="exact"/>
        <w:rPr>
          <w:sz w:val="20"/>
          <w:szCs w:val="20"/>
          <w:color w:val="auto"/>
        </w:rPr>
      </w:pPr>
    </w:p>
    <w:p>
      <w:pPr>
        <w:ind w:left="380" w:right="420" w:firstLine="420"/>
        <w:spacing w:after="0" w:line="278" w:lineRule="auto"/>
        <w:rPr>
          <w:sz w:val="20"/>
          <w:szCs w:val="20"/>
          <w:color w:val="auto"/>
        </w:rPr>
      </w:pPr>
      <w:r>
        <w:rPr>
          <w:rFonts w:ascii="Arial" w:cs="Arial" w:eastAsia="Arial" w:hAnsi="Arial"/>
          <w:sz w:val="17"/>
          <w:szCs w:val="17"/>
          <w:color w:val="auto"/>
        </w:rPr>
        <w:t>The By-Laws provide that at any meeting of the Board, a majority of the total number of directors then in office constitutes a quorum for the transaction of business.</w:t>
      </w:r>
    </w:p>
    <w:p>
      <w:pPr>
        <w:spacing w:after="0" w:line="165" w:lineRule="exact"/>
        <w:rPr>
          <w:sz w:val="20"/>
          <w:szCs w:val="20"/>
          <w:color w:val="auto"/>
        </w:rPr>
      </w:pPr>
    </w:p>
    <w:p>
      <w:pPr>
        <w:ind w:left="380" w:right="420" w:firstLine="420"/>
        <w:spacing w:after="0" w:line="347" w:lineRule="auto"/>
        <w:rPr>
          <w:sz w:val="20"/>
          <w:szCs w:val="20"/>
          <w:color w:val="auto"/>
        </w:rPr>
      </w:pPr>
      <w:r>
        <w:rPr>
          <w:rFonts w:ascii="Arial" w:cs="Arial" w:eastAsia="Arial" w:hAnsi="Arial"/>
          <w:sz w:val="15"/>
          <w:szCs w:val="15"/>
          <w:color w:val="auto"/>
        </w:rPr>
        <w:t>Additionally, the By-Laws provide that holders of a majority in voting power of the stock issued and outstanding and entitled to vote thereat, present in person or represented by proxy, shall constitute a quorum at all meetings of the stockholders for the transaction of business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Under Delaware law, the right to vote cumulatively does not exist unless the certificate of incorporation expressly authorizes cumulative voting.</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Certificate of Incorporation does not authorize cumulative voting.</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General Stockholder Meetings</w:t>
      </w:r>
    </w:p>
    <w:p>
      <w:pPr>
        <w:spacing w:after="0" w:line="113" w:lineRule="exact"/>
        <w:rPr>
          <w:sz w:val="20"/>
          <w:szCs w:val="20"/>
          <w:color w:val="auto"/>
        </w:rPr>
      </w:pPr>
    </w:p>
    <w:p>
      <w:pPr>
        <w:ind w:left="380" w:right="660" w:firstLine="420"/>
        <w:spacing w:after="0" w:line="278" w:lineRule="auto"/>
        <w:rPr>
          <w:sz w:val="20"/>
          <w:szCs w:val="20"/>
          <w:color w:val="auto"/>
        </w:rPr>
      </w:pPr>
      <w:r>
        <w:rPr>
          <w:rFonts w:ascii="Arial" w:cs="Arial" w:eastAsia="Arial" w:hAnsi="Arial"/>
          <w:sz w:val="17"/>
          <w:szCs w:val="17"/>
          <w:color w:val="auto"/>
        </w:rPr>
        <w:t>The Certificate of Incorporation provides that special meetings of stockholders may be called only by or at the direction of the Board, the Chairman of the Board or the Chief Executive Officer.</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Requirements for Advance Notification of Stockholder Meetings, Nominations and Proposals</w:t>
      </w:r>
    </w:p>
    <w:p>
      <w:pPr>
        <w:spacing w:after="0" w:line="113" w:lineRule="exact"/>
        <w:rPr>
          <w:sz w:val="20"/>
          <w:szCs w:val="20"/>
          <w:color w:val="auto"/>
        </w:rPr>
      </w:pPr>
    </w:p>
    <w:p>
      <w:pPr>
        <w:ind w:left="380" w:firstLine="420"/>
        <w:spacing w:after="0" w:line="294" w:lineRule="auto"/>
        <w:rPr>
          <w:sz w:val="20"/>
          <w:szCs w:val="20"/>
          <w:color w:val="auto"/>
        </w:rPr>
      </w:pPr>
      <w:r>
        <w:rPr>
          <w:rFonts w:ascii="Arial" w:cs="Arial" w:eastAsia="Arial" w:hAnsi="Arial"/>
          <w:sz w:val="15"/>
          <w:szCs w:val="15"/>
          <w:color w:val="auto"/>
        </w:rPr>
        <w:t>The By-Laws establish advance notice procedures with respect to stockholder proposals and the nomination of candidates for election as directors, other than nominations made by or at the direction of the Board or a committee of the Board. For any matter to be “properly brought” before a meeting, a stockholder must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the date of the preceding annual meeting will be deemed to be May 15, 2021). The By-Laws allow the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13"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The Certificate of Incorporation and the By-Laws provide that the Board is expressly authorized to make, alter, amend, change, add to, rescind or repeal, in whole or in part, the By-Laws without a stockholder vote in any matter not inconsistent with the laws of the State of Delaware or the Certificate of Incorporation and subject to the rights of the parties to the Stockholders Agreement.</w:t>
      </w:r>
    </w:p>
    <w:p>
      <w:pPr>
        <w:spacing w:after="0" w:line="176"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following provisions therein may be amended, altered, repealed or rescinded only by the affirmative vote of</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860"/>
          </w:cols>
          <w:pgMar w:left="320" w:top="471" w:right="71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20"/>
        <w:spacing w:after="0" w:line="278" w:lineRule="auto"/>
        <w:rPr>
          <w:sz w:val="20"/>
          <w:szCs w:val="20"/>
          <w:color w:val="auto"/>
        </w:rPr>
      </w:pPr>
      <w:r>
        <w:rPr>
          <w:rFonts w:ascii="Arial" w:cs="Arial" w:eastAsia="Arial" w:hAnsi="Arial"/>
          <w:sz w:val="17"/>
          <w:szCs w:val="17"/>
          <w:color w:val="auto"/>
        </w:rPr>
        <w:t>holders of at least 66 2/3% in voting power all the then outstanding shares of the Company’s stock entitled to vote thereon, voting together as a single class:</w:t>
      </w:r>
    </w:p>
    <w:p>
      <w:pPr>
        <w:spacing w:after="0" w:line="75" w:lineRule="exact"/>
        <w:rPr>
          <w:sz w:val="20"/>
          <w:szCs w:val="20"/>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 regarding the Board being authorized to amend the By-Laws without a stockholder vote;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providing for a classified Board (the election and term of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filling vacancies on the Board and newly created directorships;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the election not to be governed by Section 203 of the DGCL;</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exclusivity of forum;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 2/3% supermajority vote.</w:t>
      </w:r>
    </w:p>
    <w:p>
      <w:pPr>
        <w:spacing w:after="0" w:line="21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Exclusive Forum</w:t>
      </w:r>
    </w:p>
    <w:p>
      <w:pPr>
        <w:spacing w:after="0" w:line="119"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The Certificate of Incorporation provides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any director or officer of the Company (i) arising pursuant to any provision of the DGCL or the Certificate of Incorporation or the By-Laws or (ii) as to which the DGCL confers jurisdiction on the Court of Chancery of the State of Delaware or (d) any action to interpret, apply, enforce or determine the validity of the Certificate of Incorporation or the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9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60"/>
          </w:cols>
          <w:pgMar w:left="320" w:top="471" w:right="71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Transfer Agent and Registrar</w:t>
      </w:r>
    </w:p>
    <w:p>
      <w:pPr>
        <w:spacing w:after="0" w:line="119" w:lineRule="exact"/>
        <w:rPr>
          <w:sz w:val="20"/>
          <w:szCs w:val="20"/>
          <w:color w:val="auto"/>
        </w:rPr>
      </w:pPr>
    </w:p>
    <w:p>
      <w:pPr>
        <w:ind w:left="380" w:firstLine="420"/>
        <w:spacing w:after="0" w:line="278" w:lineRule="auto"/>
        <w:rPr>
          <w:sz w:val="20"/>
          <w:szCs w:val="20"/>
          <w:color w:val="auto"/>
        </w:rPr>
      </w:pPr>
      <w:r>
        <w:rPr>
          <w:rFonts w:ascii="Arial" w:cs="Arial" w:eastAsia="Arial" w:hAnsi="Arial"/>
          <w:sz w:val="17"/>
          <w:szCs w:val="17"/>
          <w:color w:val="auto"/>
        </w:rPr>
        <w:t>The Transfer Agent and registrar for the Class A Common Stock and Warrants will be Continental Stock Transfer &amp; Trust Company. The transfer agent and registrar’s address is 1 State Street, 30th Floor, New York, New York 10004.</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Listing</w:t>
      </w:r>
    </w:p>
    <w:p>
      <w:pPr>
        <w:spacing w:after="0" w:line="119" w:lineRule="exact"/>
        <w:rPr>
          <w:sz w:val="20"/>
          <w:szCs w:val="20"/>
          <w:color w:val="auto"/>
        </w:rPr>
      </w:pPr>
    </w:p>
    <w:p>
      <w:pPr>
        <w:ind w:left="380" w:right="420" w:firstLine="420"/>
        <w:spacing w:after="0" w:line="278" w:lineRule="auto"/>
        <w:rPr>
          <w:sz w:val="20"/>
          <w:szCs w:val="20"/>
          <w:color w:val="auto"/>
        </w:rPr>
      </w:pPr>
      <w:r>
        <w:rPr>
          <w:rFonts w:ascii="Arial" w:cs="Arial" w:eastAsia="Arial" w:hAnsi="Arial"/>
          <w:sz w:val="17"/>
          <w:szCs w:val="17"/>
          <w:color w:val="auto"/>
        </w:rPr>
        <w:t>The Class A Common Stock and Warrants are listed on the NYSE under the symbols “BKKT” and “BKKT WS,” respectively. The Class V Common Stock is not listed on any securities exchange.</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780"/>
          </w:cols>
          <w:pgMar w:left="320" w:top="471" w:right="79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SECURITIES ACT RESTRICTIONS ON RESALE OF OUR SECURITIES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Shares Eligible for Future Sale</w:t>
      </w:r>
    </w:p>
    <w:p>
      <w:pPr>
        <w:spacing w:after="0" w:line="119"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Future sales of our Class A Common Stock in the public market, or the availability of such shares for sale in the public market, could adversely affect market prices of our Class A Common Stock prevailing from time to time. As described below, certain shares of our Class A Common Stock will not be available for sale shortly after this offering due to contractual and legal restrictions on resale.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0" w:lineRule="exact"/>
        <w:rPr>
          <w:sz w:val="20"/>
          <w:szCs w:val="20"/>
          <w:color w:val="auto"/>
        </w:rPr>
      </w:pPr>
    </w:p>
    <w:p>
      <w:pPr>
        <w:jc w:val="both"/>
        <w:ind w:left="380" w:right="300" w:firstLine="420"/>
        <w:spacing w:after="0" w:line="291" w:lineRule="auto"/>
        <w:rPr>
          <w:sz w:val="20"/>
          <w:szCs w:val="20"/>
          <w:color w:val="auto"/>
        </w:rPr>
      </w:pPr>
      <w:r>
        <w:rPr>
          <w:rFonts w:ascii="Arial" w:cs="Arial" w:eastAsia="Arial" w:hAnsi="Arial"/>
          <w:sz w:val="15"/>
          <w:szCs w:val="15"/>
          <w:color w:val="auto"/>
        </w:rPr>
        <w:t>As of December 3, 2021, we had a total of 57,164,283 shares of Class A Common Stock outstanding, 208,200,000 shares of Class V Common Stock (corresponding to an equal number of Paired Interests exchangeable for an equal number of shares of Class A Common Stock) outstanding or issuable upon the exercise of warrants, and 7,139,969 Warrants. As a result of the registration statement of which this prospectus forms a part, (i)</w:t>
      </w:r>
    </w:p>
    <w:p>
      <w:pPr>
        <w:spacing w:after="0" w:line="1"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36,467,362 shares of Class A Common Stock will be freely tradable, subject to compliance with applicable securities law requirements (in addition to the 15,512,621 shares of Class A Common Stock and 7,139,969 Warrants already freely tradable) and (ii) upon the expiration of the Lock-Up Periods described in “</w:t>
      </w:r>
      <w:r>
        <w:rPr>
          <w:rFonts w:ascii="Arial" w:cs="Arial" w:eastAsia="Arial" w:hAnsi="Arial"/>
          <w:sz w:val="16"/>
          <w:szCs w:val="16"/>
          <w:i w:val="1"/>
          <w:iCs w:val="1"/>
          <w:color w:val="auto"/>
        </w:rPr>
        <w:t>The Offering—Lock-up Restrictions</w:t>
      </w:r>
      <w:r>
        <w:rPr>
          <w:rFonts w:ascii="Arial" w:cs="Arial" w:eastAsia="Arial" w:hAnsi="Arial"/>
          <w:sz w:val="16"/>
          <w:szCs w:val="16"/>
          <w:color w:val="auto"/>
        </w:rPr>
        <w:t>,” 5,184,300 shares of Class A Common Stock and 190,726,638 shares of Class V Common Stock (corresponding to an equal number of Paired Interests exchangeable for an equal number of shares of Class A Common Stock) outstanding or issuable upon the exercise of warrants; in each case, except for any securities held by our “affiliates,” as that term is defined in Rule 144 under the Securities Act, which would only be able to be sold in compliance with the Rule 144 limitations described below.</w:t>
      </w:r>
    </w:p>
    <w:p>
      <w:pPr>
        <w:spacing w:after="0" w:line="169" w:lineRule="exact"/>
        <w:rPr>
          <w:sz w:val="20"/>
          <w:szCs w:val="20"/>
          <w:color w:val="auto"/>
        </w:rPr>
      </w:pPr>
    </w:p>
    <w:p>
      <w:pPr>
        <w:ind w:left="380" w:right="60" w:firstLine="420"/>
        <w:spacing w:after="0" w:line="293" w:lineRule="auto"/>
        <w:rPr>
          <w:sz w:val="20"/>
          <w:szCs w:val="20"/>
          <w:color w:val="auto"/>
        </w:rPr>
      </w:pPr>
      <w:r>
        <w:rPr>
          <w:rFonts w:ascii="Arial" w:cs="Arial" w:eastAsia="Arial" w:hAnsi="Arial"/>
          <w:sz w:val="15"/>
          <w:szCs w:val="15"/>
          <w:color w:val="auto"/>
        </w:rPr>
        <w:t>Additionally, 17,473,362 shares of Class V Common Stock (corresponding to an equal number of Paired Interests exchangeable for an equal number of shares of Class A Common Stock) outstanding as of December 3, 2021 are currently “restricted securities” as that term is defined under Rule</w:t>
      </w:r>
    </w:p>
    <w:p>
      <w:pPr>
        <w:spacing w:after="0" w:line="1" w:lineRule="exact"/>
        <w:rPr>
          <w:sz w:val="20"/>
          <w:szCs w:val="20"/>
          <w:color w:val="auto"/>
        </w:rPr>
      </w:pPr>
    </w:p>
    <w:p>
      <w:pPr>
        <w:ind w:left="720" w:hanging="344"/>
        <w:spacing w:after="0"/>
        <w:tabs>
          <w:tab w:leader="none" w:pos="7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Restricted securities may be sold in the public market only if their offer and sale is registered under the Securities Act (including pursuant to a</w:t>
      </w:r>
    </w:p>
    <w:p>
      <w:pPr>
        <w:spacing w:after="0" w:line="21" w:lineRule="exact"/>
        <w:rPr>
          <w:rFonts w:ascii="Arial" w:cs="Arial" w:eastAsia="Arial" w:hAnsi="Arial"/>
          <w:sz w:val="16"/>
          <w:szCs w:val="16"/>
          <w:color w:val="auto"/>
        </w:rPr>
      </w:pPr>
    </w:p>
    <w:p>
      <w:pPr>
        <w:ind w:left="380" w:right="40"/>
        <w:spacing w:after="0" w:line="265" w:lineRule="auto"/>
        <w:rPr>
          <w:rFonts w:ascii="Arial" w:cs="Arial" w:eastAsia="Arial" w:hAnsi="Arial"/>
          <w:sz w:val="16"/>
          <w:szCs w:val="16"/>
          <w:color w:val="auto"/>
        </w:rPr>
      </w:pPr>
      <w:r>
        <w:rPr>
          <w:rFonts w:ascii="Arial" w:cs="Arial" w:eastAsia="Arial" w:hAnsi="Arial"/>
          <w:sz w:val="17"/>
          <w:szCs w:val="17"/>
          <w:color w:val="auto"/>
        </w:rPr>
        <w:t>registration statement on Form S-8) or if the offer and sale of those securities qualify for an exemption from registration, including exemptions provided by Rule 144 under the Securities Act.</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Rule 144</w:t>
      </w:r>
    </w:p>
    <w:p>
      <w:pPr>
        <w:spacing w:after="0" w:line="119"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w:t>
      </w:r>
    </w:p>
    <w:p>
      <w:pPr>
        <w:spacing w:after="0" w:line="171"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color w:val="auto"/>
        </w:rPr>
        <w:t>In general, under Rule 144, as currently in effect, the Company’s affiliates or persons selling shares of Class A Common Stock or Warrants on behalf of the Company’s affiliates are entitled to sell upon expiration of the Lock-Up Periods described in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 within any three-month period, a number of shares that does not exceed the greater of:</w:t>
      </w:r>
    </w:p>
    <w:p>
      <w:pPr>
        <w:spacing w:after="0" w:line="86" w:lineRule="exact"/>
        <w:rPr>
          <w:sz w:val="20"/>
          <w:szCs w:val="20"/>
          <w:color w:val="auto"/>
        </w:rPr>
      </w:pPr>
    </w:p>
    <w:p>
      <w:pPr>
        <w:ind w:left="1300" w:hanging="410"/>
        <w:spacing w:after="0"/>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1% of the number of then outstanding equity securities of the same class; and</w:t>
      </w:r>
    </w:p>
    <w:p>
      <w:pPr>
        <w:spacing w:after="0" w:line="126"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average weekly trading volume of Class A Common Stock or Warrants, as applicable, during the four calendar weeks preceding the date of filing of a notice on Form 144 with respect to the sale.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860"/>
          </w:cols>
          <w:pgMar w:left="320" w:top="471" w:right="71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311" w:lineRule="auto"/>
        <w:rPr>
          <w:sz w:val="20"/>
          <w:szCs w:val="20"/>
          <w:color w:val="auto"/>
        </w:rPr>
      </w:pPr>
      <w:r>
        <w:rPr>
          <w:rFonts w:ascii="Arial" w:cs="Arial" w:eastAsia="Arial" w:hAnsi="Arial"/>
          <w:sz w:val="16"/>
          <w:szCs w:val="16"/>
          <w:color w:val="auto"/>
        </w:rPr>
        <w:t>Sales under Rule 144 by the Company’s affiliates or persons selling Class A Common Stock or Warrants on behalf of our affiliates are also subject to certain manner of sale provisions and notice requirements and to the availability of current public information about the Company.</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Restrictions on the Use of Rule 144 by Shell Companies or Former Shell Companies</w:t>
      </w:r>
    </w:p>
    <w:p>
      <w:pPr>
        <w:spacing w:after="0" w:line="119"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6" w:lineRule="exact"/>
        <w:rPr>
          <w:sz w:val="20"/>
          <w:szCs w:val="20"/>
          <w:color w:val="auto"/>
        </w:rPr>
      </w:pPr>
    </w:p>
    <w:p>
      <w:pPr>
        <w:ind w:left="1300" w:hanging="410"/>
        <w:spacing w:after="0"/>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w:t>
      </w:r>
    </w:p>
    <w:p>
      <w:pPr>
        <w:spacing w:after="0" w:line="32" w:lineRule="exact"/>
        <w:rPr>
          <w:rFonts w:ascii="Arial" w:cs="Arial" w:eastAsia="Arial" w:hAnsi="Arial"/>
          <w:sz w:val="16"/>
          <w:szCs w:val="16"/>
          <w:color w:val="auto"/>
        </w:rPr>
      </w:pPr>
    </w:p>
    <w:p>
      <w:pPr>
        <w:ind w:left="1300" w:right="80"/>
        <w:spacing w:after="0" w:line="265" w:lineRule="auto"/>
        <w:rPr>
          <w:rFonts w:ascii="Arial" w:cs="Arial" w:eastAsia="Arial" w:hAnsi="Arial"/>
          <w:sz w:val="16"/>
          <w:szCs w:val="16"/>
          <w:color w:val="auto"/>
        </w:rPr>
      </w:pPr>
      <w:r>
        <w:rPr>
          <w:rFonts w:ascii="Arial" w:cs="Arial" w:eastAsia="Arial" w:hAnsi="Arial"/>
          <w:sz w:val="17"/>
          <w:szCs w:val="17"/>
          <w:color w:val="auto"/>
        </w:rPr>
        <w:t>12 months (or such shorter period that the issuer was required to file such reports and materials), other than Current Reports on Form 8-K; and</w:t>
      </w:r>
    </w:p>
    <w:p>
      <w:pPr>
        <w:spacing w:after="0" w:line="84" w:lineRule="exact"/>
        <w:rPr>
          <w:rFonts w:ascii="Arial" w:cs="Arial" w:eastAsia="Arial" w:hAnsi="Arial"/>
          <w:sz w:val="16"/>
          <w:szCs w:val="16"/>
          <w:color w:val="auto"/>
        </w:rPr>
      </w:pPr>
    </w:p>
    <w:p>
      <w:pPr>
        <w:ind w:left="1300" w:right="260" w:hanging="410"/>
        <w:spacing w:after="0" w:line="278" w:lineRule="auto"/>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65" w:lineRule="exact"/>
        <w:rPr>
          <w:sz w:val="20"/>
          <w:szCs w:val="20"/>
          <w:color w:val="auto"/>
        </w:rPr>
      </w:pPr>
    </w:p>
    <w:p>
      <w:pPr>
        <w:ind w:left="380" w:right="60" w:firstLine="420"/>
        <w:spacing w:after="0" w:line="347" w:lineRule="auto"/>
        <w:rPr>
          <w:sz w:val="20"/>
          <w:szCs w:val="20"/>
          <w:color w:val="auto"/>
        </w:rPr>
      </w:pPr>
      <w:r>
        <w:rPr>
          <w:rFonts w:ascii="Arial" w:cs="Arial" w:eastAsia="Arial" w:hAnsi="Arial"/>
          <w:sz w:val="15"/>
          <w:szCs w:val="15"/>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Lock-up Agreements</w:t>
      </w:r>
    </w:p>
    <w:p>
      <w:pPr>
        <w:spacing w:after="0" w:line="119" w:lineRule="exact"/>
        <w:rPr>
          <w:sz w:val="20"/>
          <w:szCs w:val="20"/>
          <w:color w:val="auto"/>
        </w:rPr>
      </w:pPr>
    </w:p>
    <w:p>
      <w:pPr>
        <w:jc w:val="both"/>
        <w:ind w:left="380" w:right="220" w:firstLine="420"/>
        <w:spacing w:after="0" w:line="265" w:lineRule="auto"/>
        <w:rPr>
          <w:sz w:val="20"/>
          <w:szCs w:val="20"/>
          <w:color w:val="auto"/>
        </w:rPr>
      </w:pPr>
      <w:r>
        <w:rPr>
          <w:rFonts w:ascii="Arial" w:cs="Arial" w:eastAsia="Arial" w:hAnsi="Arial"/>
          <w:sz w:val="17"/>
          <w:szCs w:val="17"/>
          <w:color w:val="auto"/>
        </w:rPr>
        <w:t>Pursuant to the Stockholders Agreement and the Insider Letter Agreement, certain of our securities are subject to transfer restrictions. For more information, see the sections titled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 Transactions—Transactions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Business Combination—Stockholders Agreement.</w:t>
      </w:r>
      <w:r>
        <w:rPr>
          <w:rFonts w:ascii="Arial" w:cs="Arial" w:eastAsia="Arial" w:hAnsi="Arial"/>
          <w:sz w:val="17"/>
          <w:szCs w:val="17"/>
          <w:color w:val="auto"/>
        </w:rPr>
        <w:t>”</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860"/>
          </w:cols>
          <w:pgMar w:left="320" w:top="471" w:right="71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MATERIAL U.S. FEDERAL INCOME TAX CONSIDERATIONS FOR</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HOLDERS OF OUR CLASS A COMMON STOCK AND WARRANTS</w:t>
      </w:r>
    </w:p>
    <w:p>
      <w:pPr>
        <w:spacing w:after="0" w:line="20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Class A Common Stock and Warrants acquired in this offering. The discussion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81" w:lineRule="exact"/>
        <w:rPr>
          <w:sz w:val="20"/>
          <w:szCs w:val="20"/>
          <w:color w:val="auto"/>
        </w:rPr>
      </w:pPr>
    </w:p>
    <w:p>
      <w:pPr>
        <w:ind w:left="380" w:right="100" w:firstLine="420"/>
        <w:spacing w:after="0" w:line="301" w:lineRule="auto"/>
        <w:rPr>
          <w:sz w:val="20"/>
          <w:szCs w:val="20"/>
          <w:color w:val="auto"/>
        </w:rPr>
      </w:pPr>
      <w:r>
        <w:rPr>
          <w:rFonts w:ascii="Arial" w:cs="Arial" w:eastAsia="Arial" w:hAnsi="Arial"/>
          <w:sz w:val="15"/>
          <w:szCs w:val="15"/>
          <w:color w:val="auto"/>
        </w:rPr>
        <w:t>This discussion does not address any tax considerations relating to the Business Combination or to holders who receive our Class A Common Stock and Warrants in the Business Combination, or tax consequences of exchanging Paired Interests for our Class A Common Stock. This summary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63" w:lineRule="exact"/>
        <w:rPr>
          <w:sz w:val="20"/>
          <w:szCs w:val="20"/>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pension plans and tax-qualified retirement plans;</w:t>
      </w:r>
    </w:p>
    <w:p>
      <w:pPr>
        <w:spacing w:after="0" w:line="126" w:lineRule="exact"/>
        <w:rPr>
          <w:rFonts w:ascii="Arial" w:cs="Arial" w:eastAsia="Arial" w:hAnsi="Arial"/>
          <w:sz w:val="17"/>
          <w:szCs w:val="17"/>
          <w:color w:val="auto"/>
        </w:rPr>
      </w:pPr>
    </w:p>
    <w:p>
      <w:pPr>
        <w:ind w:left="1300" w:right="320" w:hanging="410"/>
        <w:spacing w:after="0" w:line="27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entities or arrangements classified as partnerships for U.S. federal income tax purposes or other pass through entities (or investors in such entities or arrangements);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brokers or dealers in securities or currencies;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tax accounting for their securities holdings;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who own, or are deemed to own, more than five percent of our capital stock (except to the extent specifically set forth below);</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26" w:lineRule="exact"/>
        <w:rPr>
          <w:rFonts w:ascii="Arial" w:cs="Arial" w:eastAsia="Arial" w:hAnsi="Arial"/>
          <w:sz w:val="17"/>
          <w:szCs w:val="17"/>
          <w:color w:val="auto"/>
        </w:rPr>
      </w:pPr>
    </w:p>
    <w:p>
      <w:pPr>
        <w:ind w:left="1300" w:right="160" w:hanging="410"/>
        <w:spacing w:after="0" w:line="27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who hold our Class A Common Stock or Warrants as a position in a hedging transaction, “straddle,” “conversion transaction,” or other risk reduction transaction;</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or Warrants pursuant to the exercise of any option;</w:t>
      </w:r>
    </w:p>
    <w:p>
      <w:pPr>
        <w:spacing w:after="0" w:line="126" w:lineRule="exact"/>
        <w:rPr>
          <w:rFonts w:ascii="Arial" w:cs="Arial" w:eastAsia="Arial" w:hAnsi="Arial"/>
          <w:sz w:val="17"/>
          <w:szCs w:val="17"/>
          <w:color w:val="auto"/>
        </w:rPr>
      </w:pPr>
    </w:p>
    <w:p>
      <w:pPr>
        <w:ind w:left="1300" w:right="560" w:hanging="410"/>
        <w:spacing w:after="0" w:line="27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who do not hold our Class A Common Stock or Warrants as a capital asset within the meaning of Section 1221 of the Code (generally, property held for investment);</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deemed to sell our Class A Common Stock or Warrants under the constructive sale provisions of the Code; or</w:t>
      </w:r>
    </w:p>
    <w:p>
      <w:pPr>
        <w:spacing w:after="0" w:line="126" w:lineRule="exact"/>
        <w:rPr>
          <w:rFonts w:ascii="Arial" w:cs="Arial" w:eastAsia="Arial" w:hAnsi="Arial"/>
          <w:sz w:val="17"/>
          <w:szCs w:val="17"/>
          <w:color w:val="auto"/>
        </w:rPr>
      </w:pPr>
    </w:p>
    <w:p>
      <w:pPr>
        <w:ind w:left="1300" w:right="500" w:hanging="410"/>
        <w:spacing w:after="0" w:line="311" w:lineRule="auto"/>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Class A Common Stock or Warrants being taken into account in an “applicable financial statement” as defined in Section 451(b) of the Code.</w:t>
      </w:r>
    </w:p>
    <w:p>
      <w:pPr>
        <w:spacing w:after="0" w:line="7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860"/>
          </w:cols>
          <w:pgMar w:left="320" w:top="471" w:right="71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306" w:lineRule="auto"/>
        <w:rPr>
          <w:sz w:val="20"/>
          <w:szCs w:val="20"/>
          <w:color w:val="auto"/>
        </w:rPr>
      </w:pPr>
      <w:r>
        <w:rPr>
          <w:rFonts w:ascii="Arial" w:cs="Arial" w:eastAsia="Arial" w:hAnsi="Arial"/>
          <w:sz w:val="15"/>
          <w:szCs w:val="15"/>
          <w:color w:val="auto"/>
        </w:rPr>
        <w:t>In addition, if a partnership (or other entity or arrangement classified as a partnership for U.S. federal income tax purposes) holds our Class A Common Stock or Warrants, the tax treatment of a partner in the partnership generally will depend on the status of the partner and upon the activities of the partnership. A partner in a partnership that will hold our Class A Common Stock or Warrants should consult his, her or its own tax advisor regarding the tax considerations of the purchase, ownership and disposition of our Class A Common Stock or Warrants through a partnership.</w:t>
      </w:r>
    </w:p>
    <w:p>
      <w:pPr>
        <w:spacing w:after="0" w:line="149"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You are urged to consult your tax advisor with respect to the application of the U.S. federal income tax laws to your particular situation, as well as any tax considerations of the purchase, ownership and disposition of our Class A Common Stock or Warrants arising under the U.S. federal gift or estate tax rules or under the laws of any U.S. state or local, non-U.S. or other taxing jurisdiction or under any applicable tax treaty.</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 Holders</w:t>
      </w:r>
    </w:p>
    <w:p>
      <w:pPr>
        <w:spacing w:after="0" w:line="119"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This section is addressed to “U.S. holders” of our Class A Common Stock or Warrants. For purposes of this discussion, you are a “U.S. holder” if you are a beneficial owner of our Class A Common Stock or Warrants that is, for U.S. federal income tax purposes:</w:t>
      </w:r>
    </w:p>
    <w:p>
      <w:pPr>
        <w:spacing w:after="0" w:line="75" w:lineRule="exact"/>
        <w:rPr>
          <w:sz w:val="20"/>
          <w:szCs w:val="20"/>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26" w:lineRule="exact"/>
        <w:rPr>
          <w:rFonts w:ascii="Arial" w:cs="Arial" w:eastAsia="Arial" w:hAnsi="Arial"/>
          <w:sz w:val="17"/>
          <w:szCs w:val="17"/>
          <w:color w:val="auto"/>
        </w:rPr>
      </w:pPr>
    </w:p>
    <w:p>
      <w:pPr>
        <w:ind w:left="1300" w:hanging="410"/>
        <w:spacing w:after="0" w:line="278" w:lineRule="auto"/>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26" w:lineRule="exact"/>
        <w:rPr>
          <w:rFonts w:ascii="Arial" w:cs="Arial" w:eastAsia="Arial" w:hAnsi="Arial"/>
          <w:sz w:val="17"/>
          <w:szCs w:val="17"/>
          <w:color w:val="auto"/>
        </w:rPr>
      </w:pPr>
    </w:p>
    <w:p>
      <w:pPr>
        <w:jc w:val="both"/>
        <w:ind w:left="1300" w:right="180" w:hanging="410"/>
        <w:spacing w:after="0" w:line="265" w:lineRule="auto"/>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Distributions</w:t>
      </w:r>
    </w:p>
    <w:p>
      <w:pPr>
        <w:spacing w:after="0" w:line="113"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As described in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Dividends we pay to a U.S. holder that is a corporation generally will qualify for the dividends received deduction (at varying percentages based upon such U.S. holder’s ownership percentage in the Company)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dividends” that will be subject to tax at the rate applicable to long-term capital gains.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Gain on Disposition of Class A Common Stock and Warrants</w:t>
      </w:r>
    </w:p>
    <w:p>
      <w:pPr>
        <w:spacing w:after="0" w:line="113"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Upon a sale, taxable exchange, or other taxable disposition of our Class A Common Stock or Warrants, a U.S. holder generally will recognize capital gain or loss in an amount equal to the difference between the amount</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840"/>
          </w:cols>
          <w:pgMar w:left="320" w:top="471" w:right="7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realized and the U.S. holder’s adjusted tax basis in the shares of our Class A Common Stock or Warrants. Any such capital gain or loss generally will be long-term capital gain or loss if the U.S. holder’s holding period for shares of our Class A Common Stock or Warrants so disposed of exceeds one year. Long-term capital gains recognized by non-corporate U.S. holders will be eligible to be taxed at reduced rates. The deductibility of capital losses is subject to limitations. 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or Warrants so disposed of.</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Exercise, Lapse or Redemption of Our Warrants</w:t>
      </w:r>
    </w:p>
    <w:p>
      <w:pPr>
        <w:spacing w:after="0" w:line="113"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 xml:space="preserve">A U.S. holder generally will not recognize taxable gain or loss on the acquisition of Class A Common Stock upon exercise of our Warrants for cash. The U.S. holder’s tax basis in the share of Class A Common Stock received upon exercise of the Warrant generally will be an amount equal to the sum of the U.S. holder’s initial investment in the Warrant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non-U.S. holder held the Warrants. If a Warrant is allowed to lapse unexercised, a U.S. holder generally will recognize a capital loss equal to such holder’s tax basis in the Warrant and generally will be taxed as described above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120" w:firstLine="420"/>
        <w:spacing w:after="0" w:line="275"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71" w:lineRule="exact"/>
        <w:rPr>
          <w:sz w:val="20"/>
          <w:szCs w:val="20"/>
          <w:color w:val="auto"/>
        </w:rPr>
      </w:pPr>
    </w:p>
    <w:p>
      <w:pPr>
        <w:ind w:left="380" w:right="100" w:firstLine="420"/>
        <w:spacing w:after="0" w:line="311" w:lineRule="auto"/>
        <w:rPr>
          <w:sz w:val="20"/>
          <w:szCs w:val="20"/>
          <w:color w:val="auto"/>
        </w:rPr>
      </w:pPr>
      <w:r>
        <w:rPr>
          <w:rFonts w:ascii="Arial" w:cs="Arial" w:eastAsia="Arial" w:hAnsi="Arial"/>
          <w:sz w:val="16"/>
          <w:szCs w:val="16"/>
          <w:color w:val="auto"/>
        </w:rPr>
        <w:t xml:space="preserve">It is also possible that a cashless exercise could be treated in part as a taxable exchange in which gain or loss would be recognized. In such event, the consequences would be similar to those described above in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41" w:lineRule="exact"/>
        <w:rPr>
          <w:sz w:val="20"/>
          <w:szCs w:val="20"/>
          <w:color w:val="auto"/>
        </w:rPr>
      </w:pPr>
    </w:p>
    <w:p>
      <w:pPr>
        <w:ind w:left="380" w:right="260" w:firstLine="420"/>
        <w:spacing w:after="0" w:line="261"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9"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 xml:space="preserve">If we redeem Warrants for cash or if we purchase Warrants in an open market transaction, such redemption or purchase generally will be treated as a taxable disposition to the non-U.S. holder, taxed as described above under </w:t>
      </w:r>
      <w:r>
        <w:rPr>
          <w:rFonts w:ascii="Arial" w:cs="Arial" w:eastAsia="Arial" w:hAnsi="Arial"/>
          <w:sz w:val="15"/>
          <w:szCs w:val="15"/>
          <w:i w:val="1"/>
          <w:iCs w:val="1"/>
          <w:color w:val="auto"/>
        </w:rPr>
        <w:t>“—Gain on Disposition of Class A Common Stock and Warrants</w:t>
      </w:r>
      <w:r>
        <w:rPr>
          <w:rFonts w:ascii="Arial" w:cs="Arial" w:eastAsia="Arial" w:hAnsi="Arial"/>
          <w:sz w:val="15"/>
          <w:szCs w:val="15"/>
          <w:color w:val="auto"/>
        </w:rPr>
        <w:t>.”</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U.S. holders should consult their tax advisors regarding the tax consequences of the exercise, lapse, or redemption of our Warrants.</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Possible Constructive Distributions</w:t>
      </w:r>
    </w:p>
    <w:p>
      <w:pPr>
        <w:spacing w:after="0" w:line="113"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above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860"/>
          </w:cols>
          <w:pgMar w:left="320" w:top="471" w:right="71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in the section captioned “</w:t>
      </w:r>
      <w:r>
        <w:rPr>
          <w:rFonts w:ascii="Arial" w:cs="Arial" w:eastAsia="Arial" w:hAnsi="Arial"/>
          <w:sz w:val="16"/>
          <w:szCs w:val="16"/>
          <w:i w:val="1"/>
          <w:iCs w:val="1"/>
          <w:color w:val="auto"/>
        </w:rPr>
        <w:t>Description of Securities—Warrants</w:t>
      </w:r>
      <w:r>
        <w:rPr>
          <w:rFonts w:ascii="Arial" w:cs="Arial" w:eastAsia="Arial" w:hAnsi="Arial"/>
          <w:sz w:val="16"/>
          <w:szCs w:val="16"/>
          <w:color w:val="auto"/>
        </w:rPr>
        <w:t>.” An adjustment that has the effect of preventing dilution generally is not taxable. A U.S. holder of a Warrant would, however, be treated as receiving a constructive distribution from us if, for example, the adjustment increases the Warrant holders’ proportionate interest in our assets or earnings and profits (e.g., through an increase in the number of shares of Class A Common Stock that would be obtained upon exercise or through a decrease in the exercise price of the Warrant) as a result of a distribution of cash to the holders of shares of our Class A Common Stock which is taxable to the non-U.S. holders of such shares as described under “</w:t>
      </w:r>
      <w:r>
        <w:rPr>
          <w:rFonts w:ascii="Arial" w:cs="Arial" w:eastAsia="Arial" w:hAnsi="Arial"/>
          <w:sz w:val="16"/>
          <w:szCs w:val="16"/>
          <w:i w:val="1"/>
          <w:iCs w:val="1"/>
          <w:color w:val="auto"/>
        </w:rPr>
        <w:t>—Distributions</w:t>
      </w:r>
      <w:r>
        <w:rPr>
          <w:rFonts w:ascii="Arial" w:cs="Arial" w:eastAsia="Arial" w:hAnsi="Arial"/>
          <w:sz w:val="16"/>
          <w:szCs w:val="16"/>
          <w:color w:val="auto"/>
        </w:rPr>
        <w:t>” above. Such constructive distribution would be subject to tax as described under that section in the same manner as if the U.S. holder of the Warrant received a cash distribution from us equal to the fair market value of such increased interest.</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13" w:lineRule="exact"/>
        <w:rPr>
          <w:sz w:val="20"/>
          <w:szCs w:val="20"/>
          <w:color w:val="auto"/>
        </w:rPr>
      </w:pPr>
    </w:p>
    <w:p>
      <w:pPr>
        <w:ind w:left="380" w:right="120" w:firstLine="420"/>
        <w:spacing w:after="0" w:line="261" w:lineRule="auto"/>
        <w:rPr>
          <w:sz w:val="20"/>
          <w:szCs w:val="20"/>
          <w:color w:val="auto"/>
        </w:rPr>
      </w:pPr>
      <w:r>
        <w:rPr>
          <w:rFonts w:ascii="Arial" w:cs="Arial" w:eastAsia="Arial" w:hAnsi="Arial"/>
          <w:sz w:val="17"/>
          <w:szCs w:val="17"/>
          <w:color w:val="auto"/>
        </w:rPr>
        <w:t>Payments received by a U.S. holder may be subject, under certain circumstances, to information reporting and backup withholding. Backup withholding will not apply, however, to a U.S. holder that (i) is a corporation or entity that is otherwise exempt from backup withholding (which, when required, certifies as to its exempt status) or (ii) furnishes a correct taxpayer identification number and makes any other required certification on IRS Form W-9.</w:t>
      </w:r>
    </w:p>
    <w:p>
      <w:pPr>
        <w:spacing w:after="0" w:line="179"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Non-U.S. Holders</w:t>
      </w:r>
    </w:p>
    <w:p>
      <w:pPr>
        <w:spacing w:after="0" w:line="119"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For purposes of this discussion, you are a “non-U.S. holder” if you are a beneficial owner of our Class A Common Stock or Warrants that, for U.S. federal income tax purposes, is neither a U.S. holder nor a partnership (including any entity or arrangement treated as a partnership and the equity holders therein).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Distributions</w:t>
      </w:r>
    </w:p>
    <w:p>
      <w:pPr>
        <w:spacing w:after="0" w:line="113" w:lineRule="exact"/>
        <w:rPr>
          <w:sz w:val="20"/>
          <w:szCs w:val="20"/>
          <w:color w:val="auto"/>
        </w:rPr>
      </w:pPr>
    </w:p>
    <w:p>
      <w:pPr>
        <w:ind w:left="380" w:right="20" w:firstLine="420"/>
        <w:spacing w:after="0" w:line="275" w:lineRule="auto"/>
        <w:rPr>
          <w:sz w:val="20"/>
          <w:szCs w:val="20"/>
          <w:color w:val="auto"/>
        </w:rPr>
      </w:pPr>
      <w:r>
        <w:rPr>
          <w:rFonts w:ascii="Arial" w:cs="Arial" w:eastAsia="Arial" w:hAnsi="Arial"/>
          <w:sz w:val="16"/>
          <w:szCs w:val="16"/>
          <w:color w:val="auto"/>
        </w:rPr>
        <w:t>As described in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20" w:firstLine="420"/>
        <w:spacing w:after="0" w:line="274" w:lineRule="auto"/>
        <w:rPr>
          <w:sz w:val="20"/>
          <w:szCs w:val="20"/>
          <w:color w:val="auto"/>
        </w:rPr>
      </w:pPr>
      <w:r>
        <w:rPr>
          <w:rFonts w:ascii="Arial" w:cs="Arial" w:eastAsia="Arial" w:hAnsi="Arial"/>
          <w:sz w:val="16"/>
          <w:szCs w:val="16"/>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You may obtain a refund of any excess amounts withheld by filing an appropriate claim for refund with the IRS. If you hold our Class A Common Stock through a financial institution or other agent acting on your behalf, you will be required to</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860"/>
          </w:cols>
          <w:pgMar w:left="320" w:top="471" w:right="71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provide appropriate documentation to the agent, which then will be required to provide certification to us or our paying agent, either directly or through other intermediaries. Special certification and other requirements apply to certain non-U.S. holders that are pass-through entities rather than corporations or individuals.</w:t>
      </w:r>
    </w:p>
    <w:p>
      <w:pPr>
        <w:spacing w:after="0" w:line="176"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or a successor form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Gain on Disposition of Class A Common Stock and Warrants</w:t>
      </w:r>
    </w:p>
    <w:p>
      <w:pPr>
        <w:spacing w:after="0" w:line="113"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 xml:space="preserve">Subject to the discussions below regarding backup withholding and FATCA withholding, you generally will not be required to pay U.S. federal income tax on any gain realized upon the sale or other disposition of our Class A Common Stock or Warrants (including an expiration or redemption of the Warrants as described under </w:t>
      </w:r>
      <w:r>
        <w:rPr>
          <w:rFonts w:ascii="Arial" w:cs="Arial" w:eastAsia="Arial" w:hAnsi="Arial"/>
          <w:sz w:val="17"/>
          <w:szCs w:val="17"/>
          <w:i w:val="1"/>
          <w:iCs w:val="1"/>
          <w:color w:val="auto"/>
        </w:rPr>
        <w:t>“—Exercise, Lapse or Redemption of Our Warrants</w:t>
      </w:r>
      <w:r>
        <w:rPr>
          <w:rFonts w:ascii="Arial" w:cs="Arial" w:eastAsia="Arial" w:hAnsi="Arial"/>
          <w:sz w:val="17"/>
          <w:szCs w:val="17"/>
          <w:color w:val="auto"/>
        </w:rPr>
        <w:t>”) unless:</w:t>
      </w:r>
    </w:p>
    <w:p>
      <w:pPr>
        <w:spacing w:after="0" w:line="86" w:lineRule="exact"/>
        <w:rPr>
          <w:sz w:val="20"/>
          <w:szCs w:val="20"/>
          <w:color w:val="auto"/>
        </w:rPr>
      </w:pPr>
    </w:p>
    <w:p>
      <w:pPr>
        <w:ind w:left="1300" w:right="20" w:hanging="410"/>
        <w:spacing w:after="0" w:line="278"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4" w:lineRule="exact"/>
        <w:rPr>
          <w:rFonts w:ascii="Arial" w:cs="Arial" w:eastAsia="Arial" w:hAnsi="Arial"/>
          <w:sz w:val="17"/>
          <w:szCs w:val="17"/>
          <w:color w:val="auto"/>
        </w:rPr>
      </w:pPr>
    </w:p>
    <w:p>
      <w:pPr>
        <w:ind w:left="1300" w:right="140" w:hanging="410"/>
        <w:spacing w:after="0" w:line="278"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74" w:lineRule="exact"/>
        <w:rPr>
          <w:rFonts w:ascii="Arial" w:cs="Arial" w:eastAsia="Arial" w:hAnsi="Arial"/>
          <w:sz w:val="17"/>
          <w:szCs w:val="17"/>
          <w:color w:val="auto"/>
        </w:rPr>
      </w:pPr>
    </w:p>
    <w:p>
      <w:pPr>
        <w:ind w:left="1300" w:right="100" w:hanging="410"/>
        <w:spacing w:after="0" w:line="265"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or a USRPHC, for U.S. federal income tax purposes at any time within the shorter of the five-year period preceding your disposition of, or your holding period for, our Class A Common Stock.</w:t>
      </w:r>
    </w:p>
    <w:p>
      <w:pPr>
        <w:spacing w:after="0" w:line="17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spacing w:after="0" w:line="171"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60"/>
          </w:cols>
          <w:pgMar w:left="320" w:top="471" w:right="71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400"/>
        <w:spacing w:after="0" w:line="265" w:lineRule="auto"/>
        <w:rPr>
          <w:sz w:val="20"/>
          <w:szCs w:val="20"/>
          <w:color w:val="auto"/>
        </w:rPr>
      </w:pPr>
      <w:r>
        <w:rPr>
          <w:rFonts w:ascii="Arial" w:cs="Arial" w:eastAsia="Arial" w:hAnsi="Arial"/>
          <w:sz w:val="17"/>
          <w:szCs w:val="17"/>
          <w:color w:val="auto"/>
        </w:rPr>
        <w:t>(or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Exercise, Lapse or Redemption of Our Warrants</w:t>
      </w:r>
    </w:p>
    <w:p>
      <w:pPr>
        <w:spacing w:after="0" w:line="113" w:lineRule="exact"/>
        <w:rPr>
          <w:sz w:val="20"/>
          <w:szCs w:val="20"/>
          <w:color w:val="auto"/>
        </w:rPr>
      </w:pPr>
    </w:p>
    <w:p>
      <w:pPr>
        <w:ind w:left="380" w:right="140" w:firstLine="420"/>
        <w:spacing w:after="0" w:line="275" w:lineRule="auto"/>
        <w:rPr>
          <w:sz w:val="20"/>
          <w:szCs w:val="20"/>
          <w:color w:val="auto"/>
        </w:rPr>
      </w:pPr>
      <w:r>
        <w:rPr>
          <w:rFonts w:ascii="Arial" w:cs="Arial" w:eastAsia="Arial" w:hAnsi="Arial"/>
          <w:sz w:val="16"/>
          <w:szCs w:val="16"/>
          <w:color w:val="auto"/>
        </w:rPr>
        <w:t>A non-U.S. holder generally will not recognize taxable gain or loss on the acquisition of Class A Common Stock upon exercise of our Warrants for cash. The non-U.S. holder’s tax basis in the share of Class A Common Stock received upon exercise of the Warrant generally will be an amount equal to the sum of the non-U.S. holder’s initial investment in the Warrant and the exercise price. It is unclear whether the non-U.S. holder’s holding period for the Class A Common Stock received upon exercise of the Warrants will begin on the date following the date of exercise or on the date of exercise of the Warrants; in either case, the holding period will not include the period during which the non-U.S. holder held the Warrants. If a Warrant is allowed to lapse unexercised, a non-U.S. holder generally will recognize a capital loss equal to such holder’s tax basis in the Warrant and generally will be taxed as described above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100" w:firstLine="420"/>
        <w:spacing w:after="0" w:line="275"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non-U.S. holder’s basis in the Class A Common Stock received would equal the holder’s basis in the Warrants exercised therefor. If the cashless exercise were treated as not being a realization event, it is unclear whether a non-U.S. holder’s holding period in the Class A Common Stock would be treated as commencing on the date following the date of exercise or on the date of exercise of the Warrant; in either case, the holding period would not include the period during which the non-U.S. holder held the Warrants. If the cashless exercise were treated as a recapitalization, the holding period of the Class A Common Stock would include the holding period of the Warrants exercised therefor.</w:t>
      </w:r>
    </w:p>
    <w:p>
      <w:pPr>
        <w:spacing w:after="0" w:line="171" w:lineRule="exact"/>
        <w:rPr>
          <w:sz w:val="20"/>
          <w:szCs w:val="20"/>
          <w:color w:val="auto"/>
        </w:rPr>
      </w:pPr>
    </w:p>
    <w:p>
      <w:pPr>
        <w:ind w:left="380" w:right="100" w:firstLine="420"/>
        <w:spacing w:after="0" w:line="311" w:lineRule="auto"/>
        <w:rPr>
          <w:sz w:val="20"/>
          <w:szCs w:val="20"/>
          <w:color w:val="auto"/>
        </w:rPr>
      </w:pPr>
      <w:r>
        <w:rPr>
          <w:rFonts w:ascii="Arial" w:cs="Arial" w:eastAsia="Arial" w:hAnsi="Arial"/>
          <w:sz w:val="16"/>
          <w:szCs w:val="16"/>
          <w:color w:val="auto"/>
        </w:rPr>
        <w:t xml:space="preserve">It is also possible that a cashless exercise could be treated in part as a taxable exchange in which gain or loss would be recognized. In such event, the consequences would be similar to those described above in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41"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non-U.S. holder’s holding period would commence with respect to the Class A Common Stock received, there can be no assurance regarding which, if any, of the alternative tax consequences and holding periods described above would be adopted by the IRS or a court of law. Accordingly, non-U.S. holders should consult their tax advisors regarding the tax consequences of a cashless exercise.</w:t>
      </w:r>
    </w:p>
    <w:p>
      <w:pPr>
        <w:spacing w:after="0" w:line="179"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 xml:space="preserve">If we redeem Warrants for cash or if we purchase Warrants in an open market transaction, such redemption or purchase generally will be treated as a taxable disposition to the non-U.S. holder, taxed as described above under </w:t>
      </w:r>
      <w:r>
        <w:rPr>
          <w:rFonts w:ascii="Arial" w:cs="Arial" w:eastAsia="Arial" w:hAnsi="Arial"/>
          <w:sz w:val="15"/>
          <w:szCs w:val="15"/>
          <w:i w:val="1"/>
          <w:iCs w:val="1"/>
          <w:color w:val="auto"/>
        </w:rPr>
        <w:t>“—Gain on Disposition of Class A Common Stock and Warrants</w:t>
      </w:r>
      <w:r>
        <w:rPr>
          <w:rFonts w:ascii="Arial" w:cs="Arial" w:eastAsia="Arial" w:hAnsi="Arial"/>
          <w:sz w:val="15"/>
          <w:szCs w:val="15"/>
          <w:color w:val="auto"/>
        </w:rPr>
        <w: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Non-U.S. holders should consult their tax advisors regarding the tax consequences of the exercise, lapse, or redemption of our Warrants.</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Possible Constructive Distributions</w:t>
      </w:r>
    </w:p>
    <w:p>
      <w:pPr>
        <w:spacing w:after="0" w:line="113" w:lineRule="exact"/>
        <w:rPr>
          <w:sz w:val="20"/>
          <w:szCs w:val="20"/>
          <w:color w:val="auto"/>
        </w:rPr>
      </w:pPr>
    </w:p>
    <w:p>
      <w:pPr>
        <w:ind w:left="380" w:right="120" w:firstLine="420"/>
        <w:spacing w:after="0" w:line="317" w:lineRule="auto"/>
        <w:rPr>
          <w:sz w:val="20"/>
          <w:szCs w:val="20"/>
          <w:color w:val="auto"/>
        </w:rPr>
      </w:pPr>
      <w:r>
        <w:rPr>
          <w:rFonts w:ascii="Arial" w:cs="Arial" w:eastAsia="Arial" w:hAnsi="Arial"/>
          <w:sz w:val="15"/>
          <w:szCs w:val="15"/>
          <w:color w:val="auto"/>
        </w:rPr>
        <w:t>The terms of each Warrant provide for an adjustment to the number of shares of Class A Common Stock for which the Warrant may be exercised or to the exercise price of the Warrant in certain events, as discussed above in the section captioned “</w:t>
      </w:r>
      <w:r>
        <w:rPr>
          <w:rFonts w:ascii="Arial" w:cs="Arial" w:eastAsia="Arial" w:hAnsi="Arial"/>
          <w:sz w:val="15"/>
          <w:szCs w:val="15"/>
          <w:i w:val="1"/>
          <w:iCs w:val="1"/>
          <w:color w:val="auto"/>
        </w:rPr>
        <w:t>Description of Securities—Warrants</w:t>
      </w:r>
      <w:r>
        <w:rPr>
          <w:rFonts w:ascii="Arial" w:cs="Arial" w:eastAsia="Arial" w:hAnsi="Arial"/>
          <w:sz w:val="15"/>
          <w:szCs w:val="15"/>
          <w:color w:val="auto"/>
        </w:rPr>
        <w:t>.” An adjustment that has the effect of preventing dilution generally is not taxable. A non-U.S. holder of a Warrant would, however, be treated as receiving a</w:t>
      </w:r>
    </w:p>
    <w:p>
      <w:pPr>
        <w:spacing w:after="0" w:line="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860"/>
          </w:cols>
          <w:pgMar w:left="320" w:top="471" w:right="7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301" w:lineRule="auto"/>
        <w:rPr>
          <w:sz w:val="20"/>
          <w:szCs w:val="20"/>
          <w:color w:val="auto"/>
        </w:rPr>
      </w:pPr>
      <w:r>
        <w:rPr>
          <w:rFonts w:ascii="Arial" w:cs="Arial" w:eastAsia="Arial" w:hAnsi="Arial"/>
          <w:sz w:val="15"/>
          <w:szCs w:val="15"/>
          <w:color w:val="auto"/>
        </w:rPr>
        <w:t>constructive distribution from us if, for example, the adjustment increases the Warrant holders’ proportionate interest in our assets or earnings and profits (e.g., through an increase in the number of shares of Class A Common Stock that would be obtained upon exercise or through a decrease in the exercise price of the Warrant) as a result of a distribution of cash to the holders of shares of our Class A Common Stock which is taxable to the non-U.S. holders of such shares as described under “</w:t>
      </w:r>
      <w:r>
        <w:rPr>
          <w:rFonts w:ascii="Arial" w:cs="Arial" w:eastAsia="Arial" w:hAnsi="Arial"/>
          <w:sz w:val="15"/>
          <w:szCs w:val="15"/>
          <w:i w:val="1"/>
          <w:iCs w:val="1"/>
          <w:color w:val="auto"/>
        </w:rPr>
        <w:t>—Distributions</w:t>
      </w:r>
      <w:r>
        <w:rPr>
          <w:rFonts w:ascii="Arial" w:cs="Arial" w:eastAsia="Arial" w:hAnsi="Arial"/>
          <w:sz w:val="15"/>
          <w:szCs w:val="15"/>
          <w:color w:val="auto"/>
        </w:rPr>
        <w:t>” above. Such constructive distribution would be subject to tax as described under that section in the same manner as if the non-U.S. holder of the Warrant received a cash distribution from us equal to the fair market value of such increased interest.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Backup Withholding and Information Reporting</w:t>
      </w:r>
    </w:p>
    <w:p>
      <w:pPr>
        <w:spacing w:after="0" w:line="113"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left="380" w:right="40" w:firstLine="420"/>
        <w:spacing w:after="0" w:line="306" w:lineRule="auto"/>
        <w:rPr>
          <w:sz w:val="20"/>
          <w:szCs w:val="20"/>
          <w:color w:val="auto"/>
        </w:rPr>
      </w:pPr>
      <w:r>
        <w:rPr>
          <w:rFonts w:ascii="Arial" w:cs="Arial" w:eastAsia="Arial" w:hAnsi="Arial"/>
          <w:sz w:val="15"/>
          <w:szCs w:val="15"/>
          <w:color w:val="auto"/>
        </w:rPr>
        <w:t>Payments of dividends on or of proceeds from the disposition of our Class A Common Stock or Warrants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49" w:lineRule="exact"/>
        <w:rPr>
          <w:sz w:val="20"/>
          <w:szCs w:val="20"/>
          <w:color w:val="auto"/>
        </w:rPr>
      </w:pPr>
    </w:p>
    <w:p>
      <w:pPr>
        <w:ind w:left="380" w:right="80" w:firstLine="420"/>
        <w:spacing w:after="0" w:line="265"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Additional Withholding Requirements under the Foreign Account Tax Compliance Act</w:t>
      </w:r>
    </w:p>
    <w:p>
      <w:pPr>
        <w:spacing w:after="0" w:line="113"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FATCA, including sections 1471 through 1474 of the Code and the Treasury Regulations and other official IRS guidance issued thereunder, generally imposes a U.S. federal withholding tax of 30% on dividends (including constructive dividends) on, and the gross proceeds from a sale or other disposition of, our Class A Common Stock or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(including constructive dividends) on, and the gross proceeds from a sale or other disposition of, our Class A Common Stock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71"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The withholding obligations under FATCA generally apply to dividends (including constructive dividends) on our Class A Common Stock and to the payment of gross proceeds of a sale or other disposition of our Class A Common Stock or Warrants. However, the U.S. Treasury Department has issued proposed regulations that, if finalized in their present form, would eliminate FATCA withholding on gross proceeds of the sale or other disposition of our Class A Common Stock and Warrants (but not on payments of dividends). The preamble of such proposed regulations states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you might be eligible for refunds or credits of such taxes. An intergovernmental</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860"/>
          </w:cols>
          <w:pgMar w:left="320" w:top="471" w:right="71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 and Warrants.</w:t>
      </w:r>
    </w:p>
    <w:p>
      <w:pPr>
        <w:spacing w:after="0" w:line="170" w:lineRule="exact"/>
        <w:rPr>
          <w:sz w:val="20"/>
          <w:szCs w:val="20"/>
          <w:color w:val="auto"/>
        </w:rPr>
      </w:pPr>
    </w:p>
    <w:p>
      <w:pPr>
        <w:ind w:left="380" w:firstLine="420"/>
        <w:spacing w:after="0" w:line="263"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You should consult your own tax advisor regarding the particular U.S. federal, state and local and non-U.S. tax considerations of purchasing, owning and disposing of our Class A Common Stock and Warrants, including the consequences of any proposed change in applicable laws.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820"/>
          </w:cols>
          <w:pgMar w:left="320" w:top="471" w:right="7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PLAN OF DISTRIBUTION</w:t>
      </w:r>
    </w:p>
    <w:p>
      <w:pPr>
        <w:spacing w:after="0" w:line="222" w:lineRule="exact"/>
        <w:rPr>
          <w:sz w:val="20"/>
          <w:szCs w:val="20"/>
          <w:color w:val="auto"/>
        </w:rPr>
      </w:pPr>
    </w:p>
    <w:p>
      <w:pPr>
        <w:ind w:left="380" w:right="60" w:firstLine="945"/>
        <w:spacing w:after="0" w:line="301" w:lineRule="auto"/>
        <w:rPr>
          <w:sz w:val="20"/>
          <w:szCs w:val="20"/>
          <w:color w:val="auto"/>
        </w:rPr>
      </w:pPr>
      <w:r>
        <w:rPr>
          <w:rFonts w:ascii="Arial" w:cs="Arial" w:eastAsia="Arial" w:hAnsi="Arial"/>
          <w:sz w:val="15"/>
          <w:szCs w:val="15"/>
          <w:color w:val="auto"/>
        </w:rPr>
        <w:t>This prospectus relates to the issuance by us, and the resale by the Selling Securityholders, of 190,726,638 shares of Class A Common Stock, issuable upon the exchange of the Paired Interests. This prospectus also relates to the resale by the Selling Securityholders of (i) 32,500,000 shares of Class A Common Stock issued in the PIPE Financing, (ii) 5,184,300 shares of Class A Common Stock issued to the Sponsor and certain of its affiliates upon the conversion of a corresponding number of Class B Ordinary Shares, originally sold to the Sponsor in a private placement prior to the IPO and (iii) 3,967,362 shares of Class A Common Stock issued upon the “cashless exercise” of the Private Placement Warrants.</w:t>
      </w:r>
    </w:p>
    <w:p>
      <w:pPr>
        <w:spacing w:after="0" w:line="153"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5"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With respect to the registration of all shares of Class A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80"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71" w:lineRule="exact"/>
        <w:rPr>
          <w:sz w:val="20"/>
          <w:szCs w:val="20"/>
          <w:color w:val="auto"/>
        </w:rPr>
      </w:pPr>
    </w:p>
    <w:p>
      <w:pPr>
        <w:ind w:left="380" w:right="320" w:firstLine="420"/>
        <w:spacing w:after="0" w:line="278" w:lineRule="auto"/>
        <w:rPr>
          <w:sz w:val="20"/>
          <w:szCs w:val="20"/>
          <w:color w:val="auto"/>
        </w:rPr>
      </w:pPr>
      <w:r>
        <w:rPr>
          <w:rFonts w:ascii="Arial" w:cs="Arial" w:eastAsia="Arial" w:hAnsi="Arial"/>
          <w:sz w:val="17"/>
          <w:szCs w:val="17"/>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5" w:lineRule="exact"/>
        <w:rPr>
          <w:sz w:val="20"/>
          <w:szCs w:val="20"/>
          <w:color w:val="auto"/>
        </w:rPr>
      </w:pPr>
    </w:p>
    <w:p>
      <w:pPr>
        <w:ind w:left="1300" w:hanging="410"/>
        <w:spacing w:after="0"/>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purchases by a broker-dealer as principal and resale by such broker-dealer for its own account pursuant to this prospectus;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 solicits purchasers;</w:t>
      </w:r>
    </w:p>
    <w:p>
      <w:pPr>
        <w:spacing w:after="0" w:line="126" w:lineRule="exact"/>
        <w:rPr>
          <w:rFonts w:ascii="Arial" w:cs="Arial" w:eastAsia="Arial" w:hAnsi="Arial"/>
          <w:sz w:val="17"/>
          <w:szCs w:val="17"/>
          <w:color w:val="auto"/>
        </w:rPr>
      </w:pPr>
    </w:p>
    <w:p>
      <w:pPr>
        <w:ind w:left="1300" w:right="160" w:hanging="410"/>
        <w:spacing w:after="0" w:line="278" w:lineRule="auto"/>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 over-the-counter distribution in accordance with the rules of the NYSE;</w:t>
      </w:r>
    </w:p>
    <w:p>
      <w:pPr>
        <w:spacing w:after="0" w:line="15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820"/>
          </w:cols>
          <w:pgMar w:left="320" w:top="471" w:right="7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1300" w:hanging="410"/>
        <w:spacing w:after="0" w:line="265" w:lineRule="auto"/>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one or more underwritten offerings on a firm commitment or best efforts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settlement of short sales entered into after the date of this prospectus;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agreements with broker-dealers to sell a specified number of the securities at a stipulated price per share or Warrant;</w:t>
      </w:r>
    </w:p>
    <w:p>
      <w:pPr>
        <w:spacing w:after="0" w:line="126" w:lineRule="exact"/>
        <w:rPr>
          <w:rFonts w:ascii="Arial" w:cs="Arial" w:eastAsia="Arial" w:hAnsi="Arial"/>
          <w:sz w:val="17"/>
          <w:szCs w:val="17"/>
          <w:color w:val="auto"/>
        </w:rPr>
      </w:pPr>
    </w:p>
    <w:p>
      <w:pPr>
        <w:ind w:left="1300" w:right="60" w:hanging="410"/>
        <w:spacing w:after="0" w:line="265" w:lineRule="auto"/>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directly to purchasers, including through a specific bidding, auction or other process or in privately negotiated transactions;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a combination of any of the above methods of sale; 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other method permitted pursuant to applicable law.</w:t>
      </w:r>
    </w:p>
    <w:p>
      <w:pPr>
        <w:spacing w:after="0" w:line="216" w:lineRule="exact"/>
        <w:rPr>
          <w:sz w:val="20"/>
          <w:szCs w:val="20"/>
          <w:color w:val="auto"/>
        </w:rPr>
      </w:pPr>
    </w:p>
    <w:p>
      <w:pPr>
        <w:ind w:left="380" w:right="100" w:firstLine="420"/>
        <w:spacing w:after="0" w:line="259" w:lineRule="auto"/>
        <w:rPr>
          <w:sz w:val="20"/>
          <w:szCs w:val="20"/>
          <w:color w:val="auto"/>
        </w:rPr>
      </w:pPr>
      <w:r>
        <w:rPr>
          <w:rFonts w:ascii="Arial" w:cs="Arial" w:eastAsia="Arial" w:hAnsi="Arial"/>
          <w:sz w:val="17"/>
          <w:szCs w:val="17"/>
          <w:color w:val="auto"/>
        </w:rPr>
        <w:t>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0" w:lineRule="exact"/>
        <w:rPr>
          <w:sz w:val="20"/>
          <w:szCs w:val="20"/>
          <w:color w:val="auto"/>
        </w:rPr>
      </w:pPr>
    </w:p>
    <w:p>
      <w:pPr>
        <w:ind w:left="380" w:right="160" w:firstLine="420"/>
        <w:spacing w:after="0" w:line="261" w:lineRule="auto"/>
        <w:rPr>
          <w:sz w:val="20"/>
          <w:szCs w:val="20"/>
          <w:color w:val="auto"/>
        </w:rPr>
      </w:pPr>
      <w:r>
        <w:rPr>
          <w:rFonts w:ascii="Arial" w:cs="Arial" w:eastAsia="Arial" w:hAnsi="Arial"/>
          <w:sz w:val="17"/>
          <w:szCs w:val="17"/>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79"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79" w:lineRule="exact"/>
        <w:rPr>
          <w:sz w:val="20"/>
          <w:szCs w:val="20"/>
          <w:color w:val="auto"/>
        </w:rPr>
      </w:pPr>
    </w:p>
    <w:p>
      <w:pPr>
        <w:jc w:val="both"/>
        <w:ind w:left="380" w:right="320" w:firstLine="420"/>
        <w:spacing w:after="0" w:line="265" w:lineRule="auto"/>
        <w:rPr>
          <w:sz w:val="20"/>
          <w:szCs w:val="20"/>
          <w:color w:val="auto"/>
        </w:rPr>
      </w:pPr>
      <w:r>
        <w:rPr>
          <w:rFonts w:ascii="Arial" w:cs="Arial" w:eastAsia="Arial" w:hAnsi="Arial"/>
          <w:sz w:val="17"/>
          <w:szCs w:val="17"/>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6" w:lineRule="exact"/>
        <w:rPr>
          <w:sz w:val="20"/>
          <w:szCs w:val="20"/>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settlement of short sales entered into after the date of this prospectus;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names of any participating agents, broker-dealers or underwriters;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applicable commissions, discounts, concessions and other items constituting compensation from the selling securityholders.</w:t>
      </w:r>
    </w:p>
    <w:p>
      <w:pPr>
        <w:spacing w:after="0" w:line="163"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7"/>
          <w:szCs w:val="17"/>
          <w:color w:val="auto"/>
        </w:rPr>
        <w:t>168</w:t>
      </w:r>
    </w:p>
    <w:p>
      <w:pPr>
        <w:sectPr>
          <w:pgSz w:w="11900" w:h="16838" w:orient="portrait"/>
          <w:cols w:equalWidth="0" w:num="1">
            <w:col w:w="10840"/>
          </w:cols>
          <w:pgMar w:left="320" w:top="471" w:right="7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firstLine="420"/>
        <w:spacing w:after="0" w:line="255"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9"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9" w:lineRule="exact"/>
        <w:rPr>
          <w:sz w:val="20"/>
          <w:szCs w:val="20"/>
          <w:color w:val="auto"/>
        </w:rPr>
      </w:pPr>
    </w:p>
    <w:p>
      <w:pPr>
        <w:jc w:val="both"/>
        <w:ind w:left="380" w:right="360" w:firstLine="420"/>
        <w:spacing w:after="0" w:line="265" w:lineRule="auto"/>
        <w:rPr>
          <w:sz w:val="20"/>
          <w:szCs w:val="20"/>
          <w:color w:val="auto"/>
        </w:rPr>
      </w:pPr>
      <w:r>
        <w:rPr>
          <w:rFonts w:ascii="Arial" w:cs="Arial" w:eastAsia="Arial" w:hAnsi="Arial"/>
          <w:sz w:val="17"/>
          <w:szCs w:val="17"/>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left="380" w:right="340" w:firstLine="420"/>
        <w:spacing w:after="0" w:line="278" w:lineRule="auto"/>
        <w:rPr>
          <w:sz w:val="20"/>
          <w:szCs w:val="20"/>
          <w:color w:val="auto"/>
        </w:rPr>
      </w:pPr>
      <w:r>
        <w:rPr>
          <w:rFonts w:ascii="Arial" w:cs="Arial" w:eastAsia="Arial" w:hAnsi="Arial"/>
          <w:sz w:val="17"/>
          <w:szCs w:val="17"/>
          <w:color w:val="auto"/>
        </w:rPr>
        <w:t>It is possible that one or more underwriters may make a market in our securities, but such underwriters will not be obligated to do so and may discontinue any market making at any time without notice.</w:t>
      </w:r>
    </w:p>
    <w:p>
      <w:pPr>
        <w:spacing w:after="0" w:line="165" w:lineRule="exact"/>
        <w:rPr>
          <w:sz w:val="20"/>
          <w:szCs w:val="20"/>
          <w:color w:val="auto"/>
        </w:rPr>
      </w:pPr>
    </w:p>
    <w:p>
      <w:pPr>
        <w:ind w:left="380" w:right="80" w:firstLine="420"/>
        <w:spacing w:after="0" w:line="282" w:lineRule="auto"/>
        <w:rPr>
          <w:sz w:val="20"/>
          <w:szCs w:val="20"/>
          <w:color w:val="auto"/>
        </w:rPr>
      </w:pPr>
      <w:r>
        <w:rPr>
          <w:rFonts w:ascii="Arial" w:cs="Arial" w:eastAsia="Arial" w:hAnsi="Arial"/>
          <w:sz w:val="16"/>
          <w:szCs w:val="16"/>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64"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860"/>
          </w:cols>
          <w:pgMar w:left="320" w:top="471" w:right="71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w:t>
      </w:r>
      <w:r>
        <w:rPr>
          <w:rFonts w:ascii="Arial" w:cs="Arial" w:eastAsia="Arial" w:hAnsi="Arial"/>
          <w:sz w:val="17"/>
          <w:szCs w:val="17"/>
          <w:b w:val="1"/>
          <w:bCs w:val="1"/>
          <w:color w:val="auto"/>
        </w:rPr>
        <w:t>Rule 5121</w:t>
      </w:r>
      <w:r>
        <w:rPr>
          <w:rFonts w:ascii="Arial" w:cs="Arial" w:eastAsia="Arial" w:hAnsi="Arial"/>
          <w:sz w:val="17"/>
          <w:szCs w:val="17"/>
          <w:color w:val="auto"/>
        </w:rPr>
        <w:t>”), that offering will be conducted in accordance with the relevant provisions of Rule 5121.</w:t>
      </w:r>
    </w:p>
    <w:p>
      <w:pPr>
        <w:spacing w:after="0" w:line="16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85"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The underwriters, broker-dealers and agents may engage in transactions with us or the Selling Securityholders, or perform services for us or the Selling Securityholders, in the ordinary course of business.</w:t>
      </w:r>
    </w:p>
    <w:p>
      <w:pPr>
        <w:spacing w:after="0" w:line="165" w:lineRule="exact"/>
        <w:rPr>
          <w:sz w:val="20"/>
          <w:szCs w:val="20"/>
          <w:color w:val="auto"/>
        </w:rPr>
      </w:pPr>
    </w:p>
    <w:p>
      <w:pPr>
        <w:ind w:left="380" w:right="100" w:firstLine="420"/>
        <w:spacing w:after="0" w:line="289"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59" w:lineRule="exact"/>
        <w:rPr>
          <w:sz w:val="20"/>
          <w:szCs w:val="20"/>
          <w:color w:val="auto"/>
        </w:rPr>
      </w:pPr>
    </w:p>
    <w:p>
      <w:pPr>
        <w:jc w:val="both"/>
        <w:ind w:left="380" w:firstLine="420"/>
        <w:spacing w:after="0" w:line="261" w:lineRule="auto"/>
        <w:rPr>
          <w:sz w:val="20"/>
          <w:szCs w:val="20"/>
          <w:color w:val="auto"/>
        </w:rPr>
      </w:pPr>
      <w:r>
        <w:rPr>
          <w:rFonts w:ascii="Arial" w:cs="Arial" w:eastAsia="Arial" w:hAnsi="Arial"/>
          <w:sz w:val="17"/>
          <w:szCs w:val="17"/>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79"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We will make copies of this prospectus available to the Selling Securityholders for the purpose of satisfying the prospectus delivery requirements of the Securities Act.</w:t>
      </w:r>
    </w:p>
    <w:p>
      <w:pPr>
        <w:spacing w:after="0" w:line="165"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840"/>
          </w:cols>
          <w:pgMar w:left="320" w:top="471" w:right="7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93" w:lineRule="auto"/>
        <w:rPr>
          <w:sz w:val="20"/>
          <w:szCs w:val="20"/>
          <w:color w:val="auto"/>
        </w:rPr>
      </w:pPr>
      <w:r>
        <w:rPr>
          <w:rFonts w:ascii="Arial" w:cs="Arial" w:eastAsia="Arial" w:hAnsi="Arial"/>
          <w:sz w:val="15"/>
          <w:szCs w:val="15"/>
          <w:color w:val="auto"/>
        </w:rPr>
        <w:t>Pursuant to each Subscription Agreement, we must use commercially reasonable efforts to keep the registration statement of which this prospectus constitutes a part effective until the earlier of (i) October 15, 2024, (ii) the date on which all shares issued pursuant the Subscription Agreements have been sold, and (iii) the first date on each subscriber named in such Subscription Agreement (“</w:t>
      </w:r>
      <w:r>
        <w:rPr>
          <w:rFonts w:ascii="Arial" w:cs="Arial" w:eastAsia="Arial" w:hAnsi="Arial"/>
          <w:sz w:val="15"/>
          <w:szCs w:val="15"/>
          <w:b w:val="1"/>
          <w:bCs w:val="1"/>
          <w:color w:val="auto"/>
        </w:rPr>
        <w:t>Subscriber</w:t>
      </w:r>
      <w:r>
        <w:rPr>
          <w:rFonts w:ascii="Arial" w:cs="Arial" w:eastAsia="Arial" w:hAnsi="Arial"/>
          <w:sz w:val="15"/>
          <w:szCs w:val="15"/>
          <w:color w:val="auto"/>
        </w:rPr>
        <w:t>”) can sell all of the shares purchased by such Subscriber under such Subscription Agreement (or shares received in exchange therefor, collectively, the “</w:t>
      </w:r>
      <w:r>
        <w:rPr>
          <w:rFonts w:ascii="Arial" w:cs="Arial" w:eastAsia="Arial" w:hAnsi="Arial"/>
          <w:sz w:val="15"/>
          <w:szCs w:val="15"/>
          <w:b w:val="1"/>
          <w:bCs w:val="1"/>
          <w:color w:val="auto"/>
        </w:rPr>
        <w:t>Subscribed Shares</w:t>
      </w:r>
      <w:r>
        <w:rPr>
          <w:rFonts w:ascii="Arial" w:cs="Arial" w:eastAsia="Arial" w:hAnsi="Arial"/>
          <w:sz w:val="15"/>
          <w:szCs w:val="15"/>
          <w:color w:val="auto"/>
        </w:rPr>
        <w:t>”)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w:t>
      </w:r>
    </w:p>
    <w:p>
      <w:pPr>
        <w:spacing w:after="0" w:line="158"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860"/>
          </w:cols>
          <w:pgMar w:left="320" w:top="471" w:right="71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LEGAL MATTERS</w:t>
      </w:r>
    </w:p>
    <w:p>
      <w:pPr>
        <w:spacing w:after="0" w:line="222"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Wilson Sonsini Goodrich &amp; Rosati, P.C., Austin, Texas, which has acted as our counsel in connection with this offering, will pass upon the validity of our securities being offered by this prospectus.</w:t>
      </w:r>
    </w:p>
    <w:p>
      <w:pPr>
        <w:spacing w:after="0" w:line="36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EXPERTS</w:t>
      </w:r>
    </w:p>
    <w:p>
      <w:pPr>
        <w:spacing w:after="0" w:line="222" w:lineRule="exact"/>
        <w:rPr>
          <w:sz w:val="20"/>
          <w:szCs w:val="20"/>
          <w:color w:val="auto"/>
        </w:rPr>
      </w:pPr>
    </w:p>
    <w:p>
      <w:pPr>
        <w:ind w:left="380" w:right="400" w:firstLine="420"/>
        <w:spacing w:after="0" w:line="261" w:lineRule="auto"/>
        <w:rPr>
          <w:sz w:val="20"/>
          <w:szCs w:val="20"/>
          <w:color w:val="auto"/>
        </w:rPr>
      </w:pPr>
      <w:r>
        <w:rPr>
          <w:rFonts w:ascii="Arial" w:cs="Arial" w:eastAsia="Arial" w:hAnsi="Arial"/>
          <w:sz w:val="17"/>
          <w:szCs w:val="17"/>
          <w:color w:val="auto"/>
        </w:rPr>
        <w:t>The financial statements of Bakkt Holdings, Inc (f/k/a VPC Impact Acquisition Holdings), as of December 31, 2020, and for the period from July 31, 2020 (inception) through December 31, 2020, included in this prospectus have been audited by WithumSmith+Brown, PC, independent registered public accountants, as set forth in their report thereon appearing elsewhere in this prospectus, and are included in reliance on such report given on the authority of said firm as experts in accounting and auditing.</w:t>
      </w:r>
    </w:p>
    <w:p>
      <w:pPr>
        <w:spacing w:after="0" w:line="17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The consolidated financial statements of Bakkt Holdings, LLC and subsidiaries as at December 31, 2020 and December 31, 2019 and for the years then ended included in this prospectus and the registration statement of which it forms a part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jc w:val="both"/>
        <w:ind w:left="380" w:right="160" w:firstLine="420"/>
        <w:spacing w:after="0" w:line="265" w:lineRule="auto"/>
        <w:rPr>
          <w:sz w:val="20"/>
          <w:szCs w:val="20"/>
          <w:color w:val="auto"/>
        </w:rPr>
      </w:pPr>
      <w:r>
        <w:rPr>
          <w:rFonts w:ascii="Arial" w:cs="Arial" w:eastAsia="Arial" w:hAnsi="Arial"/>
          <w:sz w:val="17"/>
          <w:szCs w:val="17"/>
          <w:color w:val="auto"/>
        </w:rPr>
        <w:t>The consolidated financial statements of B2S Holdings, Inc. and its subsidiaries as of and for the year ended December 31, 2019 included in this prospectus has been audited by Bennett Thrasher LLP, independent auditor, as set forth in their report appearing elsewhere herein, and are included in reliance upon such report given on the authority of said firm as experts in accounting and auditing.</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860"/>
          </w:cols>
          <w:pgMar w:left="320" w:top="471" w:right="71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2" w:lineRule="exact"/>
        <w:rPr>
          <w:sz w:val="20"/>
          <w:szCs w:val="20"/>
          <w:color w:val="auto"/>
        </w:rPr>
      </w:pPr>
    </w:p>
    <w:p>
      <w:pPr>
        <w:ind w:left="380" w:right="60" w:firstLine="420"/>
        <w:spacing w:after="0" w:line="298" w:lineRule="auto"/>
        <w:rPr>
          <w:sz w:val="20"/>
          <w:szCs w:val="20"/>
          <w:color w:val="auto"/>
        </w:rPr>
      </w:pPr>
      <w:r>
        <w:rPr>
          <w:rFonts w:ascii="Arial" w:cs="Arial" w:eastAsia="Arial" w:hAnsi="Arial"/>
          <w:sz w:val="15"/>
          <w:szCs w:val="15"/>
          <w:color w:val="auto"/>
        </w:rPr>
        <w:t>We have filed with the SEC a registration statement on Form S-1 under the Securities Act that registers the shares of our Class A Common Stock and the Warrants to be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Each statement in this prospectus relating to a contract or document filed as an exhibit to this registration statement is qualified in all respects by the document filed as an exhibit with this registration statement.</w:t>
      </w:r>
    </w:p>
    <w:p>
      <w:pPr>
        <w:spacing w:after="0" w:line="156"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Arial" w:cs="Arial" w:eastAsia="Arial" w:hAnsi="Arial"/>
          <w:sz w:val="17"/>
          <w:szCs w:val="17"/>
          <w:i w:val="1"/>
          <w:iCs w:val="1"/>
          <w:color w:val="auto"/>
        </w:rPr>
        <w:t>investors.bakkt.com</w:t>
      </w:r>
      <w:r>
        <w:rPr>
          <w:rFonts w:ascii="Arial" w:cs="Arial" w:eastAsia="Arial" w:hAnsi="Arial"/>
          <w:sz w:val="17"/>
          <w:szCs w:val="17"/>
          <w:color w:val="auto"/>
        </w:rPr>
        <w:t xml:space="preserve"> under “</w:t>
      </w:r>
      <w:r>
        <w:rPr>
          <w:rFonts w:ascii="Arial" w:cs="Arial" w:eastAsia="Arial" w:hAnsi="Arial"/>
          <w:sz w:val="17"/>
          <w:szCs w:val="17"/>
          <w:i w:val="1"/>
          <w:iCs w:val="1"/>
          <w:color w:val="auto"/>
        </w:rPr>
        <w:t>Financials—SEC Filings</w:t>
      </w:r>
      <w:r>
        <w:rPr>
          <w:rFonts w:ascii="Arial" w:cs="Arial" w:eastAsia="Arial" w:hAnsi="Arial"/>
          <w:sz w:val="17"/>
          <w:szCs w:val="17"/>
          <w:color w:val="auto"/>
        </w:rPr>
        <w:t>,” the information that we file and furnish to the SEC as soon as reasonably practicable thereafter. Information contained on our website is not a part of or incorporated by reference into this prospectus.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820"/>
          </w:cols>
          <w:pgMar w:left="320" w:top="471" w:right="75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INDEX TO FINANCIAL STATEMENTS</w:t>
      </w:r>
    </w:p>
    <w:p>
      <w:pPr>
        <w:spacing w:after="0" w:line="216"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VPC IMPACT ACQUISITION HOLDINGS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9960" w:type="dxa"/>
            <w:vAlign w:val="bottom"/>
            <w:gridSpan w:val="30"/>
            <w:vMerge w:val="restart"/>
          </w:tcPr>
          <w:p>
            <w:pPr>
              <w:spacing w:after="0"/>
              <w:rPr>
                <w:sz w:val="20"/>
                <w:szCs w:val="20"/>
                <w:color w:val="auto"/>
              </w:rPr>
            </w:pPr>
            <w:r>
              <w:rPr>
                <w:rFonts w:ascii="Arial" w:cs="Arial" w:eastAsia="Arial" w:hAnsi="Arial"/>
                <w:sz w:val="17"/>
                <w:szCs w:val="17"/>
                <w:b w:val="1"/>
                <w:bCs w:val="1"/>
                <w:color w:val="auto"/>
              </w:rPr>
              <w:t>Audited Financial Statements</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4"/>
        </w:trPr>
        <w:tc>
          <w:tcPr>
            <w:tcW w:w="9960" w:type="dxa"/>
            <w:vAlign w:val="bottom"/>
            <w:gridSpan w:val="30"/>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20" w:type="dxa"/>
            <w:vAlign w:val="bottom"/>
            <w:tcBorders>
              <w:bottom w:val="single" w:sz="8" w:color="0000EE"/>
            </w:tcBorders>
            <w:gridSpan w:val="10"/>
          </w:tcPr>
          <w:p>
            <w:pPr>
              <w:spacing w:after="0" w:line="16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Report of Independent Registered Public Accounting Firm</w:t>
              </w:r>
            </w:hyperlink>
          </w:p>
        </w:tc>
        <w:tc>
          <w:tcPr>
            <w:tcW w:w="5940" w:type="dxa"/>
            <w:vAlign w:val="bottom"/>
            <w:gridSpan w:val="20"/>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62"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25"/>
        </w:trPr>
        <w:tc>
          <w:tcPr>
            <w:tcW w:w="9960" w:type="dxa"/>
            <w:vAlign w:val="bottom"/>
            <w:gridSpan w:val="30"/>
          </w:tcPr>
          <w:p>
            <w:pPr>
              <w:spacing w:after="0"/>
              <w:rPr>
                <w:sz w:val="20"/>
                <w:szCs w:val="20"/>
                <w:color w:val="auto"/>
              </w:rPr>
            </w:pPr>
            <w:r>
              <w:rPr>
                <w:rFonts w:ascii="Arial" w:cs="Arial" w:eastAsia="Arial" w:hAnsi="Arial"/>
                <w:sz w:val="17"/>
                <w:szCs w:val="17"/>
                <w:color w:val="auto"/>
              </w:rPr>
              <w:t>Financial Statements: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20" w:type="dxa"/>
            <w:vAlign w:val="bottom"/>
            <w:gridSpan w:val="28"/>
          </w:tcPr>
          <w:p>
            <w:pPr>
              <w:spacing w:after="0" w:line="180" w:lineRule="exact"/>
              <w:rPr>
                <w:rFonts w:ascii="Arial" w:cs="Arial" w:eastAsia="Arial" w:hAnsi="Arial"/>
                <w:sz w:val="17"/>
                <w:szCs w:val="17"/>
                <w:color w:val="0000EE"/>
              </w:rPr>
            </w:pPr>
            <w:hyperlink w:anchor="page183">
              <w:r>
                <w:rPr>
                  <w:rFonts w:ascii="Arial" w:cs="Arial" w:eastAsia="Arial" w:hAnsi="Arial"/>
                  <w:sz w:val="17"/>
                  <w:szCs w:val="17"/>
                  <w:color w:val="0000EE"/>
                </w:rPr>
                <w:t>Consolidated Balance Sheet</w:t>
              </w:r>
            </w:hyperlink>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Borders>
              <w:bottom w:val="single" w:sz="8" w:color="0000EE"/>
            </w:tcBorders>
            <w:gridSpan w:val="5"/>
          </w:tcPr>
          <w:p>
            <w:pPr>
              <w:spacing w:after="0" w:line="186" w:lineRule="exact"/>
              <w:rPr>
                <w:rFonts w:ascii="Arial" w:cs="Arial" w:eastAsia="Arial" w:hAnsi="Arial"/>
                <w:sz w:val="17"/>
                <w:szCs w:val="17"/>
                <w:color w:val="0000EE"/>
                <w:w w:val="90"/>
              </w:rPr>
            </w:pPr>
            <w:hyperlink w:anchor="page184">
              <w:r>
                <w:rPr>
                  <w:rFonts w:ascii="Arial" w:cs="Arial" w:eastAsia="Arial" w:hAnsi="Arial"/>
                  <w:sz w:val="17"/>
                  <w:szCs w:val="17"/>
                  <w:color w:val="0000EE"/>
                  <w:w w:val="90"/>
                </w:rPr>
                <w:t>Consolidated Statement of Operations</w:t>
              </w:r>
            </w:hyperlink>
          </w:p>
        </w:tc>
        <w:tc>
          <w:tcPr>
            <w:tcW w:w="7000" w:type="dxa"/>
            <w:vAlign w:val="bottom"/>
            <w:gridSpan w:val="2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20" w:type="dxa"/>
            <w:vAlign w:val="bottom"/>
            <w:gridSpan w:val="28"/>
          </w:tcPr>
          <w:p>
            <w:pPr>
              <w:spacing w:after="0" w:line="186" w:lineRule="exact"/>
              <w:rPr>
                <w:rFonts w:ascii="Arial" w:cs="Arial" w:eastAsia="Arial" w:hAnsi="Arial"/>
                <w:sz w:val="17"/>
                <w:szCs w:val="17"/>
                <w:color w:val="0000EE"/>
              </w:rPr>
            </w:pPr>
            <w:hyperlink w:anchor="page185">
              <w:r>
                <w:rPr>
                  <w:rFonts w:ascii="Arial" w:cs="Arial" w:eastAsia="Arial" w:hAnsi="Arial"/>
                  <w:sz w:val="17"/>
                  <w:szCs w:val="17"/>
                  <w:color w:val="0000EE"/>
                </w:rPr>
                <w:t>Consolidated Statement of Changes in Shareholders’ Equity</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tcBorders>
              <w:top w:val="single" w:sz="8" w:color="0000EE"/>
            </w:tcBorders>
            <w:gridSpan w:val="11"/>
          </w:tcPr>
          <w:p>
            <w:pPr>
              <w:spacing w:after="0" w:line="186" w:lineRule="exact"/>
              <w:rPr>
                <w:rFonts w:ascii="Arial" w:cs="Arial" w:eastAsia="Arial" w:hAnsi="Arial"/>
                <w:sz w:val="17"/>
                <w:szCs w:val="17"/>
                <w:color w:val="0000EE"/>
              </w:rPr>
            </w:pPr>
            <w:hyperlink w:anchor="page186">
              <w:r>
                <w:rPr>
                  <w:rFonts w:ascii="Arial" w:cs="Arial" w:eastAsia="Arial" w:hAnsi="Arial"/>
                  <w:sz w:val="17"/>
                  <w:szCs w:val="17"/>
                  <w:color w:val="0000EE"/>
                </w:rPr>
                <w:t>Consolidated Statement of Cash Flows</w:t>
              </w:r>
            </w:hyperlink>
          </w:p>
        </w:tc>
        <w:tc>
          <w:tcPr>
            <w:tcW w:w="5500" w:type="dxa"/>
            <w:vAlign w:val="bottom"/>
            <w:gridSpan w:val="17"/>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color w:val="0000EE"/>
                <w:w w:val="89"/>
              </w:rPr>
            </w:pPr>
            <w:hyperlink w:anchor="page187">
              <w:r>
                <w:rPr>
                  <w:rFonts w:ascii="Arial" w:cs="Arial" w:eastAsia="Arial" w:hAnsi="Arial"/>
                  <w:sz w:val="17"/>
                  <w:szCs w:val="17"/>
                  <w:color w:val="0000EE"/>
                  <w:w w:val="89"/>
                </w:rPr>
                <w:t>Notes to Financial Statements</w:t>
              </w:r>
            </w:hyperlink>
          </w:p>
        </w:tc>
        <w:tc>
          <w:tcPr>
            <w:tcW w:w="600" w:type="dxa"/>
            <w:vAlign w:val="bottom"/>
            <w:tcBorders>
              <w:top w:val="single" w:sz="8" w:color="0000EE"/>
            </w:tcBorders>
            <w:gridSpan w:val="2"/>
          </w:tcPr>
          <w:p>
            <w:pPr>
              <w:spacing w:after="0"/>
              <w:rPr>
                <w:sz w:val="16"/>
                <w:szCs w:val="16"/>
                <w:color w:val="auto"/>
              </w:rPr>
            </w:pPr>
          </w:p>
        </w:tc>
        <w:tc>
          <w:tcPr>
            <w:tcW w:w="6960" w:type="dxa"/>
            <w:vAlign w:val="bottom"/>
            <w:gridSpan w:val="22"/>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418"/>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Unaudited Condensed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tcBorders>
              <w:bottom w:val="single" w:sz="8" w:color="0000EE"/>
            </w:tcBorders>
            <w:gridSpan w:val="20"/>
          </w:tcPr>
          <w:p>
            <w:pPr>
              <w:spacing w:after="0" w:line="180" w:lineRule="exact"/>
              <w:rPr>
                <w:rFonts w:ascii="Arial" w:cs="Arial" w:eastAsia="Arial" w:hAnsi="Arial"/>
                <w:sz w:val="17"/>
                <w:szCs w:val="17"/>
                <w:color w:val="0000EE"/>
                <w:w w:val="89"/>
              </w:rPr>
            </w:pPr>
            <w:hyperlink w:anchor="page209">
              <w:r>
                <w:rPr>
                  <w:rFonts w:ascii="Arial" w:cs="Arial" w:eastAsia="Arial" w:hAnsi="Arial"/>
                  <w:sz w:val="17"/>
                  <w:szCs w:val="17"/>
                  <w:color w:val="0000EE"/>
                  <w:w w:val="89"/>
                </w:rPr>
                <w:t>Condensed Consolidated Balance Sheets as of September 30, 2021 (unaudited) and December 31, 2020</w:t>
              </w:r>
            </w:hyperlink>
          </w:p>
        </w:tc>
        <w:tc>
          <w:tcPr>
            <w:tcW w:w="252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F-27</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560" w:type="dxa"/>
            <w:vAlign w:val="bottom"/>
            <w:tcBorders>
              <w:bottom w:val="single" w:sz="8" w:color="0000EE"/>
            </w:tcBorders>
            <w:gridSpan w:val="27"/>
          </w:tcPr>
          <w:p>
            <w:pPr>
              <w:spacing w:after="0" w:line="186" w:lineRule="exact"/>
              <w:rPr>
                <w:rFonts w:ascii="Arial" w:cs="Arial" w:eastAsia="Arial" w:hAnsi="Arial"/>
                <w:sz w:val="17"/>
                <w:szCs w:val="17"/>
                <w:color w:val="0000EE"/>
                <w:w w:val="90"/>
              </w:rPr>
            </w:pPr>
            <w:hyperlink w:anchor="page210">
              <w:r>
                <w:rPr>
                  <w:rFonts w:ascii="Arial" w:cs="Arial" w:eastAsia="Arial" w:hAnsi="Arial"/>
                  <w:sz w:val="17"/>
                  <w:szCs w:val="17"/>
                  <w:color w:val="0000EE"/>
                  <w:w w:val="90"/>
                </w:rPr>
                <w:t>Unaudited Condensed Consolidated Statements of Operations for the Three and Nine months Ended September 30, 2021 and for the period</w:t>
              </w:r>
            </w:hyperlink>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27"/>
          </w:tcPr>
          <w:p>
            <w:pPr>
              <w:spacing w:after="0" w:line="186" w:lineRule="exact"/>
              <w:rPr>
                <w:rFonts w:ascii="Arial" w:cs="Arial" w:eastAsia="Arial" w:hAnsi="Arial"/>
                <w:sz w:val="17"/>
                <w:szCs w:val="17"/>
                <w:color w:val="0000EE"/>
              </w:rPr>
            </w:pPr>
            <w:hyperlink w:anchor="page210">
              <w:r>
                <w:rPr>
                  <w:rFonts w:ascii="Arial" w:cs="Arial" w:eastAsia="Arial" w:hAnsi="Arial"/>
                  <w:sz w:val="17"/>
                  <w:szCs w:val="17"/>
                  <w:color w:val="0000EE"/>
                </w:rPr>
                <w:t>from July 31, 2020 (inception) through September 30,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F-28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20" w:type="dxa"/>
            <w:vAlign w:val="bottom"/>
            <w:tcBorders>
              <w:bottom w:val="single" w:sz="8" w:color="0000EE"/>
            </w:tcBorders>
            <w:gridSpan w:val="24"/>
          </w:tcPr>
          <w:p>
            <w:pPr>
              <w:spacing w:after="0" w:line="186" w:lineRule="exact"/>
              <w:rPr>
                <w:rFonts w:ascii="Arial" w:cs="Arial" w:eastAsia="Arial" w:hAnsi="Arial"/>
                <w:sz w:val="17"/>
                <w:szCs w:val="17"/>
                <w:color w:val="0000EE"/>
                <w:w w:val="91"/>
              </w:rPr>
            </w:pPr>
            <w:hyperlink w:anchor="page211">
              <w:r>
                <w:rPr>
                  <w:rFonts w:ascii="Arial" w:cs="Arial" w:eastAsia="Arial" w:hAnsi="Arial"/>
                  <w:sz w:val="17"/>
                  <w:szCs w:val="17"/>
                  <w:color w:val="0000EE"/>
                  <w:w w:val="91"/>
                </w:rPr>
                <w:t>Unaudited Condensed Consolidated Statements of Changes in Shareholders’ Equity (Deficit) for the Three and Nine months Ended</w:t>
              </w:r>
            </w:hyperlink>
          </w:p>
        </w:tc>
        <w:tc>
          <w:tcPr>
            <w:tcW w:w="6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780" w:type="dxa"/>
            <w:vAlign w:val="bottom"/>
            <w:tcBorders>
              <w:bottom w:val="single" w:sz="8" w:color="0000EE"/>
            </w:tcBorders>
            <w:gridSpan w:val="17"/>
          </w:tcPr>
          <w:p>
            <w:pPr>
              <w:spacing w:after="0" w:line="186" w:lineRule="exact"/>
              <w:rPr>
                <w:rFonts w:ascii="Arial" w:cs="Arial" w:eastAsia="Arial" w:hAnsi="Arial"/>
                <w:sz w:val="17"/>
                <w:szCs w:val="17"/>
                <w:color w:val="0000EE"/>
                <w:w w:val="91"/>
              </w:rPr>
            </w:pPr>
            <w:hyperlink w:anchor="page211">
              <w:r>
                <w:rPr>
                  <w:rFonts w:ascii="Arial" w:cs="Arial" w:eastAsia="Arial" w:hAnsi="Arial"/>
                  <w:sz w:val="17"/>
                  <w:szCs w:val="17"/>
                  <w:color w:val="0000EE"/>
                  <w:w w:val="91"/>
                </w:rPr>
                <w:t>September 30, 2021 and for the period from July 31, 2020 (inception) through September 30, 2020</w:t>
              </w:r>
            </w:hyperlink>
          </w:p>
        </w:tc>
        <w:tc>
          <w:tcPr>
            <w:tcW w:w="2660" w:type="dxa"/>
            <w:vAlign w:val="bottom"/>
            <w:gridSpan w:val="10"/>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F-29</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60" w:type="dxa"/>
            <w:vAlign w:val="bottom"/>
            <w:tcBorders>
              <w:bottom w:val="single" w:sz="8" w:color="0000EE"/>
            </w:tcBorders>
            <w:gridSpan w:val="25"/>
          </w:tcPr>
          <w:p>
            <w:pPr>
              <w:spacing w:after="0" w:line="186" w:lineRule="exact"/>
              <w:rPr>
                <w:rFonts w:ascii="Arial" w:cs="Arial" w:eastAsia="Arial" w:hAnsi="Arial"/>
                <w:sz w:val="17"/>
                <w:szCs w:val="17"/>
                <w:color w:val="0000EE"/>
                <w:w w:val="90"/>
              </w:rPr>
            </w:pPr>
            <w:hyperlink w:anchor="page212">
              <w:r>
                <w:rPr>
                  <w:rFonts w:ascii="Arial" w:cs="Arial" w:eastAsia="Arial" w:hAnsi="Arial"/>
                  <w:sz w:val="17"/>
                  <w:szCs w:val="17"/>
                  <w:color w:val="0000EE"/>
                  <w:w w:val="90"/>
                </w:rPr>
                <w:t>Unaudited Condensed Consolidated Statements of Cash Flows for the Nine months Ended September 30, 2021 and for the period from</w:t>
              </w:r>
            </w:hyperlink>
          </w:p>
        </w:tc>
        <w:tc>
          <w:tcPr>
            <w:tcW w:w="36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27"/>
          </w:tcPr>
          <w:p>
            <w:pPr>
              <w:spacing w:after="0" w:line="186" w:lineRule="exact"/>
              <w:rPr>
                <w:rFonts w:ascii="Arial" w:cs="Arial" w:eastAsia="Arial" w:hAnsi="Arial"/>
                <w:sz w:val="17"/>
                <w:szCs w:val="17"/>
                <w:color w:val="0000EE"/>
              </w:rPr>
            </w:pPr>
            <w:hyperlink w:anchor="page212">
              <w:r>
                <w:rPr>
                  <w:rFonts w:ascii="Arial" w:cs="Arial" w:eastAsia="Arial" w:hAnsi="Arial"/>
                  <w:sz w:val="17"/>
                  <w:szCs w:val="17"/>
                  <w:color w:val="0000EE"/>
                </w:rPr>
                <w:t>July 31, 2020 (inception) through September 30,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bottom w:val="single" w:sz="8" w:color="0000EE"/>
            </w:tcBorders>
            <w:gridSpan w:val="13"/>
          </w:tcPr>
          <w:p>
            <w:pPr>
              <w:spacing w:after="0" w:line="186" w:lineRule="exact"/>
              <w:rPr>
                <w:rFonts w:ascii="Arial" w:cs="Arial" w:eastAsia="Arial" w:hAnsi="Arial"/>
                <w:sz w:val="17"/>
                <w:szCs w:val="17"/>
                <w:color w:val="0000EE"/>
                <w:w w:val="90"/>
              </w:rPr>
            </w:pPr>
            <w:hyperlink w:anchor="page213">
              <w:r>
                <w:rPr>
                  <w:rFonts w:ascii="Arial" w:cs="Arial" w:eastAsia="Arial" w:hAnsi="Arial"/>
                  <w:sz w:val="17"/>
                  <w:szCs w:val="17"/>
                  <w:color w:val="0000EE"/>
                  <w:w w:val="90"/>
                </w:rPr>
                <w:t>Notes to Condensed (unaudited) Consolidated Financial Statements</w:t>
              </w:r>
            </w:hyperlink>
          </w:p>
        </w:tc>
        <w:tc>
          <w:tcPr>
            <w:tcW w:w="4980" w:type="dxa"/>
            <w:vAlign w:val="bottom"/>
            <w:gridSpan w:val="15"/>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F-31</w:t>
            </w:r>
          </w:p>
        </w:tc>
        <w:tc>
          <w:tcPr>
            <w:tcW w:w="0" w:type="dxa"/>
            <w:vAlign w:val="bottom"/>
          </w:tcPr>
          <w:p>
            <w:pPr>
              <w:spacing w:after="0"/>
              <w:rPr>
                <w:sz w:val="1"/>
                <w:szCs w:val="1"/>
                <w:color w:val="auto"/>
              </w:rPr>
            </w:pPr>
          </w:p>
        </w:tc>
      </w:tr>
      <w:tr>
        <w:trPr>
          <w:trHeight w:val="429"/>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19"/>
          </w:tcPr>
          <w:p>
            <w:pPr>
              <w:jc w:val="center"/>
              <w:ind w:right="3680"/>
              <w:spacing w:after="0"/>
              <w:rPr>
                <w:sz w:val="20"/>
                <w:szCs w:val="20"/>
                <w:color w:val="auto"/>
              </w:rPr>
            </w:pPr>
            <w:r>
              <w:rPr>
                <w:rFonts w:ascii="Arial" w:cs="Arial" w:eastAsia="Arial" w:hAnsi="Arial"/>
                <w:sz w:val="17"/>
                <w:szCs w:val="17"/>
                <w:b w:val="1"/>
                <w:bCs w:val="1"/>
                <w:color w:val="auto"/>
              </w:rPr>
              <w:t>BAKKT HOLDINGS, LLC</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20" w:type="dxa"/>
            <w:vAlign w:val="bottom"/>
            <w:tcBorders>
              <w:bottom w:val="single" w:sz="8" w:color="0000EE"/>
            </w:tcBorders>
            <w:gridSpan w:val="10"/>
          </w:tcPr>
          <w:p>
            <w:pPr>
              <w:spacing w:after="0" w:line="180" w:lineRule="exact"/>
              <w:rPr>
                <w:rFonts w:ascii="Arial" w:cs="Arial" w:eastAsia="Arial" w:hAnsi="Arial"/>
                <w:sz w:val="17"/>
                <w:szCs w:val="17"/>
                <w:color w:val="0000EE"/>
                <w:w w:val="92"/>
              </w:rPr>
            </w:pPr>
            <w:hyperlink w:anchor="page234">
              <w:r>
                <w:rPr>
                  <w:rFonts w:ascii="Arial" w:cs="Arial" w:eastAsia="Arial" w:hAnsi="Arial"/>
                  <w:sz w:val="17"/>
                  <w:szCs w:val="17"/>
                  <w:color w:val="0000EE"/>
                  <w:w w:val="92"/>
                </w:rPr>
                <w:t>Report of Independent Registered Public Accounting Firm</w:t>
              </w:r>
            </w:hyperlink>
          </w:p>
        </w:tc>
        <w:tc>
          <w:tcPr>
            <w:tcW w:w="5940" w:type="dxa"/>
            <w:vAlign w:val="bottom"/>
            <w:gridSpan w:val="20"/>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35">
              <w:r>
                <w:rPr>
                  <w:rFonts w:ascii="Arial" w:cs="Arial" w:eastAsia="Arial" w:hAnsi="Arial"/>
                  <w:sz w:val="17"/>
                  <w:szCs w:val="17"/>
                  <w:color w:val="0000EE"/>
                </w:rPr>
                <w:t>Consolidated Balance Sheets as of December 31, 2020 and 2019</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00" w:type="dxa"/>
            <w:vAlign w:val="bottom"/>
            <w:tcBorders>
              <w:bottom w:val="single" w:sz="8" w:color="0000EE"/>
            </w:tcBorders>
            <w:gridSpan w:val="17"/>
          </w:tcPr>
          <w:p>
            <w:pPr>
              <w:spacing w:after="0" w:line="186" w:lineRule="exact"/>
              <w:rPr>
                <w:rFonts w:ascii="Arial" w:cs="Arial" w:eastAsia="Arial" w:hAnsi="Arial"/>
                <w:sz w:val="17"/>
                <w:szCs w:val="17"/>
                <w:color w:val="0000EE"/>
                <w:w w:val="89"/>
              </w:rPr>
            </w:pPr>
            <w:hyperlink w:anchor="page236">
              <w:r>
                <w:rPr>
                  <w:rFonts w:ascii="Arial" w:cs="Arial" w:eastAsia="Arial" w:hAnsi="Arial"/>
                  <w:sz w:val="17"/>
                  <w:szCs w:val="17"/>
                  <w:color w:val="0000EE"/>
                  <w:w w:val="89"/>
                </w:rPr>
                <w:t>Consolidated Statements of Operations for the years ended December 31, 2020 and 2019</w:t>
              </w:r>
            </w:hyperlink>
          </w:p>
        </w:tc>
        <w:tc>
          <w:tcPr>
            <w:tcW w:w="3860" w:type="dxa"/>
            <w:vAlign w:val="bottom"/>
            <w:gridSpan w:val="1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F-52</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0000EE"/>
            </w:tcBorders>
            <w:gridSpan w:val="24"/>
          </w:tcPr>
          <w:p>
            <w:pPr>
              <w:spacing w:after="0" w:line="186" w:lineRule="exact"/>
              <w:rPr>
                <w:rFonts w:ascii="Arial" w:cs="Arial" w:eastAsia="Arial" w:hAnsi="Arial"/>
                <w:sz w:val="17"/>
                <w:szCs w:val="17"/>
                <w:color w:val="0000EE"/>
                <w:w w:val="90"/>
              </w:rPr>
            </w:pPr>
            <w:hyperlink w:anchor="page237">
              <w:r>
                <w:rPr>
                  <w:rFonts w:ascii="Arial" w:cs="Arial" w:eastAsia="Arial" w:hAnsi="Arial"/>
                  <w:sz w:val="17"/>
                  <w:szCs w:val="17"/>
                  <w:color w:val="0000EE"/>
                  <w:w w:val="90"/>
                </w:rPr>
                <w:t>Consolidated Statements of Members’ Equity and Mezzanine Equity for the years ended December 31, 2020 and 2019</w:t>
              </w:r>
            </w:hyperlink>
          </w:p>
        </w:tc>
        <w:tc>
          <w:tcPr>
            <w:tcW w:w="182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F-53</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38">
              <w:r>
                <w:rPr>
                  <w:rFonts w:ascii="Arial" w:cs="Arial" w:eastAsia="Arial" w:hAnsi="Arial"/>
                  <w:sz w:val="17"/>
                  <w:szCs w:val="17"/>
                  <w:color w:val="0000EE"/>
                </w:rPr>
                <w:t>Consolidated Statements of Cash Flows for the years ended December 31, 2020 and 2019</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186"/>
        </w:trPr>
        <w:tc>
          <w:tcPr>
            <w:tcW w:w="6140" w:type="dxa"/>
            <w:vAlign w:val="bottom"/>
            <w:tcBorders>
              <w:top w:val="single" w:sz="8" w:color="0000EE"/>
            </w:tcBorders>
            <w:gridSpan w:val="18"/>
          </w:tcPr>
          <w:p>
            <w:pPr>
              <w:spacing w:after="0" w:line="186" w:lineRule="exact"/>
              <w:rPr>
                <w:rFonts w:ascii="Arial" w:cs="Arial" w:eastAsia="Arial" w:hAnsi="Arial"/>
                <w:sz w:val="17"/>
                <w:szCs w:val="17"/>
                <w:color w:val="0000EE"/>
              </w:rPr>
            </w:pPr>
            <w:hyperlink w:anchor="page240">
              <w:r>
                <w:rPr>
                  <w:rFonts w:ascii="Arial" w:cs="Arial" w:eastAsia="Arial" w:hAnsi="Arial"/>
                  <w:sz w:val="17"/>
                  <w:szCs w:val="17"/>
                  <w:color w:val="0000EE"/>
                </w:rPr>
                <w:t>Notes to the Consolidated Financial Statements</w:t>
              </w:r>
            </w:hyperlink>
          </w:p>
        </w:tc>
        <w:tc>
          <w:tcPr>
            <w:tcW w:w="3820" w:type="dxa"/>
            <w:vAlign w:val="bottom"/>
            <w:gridSpan w:val="12"/>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Unaudited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00" w:type="dxa"/>
            <w:vAlign w:val="bottom"/>
            <w:tcBorders>
              <w:bottom w:val="single" w:sz="8" w:color="0000EE"/>
            </w:tcBorders>
            <w:gridSpan w:val="16"/>
          </w:tcPr>
          <w:p>
            <w:pPr>
              <w:spacing w:after="0" w:line="180" w:lineRule="exact"/>
              <w:rPr>
                <w:rFonts w:ascii="Arial" w:cs="Arial" w:eastAsia="Arial" w:hAnsi="Arial"/>
                <w:sz w:val="17"/>
                <w:szCs w:val="17"/>
                <w:color w:val="0000EE"/>
                <w:w w:val="89"/>
              </w:rPr>
            </w:pPr>
            <w:hyperlink w:anchor="page276">
              <w:r>
                <w:rPr>
                  <w:rFonts w:ascii="Arial" w:cs="Arial" w:eastAsia="Arial" w:hAnsi="Arial"/>
                  <w:sz w:val="17"/>
                  <w:szCs w:val="17"/>
                  <w:color w:val="0000EE"/>
                  <w:w w:val="89"/>
                </w:rPr>
                <w:t>Consolidated Balance Sheets as of September 30, 2021 and December 31, 2020.</w:t>
              </w:r>
            </w:hyperlink>
          </w:p>
        </w:tc>
        <w:tc>
          <w:tcPr>
            <w:tcW w:w="4460" w:type="dxa"/>
            <w:vAlign w:val="bottom"/>
            <w:gridSpan w:val="14"/>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F-92</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77">
              <w:r>
                <w:rPr>
                  <w:rFonts w:ascii="Arial" w:cs="Arial" w:eastAsia="Arial" w:hAnsi="Arial"/>
                  <w:sz w:val="17"/>
                  <w:szCs w:val="17"/>
                  <w:color w:val="0000EE"/>
                </w:rPr>
                <w:t>Consolidated Statements of Operations for the three and nine months ended September 30, 2021 and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40" w:type="dxa"/>
            <w:vAlign w:val="bottom"/>
            <w:gridSpan w:val="10"/>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w w:val="92"/>
              </w:rPr>
            </w:pPr>
            <w:hyperlink w:anchor="page278">
              <w:r>
                <w:rPr>
                  <w:rFonts w:ascii="Arial" w:cs="Arial" w:eastAsia="Arial" w:hAnsi="Arial"/>
                  <w:sz w:val="17"/>
                  <w:szCs w:val="17"/>
                  <w:color w:val="0000EE"/>
                  <w:w w:val="92"/>
                </w:rPr>
                <w:t>Consolidated Statements of Changes in Members’ Equity and Mezzanine Equity for the three and nine months ended September 30, 2021 and</w:t>
              </w:r>
            </w:hyperlink>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gridSpan w:val="2"/>
          </w:tcPr>
          <w:p>
            <w:pPr>
              <w:jc w:val="right"/>
              <w:spacing w:after="0" w:line="186" w:lineRule="exact"/>
              <w:rPr>
                <w:rFonts w:ascii="Arial" w:cs="Arial" w:eastAsia="Arial" w:hAnsi="Arial"/>
                <w:sz w:val="17"/>
                <w:szCs w:val="17"/>
                <w:color w:val="0000EE"/>
                <w:w w:val="89"/>
              </w:rPr>
            </w:pPr>
            <w:hyperlink w:anchor="page278">
              <w:r>
                <w:rPr>
                  <w:rFonts w:ascii="Arial" w:cs="Arial" w:eastAsia="Arial" w:hAnsi="Arial"/>
                  <w:sz w:val="17"/>
                  <w:szCs w:val="17"/>
                  <w:color w:val="0000EE"/>
                  <w:w w:val="89"/>
                </w:rPr>
                <w:t>2020</w:t>
              </w:r>
            </w:hyperlink>
          </w:p>
        </w:tc>
        <w:tc>
          <w:tcPr>
            <w:tcW w:w="15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F-94</w:t>
            </w:r>
          </w:p>
        </w:tc>
        <w:tc>
          <w:tcPr>
            <w:tcW w:w="0" w:type="dxa"/>
            <w:vAlign w:val="bottom"/>
          </w:tcPr>
          <w:p>
            <w:pPr>
              <w:spacing w:after="0"/>
              <w:rPr>
                <w:sz w:val="1"/>
                <w:szCs w:val="1"/>
                <w:color w:val="auto"/>
              </w:rPr>
            </w:pPr>
          </w:p>
        </w:tc>
      </w:tr>
      <w:tr>
        <w:trPr>
          <w:trHeight w:val="186"/>
        </w:trPr>
        <w:tc>
          <w:tcPr>
            <w:tcW w:w="7340" w:type="dxa"/>
            <w:vAlign w:val="bottom"/>
            <w:tcBorders>
              <w:bottom w:val="single" w:sz="8" w:color="0000EE"/>
            </w:tcBorders>
            <w:gridSpan w:val="21"/>
          </w:tcPr>
          <w:p>
            <w:pPr>
              <w:spacing w:after="0" w:line="186" w:lineRule="exact"/>
              <w:rPr>
                <w:rFonts w:ascii="Arial" w:cs="Arial" w:eastAsia="Arial" w:hAnsi="Arial"/>
                <w:sz w:val="17"/>
                <w:szCs w:val="17"/>
                <w:color w:val="0000EE"/>
                <w:w w:val="89"/>
              </w:rPr>
            </w:pPr>
            <w:hyperlink w:anchor="page281">
              <w:r>
                <w:rPr>
                  <w:rFonts w:ascii="Arial" w:cs="Arial" w:eastAsia="Arial" w:hAnsi="Arial"/>
                  <w:sz w:val="17"/>
                  <w:szCs w:val="17"/>
                  <w:color w:val="0000EE"/>
                  <w:w w:val="89"/>
                </w:rPr>
                <w:t>Consolidated Statements of Cash Flows for the three and nine months ended September 30, 2021 and 2020</w:t>
              </w:r>
            </w:hyperlink>
          </w:p>
        </w:tc>
        <w:tc>
          <w:tcPr>
            <w:tcW w:w="262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F-97</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82">
              <w:r>
                <w:rPr>
                  <w:rFonts w:ascii="Arial" w:cs="Arial" w:eastAsia="Arial" w:hAnsi="Arial"/>
                  <w:sz w:val="17"/>
                  <w:szCs w:val="17"/>
                  <w:color w:val="0000EE"/>
                </w:rPr>
                <w:t>Notes to the Consolidated Financial Statements</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F-98</w:t>
            </w:r>
          </w:p>
        </w:tc>
        <w:tc>
          <w:tcPr>
            <w:tcW w:w="0" w:type="dxa"/>
            <w:vAlign w:val="bottom"/>
          </w:tcPr>
          <w:p>
            <w:pPr>
              <w:spacing w:after="0"/>
              <w:rPr>
                <w:sz w:val="1"/>
                <w:szCs w:val="1"/>
                <w:color w:val="auto"/>
              </w:rPr>
            </w:pPr>
          </w:p>
        </w:tc>
      </w:tr>
      <w:tr>
        <w:trPr>
          <w:trHeight w:val="429"/>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720" w:type="dxa"/>
            <w:vAlign w:val="bottom"/>
            <w:gridSpan w:val="21"/>
          </w:tcPr>
          <w:p>
            <w:pPr>
              <w:jc w:val="center"/>
              <w:ind w:right="2700"/>
              <w:spacing w:after="0"/>
              <w:rPr>
                <w:sz w:val="20"/>
                <w:szCs w:val="20"/>
                <w:color w:val="auto"/>
              </w:rPr>
            </w:pPr>
            <w:r>
              <w:rPr>
                <w:rFonts w:ascii="Arial" w:cs="Arial" w:eastAsia="Arial" w:hAnsi="Arial"/>
                <w:sz w:val="17"/>
                <w:szCs w:val="17"/>
                <w:b w:val="1"/>
                <w:bCs w:val="1"/>
                <w:color w:val="auto"/>
                <w:w w:val="99"/>
              </w:rPr>
              <w:t>B2S HOLDINGS, INC. AND SUBSIDIARIES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960" w:type="dxa"/>
            <w:vAlign w:val="bottom"/>
            <w:gridSpan w:val="30"/>
          </w:tcPr>
          <w:p>
            <w:pPr>
              <w:spacing w:after="0" w:line="180" w:lineRule="exact"/>
              <w:rPr>
                <w:rFonts w:ascii="Arial" w:cs="Arial" w:eastAsia="Arial" w:hAnsi="Arial"/>
                <w:sz w:val="17"/>
                <w:szCs w:val="17"/>
                <w:color w:val="0000EE"/>
              </w:rPr>
            </w:pPr>
            <w:hyperlink w:anchor="page305">
              <w:r>
                <w:rPr>
                  <w:rFonts w:ascii="Arial" w:cs="Arial" w:eastAsia="Arial" w:hAnsi="Arial"/>
                  <w:sz w:val="17"/>
                  <w:szCs w:val="17"/>
                  <w:color w:val="0000EE"/>
                </w:rPr>
                <w:t>Independent Auditor’s Report</w:t>
              </w:r>
            </w:hyperlink>
          </w:p>
        </w:tc>
        <w:tc>
          <w:tcPr>
            <w:tcW w:w="480" w:type="dxa"/>
            <w:vAlign w:val="bottom"/>
            <w:gridSpan w:val="2"/>
          </w:tcPr>
          <w:p>
            <w:pPr>
              <w:jc w:val="right"/>
              <w:spacing w:after="0" w:line="180" w:lineRule="exact"/>
              <w:rPr>
                <w:sz w:val="20"/>
                <w:szCs w:val="20"/>
                <w:color w:val="auto"/>
              </w:rPr>
            </w:pPr>
            <w:r>
              <w:rPr>
                <w:rFonts w:ascii="Arial" w:cs="Arial" w:eastAsia="Arial" w:hAnsi="Arial"/>
                <w:sz w:val="17"/>
                <w:szCs w:val="17"/>
                <w:color w:val="auto"/>
                <w:w w:val="98"/>
              </w:rPr>
              <w:t>F-121</w:t>
            </w:r>
          </w:p>
        </w:tc>
        <w:tc>
          <w:tcPr>
            <w:tcW w:w="0" w:type="dxa"/>
            <w:vAlign w:val="bottom"/>
          </w:tcPr>
          <w:p>
            <w:pPr>
              <w:spacing w:after="0"/>
              <w:rPr>
                <w:sz w:val="1"/>
                <w:szCs w:val="1"/>
                <w:color w:val="auto"/>
              </w:rPr>
            </w:pPr>
          </w:p>
        </w:tc>
      </w:tr>
      <w:tr>
        <w:trPr>
          <w:trHeight w:val="20"/>
        </w:trPr>
        <w:tc>
          <w:tcPr>
            <w:tcW w:w="2040" w:type="dxa"/>
            <w:vAlign w:val="bottom"/>
            <w:gridSpan w:val="4"/>
            <w:shd w:val="clear" w:color="auto" w:fill="0000EE"/>
          </w:tcPr>
          <w:p>
            <w:pPr>
              <w:spacing w:after="0" w:line="20" w:lineRule="exact"/>
              <w:rPr>
                <w:sz w:val="1"/>
                <w:szCs w:val="1"/>
                <w:color w:val="auto"/>
              </w:rPr>
            </w:pPr>
          </w:p>
        </w:tc>
        <w:tc>
          <w:tcPr>
            <w:tcW w:w="5580" w:type="dxa"/>
            <w:vAlign w:val="bottom"/>
            <w:gridSpan w:val="19"/>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307">
              <w:r>
                <w:rPr>
                  <w:rFonts w:ascii="Arial" w:cs="Arial" w:eastAsia="Arial" w:hAnsi="Arial"/>
                  <w:sz w:val="17"/>
                  <w:szCs w:val="17"/>
                  <w:color w:val="0000EE"/>
                </w:rPr>
                <w:t>Consolidated Balance Sheets as of December 31, 2019 and 2018</w:t>
              </w:r>
            </w:hyperlink>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F-123</w:t>
            </w:r>
          </w:p>
        </w:tc>
        <w:tc>
          <w:tcPr>
            <w:tcW w:w="0" w:type="dxa"/>
            <w:vAlign w:val="bottom"/>
          </w:tcPr>
          <w:p>
            <w:pPr>
              <w:spacing w:after="0"/>
              <w:rPr>
                <w:sz w:val="1"/>
                <w:szCs w:val="1"/>
                <w:color w:val="auto"/>
              </w:rPr>
            </w:pPr>
          </w:p>
        </w:tc>
      </w:tr>
      <w:tr>
        <w:trPr>
          <w:trHeight w:val="20"/>
        </w:trPr>
        <w:tc>
          <w:tcPr>
            <w:tcW w:w="4420" w:type="dxa"/>
            <w:vAlign w:val="bottom"/>
            <w:gridSpan w:val="12"/>
            <w:shd w:val="clear" w:color="auto" w:fill="0000EE"/>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308">
              <w:r>
                <w:rPr>
                  <w:rFonts w:ascii="Arial" w:cs="Arial" w:eastAsia="Arial" w:hAnsi="Arial"/>
                  <w:sz w:val="17"/>
                  <w:szCs w:val="17"/>
                  <w:color w:val="0000EE"/>
                </w:rPr>
                <w:t>Consolidated Statements of Operations and Comprehensive Income (Loss) for the years ended December 31, 2019 and 2018</w:t>
              </w:r>
            </w:hyperlink>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F-124</w:t>
            </w:r>
          </w:p>
        </w:tc>
        <w:tc>
          <w:tcPr>
            <w:tcW w:w="0" w:type="dxa"/>
            <w:vAlign w:val="bottom"/>
          </w:tcPr>
          <w:p>
            <w:pPr>
              <w:spacing w:after="0"/>
              <w:rPr>
                <w:sz w:val="1"/>
                <w:szCs w:val="1"/>
                <w:color w:val="auto"/>
              </w:rPr>
            </w:pPr>
          </w:p>
        </w:tc>
      </w:tr>
      <w:tr>
        <w:trPr>
          <w:trHeight w:val="186"/>
        </w:trPr>
        <w:tc>
          <w:tcPr>
            <w:tcW w:w="8540" w:type="dxa"/>
            <w:vAlign w:val="bottom"/>
            <w:tcBorders>
              <w:top w:val="single" w:sz="8" w:color="0000EE"/>
            </w:tcBorders>
            <w:gridSpan w:val="25"/>
          </w:tcPr>
          <w:p>
            <w:pPr>
              <w:spacing w:after="0" w:line="186" w:lineRule="exact"/>
              <w:rPr>
                <w:rFonts w:ascii="Arial" w:cs="Arial" w:eastAsia="Arial" w:hAnsi="Arial"/>
                <w:sz w:val="17"/>
                <w:szCs w:val="17"/>
                <w:color w:val="0000EE"/>
              </w:rPr>
            </w:pPr>
            <w:hyperlink w:anchor="page309">
              <w:r>
                <w:rPr>
                  <w:rFonts w:ascii="Arial" w:cs="Arial" w:eastAsia="Arial" w:hAnsi="Arial"/>
                  <w:sz w:val="17"/>
                  <w:szCs w:val="17"/>
                  <w:color w:val="0000EE"/>
                </w:rPr>
                <w:t>Consolidated Statements of Changes in Shareholders’ Deficit for the years ended December 31, 2019 and 2018</w:t>
              </w:r>
            </w:hyperlink>
          </w:p>
        </w:tc>
        <w:tc>
          <w:tcPr>
            <w:tcW w:w="1420" w:type="dxa"/>
            <w:vAlign w:val="bottom"/>
            <w:gridSpan w:val="5"/>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F-125</w:t>
            </w:r>
          </w:p>
        </w:tc>
        <w:tc>
          <w:tcPr>
            <w:tcW w:w="0" w:type="dxa"/>
            <w:vAlign w:val="bottom"/>
          </w:tcPr>
          <w:p>
            <w:pPr>
              <w:spacing w:after="0"/>
              <w:rPr>
                <w:sz w:val="1"/>
                <w:szCs w:val="1"/>
                <w:color w:val="auto"/>
              </w:rPr>
            </w:pPr>
          </w:p>
        </w:tc>
      </w:tr>
      <w:tr>
        <w:trPr>
          <w:trHeight w:val="186"/>
        </w:trPr>
        <w:tc>
          <w:tcPr>
            <w:tcW w:w="7620" w:type="dxa"/>
            <w:vAlign w:val="bottom"/>
            <w:tcBorders>
              <w:top w:val="single" w:sz="8" w:color="0000EE"/>
            </w:tcBorders>
            <w:gridSpan w:val="23"/>
          </w:tcPr>
          <w:p>
            <w:pPr>
              <w:spacing w:after="0" w:line="186" w:lineRule="exact"/>
              <w:rPr>
                <w:rFonts w:ascii="Arial" w:cs="Arial" w:eastAsia="Arial" w:hAnsi="Arial"/>
                <w:sz w:val="17"/>
                <w:szCs w:val="17"/>
                <w:color w:val="0000EE"/>
              </w:rPr>
            </w:pPr>
            <w:hyperlink w:anchor="page310">
              <w:r>
                <w:rPr>
                  <w:rFonts w:ascii="Arial" w:cs="Arial" w:eastAsia="Arial" w:hAnsi="Arial"/>
                  <w:sz w:val="17"/>
                  <w:szCs w:val="17"/>
                  <w:color w:val="0000EE"/>
                </w:rPr>
                <w:t>Consolidated Statements of Cash Flows for the years ended December 31, 2019 and 2018</w:t>
              </w:r>
            </w:hyperlink>
          </w:p>
        </w:tc>
        <w:tc>
          <w:tcPr>
            <w:tcW w:w="2340" w:type="dxa"/>
            <w:vAlign w:val="bottom"/>
            <w:gridSpan w:val="7"/>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F-126</w:t>
            </w:r>
          </w:p>
        </w:tc>
        <w:tc>
          <w:tcPr>
            <w:tcW w:w="0" w:type="dxa"/>
            <w:vAlign w:val="bottom"/>
          </w:tcPr>
          <w:p>
            <w:pPr>
              <w:spacing w:after="0"/>
              <w:rPr>
                <w:sz w:val="1"/>
                <w:szCs w:val="1"/>
                <w:color w:val="auto"/>
              </w:rPr>
            </w:pPr>
          </w:p>
        </w:tc>
      </w:tr>
      <w:tr>
        <w:trPr>
          <w:trHeight w:val="186"/>
        </w:trPr>
        <w:tc>
          <w:tcPr>
            <w:tcW w:w="6140" w:type="dxa"/>
            <w:vAlign w:val="bottom"/>
            <w:tcBorders>
              <w:top w:val="single" w:sz="8" w:color="0000EE"/>
            </w:tcBorders>
            <w:gridSpan w:val="18"/>
          </w:tcPr>
          <w:p>
            <w:pPr>
              <w:spacing w:after="0" w:line="186" w:lineRule="exact"/>
              <w:rPr>
                <w:rFonts w:ascii="Arial" w:cs="Arial" w:eastAsia="Arial" w:hAnsi="Arial"/>
                <w:sz w:val="17"/>
                <w:szCs w:val="17"/>
                <w:color w:val="0000EE"/>
              </w:rPr>
            </w:pPr>
            <w:hyperlink w:anchor="page311">
              <w:r>
                <w:rPr>
                  <w:rFonts w:ascii="Arial" w:cs="Arial" w:eastAsia="Arial" w:hAnsi="Arial"/>
                  <w:sz w:val="17"/>
                  <w:szCs w:val="17"/>
                  <w:color w:val="0000EE"/>
                </w:rPr>
                <w:t>Notes to the Consolidated Financial Statements</w:t>
              </w:r>
            </w:hyperlink>
          </w:p>
        </w:tc>
        <w:tc>
          <w:tcPr>
            <w:tcW w:w="3820" w:type="dxa"/>
            <w:vAlign w:val="bottom"/>
            <w:gridSpan w:val="12"/>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F-127</w:t>
            </w:r>
          </w:p>
        </w:tc>
        <w:tc>
          <w:tcPr>
            <w:tcW w:w="0" w:type="dxa"/>
            <w:vAlign w:val="bottom"/>
          </w:tcPr>
          <w:p>
            <w:pPr>
              <w:spacing w:after="0"/>
              <w:rPr>
                <w:sz w:val="1"/>
                <w:szCs w:val="1"/>
                <w:color w:val="auto"/>
              </w:rPr>
            </w:pPr>
          </w:p>
        </w:tc>
      </w:tr>
      <w:tr>
        <w:trPr>
          <w:trHeight w:val="364"/>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80" w:type="dxa"/>
            <w:vAlign w:val="bottom"/>
            <w:gridSpan w:val="15"/>
          </w:tcPr>
          <w:p>
            <w:pPr>
              <w:jc w:val="center"/>
              <w:ind w:right="4460"/>
              <w:spacing w:after="0"/>
              <w:rPr>
                <w:sz w:val="20"/>
                <w:szCs w:val="20"/>
                <w:color w:val="auto"/>
              </w:rPr>
            </w:pPr>
            <w:r>
              <w:rPr>
                <w:rFonts w:ascii="Arial" w:cs="Arial" w:eastAsia="Arial" w:hAnsi="Arial"/>
                <w:sz w:val="17"/>
                <w:szCs w:val="17"/>
                <w:color w:val="auto"/>
                <w:w w:val="93"/>
              </w:rPr>
              <w:t>F-1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Shareholders and the Board of Directors of</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VPC Impact Acquisition Holdings</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2"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We have audited the accompanying balance sheet of VPC Impact Acquisition Holdings (the “Company”) as of December 31, 2020, the related statements of operations, changes in shareholders’ equity and cash flows for the period from July 31,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31, 2020 (inception) through December 31, 2020, in conformity with accounting principles generally accepted in the United States of America.</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Restatement of Financial Statements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discussed in Note 2 to the financial statements, the 2020 financial statements have been restated to correct certain misstatements.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Basis for Opinion</w:t>
      </w:r>
    </w:p>
    <w:p>
      <w:pPr>
        <w:spacing w:after="0" w:line="222" w:lineRule="exact"/>
        <w:rPr>
          <w:sz w:val="20"/>
          <w:szCs w:val="20"/>
          <w:color w:val="auto"/>
        </w:rPr>
      </w:pPr>
    </w:p>
    <w:p>
      <w:pPr>
        <w:ind w:left="380" w:right="440"/>
        <w:spacing w:after="0" w:line="28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380" w:right="20"/>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ind w:left="380" w:right="40"/>
        <w:spacing w:after="0" w:line="259" w:lineRule="auto"/>
        <w:rPr>
          <w:sz w:val="20"/>
          <w:szCs w:val="20"/>
          <w:color w:val="auto"/>
        </w:rPr>
      </w:pPr>
      <w:r>
        <w:rPr>
          <w:rFonts w:ascii="Arial" w:cs="Arial" w:eastAsia="Arial" w:hAnsi="Arial"/>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 WithumSmith+Brown, PC</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served as the Company’s auditor since 2020.</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ind w:left="380" w:right="200"/>
        <w:spacing w:after="0" w:line="265" w:lineRule="auto"/>
        <w:rPr>
          <w:sz w:val="20"/>
          <w:szCs w:val="20"/>
          <w:color w:val="auto"/>
        </w:rPr>
      </w:pPr>
      <w:r>
        <w:rPr>
          <w:rFonts w:ascii="Arial" w:cs="Arial" w:eastAsia="Arial" w:hAnsi="Arial"/>
          <w:sz w:val="17"/>
          <w:szCs w:val="17"/>
          <w:color w:val="auto"/>
        </w:rPr>
        <w:t>May 21, 2021, except for the effects of the restatement disclosed in Note 2 and the subsequent event disclosed in Note 11 paragraph 5, as to which the date is December 7, 2021</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860"/>
          </w:cols>
          <w:pgMar w:left="320" w:top="471" w:right="7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95"/>
        </w:trPr>
        <w:tc>
          <w:tcPr>
            <w:tcW w:w="972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440" w:type="dxa"/>
            <w:vAlign w:val="bottom"/>
          </w:tcPr>
          <w:p>
            <w:pPr>
              <w:jc w:val="center"/>
              <w:ind w:left="174"/>
              <w:spacing w:after="0"/>
              <w:rPr>
                <w:sz w:val="20"/>
                <w:szCs w:val="20"/>
                <w:color w:val="auto"/>
              </w:rPr>
            </w:pPr>
            <w:r>
              <w:rPr>
                <w:rFonts w:ascii="Arial" w:cs="Arial" w:eastAsia="Arial" w:hAnsi="Arial"/>
                <w:sz w:val="17"/>
                <w:szCs w:val="17"/>
                <w:b w:val="1"/>
                <w:bCs w:val="1"/>
                <w:color w:val="auto"/>
              </w:rPr>
              <w:t>VPC IMPACT ACQUISITION HOLDINGS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rPr>
              <w:t>CONSOLIDATED BALANCE SHEET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w w:val="97"/>
              </w:rPr>
              <w:t>DECEMBER 31, 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w w:val="96"/>
              </w:rPr>
              <w:t>AS RESTATED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1,177,678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7"/>
                <w:szCs w:val="17"/>
                <w:color w:val="auto"/>
              </w:rPr>
              <w:t>Prepaid expenses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234,959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1,412,637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Cash and marketable securities held in Trust Account</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207,376,213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5"/>
              </w:rPr>
              <w:t>208,788,850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DEFICIT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893,415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7"/>
                <w:szCs w:val="17"/>
                <w:color w:val="auto"/>
              </w:rPr>
              <w:t>Accrued offering costs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895,645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Deferred underwriting fee payable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7,258,021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22,513,065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30,666,731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9340" w:type="dxa"/>
            <w:vAlign w:val="bottom"/>
            <w:gridSpan w:val="2"/>
          </w:tcPr>
          <w:p>
            <w:pPr>
              <w:spacing w:after="0" w:line="194" w:lineRule="exact"/>
              <w:rPr>
                <w:sz w:val="20"/>
                <w:szCs w:val="20"/>
                <w:color w:val="auto"/>
              </w:rPr>
            </w:pPr>
            <w:r>
              <w:rPr>
                <w:rFonts w:ascii="Arial" w:cs="Arial" w:eastAsia="Arial" w:hAnsi="Arial"/>
                <w:sz w:val="17"/>
                <w:szCs w:val="17"/>
                <w:color w:val="auto"/>
                <w:w w:val="94"/>
              </w:rPr>
              <w:t>Class A ordinary shares subject to possible redemption, 20,737,202 shares issued and outstanding at a redemption value of $10.00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340" w:type="dxa"/>
            <w:vAlign w:val="bottom"/>
            <w:gridSpan w:val="2"/>
          </w:tcPr>
          <w:p>
            <w:pPr>
              <w:ind w:left="16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w w:val="95"/>
              </w:rPr>
              <w:t>207,372,000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Shareholders’ Deficit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Preference shares, $0.0001 par value; 1,000,000 shares authorized; no shares issued and outstanding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A ordinary shares, $0.0001 par value; 200,000,000 shares authorized at December 31, 2020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Class B ordinary shares, $0.0001 par value; 20,000,000 shares authorized; 5,184,300 shares issued and outstanding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w w:val="99"/>
              </w:rPr>
              <w:t>(29,250,419)</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Shareholders’ Deficit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9"/>
              </w:rPr>
              <w:t>(29,249,901</w:t>
            </w: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SHAREHOLDERS’ DEFICIT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208,788,850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880"/>
          </w:cols>
          <w:pgMar w:left="320" w:top="459" w:right="6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95"/>
        </w:trPr>
        <w:tc>
          <w:tcPr>
            <w:tcW w:w="982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540" w:type="dxa"/>
            <w:vAlign w:val="bottom"/>
          </w:tcPr>
          <w:p>
            <w:pPr>
              <w:jc w:val="center"/>
              <w:ind w:left="74"/>
              <w:spacing w:after="0"/>
              <w:rPr>
                <w:sz w:val="20"/>
                <w:szCs w:val="20"/>
                <w:color w:val="auto"/>
              </w:rPr>
            </w:pPr>
            <w:r>
              <w:rPr>
                <w:rFonts w:ascii="Arial" w:cs="Arial" w:eastAsia="Arial" w:hAnsi="Arial"/>
                <w:sz w:val="17"/>
                <w:szCs w:val="17"/>
                <w:b w:val="1"/>
                <w:bCs w:val="1"/>
                <w:color w:val="auto"/>
              </w:rPr>
              <w:t>VPC IMPACT ACQUISITION HOLDINGS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540" w:type="dxa"/>
            <w:vAlign w:val="bottom"/>
          </w:tcPr>
          <w:p>
            <w:pPr>
              <w:jc w:val="center"/>
              <w:ind w:left="54"/>
              <w:spacing w:after="0"/>
              <w:rPr>
                <w:sz w:val="20"/>
                <w:szCs w:val="20"/>
                <w:color w:val="auto"/>
              </w:rPr>
            </w:pPr>
            <w:r>
              <w:rPr>
                <w:rFonts w:ascii="Arial" w:cs="Arial" w:eastAsia="Arial" w:hAnsi="Arial"/>
                <w:sz w:val="17"/>
                <w:szCs w:val="17"/>
                <w:b w:val="1"/>
                <w:bCs w:val="1"/>
                <w:color w:val="auto"/>
              </w:rPr>
              <w:t>CONSOLIDATED STATEMENT OF OPERATIONS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540" w:type="dxa"/>
            <w:vAlign w:val="bottom"/>
          </w:tcPr>
          <w:p>
            <w:pPr>
              <w:jc w:val="center"/>
              <w:ind w:left="74"/>
              <w:spacing w:after="0"/>
              <w:rPr>
                <w:sz w:val="20"/>
                <w:szCs w:val="20"/>
                <w:color w:val="auto"/>
              </w:rPr>
            </w:pPr>
            <w:r>
              <w:rPr>
                <w:rFonts w:ascii="Arial" w:cs="Arial" w:eastAsia="Arial" w:hAnsi="Arial"/>
                <w:sz w:val="17"/>
                <w:szCs w:val="17"/>
                <w:b w:val="1"/>
                <w:bCs w:val="1"/>
                <w:color w:val="auto"/>
                <w:w w:val="99"/>
              </w:rPr>
              <w:t>FOR THE PERIOD FROM JULY 31, 2020 (INCEPTION) THROUGH DECEMBER 31, 2020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540" w:type="dxa"/>
            <w:vAlign w:val="bottom"/>
          </w:tcPr>
          <w:p>
            <w:pPr>
              <w:jc w:val="center"/>
              <w:ind w:left="54"/>
              <w:spacing w:after="0"/>
              <w:rPr>
                <w:sz w:val="20"/>
                <w:szCs w:val="20"/>
                <w:color w:val="auto"/>
              </w:rPr>
            </w:pPr>
            <w:r>
              <w:rPr>
                <w:rFonts w:ascii="Arial" w:cs="Arial" w:eastAsia="Arial" w:hAnsi="Arial"/>
                <w:sz w:val="17"/>
                <w:szCs w:val="17"/>
                <w:b w:val="1"/>
                <w:bCs w:val="1"/>
                <w:color w:val="auto"/>
                <w:w w:val="96"/>
              </w:rPr>
              <w:t>AS RESTATED</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1,006,862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7"/>
                <w:szCs w:val="17"/>
                <w:color w:val="auto"/>
              </w:rPr>
              <w:t>Loss from operations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(1,006,862)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440" w:type="dxa"/>
            <w:vAlign w:val="bottom"/>
            <w:gridSpan w:val="2"/>
          </w:tcPr>
          <w:p>
            <w:pPr>
              <w:spacing w:after="0"/>
              <w:rPr>
                <w:sz w:val="20"/>
                <w:szCs w:val="20"/>
                <w:color w:val="auto"/>
              </w:rPr>
            </w:pPr>
            <w:r>
              <w:rPr>
                <w:rFonts w:ascii="Arial" w:cs="Arial" w:eastAsia="Arial" w:hAnsi="Arial"/>
                <w:sz w:val="17"/>
                <w:szCs w:val="17"/>
                <w:color w:val="auto"/>
              </w:rPr>
              <w:t>Interest earned on marketable securities held in Trust Account</w:t>
            </w:r>
          </w:p>
        </w:tc>
        <w:tc>
          <w:tcPr>
            <w:tcW w:w="1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4,193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Transaction Costs allocable to warrant liabilities</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(768,391)</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440" w:type="dxa"/>
            <w:vAlign w:val="bottom"/>
            <w:gridSpan w:val="2"/>
          </w:tcPr>
          <w:p>
            <w:pPr>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w w:val="98"/>
              </w:rPr>
              <w:t>(3,090,130)</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80" w:type="dxa"/>
            <w:vAlign w:val="bottom"/>
          </w:tcPr>
          <w:p>
            <w:pPr>
              <w:spacing w:after="0"/>
              <w:rPr>
                <w:sz w:val="17"/>
                <w:szCs w:val="17"/>
                <w:color w:val="auto"/>
              </w:rPr>
            </w:pPr>
          </w:p>
        </w:tc>
        <w:tc>
          <w:tcPr>
            <w:tcW w:w="944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(4,861,190)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44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shares outstanding of Class 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44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3"/>
              </w:rPr>
              <w:t>13,429,289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Basic and diluted net income per share, Class 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44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shares outstanding of Class B</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44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5,111,809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B</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80"/>
          </w:cols>
          <w:pgMar w:left="320" w:top="459" w:right="69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 OF CHANGES IN SHAREHOLDERS’ EQUITY (DEFICIT)</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FOR THE PERIOD FROM JULY 31, 2020 (INCEPTION) THROUGH DECEMBER 31, 2020</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AS RESTATED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84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Class A</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81"/>
              </w:rPr>
              <w:t>Class B</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Ordinary Shares</w:t>
            </w:r>
          </w:p>
        </w:tc>
        <w:tc>
          <w:tcPr>
            <w:tcW w:w="260" w:type="dxa"/>
            <w:vAlign w:val="bottom"/>
          </w:tcPr>
          <w:p>
            <w:pPr>
              <w:spacing w:after="0"/>
              <w:rPr>
                <w:sz w:val="14"/>
                <w:szCs w:val="14"/>
                <w:color w:val="auto"/>
              </w:rPr>
            </w:pPr>
          </w:p>
        </w:tc>
        <w:tc>
          <w:tcPr>
            <w:tcW w:w="1280" w:type="dxa"/>
            <w:vAlign w:val="bottom"/>
            <w:gridSpan w:val="4"/>
          </w:tcPr>
          <w:p>
            <w:pPr>
              <w:jc w:val="center"/>
              <w:ind w:left="181"/>
              <w:spacing w:after="0"/>
              <w:rPr>
                <w:sz w:val="20"/>
                <w:szCs w:val="20"/>
                <w:color w:val="auto"/>
              </w:rPr>
            </w:pPr>
            <w:r>
              <w:rPr>
                <w:rFonts w:ascii="Arial" w:cs="Arial" w:eastAsia="Arial" w:hAnsi="Arial"/>
                <w:sz w:val="14"/>
                <w:szCs w:val="14"/>
                <w:b w:val="1"/>
                <w:bCs w:val="1"/>
                <w:color w:val="auto"/>
                <w:w w:val="89"/>
              </w:rPr>
              <w:t>Ordinary Shares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Accumulated</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2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Balance—July 31, 2020 (inception)</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Issuance of Class B ordinary shares to Sponsor</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5,750,000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24,425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Forfeiture of 565,700 Sponsor shares</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(565,700)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3980" w:type="dxa"/>
            <w:vAlign w:val="bottom"/>
          </w:tcPr>
          <w:p>
            <w:pPr>
              <w:spacing w:after="0" w:line="180" w:lineRule="exact"/>
              <w:rPr>
                <w:sz w:val="20"/>
                <w:szCs w:val="20"/>
                <w:color w:val="auto"/>
              </w:rPr>
            </w:pPr>
            <w:r>
              <w:rPr>
                <w:rFonts w:ascii="Arial" w:cs="Arial" w:eastAsia="Arial" w:hAnsi="Arial"/>
                <w:sz w:val="17"/>
                <w:szCs w:val="17"/>
                <w:color w:val="auto"/>
              </w:rPr>
              <w:t>Accretion for Class A ordinary shares to redemption</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jc w:val="right"/>
              <w:ind w:right="1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w w:val="91"/>
              </w:rPr>
              <w:t>(24,425)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w w:val="93"/>
              </w:rPr>
              <w:t>(24,389,286)</w:t>
            </w:r>
          </w:p>
        </w:tc>
        <w:tc>
          <w:tcPr>
            <w:tcW w:w="100" w:type="dxa"/>
            <w:vAlign w:val="bottom"/>
          </w:tcPr>
          <w:p>
            <w:pPr>
              <w:spacing w:after="0"/>
              <w:rPr>
                <w:sz w:val="15"/>
                <w:szCs w:val="15"/>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93"/>
              </w:rPr>
              <w:t>(24,413,711)</w:t>
            </w:r>
          </w:p>
        </w:tc>
        <w:tc>
          <w:tcPr>
            <w:tcW w:w="0" w:type="dxa"/>
            <w:vAlign w:val="bottom"/>
          </w:tcPr>
          <w:p>
            <w:pPr>
              <w:spacing w:after="0"/>
              <w:rPr>
                <w:sz w:val="1"/>
                <w:szCs w:val="1"/>
                <w:color w:val="auto"/>
              </w:rPr>
            </w:pPr>
          </w:p>
        </w:tc>
      </w:tr>
      <w:tr>
        <w:trPr>
          <w:trHeight w:val="205"/>
        </w:trPr>
        <w:tc>
          <w:tcPr>
            <w:tcW w:w="3980" w:type="dxa"/>
            <w:vAlign w:val="bottom"/>
          </w:tcPr>
          <w:p>
            <w:pPr>
              <w:ind w:left="160"/>
              <w:spacing w:after="0"/>
              <w:rPr>
                <w:sz w:val="20"/>
                <w:szCs w:val="20"/>
                <w:color w:val="auto"/>
              </w:rPr>
            </w:pPr>
            <w:r>
              <w:rPr>
                <w:rFonts w:ascii="Arial" w:cs="Arial" w:eastAsia="Arial" w:hAnsi="Arial"/>
                <w:sz w:val="17"/>
                <w:szCs w:val="17"/>
                <w:color w:val="auto"/>
              </w:rPr>
              <w:t>amount</w:t>
            </w:r>
          </w:p>
        </w:tc>
        <w:tc>
          <w:tcPr>
            <w:tcW w:w="3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Ordinary shares subject to possible redemption</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Net loss</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(4,861,190)</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(4,861,190)</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Balance—December 31, 2020</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5,184,300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w w:val="93"/>
              </w:rPr>
              <w:t>(29,250,419)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rPr>
              <w:t>(29,249,901</w:t>
            </w: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880"/>
          </w:cols>
          <w:pgMar w:left="320" w:top="471" w:right="6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95"/>
        </w:trPr>
        <w:tc>
          <w:tcPr>
            <w:tcW w:w="970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420" w:type="dxa"/>
            <w:vAlign w:val="bottom"/>
          </w:tcPr>
          <w:p>
            <w:pPr>
              <w:jc w:val="center"/>
              <w:ind w:left="194"/>
              <w:spacing w:after="0"/>
              <w:rPr>
                <w:sz w:val="20"/>
                <w:szCs w:val="20"/>
                <w:color w:val="auto"/>
              </w:rPr>
            </w:pPr>
            <w:r>
              <w:rPr>
                <w:rFonts w:ascii="Arial" w:cs="Arial" w:eastAsia="Arial" w:hAnsi="Arial"/>
                <w:sz w:val="17"/>
                <w:szCs w:val="17"/>
                <w:b w:val="1"/>
                <w:bCs w:val="1"/>
                <w:color w:val="auto"/>
              </w:rPr>
              <w:t>VPC IMPACT ACQUISITION HOLDINGS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20" w:type="dxa"/>
            <w:vAlign w:val="bottom"/>
          </w:tcPr>
          <w:p>
            <w:pPr>
              <w:jc w:val="center"/>
              <w:ind w:left="194"/>
              <w:spacing w:after="0"/>
              <w:rPr>
                <w:sz w:val="20"/>
                <w:szCs w:val="20"/>
                <w:color w:val="auto"/>
              </w:rPr>
            </w:pPr>
            <w:r>
              <w:rPr>
                <w:rFonts w:ascii="Arial" w:cs="Arial" w:eastAsia="Arial" w:hAnsi="Arial"/>
                <w:sz w:val="17"/>
                <w:szCs w:val="17"/>
                <w:b w:val="1"/>
                <w:bCs w:val="1"/>
                <w:color w:val="auto"/>
              </w:rPr>
              <w:t>CONSOLIDATED STATEMENT OF CASH FLOWS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20" w:type="dxa"/>
            <w:vAlign w:val="bottom"/>
          </w:tcPr>
          <w:p>
            <w:pPr>
              <w:jc w:val="center"/>
              <w:ind w:left="194"/>
              <w:spacing w:after="0"/>
              <w:rPr>
                <w:sz w:val="20"/>
                <w:szCs w:val="20"/>
                <w:color w:val="auto"/>
              </w:rPr>
            </w:pPr>
            <w:r>
              <w:rPr>
                <w:rFonts w:ascii="Arial" w:cs="Arial" w:eastAsia="Arial" w:hAnsi="Arial"/>
                <w:sz w:val="17"/>
                <w:szCs w:val="17"/>
                <w:b w:val="1"/>
                <w:bCs w:val="1"/>
                <w:color w:val="auto"/>
                <w:w w:val="99"/>
              </w:rPr>
              <w:t>FOR THE PERIOD FROM JULY 31, 2020 (INCEPTION) THROUGH DECEMBER 31, 2020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jc w:val="center"/>
              <w:ind w:left="174"/>
              <w:spacing w:after="0"/>
              <w:rPr>
                <w:sz w:val="20"/>
                <w:szCs w:val="20"/>
                <w:color w:val="auto"/>
              </w:rPr>
            </w:pPr>
            <w:r>
              <w:rPr>
                <w:rFonts w:ascii="Arial" w:cs="Arial" w:eastAsia="Arial" w:hAnsi="Arial"/>
                <w:sz w:val="17"/>
                <w:szCs w:val="17"/>
                <w:b w:val="1"/>
                <w:bCs w:val="1"/>
                <w:color w:val="auto"/>
                <w:w w:val="96"/>
              </w:rPr>
              <w:t>AS RESTATED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(4,861,190)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ind w:left="340"/>
              <w:spacing w:after="0"/>
              <w:rPr>
                <w:sz w:val="20"/>
                <w:szCs w:val="20"/>
                <w:color w:val="auto"/>
              </w:rPr>
            </w:pPr>
            <w:r>
              <w:rPr>
                <w:rFonts w:ascii="Arial" w:cs="Arial" w:eastAsia="Arial" w:hAnsi="Arial"/>
                <w:sz w:val="17"/>
                <w:szCs w:val="17"/>
                <w:color w:val="auto"/>
              </w:rPr>
              <w:t>Interest earned on marketable securities held in Trust Account</w:t>
            </w:r>
          </w:p>
        </w:tc>
        <w:tc>
          <w:tcPr>
            <w:tcW w:w="12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(4,193)</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Formation costs paid by Sponsor in exchange for Founder shares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3,090,130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Transaction costs allocable to warrant liabilities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768,391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Prepaid expenses</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(234,959)</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20" w:type="dxa"/>
            <w:vAlign w:val="bottom"/>
            <w:gridSpan w:val="2"/>
          </w:tcPr>
          <w:p>
            <w:pPr>
              <w:ind w:left="680"/>
              <w:spacing w:after="0"/>
              <w:rPr>
                <w:sz w:val="20"/>
                <w:szCs w:val="20"/>
                <w:color w:val="auto"/>
              </w:rPr>
            </w:pPr>
            <w:r>
              <w:rPr>
                <w:rFonts w:ascii="Arial" w:cs="Arial" w:eastAsia="Arial" w:hAnsi="Arial"/>
                <w:sz w:val="17"/>
                <w:szCs w:val="17"/>
                <w:color w:val="auto"/>
              </w:rPr>
              <w:t>Accrued expenses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893,415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740"/>
              <w:spacing w:after="0"/>
              <w:rPr>
                <w:sz w:val="20"/>
                <w:szCs w:val="20"/>
                <w:color w:val="auto"/>
              </w:rPr>
            </w:pPr>
            <w:r>
              <w:rPr>
                <w:rFonts w:ascii="Arial" w:cs="Arial" w:eastAsia="Arial" w:hAnsi="Arial"/>
                <w:sz w:val="17"/>
                <w:szCs w:val="17"/>
                <w:b w:val="1"/>
                <w:bCs w:val="1"/>
                <w:color w:val="auto"/>
              </w:rPr>
              <w:t>Net cash used in operating activities</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(341,800)</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of cash in Trust Account</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2"/>
              </w:rPr>
              <w:t>(207,372,020)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ind w:left="740"/>
              <w:spacing w:after="0"/>
              <w:rPr>
                <w:sz w:val="20"/>
                <w:szCs w:val="20"/>
                <w:color w:val="auto"/>
              </w:rPr>
            </w:pPr>
            <w:r>
              <w:rPr>
                <w:rFonts w:ascii="Arial" w:cs="Arial" w:eastAsia="Arial" w:hAnsi="Arial"/>
                <w:sz w:val="17"/>
                <w:szCs w:val="17"/>
                <w:b w:val="1"/>
                <w:bCs w:val="1"/>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9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w w:val="92"/>
              </w:rPr>
              <w:t>(207,372,020)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Proceeds from sale of Units, net of underwriting discounts paid</w:t>
            </w: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203,224,580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sale of Private Placements Warrants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6,147,440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Repayment of promissory note—related party</w:t>
            </w:r>
          </w:p>
        </w:tc>
        <w:tc>
          <w:tcPr>
            <w:tcW w:w="12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 of offering costs</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(397,793)</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320" w:type="dxa"/>
            <w:vAlign w:val="bottom"/>
            <w:gridSpan w:val="2"/>
          </w:tcPr>
          <w:p>
            <w:pPr>
              <w:ind w:left="740"/>
              <w:spacing w:after="0"/>
              <w:rPr>
                <w:sz w:val="20"/>
                <w:szCs w:val="20"/>
                <w:color w:val="auto"/>
              </w:rPr>
            </w:pPr>
            <w:r>
              <w:rPr>
                <w:rFonts w:ascii="Arial" w:cs="Arial" w:eastAsia="Arial" w:hAnsi="Arial"/>
                <w:sz w:val="17"/>
                <w:szCs w:val="17"/>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208,891,498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1,177,678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Cash—Beginning</w:t>
            </w:r>
          </w:p>
        </w:tc>
        <w:tc>
          <w:tcPr>
            <w:tcW w:w="1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Cash—Ending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1,177,678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classification of warrant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20,960,000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color w:val="auto"/>
              </w:rPr>
              <w:t>Deferred underwriting fee payable</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7,258,021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 of offering costs through promissory note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82,729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color w:val="auto"/>
              </w:rPr>
              <w:t>Offering costs paid by Sponsor in exchange for issuance of Founder shares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18,394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Offering costs included in accrued offering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color w:val="auto"/>
              </w:rPr>
              <w:t>Forfeiture of Founder Shares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880"/>
          </w:cols>
          <w:pgMar w:left="320" w:top="459" w:right="69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1—DESCRIPTION OF ORGANIZATION AND BUSINESS OPERATIONS</w:t>
      </w:r>
    </w:p>
    <w:p>
      <w:pPr>
        <w:spacing w:after="0" w:line="222"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76"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9"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The Company has one subsidiary, Pylon Merger Company LLC, a direct wholly owned subsidiary of the Company formed in Delaware on December 18, 2020.</w:t>
      </w:r>
    </w:p>
    <w:p>
      <w:pPr>
        <w:spacing w:after="0" w:line="165"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July 31, 2020 (inception) through December 31,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0"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76"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2020. As such, on October 1, 2020, the Company consummated the sale of an additional 737,202 Units, at $10.00 per Unit, and the sale of an additional</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147,440 Private Placement Warrants, at $1.00 per Private Warrant, generating total gross proceeds of $7,519,460.</w:t>
      </w:r>
    </w:p>
    <w:p>
      <w:pPr>
        <w:spacing w:after="0" w:line="205"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Transaction costs charged to equity amounted to $11,906,606, consisting of $4,147,440 of underwriting fees, $7,258,021 of deferred underwriting fees and $501,145 of other offering costs. In addition, at September 25, 2020 cash of $1,205,178 was held outside of the Trust Account (as defined below) and is available for working capital purposes.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October 1, 2020, an amount of $207,372,020 ($10.00 per Unit) from the net proceeds of the sale of the Units in the Initial Public Offering and the sale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Private Placement Warrants was placed in a trust account (the “Trust Account”) and invested in U.S. government securities, within the meaning set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forth in Section 2(a)(16) of the Investment Company Act of 1940, as amended (the “Investment Company Act”), with a maturity of 185 days or less, or</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any open-ended investment company that holds itself out as a money market fund investing solely in U.S. Treasuries and meeting certain conditions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under Rule 2a-7 of the</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860"/>
          </w:cols>
          <w:pgMar w:left="320" w:top="471" w:right="71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160" w:right="120"/>
        <w:spacing w:after="0" w:line="278" w:lineRule="auto"/>
        <w:rPr>
          <w:sz w:val="20"/>
          <w:szCs w:val="20"/>
          <w:color w:val="auto"/>
        </w:rPr>
      </w:pPr>
      <w:r>
        <w:rPr>
          <w:rFonts w:ascii="Arial" w:cs="Arial" w:eastAsia="Arial" w:hAnsi="Arial"/>
          <w:sz w:val="17"/>
          <w:szCs w:val="17"/>
          <w:color w:val="auto"/>
        </w:rPr>
        <w:t>Investment Company Act, as determined by the Company, until the earliest of: (i) the completion of a Business Combination and (ii) the distribution of the funds in the Trust Account to the Company’s shareholders, as described below.</w:t>
      </w:r>
    </w:p>
    <w:p>
      <w:pPr>
        <w:spacing w:after="0" w:line="165" w:lineRule="exact"/>
        <w:rPr>
          <w:sz w:val="20"/>
          <w:szCs w:val="20"/>
          <w:color w:val="auto"/>
        </w:rPr>
      </w:pPr>
    </w:p>
    <w:p>
      <w:pPr>
        <w:ind w:left="160" w:right="60" w:firstLine="420"/>
        <w:spacing w:after="0" w:line="27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ind w:left="160" w:right="40" w:firstLine="420"/>
        <w:spacing w:after="0" w:line="294" w:lineRule="auto"/>
        <w:rPr>
          <w:sz w:val="20"/>
          <w:szCs w:val="20"/>
          <w:color w:val="auto"/>
        </w:rPr>
      </w:pPr>
      <w:r>
        <w:rPr>
          <w:rFonts w:ascii="Arial" w:cs="Arial" w:eastAsia="Arial" w:hAnsi="Arial"/>
          <w:sz w:val="15"/>
          <w:szCs w:val="15"/>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56" w:lineRule="exact"/>
        <w:rPr>
          <w:sz w:val="20"/>
          <w:szCs w:val="20"/>
          <w:color w:val="auto"/>
        </w:rPr>
      </w:pPr>
    </w:p>
    <w:p>
      <w:pPr>
        <w:ind w:left="160" w:right="40" w:firstLine="420"/>
        <w:spacing w:after="0" w:line="27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71" w:lineRule="exact"/>
        <w:rPr>
          <w:sz w:val="20"/>
          <w:szCs w:val="20"/>
          <w:color w:val="auto"/>
        </w:rPr>
      </w:pPr>
    </w:p>
    <w:p>
      <w:pPr>
        <w:ind w:left="160" w:firstLine="420"/>
        <w:spacing w:after="0" w:line="259"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540" w:top="471" w:right="71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right="100" w:firstLine="420"/>
        <w:spacing w:after="0" w:line="293" w:lineRule="auto"/>
        <w:rPr>
          <w:sz w:val="20"/>
          <w:szCs w:val="20"/>
          <w:color w:val="auto"/>
        </w:rPr>
      </w:pPr>
      <w:r>
        <w:rPr>
          <w:rFonts w:ascii="Arial" w:cs="Arial" w:eastAsia="Arial" w:hAnsi="Arial"/>
          <w:sz w:val="15"/>
          <w:szCs w:val="15"/>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spacing w:after="0" w:line="1" w:lineRule="exact"/>
        <w:rPr>
          <w:sz w:val="20"/>
          <w:szCs w:val="20"/>
          <w:color w:val="auto"/>
        </w:rPr>
      </w:pPr>
    </w:p>
    <w:p>
      <w:pPr>
        <w:ind w:left="380" w:right="120" w:hanging="4"/>
        <w:spacing w:after="0" w:line="274" w:lineRule="auto"/>
        <w:tabs>
          <w:tab w:leader="none" w:pos="58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69" w:lineRule="exact"/>
        <w:rPr>
          <w:sz w:val="20"/>
          <w:szCs w:val="20"/>
          <w:color w:val="auto"/>
        </w:rPr>
      </w:pPr>
    </w:p>
    <w:p>
      <w:pPr>
        <w:ind w:left="380" w:right="40" w:firstLine="420"/>
        <w:spacing w:after="0" w:line="255" w:lineRule="auto"/>
        <w:rPr>
          <w:sz w:val="20"/>
          <w:szCs w:val="20"/>
          <w:color w:val="auto"/>
        </w:rPr>
      </w:pPr>
      <w:r>
        <w:rPr>
          <w:rFonts w:ascii="Arial" w:cs="Arial" w:eastAsia="Arial" w:hAnsi="Arial"/>
          <w:sz w:val="17"/>
          <w:szCs w:val="17"/>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5"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4" w:lineRule="exact"/>
        <w:rPr>
          <w:sz w:val="20"/>
          <w:szCs w:val="20"/>
          <w:color w:val="auto"/>
        </w:rPr>
      </w:pPr>
    </w:p>
    <w:p>
      <w:pPr>
        <w:ind w:left="380" w:right="20" w:firstLine="420"/>
        <w:spacing w:after="0" w:line="270" w:lineRule="auto"/>
        <w:rPr>
          <w:sz w:val="20"/>
          <w:szCs w:val="20"/>
          <w:color w:val="auto"/>
        </w:rPr>
      </w:pPr>
      <w:r>
        <w:rPr>
          <w:rFonts w:ascii="Arial" w:cs="Arial" w:eastAsia="Arial" w:hAnsi="Arial"/>
          <w:sz w:val="16"/>
          <w:szCs w:val="16"/>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60"/>
          </w:cols>
          <w:pgMar w:left="320" w:top="471" w:right="71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amended (the “Securities Act”). In the event that an executed waiver is deemed to be unenforceable against a</w:t>
      </w:r>
    </w:p>
    <w:p>
      <w:pPr>
        <w:spacing w:after="0" w:line="21" w:lineRule="exact"/>
        <w:rPr>
          <w:sz w:val="20"/>
          <w:szCs w:val="20"/>
          <w:color w:val="auto"/>
        </w:rPr>
      </w:pPr>
    </w:p>
    <w:p>
      <w:pPr>
        <w:ind w:left="160" w:right="60"/>
        <w:spacing w:after="0" w:line="301" w:lineRule="auto"/>
        <w:rPr>
          <w:sz w:val="20"/>
          <w:szCs w:val="20"/>
          <w:color w:val="auto"/>
        </w:rPr>
      </w:pPr>
      <w:r>
        <w:rPr>
          <w:rFonts w:ascii="Arial" w:cs="Arial" w:eastAsia="Arial" w:hAnsi="Arial"/>
          <w:sz w:val="15"/>
          <w:szCs w:val="15"/>
          <w:color w:val="auto"/>
        </w:rPr>
        <w:t>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16" w:lineRule="exact"/>
        <w:rPr>
          <w:sz w:val="20"/>
          <w:szCs w:val="20"/>
          <w:color w:val="auto"/>
        </w:rPr>
      </w:pPr>
    </w:p>
    <w:p>
      <w:pPr>
        <w:ind w:left="160" w:right="380" w:firstLine="420"/>
        <w:spacing w:after="0" w:line="278" w:lineRule="auto"/>
        <w:rPr>
          <w:sz w:val="20"/>
          <w:szCs w:val="20"/>
          <w:color w:val="auto"/>
        </w:rPr>
      </w:pPr>
      <w:r>
        <w:rPr>
          <w:rFonts w:ascii="Arial" w:cs="Arial" w:eastAsia="Arial" w:hAnsi="Arial"/>
          <w:sz w:val="17"/>
          <w:szCs w:val="17"/>
          <w:color w:val="auto"/>
        </w:rPr>
        <w:t>As of December 31, 2020, the Company had approximately $1.2 million in its operating bank accounts and working capital of approximately $0.5 million.</w:t>
      </w:r>
    </w:p>
    <w:p>
      <w:pPr>
        <w:spacing w:after="0" w:line="165" w:lineRule="exact"/>
        <w:rPr>
          <w:sz w:val="20"/>
          <w:szCs w:val="20"/>
          <w:color w:val="auto"/>
        </w:rPr>
      </w:pPr>
    </w:p>
    <w:p>
      <w:pPr>
        <w:ind w:left="160" w:right="180" w:firstLine="420"/>
        <w:spacing w:after="0" w:line="277"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December 31, 2020, there were no amounts outstanding under any Working Capital Loan.</w:t>
      </w:r>
    </w:p>
    <w:p>
      <w:pPr>
        <w:spacing w:after="0" w:line="167" w:lineRule="exact"/>
        <w:rPr>
          <w:sz w:val="20"/>
          <w:szCs w:val="20"/>
          <w:color w:val="auto"/>
        </w:rPr>
      </w:pPr>
    </w:p>
    <w:p>
      <w:pPr>
        <w:ind w:left="160" w:firstLine="420"/>
        <w:spacing w:after="0" w:line="259" w:lineRule="auto"/>
        <w:rPr>
          <w:sz w:val="20"/>
          <w:szCs w:val="20"/>
          <w:color w:val="auto"/>
        </w:rPr>
      </w:pPr>
      <w:r>
        <w:rPr>
          <w:rFonts w:ascii="Arial" w:cs="Arial" w:eastAsia="Arial" w:hAnsi="Arial"/>
          <w:sz w:val="17"/>
          <w:szCs w:val="17"/>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0" w:lineRule="exact"/>
        <w:rPr>
          <w:sz w:val="20"/>
          <w:szCs w:val="20"/>
          <w:color w:val="auto"/>
        </w:rPr>
      </w:pPr>
    </w:p>
    <w:p>
      <w:pPr>
        <w:ind w:left="160" w:right="520" w:firstLine="420"/>
        <w:spacing w:after="0" w:line="278" w:lineRule="auto"/>
        <w:rPr>
          <w:sz w:val="20"/>
          <w:szCs w:val="20"/>
          <w:color w:val="auto"/>
        </w:rPr>
      </w:pPr>
      <w:r>
        <w:rPr>
          <w:rFonts w:ascii="Arial" w:cs="Arial" w:eastAsia="Arial" w:hAnsi="Arial"/>
          <w:sz w:val="17"/>
          <w:szCs w:val="17"/>
          <w:color w:val="auto"/>
        </w:rPr>
        <w:t>As of October 15, 2021, substantial doubt about our ability to continue as a going concern related to the date for mandatory liquidation and dissolution was alleviated due to the closing of the business combination.</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2—RESTATEMENT OF PREVIOUSLY ISSUED FINANCIAL STATEMENTS</w:t>
      </w:r>
    </w:p>
    <w:p>
      <w:pPr>
        <w:spacing w:after="0" w:line="222" w:lineRule="exact"/>
        <w:rPr>
          <w:sz w:val="20"/>
          <w:szCs w:val="20"/>
          <w:color w:val="auto"/>
        </w:rPr>
      </w:pPr>
    </w:p>
    <w:p>
      <w:pPr>
        <w:ind w:left="160" w:right="100"/>
        <w:spacing w:after="0" w:line="269" w:lineRule="auto"/>
        <w:rPr>
          <w:sz w:val="20"/>
          <w:szCs w:val="20"/>
          <w:color w:val="auto"/>
        </w:rPr>
      </w:pPr>
      <w:r>
        <w:rPr>
          <w:rFonts w:ascii="Arial" w:cs="Arial" w:eastAsia="Arial" w:hAnsi="Arial"/>
          <w:sz w:val="16"/>
          <w:szCs w:val="16"/>
          <w:color w:val="auto"/>
        </w:rPr>
        <w:t>The Company concluded it should restate its previously issued financial statements by amending Amendment No. 1 to its Annual Report on Form 10-K/A, filed with the SEC on May 24, 2021, to classify all Class A ordinary shares subject to possible redemption in temporary equity. In accordance with the SEC and its staff’s guidance on redeemable equity instruments, ASC 480, paragraph 10-S99, redemption provisions not solely within the control of the Company require ordinary shares subject to redemption to be classified outside of permanent equity. The Company had previously classified a portion of its Class A ordinary shares in permanent equity, or total shareholders’ equity. Although the Company did not specify a maximum redemption threshold, its charter currently provides that the Company will not redeem its public shares in an amount that would cause its net tangible assets to be less than $5,000,001. Previously, the Company did not consider redeemable stock classified as temporary equity as part of net tangible assets. Effective with these financial statements, the Company revised this interpretation to include temporary equity in net tangible assets. Also, in connection with the change in presentation for the Class A ordinary shares subject to possible redemption, the Company also revised its earnings per share calculation to allocate income and losses shared pro rata between the two classes of shares.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40"/>
          </w:cols>
          <w:pgMar w:left="540" w:top="471" w:right="71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right="20"/>
        <w:spacing w:after="0" w:line="272" w:lineRule="auto"/>
        <w:rPr>
          <w:sz w:val="20"/>
          <w:szCs w:val="20"/>
          <w:color w:val="auto"/>
        </w:rPr>
      </w:pPr>
      <w:r>
        <w:rPr>
          <w:rFonts w:ascii="Arial" w:cs="Arial" w:eastAsia="Arial" w:hAnsi="Arial"/>
          <w:sz w:val="16"/>
          <w:szCs w:val="16"/>
          <w:color w:val="auto"/>
        </w:rPr>
        <w:t>This presentation contemplates a Business Combination as the most likely outcome, in which case, both classes of shares share pro rata in the income and losses of the Company. As a result, the Company restated its previously filed financial statements to present all redeemable Class A ordinary shares as temporary equity and to recognize accretion from the initial book value to redemption value at the time of its Initial Public Offering and in accordance with ASC 480. The Company’s previously filed financial statements that contained the error were initially reported in the Company’s Form 8-K filed with the SEC on October 1, 2020 (the “Post-IPO Balance Sheet”), the Company’s Form 10-Q for the quarterly period ended September 30, 2020, and the Company’s Annual Report on 10-K for the annual period ended December 31, 2020, which were previously restated in the Company’s Amendment No. 1 to its Form 10-K as filed with the SEC on May 24, 2021, as well as the Form 10-Qs for the quarterly periods ended March 31, 2021 and June 30, 2021 (the “Affected Periods”). These financial statements restate the Company’s previously issued audited and unaudited financial statements covering the periods through December 31, 2020. The quarterly periods ended March 31, 2021 and June 30, 2021 will be restated in the Company’s Form 10-Q/A for the quarterly period ended September 30, 2021. Please see Note 3 and Note 8, which have been updated to reflect the restatement of the financials contained in this annual report.</w:t>
      </w:r>
    </w:p>
    <w:p>
      <w:pPr>
        <w:spacing w:after="0" w:line="200"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As Reported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Restated 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10-K/A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60" w:type="dxa"/>
            <w:vAlign w:val="bottom"/>
            <w:vMerge w:val="restart"/>
          </w:tcPr>
          <w:p>
            <w:pPr>
              <w:spacing w:after="0"/>
              <w:rPr>
                <w:sz w:val="20"/>
                <w:szCs w:val="20"/>
                <w:color w:val="auto"/>
              </w:rPr>
            </w:pPr>
            <w:r>
              <w:rPr>
                <w:rFonts w:ascii="Arial" w:cs="Arial" w:eastAsia="Arial" w:hAnsi="Arial"/>
                <w:sz w:val="15"/>
                <w:szCs w:val="15"/>
                <w:b w:val="1"/>
                <w:bCs w:val="1"/>
                <w:color w:val="auto"/>
              </w:rPr>
              <w:t>Balance Sheet as of September 25, 2020 (audited)</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Amendment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6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No.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2"/>
              </w:rPr>
              <w:t>Adjustment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2"/>
              </w:rPr>
              <w:t>As Restated</w:t>
            </w:r>
          </w:p>
        </w:tc>
        <w:tc>
          <w:tcPr>
            <w:tcW w:w="0" w:type="dxa"/>
            <w:vAlign w:val="bottom"/>
          </w:tcPr>
          <w:p>
            <w:pPr>
              <w:spacing w:after="0"/>
              <w:rPr>
                <w:sz w:val="1"/>
                <w:szCs w:val="1"/>
                <w:color w:val="auto"/>
              </w:rPr>
            </w:pPr>
          </w:p>
        </w:tc>
      </w:tr>
      <w:tr>
        <w:trPr>
          <w:trHeight w:val="201"/>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168,557,240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31,442,760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200,000,000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A ordinary shares</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314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7,920,772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(7,920,772)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Accumulated deficit</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(2,921,596)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(23,521,674)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(26,443,270)</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(31,442,760)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(26,442,752)</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Number of shares subject to redemption</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16,855,724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3,144,276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20,000,000</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as of September 30, 2020 (unaudited)</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168,446,470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31,553,530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200,000,000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8,031,540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(8,031,540)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(3,032,369)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(23,521,674)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(26,554,043)</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5,000,005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(31,553,530)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(26,553,825)</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 subject to redemption</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16,844,647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3,155,353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20,000,000</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b w:val="1"/>
                <w:bCs w:val="1"/>
                <w:color w:val="auto"/>
              </w:rPr>
              <w:t>Balance Sheet as of December 31, 2020 (audited)</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173,122,110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34,249,910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207,372,020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A ordinary shares</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343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9,860,338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(9,860,338)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Accumulated deficit</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(4,861,190)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(24,389,229)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(29,250,419)</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(34,249,910)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(29,249,901)</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color w:val="auto"/>
              </w:rPr>
              <w:t>Number of shares subject to redemption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17,312,211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3,424,991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20,737,202</w:t>
            </w:r>
          </w:p>
        </w:tc>
        <w:tc>
          <w:tcPr>
            <w:tcW w:w="0" w:type="dxa"/>
            <w:vAlign w:val="bottom"/>
          </w:tcPr>
          <w:p>
            <w:pPr>
              <w:spacing w:after="0"/>
              <w:rPr>
                <w:sz w:val="1"/>
                <w:szCs w:val="1"/>
                <w:color w:val="auto"/>
              </w:rPr>
            </w:pPr>
          </w:p>
        </w:tc>
      </w:tr>
      <w:tr>
        <w:trPr>
          <w:trHeight w:val="335"/>
        </w:trPr>
        <w:tc>
          <w:tcPr>
            <w:tcW w:w="4460" w:type="dxa"/>
            <w:vAlign w:val="bottom"/>
          </w:tcPr>
          <w:p>
            <w:pPr>
              <w:spacing w:after="0"/>
              <w:rPr>
                <w:sz w:val="24"/>
                <w:szCs w:val="24"/>
                <w:color w:val="auto"/>
              </w:rPr>
            </w:pPr>
          </w:p>
        </w:tc>
        <w:tc>
          <w:tcPr>
            <w:tcW w:w="2140" w:type="dxa"/>
            <w:vAlign w:val="bottom"/>
          </w:tcPr>
          <w:p>
            <w:pPr>
              <w:jc w:val="right"/>
              <w:ind w:right="119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56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489"/>
        </w:trPr>
        <w:tc>
          <w:tcPr>
            <w:tcW w:w="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6800" w:type="dxa"/>
            <w:vAlign w:val="bottom"/>
            <w:gridSpan w:val="3"/>
          </w:tcPr>
          <w:p>
            <w:pPr>
              <w:jc w:val="center"/>
              <w:ind w:left="1374"/>
              <w:spacing w:after="0"/>
              <w:rPr>
                <w:sz w:val="20"/>
                <w:szCs w:val="20"/>
                <w:color w:val="auto"/>
              </w:rPr>
            </w:pPr>
            <w:r>
              <w:rPr>
                <w:rFonts w:ascii="Arial" w:cs="Arial" w:eastAsia="Arial" w:hAnsi="Arial"/>
                <w:sz w:val="17"/>
                <w:szCs w:val="17"/>
                <w:b w:val="1"/>
                <w:bCs w:val="1"/>
                <w:color w:val="auto"/>
              </w:rPr>
              <w:t>VPC IMPACT ACQUISITION HOLDINGS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6"/>
        </w:trPr>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0" w:type="dxa"/>
            <w:vAlign w:val="bottom"/>
            <w:gridSpan w:val="3"/>
          </w:tcPr>
          <w:p>
            <w:pPr>
              <w:jc w:val="center"/>
              <w:ind w:left="1374"/>
              <w:spacing w:after="0"/>
              <w:rPr>
                <w:sz w:val="20"/>
                <w:szCs w:val="20"/>
                <w:color w:val="auto"/>
              </w:rPr>
            </w:pPr>
            <w:r>
              <w:rPr>
                <w:rFonts w:ascii="Arial" w:cs="Arial" w:eastAsia="Arial" w:hAnsi="Arial"/>
                <w:sz w:val="17"/>
                <w:szCs w:val="17"/>
                <w:b w:val="1"/>
                <w:bCs w:val="1"/>
                <w:color w:val="auto"/>
              </w:rPr>
              <w:t>NOTES TO CONSOLIDATED FINANCIAL STATEMENTS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80" w:type="dxa"/>
            <w:vAlign w:val="bottom"/>
          </w:tcPr>
          <w:p>
            <w:pPr>
              <w:jc w:val="center"/>
              <w:ind w:left="2894"/>
              <w:spacing w:after="0"/>
              <w:rPr>
                <w:sz w:val="20"/>
                <w:szCs w:val="20"/>
                <w:color w:val="auto"/>
              </w:rPr>
            </w:pPr>
            <w:r>
              <w:rPr>
                <w:rFonts w:ascii="Arial" w:cs="Arial" w:eastAsia="Arial" w:hAnsi="Arial"/>
                <w:sz w:val="17"/>
                <w:szCs w:val="17"/>
                <w:b w:val="1"/>
                <w:bCs w:val="1"/>
                <w:color w:val="auto"/>
                <w:w w:val="99"/>
              </w:rPr>
              <w:t>(RESTATED)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80" w:type="dxa"/>
            <w:vAlign w:val="bottom"/>
          </w:tcPr>
          <w:p>
            <w:pPr>
              <w:jc w:val="center"/>
              <w:ind w:left="2874"/>
              <w:spacing w:after="0"/>
              <w:rPr>
                <w:sz w:val="20"/>
                <w:szCs w:val="20"/>
                <w:color w:val="auto"/>
              </w:rPr>
            </w:pPr>
            <w:r>
              <w:rPr>
                <w:rFonts w:ascii="Arial" w:cs="Arial" w:eastAsia="Arial" w:hAnsi="Arial"/>
                <w:sz w:val="17"/>
                <w:szCs w:val="17"/>
                <w:b w:val="1"/>
                <w:bCs w:val="1"/>
                <w:color w:val="auto"/>
                <w:w w:val="97"/>
              </w:rPr>
              <w:t>DECEMBER 31, 2020</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43"/>
        </w:trPr>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7"/>
        </w:trPr>
        <w:tc>
          <w:tcPr>
            <w:tcW w:w="160" w:type="dxa"/>
            <w:vAlign w:val="bottom"/>
          </w:tcPr>
          <w:p>
            <w:pPr>
              <w:spacing w:after="0"/>
              <w:rPr>
                <w:sz w:val="16"/>
                <w:szCs w:val="16"/>
                <w:color w:val="auto"/>
              </w:rPr>
            </w:pPr>
          </w:p>
        </w:tc>
        <w:tc>
          <w:tcPr>
            <w:tcW w:w="640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Statement of Cash Flows for the period from July 31, 2020 (Inception) through</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September 30, 2020 (unaudited)</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6"/>
        </w:trPr>
        <w:tc>
          <w:tcPr>
            <w:tcW w:w="16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4"/>
              <w:spacing w:after="0"/>
              <w:rPr>
                <w:sz w:val="20"/>
                <w:szCs w:val="20"/>
                <w:color w:val="auto"/>
              </w:rPr>
            </w:pPr>
            <w:r>
              <w:rPr>
                <w:rFonts w:ascii="Arial" w:cs="Arial" w:eastAsia="Arial" w:hAnsi="Arial"/>
                <w:sz w:val="17"/>
                <w:szCs w:val="17"/>
                <w:color w:val="auto"/>
                <w:w w:val="88"/>
              </w:rPr>
              <w:t>168,557,240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w w:val="90"/>
              </w:rPr>
              <w:t>(168,557,240)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06"/>
        </w:trPr>
        <w:tc>
          <w:tcPr>
            <w:tcW w:w="16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value of Class A ordinary shares subject to possible redemption</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(110,770)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(110,770)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187"/>
        </w:trPr>
        <w:tc>
          <w:tcPr>
            <w:tcW w:w="160" w:type="dxa"/>
            <w:vAlign w:val="bottom"/>
          </w:tcPr>
          <w:p>
            <w:pPr>
              <w:spacing w:after="0"/>
              <w:rPr>
                <w:sz w:val="16"/>
                <w:szCs w:val="16"/>
                <w:color w:val="auto"/>
              </w:rPr>
            </w:pPr>
          </w:p>
        </w:tc>
        <w:tc>
          <w:tcPr>
            <w:tcW w:w="640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Statement of Cash Flows for the period from July 31, 2020 (Inception) through</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160" w:type="dxa"/>
            <w:vAlign w:val="bottom"/>
          </w:tcPr>
          <w:p>
            <w:pPr>
              <w:spacing w:after="0"/>
              <w:rPr>
                <w:sz w:val="19"/>
                <w:szCs w:val="19"/>
                <w:color w:val="auto"/>
              </w:rPr>
            </w:pPr>
          </w:p>
        </w:tc>
        <w:tc>
          <w:tcPr>
            <w:tcW w:w="6400" w:type="dxa"/>
            <w:vAlign w:val="bottom"/>
            <w:gridSpan w:val="2"/>
          </w:tcPr>
          <w:p>
            <w:pPr>
              <w:ind w:left="160"/>
              <w:spacing w:after="0"/>
              <w:rPr>
                <w:sz w:val="20"/>
                <w:szCs w:val="20"/>
                <w:color w:val="auto"/>
              </w:rPr>
            </w:pPr>
            <w:r>
              <w:rPr>
                <w:rFonts w:ascii="Arial" w:cs="Arial" w:eastAsia="Arial" w:hAnsi="Arial"/>
                <w:sz w:val="17"/>
                <w:szCs w:val="17"/>
                <w:b w:val="1"/>
                <w:bCs w:val="1"/>
                <w:color w:val="auto"/>
              </w:rPr>
              <w:t>December 31, 2020 (audited)</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7"/>
        </w:trPr>
        <w:tc>
          <w:tcPr>
            <w:tcW w:w="16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8"/>
              </w:rPr>
              <w:t>174,833,010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0"/>
              </w:rPr>
              <w:t>(174,833,010)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06"/>
        </w:trPr>
        <w:tc>
          <w:tcPr>
            <w:tcW w:w="16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Change in value of Class A ordinary shares subject to possible redemption</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(1,760,900)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1,760,900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187"/>
        </w:trPr>
        <w:tc>
          <w:tcPr>
            <w:tcW w:w="160" w:type="dxa"/>
            <w:vAlign w:val="bottom"/>
          </w:tcPr>
          <w:p>
            <w:pPr>
              <w:spacing w:after="0"/>
              <w:rPr>
                <w:sz w:val="16"/>
                <w:szCs w:val="16"/>
                <w:color w:val="auto"/>
              </w:rPr>
            </w:pPr>
          </w:p>
        </w:tc>
        <w:tc>
          <w:tcPr>
            <w:tcW w:w="640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Statement of Operations for the period from July 31, 2020 (Inception) through</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4"/>
        </w:trPr>
        <w:tc>
          <w:tcPr>
            <w:tcW w:w="160" w:type="dxa"/>
            <w:vAlign w:val="bottom"/>
          </w:tcPr>
          <w:p>
            <w:pPr>
              <w:spacing w:after="0"/>
              <w:rPr>
                <w:sz w:val="19"/>
                <w:szCs w:val="19"/>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September 30, 2020 (unaudited)</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6"/>
        </w:trPr>
        <w:tc>
          <w:tcPr>
            <w:tcW w:w="16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Weighted average shares outstanding, Class A ordinary shares</w:t>
            </w:r>
          </w:p>
        </w:tc>
        <w:tc>
          <w:tcPr>
            <w:tcW w:w="420" w:type="dxa"/>
            <w:vAlign w:val="bottom"/>
          </w:tcPr>
          <w:p>
            <w:pPr>
              <w:spacing w:after="0"/>
              <w:rPr>
                <w:sz w:val="17"/>
                <w:szCs w:val="17"/>
                <w:color w:val="auto"/>
              </w:rPr>
            </w:pPr>
          </w:p>
        </w:tc>
        <w:tc>
          <w:tcPr>
            <w:tcW w:w="1100" w:type="dxa"/>
            <w:vAlign w:val="bottom"/>
          </w:tcPr>
          <w:p>
            <w:pPr>
              <w:jc w:val="right"/>
              <w:ind w:right="154"/>
              <w:spacing w:after="0"/>
              <w:rPr>
                <w:sz w:val="20"/>
                <w:szCs w:val="20"/>
                <w:color w:val="auto"/>
              </w:rPr>
            </w:pPr>
            <w:r>
              <w:rPr>
                <w:rFonts w:ascii="Arial" w:cs="Arial" w:eastAsia="Arial" w:hAnsi="Arial"/>
                <w:sz w:val="17"/>
                <w:szCs w:val="17"/>
                <w:color w:val="auto"/>
                <w:w w:val="98"/>
              </w:rPr>
              <w:t>20,000,000</w:t>
            </w:r>
          </w:p>
        </w:tc>
        <w:tc>
          <w:tcPr>
            <w:tcW w:w="28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7"/>
                <w:szCs w:val="17"/>
                <w:color w:val="auto"/>
                <w:w w:val="99"/>
              </w:rPr>
              <w:t>(17,966,102)</w:t>
            </w:r>
          </w:p>
        </w:tc>
        <w:tc>
          <w:tcPr>
            <w:tcW w:w="260" w:type="dxa"/>
            <w:vAlign w:val="bottom"/>
          </w:tcPr>
          <w:p>
            <w:pPr>
              <w:spacing w:after="0"/>
              <w:rPr>
                <w:sz w:val="17"/>
                <w:szCs w:val="17"/>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w w:val="97"/>
              </w:rPr>
              <w:t>2,033,898</w:t>
            </w:r>
          </w:p>
        </w:tc>
      </w:tr>
      <w:tr>
        <w:trPr>
          <w:trHeight w:val="206"/>
        </w:trPr>
        <w:tc>
          <w:tcPr>
            <w:tcW w:w="16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and diluted net income per share, Class A ordinary shares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(0.43)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r>
      <w:tr>
        <w:trPr>
          <w:trHeight w:val="206"/>
        </w:trPr>
        <w:tc>
          <w:tcPr>
            <w:tcW w:w="16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Weighted average shares outstanding, Class B ordinary shares</w:t>
            </w:r>
          </w:p>
        </w:tc>
        <w:tc>
          <w:tcPr>
            <w:tcW w:w="420" w:type="dxa"/>
            <w:vAlign w:val="bottom"/>
          </w:tcPr>
          <w:p>
            <w:pPr>
              <w:spacing w:after="0"/>
              <w:rPr>
                <w:sz w:val="17"/>
                <w:szCs w:val="17"/>
                <w:color w:val="auto"/>
              </w:rPr>
            </w:pPr>
          </w:p>
        </w:tc>
        <w:tc>
          <w:tcPr>
            <w:tcW w:w="1100" w:type="dxa"/>
            <w:vAlign w:val="bottom"/>
          </w:tcPr>
          <w:p>
            <w:pPr>
              <w:jc w:val="right"/>
              <w:ind w:right="154"/>
              <w:spacing w:after="0"/>
              <w:rPr>
                <w:sz w:val="20"/>
                <w:szCs w:val="20"/>
                <w:color w:val="auto"/>
              </w:rPr>
            </w:pPr>
            <w:r>
              <w:rPr>
                <w:rFonts w:ascii="Arial" w:cs="Arial" w:eastAsia="Arial" w:hAnsi="Arial"/>
                <w:sz w:val="17"/>
                <w:szCs w:val="17"/>
                <w:color w:val="auto"/>
              </w:rPr>
              <w:t>5,184,300</w:t>
            </w:r>
          </w:p>
        </w:tc>
        <w:tc>
          <w:tcPr>
            <w:tcW w:w="28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(184,300)</w:t>
            </w:r>
          </w:p>
        </w:tc>
        <w:tc>
          <w:tcPr>
            <w:tcW w:w="260" w:type="dxa"/>
            <w:vAlign w:val="bottom"/>
          </w:tcPr>
          <w:p>
            <w:pPr>
              <w:spacing w:after="0"/>
              <w:rPr>
                <w:sz w:val="17"/>
                <w:szCs w:val="17"/>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w w:val="97"/>
              </w:rPr>
              <w:t>5,000,000</w:t>
            </w:r>
          </w:p>
        </w:tc>
      </w:tr>
      <w:tr>
        <w:trPr>
          <w:trHeight w:val="206"/>
        </w:trPr>
        <w:tc>
          <w:tcPr>
            <w:tcW w:w="16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and diluted net loss per share, Class B ordinary shares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(0.58)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0.15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r>
      <w:tr>
        <w:trPr>
          <w:trHeight w:val="187"/>
        </w:trPr>
        <w:tc>
          <w:tcPr>
            <w:tcW w:w="160" w:type="dxa"/>
            <w:vAlign w:val="bottom"/>
          </w:tcPr>
          <w:p>
            <w:pPr>
              <w:spacing w:after="0"/>
              <w:rPr>
                <w:sz w:val="16"/>
                <w:szCs w:val="16"/>
                <w:color w:val="auto"/>
              </w:rPr>
            </w:pPr>
          </w:p>
        </w:tc>
        <w:tc>
          <w:tcPr>
            <w:tcW w:w="640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Statement of Operations for the period from July 31, 2020 (Inception) through</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160" w:type="dxa"/>
            <w:vAlign w:val="bottom"/>
          </w:tcPr>
          <w:p>
            <w:pPr>
              <w:spacing w:after="0"/>
              <w:rPr>
                <w:sz w:val="19"/>
                <w:szCs w:val="19"/>
                <w:color w:val="auto"/>
              </w:rPr>
            </w:pPr>
          </w:p>
        </w:tc>
        <w:tc>
          <w:tcPr>
            <w:tcW w:w="6400" w:type="dxa"/>
            <w:vAlign w:val="bottom"/>
            <w:gridSpan w:val="2"/>
          </w:tcPr>
          <w:p>
            <w:pPr>
              <w:ind w:left="160"/>
              <w:spacing w:after="0"/>
              <w:rPr>
                <w:sz w:val="20"/>
                <w:szCs w:val="20"/>
                <w:color w:val="auto"/>
              </w:rPr>
            </w:pPr>
            <w:r>
              <w:rPr>
                <w:rFonts w:ascii="Arial" w:cs="Arial" w:eastAsia="Arial" w:hAnsi="Arial"/>
                <w:sz w:val="17"/>
                <w:szCs w:val="17"/>
                <w:b w:val="1"/>
                <w:bCs w:val="1"/>
                <w:color w:val="auto"/>
              </w:rPr>
              <w:t>December 31, 2020 (audited)</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7"/>
        </w:trPr>
        <w:tc>
          <w:tcPr>
            <w:tcW w:w="16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Class A ordinary shares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98"/>
              </w:rPr>
              <w:t>20,737,202</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(7,307,913)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6"/>
              </w:rPr>
              <w:t>13,429,289</w:t>
            </w:r>
          </w:p>
        </w:tc>
      </w:tr>
      <w:tr>
        <w:trPr>
          <w:trHeight w:val="206"/>
        </w:trPr>
        <w:tc>
          <w:tcPr>
            <w:tcW w:w="16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Basic and diluted net income per share, Class A ordinary shares</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(0.26)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(0.26)</w:t>
            </w:r>
          </w:p>
        </w:tc>
      </w:tr>
      <w:tr>
        <w:trPr>
          <w:trHeight w:val="206"/>
        </w:trPr>
        <w:tc>
          <w:tcPr>
            <w:tcW w:w="16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Class B ordinary shares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5,184,300</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(72,491)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7"/>
              </w:rPr>
              <w:t>5,111,809</w:t>
            </w:r>
          </w:p>
        </w:tc>
      </w:tr>
      <w:tr>
        <w:trPr>
          <w:trHeight w:val="217"/>
        </w:trPr>
        <w:tc>
          <w:tcPr>
            <w:tcW w:w="1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Basic and diluted net loss per share, Class B ordinary shares</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(0.94)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0.68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(0.26)</w:t>
            </w:r>
          </w:p>
        </w:tc>
      </w:tr>
    </w:tbl>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3—SUMMARY OF SIGNIFICANT ACCOUNTING POLICIES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3" w:lineRule="exact"/>
        <w:rPr>
          <w:sz w:val="20"/>
          <w:szCs w:val="20"/>
          <w:color w:val="auto"/>
        </w:rPr>
      </w:pPr>
    </w:p>
    <w:p>
      <w:pPr>
        <w:ind w:left="160" w:right="480" w:firstLine="420"/>
        <w:spacing w:after="0" w:line="27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and pursuant to the rules and regulations of the SEC.</w:t>
      </w:r>
    </w:p>
    <w:p>
      <w:pPr>
        <w:spacing w:after="0" w:line="62" w:lineRule="exact"/>
        <w:rPr>
          <w:sz w:val="20"/>
          <w:szCs w:val="20"/>
          <w:color w:val="auto"/>
        </w:rPr>
      </w:pPr>
    </w:p>
    <w:p>
      <w:pPr>
        <w:ind w:left="160" w:right="20" w:firstLine="420"/>
        <w:spacing w:after="0" w:line="257" w:lineRule="auto"/>
        <w:rPr>
          <w:sz w:val="20"/>
          <w:szCs w:val="20"/>
          <w:color w:val="auto"/>
        </w:rPr>
      </w:pPr>
      <w:r>
        <w:rPr>
          <w:rFonts w:ascii="Arial" w:cs="Arial" w:eastAsia="Arial" w:hAnsi="Arial"/>
          <w:sz w:val="17"/>
          <w:szCs w:val="17"/>
          <w:color w:val="auto"/>
        </w:rPr>
        <w:t>As described in Note 2—Restatement of Previously Issued Financial Statements, the Company’s consolidated financial statements for the year ended December 31, 2020 (collectively, the “Affected Period”), are restated in this Annual Report on Form 10-K/A (Second Amendment) (this “Annual Report”) to correct the misapplication of accounting guidance related to the Company’s Class A ordinary shares subject to possible redemption in the Company’s previously issued audited and unaudited condensed consolidated financial statements for such periods. The restated consolidated financial statements are indicated as “Restated” in the audited consolidated financial statements and accompanying notes, as applicable. See Note 2—Restatement of Previously Issued Financial Statements for further discussion.</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16" w:lineRule="exact"/>
        <w:rPr>
          <w:sz w:val="20"/>
          <w:szCs w:val="20"/>
          <w:color w:val="auto"/>
        </w:rPr>
      </w:pPr>
    </w:p>
    <w:p>
      <w:pPr>
        <w:ind w:left="160" w:right="540" w:firstLine="420"/>
        <w:spacing w:after="0" w:line="278"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60"/>
          </w:cols>
          <w:pgMar w:left="540" w:top="459" w:right="69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16"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left="380" w:right="60" w:firstLine="420"/>
        <w:spacing w:after="0" w:line="255"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6"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ind w:left="380" w:right="500" w:firstLine="420"/>
        <w:spacing w:after="0" w:line="261"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One of the more significant accounting estimates included in these consolidated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3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6"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as of December 31, 2020.</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60"/>
          </w:cols>
          <w:pgMar w:left="320" w:top="471" w:right="71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Investments held in Trust Account</w:t>
      </w:r>
    </w:p>
    <w:p>
      <w:pPr>
        <w:spacing w:after="0" w:line="216" w:lineRule="exact"/>
        <w:rPr>
          <w:sz w:val="20"/>
          <w:szCs w:val="20"/>
          <w:color w:val="auto"/>
        </w:rPr>
      </w:pPr>
    </w:p>
    <w:p>
      <w:pPr>
        <w:ind w:left="160" w:right="100" w:firstLine="420"/>
        <w:spacing w:after="0" w:line="277" w:lineRule="auto"/>
        <w:rPr>
          <w:sz w:val="20"/>
          <w:szCs w:val="20"/>
          <w:color w:val="auto"/>
        </w:rPr>
      </w:pPr>
      <w:r>
        <w:rPr>
          <w:rFonts w:ascii="Arial" w:cs="Arial" w:eastAsia="Arial" w:hAnsi="Arial"/>
          <w:sz w:val="16"/>
          <w:szCs w:val="16"/>
          <w:color w:val="auto"/>
        </w:rPr>
        <w:t>The Company’s portfolio of investments held in trust is comprised solely of U.S. Treasury money market funds,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on marketable securities held in Trust Account in the accompanying consolidated statement of operations. The estimated fair values of investments held in the Trust Account are determined using available market information.</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Class A Ordinary Shares Subject to Possible Redemption (Restated)</w:t>
      </w:r>
    </w:p>
    <w:p>
      <w:pPr>
        <w:spacing w:after="0" w:line="216" w:lineRule="exact"/>
        <w:rPr>
          <w:sz w:val="20"/>
          <w:szCs w:val="20"/>
          <w:color w:val="auto"/>
        </w:rPr>
      </w:pPr>
    </w:p>
    <w:p>
      <w:pPr>
        <w:ind w:left="160" w:firstLine="420"/>
        <w:spacing w:after="0" w:line="296" w:lineRule="auto"/>
        <w:rPr>
          <w:sz w:val="20"/>
          <w:szCs w:val="20"/>
          <w:color w:val="auto"/>
        </w:rPr>
      </w:pPr>
      <w:r>
        <w:rPr>
          <w:rFonts w:ascii="Arial" w:cs="Arial" w:eastAsia="Arial" w:hAnsi="Arial"/>
          <w:sz w:val="15"/>
          <w:szCs w:val="15"/>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December 31, 2020, Class A ordinary shares subject to possible redemption are presented as temporary equity, outside of the shareholders’ equity section of the Company’s condensed consolidated balance sheets.</w:t>
      </w:r>
    </w:p>
    <w:p>
      <w:pPr>
        <w:spacing w:after="0" w:line="157" w:lineRule="exact"/>
        <w:rPr>
          <w:sz w:val="20"/>
          <w:szCs w:val="20"/>
          <w:color w:val="auto"/>
        </w:rPr>
      </w:pPr>
    </w:p>
    <w:p>
      <w:pPr>
        <w:ind w:left="160" w:right="40" w:firstLine="420"/>
        <w:spacing w:after="0" w:line="261"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December 31, 2020, the Class A ordinary shares reflected in the condensed balance sheets are reconciled in the following table:</w:t>
      </w:r>
    </w:p>
    <w:p>
      <w:pPr>
        <w:spacing w:after="0" w:line="254" w:lineRule="exact"/>
        <w:rPr>
          <w:sz w:val="20"/>
          <w:szCs w:val="20"/>
          <w:color w:val="auto"/>
        </w:rPr>
      </w:pPr>
    </w:p>
    <w:tbl>
      <w:tblPr>
        <w:tblLayout w:type="fixed"/>
        <w:tblInd w:w="1840" w:type="dxa"/>
        <w:tblCellMar>
          <w:top w:w="0" w:type="dxa"/>
          <w:left w:w="0" w:type="dxa"/>
          <w:bottom w:w="0" w:type="dxa"/>
          <w:right w:w="0" w:type="dxa"/>
        </w:tblCellMar>
      </w:tblP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Gross proceeds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7"/>
                <w:szCs w:val="17"/>
                <w:color w:val="auto"/>
              </w:rPr>
              <w:t>Less: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allocated to Public Warrants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(13,275,495)</w:t>
            </w:r>
          </w:p>
        </w:tc>
      </w:tr>
      <w:tr>
        <w:trPr>
          <w:trHeight w:val="206"/>
        </w:trPr>
        <w:tc>
          <w:tcPr>
            <w:tcW w:w="5960" w:type="dxa"/>
            <w:vAlign w:val="bottom"/>
          </w:tcPr>
          <w:p>
            <w:pPr>
              <w:ind w:left="340"/>
              <w:spacing w:after="0"/>
              <w:rPr>
                <w:sz w:val="20"/>
                <w:szCs w:val="20"/>
                <w:color w:val="auto"/>
              </w:rPr>
            </w:pPr>
            <w:r>
              <w:rPr>
                <w:rFonts w:ascii="Arial" w:cs="Arial" w:eastAsia="Arial" w:hAnsi="Arial"/>
                <w:sz w:val="17"/>
                <w:szCs w:val="17"/>
                <w:color w:val="auto"/>
              </w:rPr>
              <w:t>Class A ordinary shares issuance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(11,138,216)</w:t>
            </w: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5960" w:type="dxa"/>
            <w:vAlign w:val="bottom"/>
          </w:tcPr>
          <w:p>
            <w:pPr>
              <w:ind w:left="340"/>
              <w:spacing w:after="0"/>
              <w:rPr>
                <w:sz w:val="20"/>
                <w:szCs w:val="20"/>
                <w:color w:val="auto"/>
              </w:rPr>
            </w:pPr>
            <w:r>
              <w:rPr>
                <w:rFonts w:ascii="Arial" w:cs="Arial" w:eastAsia="Arial" w:hAnsi="Arial"/>
                <w:sz w:val="17"/>
                <w:szCs w:val="17"/>
                <w:color w:val="auto"/>
              </w:rPr>
              <w:t>Accretion of carrying value to redemption value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24,413,711</w:t>
            </w: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Class A ordinary shares subject to possible redemption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Warrant Liability (Restated)</w:t>
      </w:r>
    </w:p>
    <w:p>
      <w:pPr>
        <w:spacing w:after="0" w:line="216" w:lineRule="exact"/>
        <w:rPr>
          <w:sz w:val="20"/>
          <w:szCs w:val="20"/>
          <w:color w:val="auto"/>
        </w:rPr>
      </w:pPr>
    </w:p>
    <w:p>
      <w:pPr>
        <w:ind w:left="160" w:right="120" w:firstLine="420"/>
        <w:spacing w:after="0" w:line="278"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40"/>
          </w:cols>
          <w:pgMar w:left="540" w:top="471" w:right="7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Standards Board (“FASB”) Accounting Standards Codification (“ASC”) 480, Distinguishing Liabilities from Equity (“ASC 480”) and ASC</w:t>
      </w:r>
    </w:p>
    <w:p>
      <w:pPr>
        <w:spacing w:after="0" w:line="21" w:lineRule="exact"/>
        <w:rPr>
          <w:sz w:val="20"/>
          <w:szCs w:val="20"/>
          <w:color w:val="auto"/>
        </w:rPr>
      </w:pPr>
    </w:p>
    <w:p>
      <w:pPr>
        <w:ind w:left="380"/>
        <w:spacing w:after="0" w:line="255" w:lineRule="auto"/>
        <w:rPr>
          <w:sz w:val="20"/>
          <w:szCs w:val="20"/>
          <w:color w:val="auto"/>
        </w:rPr>
      </w:pPr>
      <w:r>
        <w:rPr>
          <w:rFonts w:ascii="Arial" w:cs="Arial" w:eastAsia="Arial" w:hAnsi="Arial"/>
          <w:sz w:val="17"/>
          <w:szCs w:val="17"/>
          <w:color w:val="auto"/>
        </w:rPr>
        <w:t>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4"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consolidated statements of operations. The fair value of the public warrants were initially estimated using the Option Pricing Method with subsequent remeasurements utilizing the trading stock price, whereas the private warrants were estimated using a Option Pricing Method approach for all periods (see Note 10).</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Offering Costs</w:t>
      </w:r>
    </w:p>
    <w:p>
      <w:pPr>
        <w:spacing w:after="0" w:line="216"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Offering costs consist of legal, accounting, underwriting fees and other costs incurred through the Initial Public Offering that are directly related to the Initial Public Offering. Offering costs amounting to $11,906,606 were charged to shareholders’ equity upon the completion of the Initial Public Offering.</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Derivative Warrant Liabilities</w:t>
      </w:r>
    </w:p>
    <w:p>
      <w:pPr>
        <w:spacing w:after="0" w:line="216"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9" w:lineRule="exact"/>
        <w:rPr>
          <w:sz w:val="20"/>
          <w:szCs w:val="20"/>
          <w:color w:val="auto"/>
        </w:rPr>
      </w:pPr>
    </w:p>
    <w:p>
      <w:pPr>
        <w:ind w:left="380" w:firstLine="420"/>
        <w:spacing w:after="0" w:line="274" w:lineRule="auto"/>
        <w:rPr>
          <w:sz w:val="20"/>
          <w:szCs w:val="20"/>
          <w:color w:val="auto"/>
        </w:rPr>
      </w:pPr>
      <w:r>
        <w:rPr>
          <w:rFonts w:ascii="Arial" w:cs="Arial" w:eastAsia="Arial" w:hAnsi="Arial"/>
          <w:sz w:val="16"/>
          <w:szCs w:val="16"/>
          <w:color w:val="auto"/>
        </w:rPr>
        <w:t>The 10,368,601 warrants issued in connection with the Initial Public Offering (the “Public Warrants”) and the 6,147,440 Private Placement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consolidated statement of operations. The fair value of the Public Warrants issued in connection with the Public Offering and Private Placement Warrants were initially measured at fair value using an Option Pricing simulation model and subsequently, the fair value of the Private Placement Warrants have been estimated using a Black Scholes simulation model each measurement date. The fair value of Public Warrants issued in connection with the Initial Public Offering have subsequently been measured based on the listed market price of such warrants.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Taxes</w:t>
      </w:r>
    </w:p>
    <w:p>
      <w:pPr>
        <w:spacing w:after="0" w:line="216"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The Company accounts for income taxes under ASC Topic 740, “Income Taxes,” which prescribes a recognition threshold and a measurement attribute for the financial statement recognition and measurement of tax</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60"/>
          </w:cols>
          <w:pgMar w:left="320" w:top="471" w:right="71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5"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Income (Loss) Per Ordinary Share (Restated)</w:t>
      </w:r>
    </w:p>
    <w:p>
      <w:pPr>
        <w:spacing w:after="0" w:line="216" w:lineRule="exact"/>
        <w:rPr>
          <w:sz w:val="20"/>
          <w:szCs w:val="20"/>
          <w:color w:val="auto"/>
        </w:rPr>
      </w:pPr>
    </w:p>
    <w:p>
      <w:pPr>
        <w:jc w:val="both"/>
        <w:ind w:left="380" w:right="180"/>
        <w:spacing w:after="0" w:line="261"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79" w:lineRule="exact"/>
        <w:rPr>
          <w:sz w:val="20"/>
          <w:szCs w:val="20"/>
          <w:color w:val="auto"/>
        </w:rPr>
      </w:pPr>
    </w:p>
    <w:p>
      <w:pPr>
        <w:ind w:left="380" w:right="200"/>
        <w:spacing w:after="0" w:line="279" w:lineRule="auto"/>
        <w:rPr>
          <w:sz w:val="20"/>
          <w:szCs w:val="20"/>
          <w:color w:val="auto"/>
        </w:rPr>
      </w:pPr>
      <w:r>
        <w:rPr>
          <w:rFonts w:ascii="Arial" w:cs="Arial" w:eastAsia="Arial" w:hAnsi="Arial"/>
          <w:sz w:val="16"/>
          <w:szCs w:val="16"/>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December 31,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reflects the calculation of basic and diluted net loss per ordinary share (in dollars, except per share amounts):</w:t>
      </w:r>
    </w:p>
    <w:p>
      <w:pPr>
        <w:spacing w:after="0" w:line="228"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Period From</w:t>
      </w:r>
    </w:p>
    <w:p>
      <w:pPr>
        <w:jc w:val="center"/>
        <w:ind w:left="5440"/>
        <w:spacing w:after="0" w:line="210" w:lineRule="auto"/>
        <w:rPr>
          <w:sz w:val="20"/>
          <w:szCs w:val="20"/>
          <w:color w:val="auto"/>
        </w:rPr>
      </w:pPr>
      <w:r>
        <w:rPr>
          <w:rFonts w:ascii="Arial" w:cs="Arial" w:eastAsia="Arial" w:hAnsi="Arial"/>
          <w:sz w:val="14"/>
          <w:szCs w:val="14"/>
          <w:b w:val="1"/>
          <w:bCs w:val="1"/>
          <w:color w:val="auto"/>
        </w:rPr>
        <w:t>July 31, 2020 (inception) through</w:t>
      </w:r>
    </w:p>
    <w:p>
      <w:pPr>
        <w:jc w:val="center"/>
        <w:ind w:left="5460"/>
        <w:spacing w:after="0" w:line="221" w:lineRule="auto"/>
        <w:rPr>
          <w:sz w:val="20"/>
          <w:szCs w:val="20"/>
          <w:color w:val="auto"/>
        </w:rPr>
      </w:pPr>
      <w:r>
        <w:rPr>
          <w:rFonts w:ascii="Arial" w:cs="Arial" w:eastAsia="Arial" w:hAnsi="Arial"/>
          <w:sz w:val="14"/>
          <w:szCs w:val="14"/>
          <w:b w:val="1"/>
          <w:bCs w:val="1"/>
          <w:color w:val="auto"/>
        </w:rPr>
        <w:t>December 31, 2020</w:t>
      </w:r>
    </w:p>
    <w:tbl>
      <w:tblPr>
        <w:tblLayout w:type="fixed"/>
        <w:tblInd w:w="1640" w:type="dxa"/>
        <w:tblCellMar>
          <w:top w:w="0" w:type="dxa"/>
          <w:left w:w="0" w:type="dxa"/>
          <w:bottom w:w="0" w:type="dxa"/>
          <w:right w:w="0" w:type="dxa"/>
        </w:tblCellMar>
      </w:tblPr>
      <w:tr>
        <w:trPr>
          <w:trHeight w:val="147"/>
        </w:trPr>
        <w:tc>
          <w:tcPr>
            <w:tcW w:w="5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780"/>
              <w:spacing w:after="0" w:line="147"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20"/>
              <w:spacing w:after="0" w:line="147"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Basic and diluted net loss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60" w:type="dxa"/>
            <w:vAlign w:val="bottom"/>
          </w:tcPr>
          <w:p>
            <w:pPr>
              <w:spacing w:after="0"/>
              <w:rPr>
                <w:sz w:val="20"/>
                <w:szCs w:val="20"/>
                <w:color w:val="auto"/>
              </w:rPr>
            </w:pPr>
            <w:r>
              <w:rPr>
                <w:rFonts w:ascii="Arial" w:cs="Arial" w:eastAsia="Arial" w:hAnsi="Arial"/>
                <w:sz w:val="17"/>
                <w:szCs w:val="17"/>
                <w:i w:val="1"/>
                <w:iCs w:val="1"/>
                <w:color w:val="auto"/>
              </w:rPr>
              <w:t>Numerator: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Allocation of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1"/>
              </w:rPr>
              <w:t>(3,520,953)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(1,340,237)</w:t>
            </w:r>
          </w:p>
        </w:tc>
        <w:tc>
          <w:tcPr>
            <w:tcW w:w="0" w:type="dxa"/>
            <w:vAlign w:val="bottom"/>
          </w:tcPr>
          <w:p>
            <w:pPr>
              <w:spacing w:after="0"/>
              <w:rPr>
                <w:sz w:val="1"/>
                <w:szCs w:val="1"/>
                <w:color w:val="auto"/>
              </w:rPr>
            </w:pPr>
          </w:p>
        </w:tc>
      </w:tr>
      <w:tr>
        <w:trPr>
          <w:trHeight w:val="206"/>
        </w:trPr>
        <w:tc>
          <w:tcPr>
            <w:tcW w:w="5560" w:type="dxa"/>
            <w:vAlign w:val="bottom"/>
          </w:tcPr>
          <w:p>
            <w:pPr>
              <w:spacing w:after="0"/>
              <w:rPr>
                <w:sz w:val="20"/>
                <w:szCs w:val="20"/>
                <w:color w:val="auto"/>
              </w:rPr>
            </w:pPr>
            <w:r>
              <w:rPr>
                <w:rFonts w:ascii="Arial" w:cs="Arial" w:eastAsia="Arial" w:hAnsi="Arial"/>
                <w:sz w:val="17"/>
                <w:szCs w:val="17"/>
                <w:i w:val="1"/>
                <w:iCs w:val="1"/>
                <w:color w:val="auto"/>
              </w:rPr>
              <w:t>Denominator: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 weighted average ordinary shares outstanding</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86"/>
              </w:rPr>
              <w:t>13,429,289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5,111,809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7"/>
                <w:szCs w:val="17"/>
                <w:color w:val="auto"/>
              </w:rPr>
              <w:t>Basic and diluted net loss per ordinary share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(0.26)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16" w:lineRule="exact"/>
        <w:rPr>
          <w:sz w:val="20"/>
          <w:szCs w:val="20"/>
          <w:color w:val="auto"/>
        </w:rPr>
      </w:pPr>
    </w:p>
    <w:p>
      <w:pPr>
        <w:ind w:left="380" w:right="380" w:firstLine="420"/>
        <w:spacing w:after="0" w:line="27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Corporation</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20"/>
          </w:cols>
          <w:pgMar w:left="320" w:top="471" w:right="75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right="580"/>
        <w:spacing w:after="0" w:line="278" w:lineRule="auto"/>
        <w:rPr>
          <w:sz w:val="20"/>
          <w:szCs w:val="20"/>
          <w:color w:val="auto"/>
        </w:rPr>
      </w:pPr>
      <w:r>
        <w:rPr>
          <w:rFonts w:ascii="Arial" w:cs="Arial" w:eastAsia="Arial" w:hAnsi="Arial"/>
          <w:sz w:val="17"/>
          <w:szCs w:val="17"/>
          <w:color w:val="auto"/>
        </w:rPr>
        <w:t>coverage limits of $250,000. The Company has not experienced losses on this account and management believes the Company is not exposed to significant risks on such account.</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6"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The fair value of the Company’s assets and liabilities other than the warrant liabilities, which qualify as financial instruments under ASC Topic 820, “Fair Value Measurement,” approximates the carrying amounts represented in the Company’s consolidated balance sheet, primarily due to their short-term nature.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Fair Value Measurements (Restated)</w:t>
      </w:r>
    </w:p>
    <w:p>
      <w:pPr>
        <w:spacing w:after="0" w:line="216"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9" w:lineRule="exact"/>
        <w:rPr>
          <w:sz w:val="20"/>
          <w:szCs w:val="20"/>
          <w:color w:val="auto"/>
        </w:rPr>
      </w:pPr>
    </w:p>
    <w:p>
      <w:pPr>
        <w:ind w:left="1300" w:hanging="512"/>
        <w:spacing w:after="0"/>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Level 1, defined as observable inputs such as quoted prices (unadjusted) for identical instruments in active markets;</w:t>
      </w:r>
    </w:p>
    <w:p>
      <w:pPr>
        <w:spacing w:after="0" w:line="126" w:lineRule="exact"/>
        <w:rPr>
          <w:rFonts w:ascii="Arial" w:cs="Arial" w:eastAsia="Arial" w:hAnsi="Arial"/>
          <w:sz w:val="17"/>
          <w:szCs w:val="17"/>
          <w:color w:val="auto"/>
        </w:rPr>
      </w:pPr>
    </w:p>
    <w:p>
      <w:pPr>
        <w:ind w:left="1300" w:right="160" w:hanging="512"/>
        <w:spacing w:after="0" w:line="311" w:lineRule="auto"/>
        <w:tabs>
          <w:tab w:leader="none" w:pos="13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0" w:lineRule="exact"/>
        <w:rPr>
          <w:rFonts w:ascii="Arial" w:cs="Arial" w:eastAsia="Arial" w:hAnsi="Arial"/>
          <w:sz w:val="16"/>
          <w:szCs w:val="16"/>
          <w:color w:val="auto"/>
        </w:rPr>
      </w:pPr>
    </w:p>
    <w:p>
      <w:pPr>
        <w:ind w:left="1300" w:right="120" w:hanging="512"/>
        <w:spacing w:after="0" w:line="265" w:lineRule="auto"/>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Derivative Financial Instruments (Restated)</w:t>
      </w:r>
    </w:p>
    <w:p>
      <w:pPr>
        <w:spacing w:after="0" w:line="216" w:lineRule="exact"/>
        <w:rPr>
          <w:sz w:val="20"/>
          <w:szCs w:val="20"/>
          <w:color w:val="auto"/>
        </w:rPr>
      </w:pPr>
    </w:p>
    <w:p>
      <w:pPr>
        <w:ind w:left="380" w:right="100" w:firstLine="420"/>
        <w:spacing w:after="0" w:line="298" w:lineRule="auto"/>
        <w:rPr>
          <w:sz w:val="20"/>
          <w:szCs w:val="20"/>
          <w:color w:val="auto"/>
        </w:rPr>
      </w:pPr>
      <w:r>
        <w:rPr>
          <w:rFonts w:ascii="Arial" w:cs="Arial" w:eastAsia="Arial" w:hAnsi="Arial"/>
          <w:sz w:val="15"/>
          <w:szCs w:val="15"/>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3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Standards (Restated)</w:t>
      </w:r>
    </w:p>
    <w:p>
      <w:pPr>
        <w:spacing w:after="0" w:line="216"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In August 2020, the FASB issued Accounting Standards Update No.2020-06, “Debt—Debt with Conversion and Other Options (Subtopic 470-20) and Derivatives and Hedging—Contracts in Entity’s Own Equity</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60"/>
          </w:cols>
          <w:pgMar w:left="320" w:top="471" w:right="7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85"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the Company’s condensed consolidated financial statements.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4—INITIAL PUBLIC OFFERING</w:t>
      </w:r>
    </w:p>
    <w:p>
      <w:pPr>
        <w:spacing w:after="0" w:line="222" w:lineRule="exact"/>
        <w:rPr>
          <w:sz w:val="20"/>
          <w:szCs w:val="20"/>
          <w:color w:val="auto"/>
        </w:rPr>
      </w:pPr>
    </w:p>
    <w:p>
      <w:pPr>
        <w:ind w:left="380" w:right="300" w:firstLine="420"/>
        <w:spacing w:after="0" w:line="282"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5—PRIVATE PLACEMENT</w:t>
      </w:r>
    </w:p>
    <w:p>
      <w:pPr>
        <w:spacing w:after="0" w:line="222" w:lineRule="exact"/>
        <w:rPr>
          <w:sz w:val="20"/>
          <w:szCs w:val="20"/>
          <w:color w:val="auto"/>
        </w:rPr>
      </w:pPr>
    </w:p>
    <w:p>
      <w:pPr>
        <w:ind w:left="380" w:right="20" w:firstLine="420"/>
        <w:spacing w:after="0" w:line="274"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6—RELATED PARTY TRANSACTIONS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Founder Shares</w:t>
      </w:r>
    </w:p>
    <w:p>
      <w:pPr>
        <w:spacing w:after="0" w:line="216"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860"/>
          </w:cols>
          <w:pgMar w:left="320" w:top="471" w:right="71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02" w:lineRule="exact"/>
        <w:rPr>
          <w:sz w:val="20"/>
          <w:szCs w:val="20"/>
          <w:color w:val="auto"/>
        </w:rPr>
      </w:pPr>
    </w:p>
    <w:p>
      <w:pPr>
        <w:ind w:left="380" w:right="440"/>
        <w:spacing w:after="0" w:line="347" w:lineRule="auto"/>
        <w:rPr>
          <w:sz w:val="20"/>
          <w:szCs w:val="20"/>
          <w:color w:val="auto"/>
        </w:rPr>
      </w:pPr>
      <w:r>
        <w:rPr>
          <w:rFonts w:ascii="Arial" w:cs="Arial" w:eastAsia="Arial" w:hAnsi="Arial"/>
          <w:sz w:val="15"/>
          <w:szCs w:val="15"/>
          <w:color w:val="auto"/>
        </w:rPr>
        <w:t>underwriters’ partial exercise of the over-allotment option and the forfeiture of the remaining over-allotment option, 565,700 Founder Shares were forfeited and 184,300 Founder Shares are no longer subject to forfeiture resulting in an aggregate of 5,184,300 Founder Shares outstanding.</w:t>
      </w:r>
    </w:p>
    <w:p>
      <w:pPr>
        <w:spacing w:after="0" w:line="119" w:lineRule="exact"/>
        <w:rPr>
          <w:sz w:val="20"/>
          <w:szCs w:val="20"/>
          <w:color w:val="auto"/>
        </w:rPr>
      </w:pPr>
    </w:p>
    <w:p>
      <w:pPr>
        <w:ind w:left="380" w:right="160" w:firstLine="420"/>
        <w:spacing w:after="0" w:line="257"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Promissory Note—Related Party</w:t>
      </w:r>
    </w:p>
    <w:p>
      <w:pPr>
        <w:spacing w:after="0" w:line="216"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On August 3, 2020, the Company issued an unsecured promissory note (the “Promissory Note”)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216"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As of December 31, 2020, $30,000 were earned and remained unpaid in the accrued expenses line item on the consolidated balance sheet.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216"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will loan, and have the means to provide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 Company had no outstanding borrowings under the Working Capital Loans.</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7—COMMITMENTS AND CONTINGENCIES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16"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Management continues to evaluate the impact of the COVID-19 global pandemic on the industry and has concluded that while it is reasonably possible that the virus could have a negative effect on the Company’s</w:t>
      </w:r>
    </w:p>
    <w:p>
      <w:pPr>
        <w:spacing w:after="0" w:line="8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60"/>
          </w:cols>
          <w:pgMar w:left="320" w:top="471" w:right="7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jc w:val="both"/>
        <w:ind w:left="380" w:right="400"/>
        <w:spacing w:after="0" w:line="265" w:lineRule="auto"/>
        <w:rPr>
          <w:sz w:val="20"/>
          <w:szCs w:val="20"/>
          <w:color w:val="auto"/>
        </w:rPr>
      </w:pPr>
      <w:r>
        <w:rPr>
          <w:rFonts w:ascii="Arial" w:cs="Arial" w:eastAsia="Arial" w:hAnsi="Arial"/>
          <w:sz w:val="17"/>
          <w:szCs w:val="17"/>
          <w:color w:val="auto"/>
        </w:rPr>
        <w:t>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216"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216" w:lineRule="exact"/>
        <w:rPr>
          <w:sz w:val="20"/>
          <w:szCs w:val="20"/>
          <w:color w:val="auto"/>
        </w:rPr>
      </w:pPr>
    </w:p>
    <w:p>
      <w:pPr>
        <w:ind w:left="380" w:right="140" w:firstLine="420"/>
        <w:spacing w:after="0" w:line="265" w:lineRule="auto"/>
        <w:rPr>
          <w:sz w:val="20"/>
          <w:szCs w:val="20"/>
          <w:color w:val="auto"/>
        </w:rPr>
      </w:pPr>
      <w:r>
        <w:rPr>
          <w:rFonts w:ascii="Arial" w:cs="Arial" w:eastAsia="Arial" w:hAnsi="Arial"/>
          <w:sz w:val="17"/>
          <w:szCs w:val="17"/>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8—SHAREHOLDERS’ EQUITY (Restated)</w:t>
      </w:r>
    </w:p>
    <w:p>
      <w:pPr>
        <w:spacing w:after="0" w:line="222" w:lineRule="exact"/>
        <w:rPr>
          <w:sz w:val="20"/>
          <w:szCs w:val="20"/>
          <w:color w:val="auto"/>
        </w:rPr>
      </w:pPr>
    </w:p>
    <w:p>
      <w:pPr>
        <w:ind w:left="380" w:right="260" w:firstLine="420"/>
        <w:spacing w:after="0" w:line="265"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At December 31, 2020, there were no preference shares issued or outstanding.</w:t>
      </w:r>
    </w:p>
    <w:p>
      <w:pPr>
        <w:spacing w:after="0" w:line="176" w:lineRule="exact"/>
        <w:rPr>
          <w:sz w:val="20"/>
          <w:szCs w:val="20"/>
          <w:color w:val="auto"/>
        </w:rPr>
      </w:pPr>
    </w:p>
    <w:p>
      <w:pPr>
        <w:ind w:left="380" w:right="360" w:firstLine="420"/>
        <w:spacing w:after="0" w:line="278"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—At December 31, 2020, there were 20,737,202 Class A ordinary shares issued and outstanding, including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shares subject to possible redemption which are presented as temporary equity.</w:t>
      </w:r>
    </w:p>
    <w:p>
      <w:pPr>
        <w:spacing w:after="0" w:line="165" w:lineRule="exact"/>
        <w:rPr>
          <w:sz w:val="20"/>
          <w:szCs w:val="20"/>
          <w:color w:val="auto"/>
        </w:rPr>
      </w:pPr>
    </w:p>
    <w:p>
      <w:pPr>
        <w:ind w:left="380" w:right="380" w:firstLine="420"/>
        <w:spacing w:after="0" w:line="265"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Class B ordinary shares are entitled to one vote for each share. At December 31, 2020, there were 5,184,300 Class B ordinary shares issued and outstanding.</w:t>
      </w:r>
    </w:p>
    <w:p>
      <w:pPr>
        <w:spacing w:after="0" w:line="176"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64" w:lineRule="exact"/>
        <w:rPr>
          <w:sz w:val="20"/>
          <w:szCs w:val="20"/>
          <w:color w:val="auto"/>
        </w:rPr>
      </w:pPr>
    </w:p>
    <w:p>
      <w:pPr>
        <w:ind w:left="380" w:right="240" w:firstLine="420"/>
        <w:spacing w:after="0" w:line="265"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60"/>
          </w:cols>
          <w:pgMar w:left="320" w:top="471" w:right="71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right="60"/>
        <w:spacing w:after="0" w:line="296" w:lineRule="auto"/>
        <w:rPr>
          <w:sz w:val="20"/>
          <w:szCs w:val="20"/>
          <w:color w:val="auto"/>
        </w:rPr>
      </w:pPr>
      <w:r>
        <w:rPr>
          <w:rFonts w:ascii="Arial" w:cs="Arial" w:eastAsia="Arial" w:hAnsi="Arial"/>
          <w:sz w:val="15"/>
          <w:szCs w:val="15"/>
          <w:color w:val="auto"/>
        </w:rPr>
        <w:t>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9—WARRANTS</w:t>
      </w:r>
    </w:p>
    <w:p>
      <w:pPr>
        <w:spacing w:after="0" w:line="222"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color w:val="auto"/>
        </w:rPr>
        <w:t>—Public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79"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85"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840"/>
          </w:cols>
          <w:pgMar w:left="320" w:top="471" w:right="7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$18.00</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080" w:hanging="512"/>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080" w:hanging="512"/>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26" w:lineRule="exact"/>
        <w:rPr>
          <w:rFonts w:ascii="Arial" w:cs="Arial" w:eastAsia="Arial" w:hAnsi="Arial"/>
          <w:sz w:val="17"/>
          <w:szCs w:val="17"/>
          <w:color w:val="auto"/>
        </w:rPr>
      </w:pPr>
    </w:p>
    <w:p>
      <w:pPr>
        <w:ind w:left="1080" w:hanging="512"/>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and</w:t>
      </w:r>
    </w:p>
    <w:p>
      <w:pPr>
        <w:spacing w:after="0" w:line="126" w:lineRule="exact"/>
        <w:rPr>
          <w:rFonts w:ascii="Arial" w:cs="Arial" w:eastAsia="Arial" w:hAnsi="Arial"/>
          <w:sz w:val="17"/>
          <w:szCs w:val="17"/>
          <w:color w:val="auto"/>
        </w:rPr>
      </w:pPr>
    </w:p>
    <w:p>
      <w:pPr>
        <w:ind w:left="1080" w:right="100" w:hanging="512"/>
        <w:spacing w:after="0" w:line="265"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and only if, the reported closing price of the Company’s Class A ordinary shares equals or exceeds $18.00 per share (as adjusted) for any 20 trading days within a 30-trading day period ending three trading days prior to the date on which the Company sends the notice of redemption to the warrant holders.</w:t>
      </w:r>
    </w:p>
    <w:p>
      <w:pPr>
        <w:spacing w:after="0" w:line="176" w:lineRule="exact"/>
        <w:rPr>
          <w:sz w:val="20"/>
          <w:szCs w:val="20"/>
          <w:color w:val="auto"/>
        </w:rPr>
      </w:pPr>
    </w:p>
    <w:p>
      <w:pPr>
        <w:ind w:left="160" w:right="120" w:firstLine="420"/>
        <w:spacing w:after="0" w:line="278"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$10.00</w:t>
      </w:r>
      <w:r>
        <w:rPr>
          <w:rFonts w:ascii="Arial" w:cs="Arial" w:eastAsia="Arial" w:hAnsi="Arial"/>
          <w:sz w:val="15"/>
          <w:szCs w:val="15"/>
          <w:color w:val="auto"/>
        </w:rPr>
        <w:t>. Once the warrants become exercisable, the</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080" w:hanging="512"/>
        <w:spacing w:after="0"/>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080" w:right="160" w:hanging="512"/>
        <w:spacing w:after="0" w:line="265"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5" w:lineRule="exact"/>
        <w:rPr>
          <w:rFonts w:ascii="Arial" w:cs="Arial" w:eastAsia="Arial" w:hAnsi="Arial"/>
          <w:sz w:val="17"/>
          <w:szCs w:val="17"/>
          <w:color w:val="auto"/>
        </w:rPr>
      </w:pPr>
    </w:p>
    <w:p>
      <w:pPr>
        <w:ind w:left="1080" w:right="140" w:hanging="512"/>
        <w:spacing w:after="0" w:line="265"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and only if, the last reported sale price (the “closing price”) of the Company’s Class A ordinary shares equals or exceeds $10.00 per Public Share (as adjusted) for any 20 trading days within the 30-trading day period ending three trading days before the Company sends the notice of redemption to the warrant holders; and</w:t>
      </w:r>
    </w:p>
    <w:p>
      <w:pPr>
        <w:spacing w:after="0" w:line="85" w:lineRule="exact"/>
        <w:rPr>
          <w:rFonts w:ascii="Arial" w:cs="Arial" w:eastAsia="Arial" w:hAnsi="Arial"/>
          <w:sz w:val="17"/>
          <w:szCs w:val="17"/>
          <w:color w:val="auto"/>
        </w:rPr>
      </w:pPr>
    </w:p>
    <w:p>
      <w:pPr>
        <w:jc w:val="both"/>
        <w:ind w:left="1080" w:right="120" w:hanging="512"/>
        <w:spacing w:after="0" w:line="261"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left="160" w:firstLine="420"/>
        <w:spacing w:after="0" w:line="255"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540"/>
          </w:cols>
          <w:pgMar w:left="540" w:top="471" w:right="81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firstLine="420"/>
        <w:spacing w:after="0" w:line="292" w:lineRule="auto"/>
        <w:rPr>
          <w:sz w:val="20"/>
          <w:szCs w:val="20"/>
          <w:color w:val="auto"/>
        </w:rPr>
      </w:pPr>
      <w:r>
        <w:rPr>
          <w:rFonts w:ascii="Arial" w:cs="Arial" w:eastAsia="Arial" w:hAnsi="Arial"/>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87"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10—FAIR VALUE MEASUREMENTS</w:t>
      </w:r>
    </w:p>
    <w:p>
      <w:pPr>
        <w:spacing w:after="0" w:line="119"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20" w:hanging="951"/>
        <w:spacing w:after="0" w:line="311" w:lineRule="auto"/>
        <w:tabs>
          <w:tab w:leader="none" w:pos="130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320" w:right="420" w:hanging="951"/>
        <w:spacing w:after="0" w:line="278" w:lineRule="auto"/>
        <w:tabs>
          <w:tab w:leader="none" w:pos="130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380"/>
        <w:spacing w:after="0"/>
        <w:tabs>
          <w:tab w:leader="none" w:pos="130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16" w:lineRule="exact"/>
        <w:rPr>
          <w:sz w:val="20"/>
          <w:szCs w:val="20"/>
          <w:color w:val="auto"/>
        </w:rPr>
      </w:pPr>
    </w:p>
    <w:p>
      <w:pPr>
        <w:ind w:left="380" w:right="100" w:firstLine="420"/>
        <w:spacing w:after="0" w:line="347" w:lineRule="auto"/>
        <w:rPr>
          <w:sz w:val="20"/>
          <w:szCs w:val="20"/>
          <w:color w:val="auto"/>
        </w:rPr>
      </w:pPr>
      <w:r>
        <w:rPr>
          <w:rFonts w:ascii="Arial" w:cs="Arial" w:eastAsia="Arial" w:hAnsi="Arial"/>
          <w:sz w:val="15"/>
          <w:szCs w:val="15"/>
          <w:color w:val="auto"/>
        </w:rPr>
        <w:t>At December 31, 2020, assets held in the Trust Account were comprised of $207,376,213 in money market funds which are invested primarily in U.S. Treasury Securities. During the year ended December 31, 2020, the Company did not withdraw any interest income from the Trust Account.</w:t>
      </w:r>
    </w:p>
    <w:p>
      <w:pPr>
        <w:spacing w:after="0" w:line="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840"/>
          </w:cols>
          <w:pgMar w:left="320" w:top="471" w:right="7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61"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160" w:type="dxa"/>
            <w:vAlign w:val="bottom"/>
            <w:gridSpan w:val="2"/>
            <w:vMerge w:val="restart"/>
          </w:tcPr>
          <w:p>
            <w:pPr>
              <w:ind w:left="5460"/>
              <w:spacing w:after="0"/>
              <w:rPr>
                <w:sz w:val="20"/>
                <w:szCs w:val="20"/>
                <w:color w:val="auto"/>
              </w:rPr>
            </w:pPr>
            <w:r>
              <w:rPr>
                <w:rFonts w:ascii="Arial" w:cs="Arial" w:eastAsia="Arial" w:hAnsi="Arial"/>
                <w:sz w:val="14"/>
                <w:szCs w:val="14"/>
                <w:b w:val="1"/>
                <w:bCs w:val="1"/>
                <w:color w:val="auto"/>
                <w:w w:val="88"/>
              </w:rPr>
              <w:t>Description</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w:t>
            </w:r>
          </w:p>
        </w:tc>
        <w:tc>
          <w:tcPr>
            <w:tcW w:w="68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61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Assets:</w:t>
            </w: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60" w:type="dxa"/>
            <w:vAlign w:val="bottom"/>
            <w:gridSpan w:val="2"/>
          </w:tcPr>
          <w:p>
            <w:pPr>
              <w:spacing w:after="0" w:line="194" w:lineRule="exact"/>
              <w:rPr>
                <w:sz w:val="20"/>
                <w:szCs w:val="20"/>
                <w:color w:val="auto"/>
              </w:rPr>
            </w:pPr>
            <w:r>
              <w:rPr>
                <w:rFonts w:ascii="Arial" w:cs="Arial" w:eastAsia="Arial" w:hAnsi="Arial"/>
                <w:sz w:val="17"/>
                <w:szCs w:val="17"/>
                <w:color w:val="auto"/>
              </w:rPr>
              <w:t>Investments held in Trust Account—U.S. Treasury Securities Money</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60" w:type="dxa"/>
            <w:vAlign w:val="bottom"/>
            <w:gridSpan w:val="2"/>
          </w:tcPr>
          <w:p>
            <w:pPr>
              <w:ind w:left="160"/>
              <w:spacing w:after="0"/>
              <w:rPr>
                <w:sz w:val="20"/>
                <w:szCs w:val="20"/>
                <w:color w:val="auto"/>
              </w:rPr>
            </w:pPr>
            <w:r>
              <w:rPr>
                <w:rFonts w:ascii="Arial" w:cs="Arial" w:eastAsia="Arial" w:hAnsi="Arial"/>
                <w:sz w:val="17"/>
                <w:szCs w:val="17"/>
                <w:color w:val="auto"/>
              </w:rPr>
              <w:t>Market Fund</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207,376,213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rPr>
                <w:sz w:val="20"/>
                <w:szCs w:val="20"/>
                <w:color w:val="auto"/>
              </w:rPr>
            </w:pPr>
            <w:r>
              <w:rPr>
                <w:rFonts w:ascii="Arial" w:cs="Arial" w:eastAsia="Arial" w:hAnsi="Arial"/>
                <w:sz w:val="17"/>
                <w:szCs w:val="17"/>
                <w:color w:val="auto"/>
              </w:rPr>
              <w:t>Warrant Liability—Public Warrants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11,509,147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 Liability—Private Placement Warrants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11,003,918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The Warrants were accounted for as liabilities in accordance with ASC 815-40 and are presented within warrant liabilities on the balance sheet. The warrant liabilities are measured at fair value at inception and on a recurring basis, with changes in fair value presented within change in fair value of warrant liabilities in the consolidated statement of operations.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Initial Measurement</w:t>
      </w:r>
    </w:p>
    <w:p>
      <w:pPr>
        <w:spacing w:after="0" w:line="216"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The Company established the initial fair value for the Warrants on September 25, 2020, the date of the Company’s Initial Public Offering, using an Option Pricing Method for the Public Warrants and a Black-Scholes Model for the Private Placement Warrants. The Company allocated the proceeds received from (i) the sale of Units (which is inclusive of one share of Class A ordinary shares and one-fourth of one Public Warrant), and (ii) the sale of Private Placement Warrants, first to the Warrants based on their fair values as determined at initial measurement, with the remaining proceeds allocated to Class A ordinary shares subject to possible redemption, Class A ordinary shares and Class B ordinary shares based on their relative fair values at the initial measurement date. The Warrants were classified as Level 3 at the initial measurement date due to the use of unobservable inputs.</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key inputs into the Option Pricing Method for the Public Warrants were as follows at initial measurement:</w:t>
      </w:r>
    </w:p>
    <w:p>
      <w:pPr>
        <w:spacing w:after="0" w:line="21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680" w:type="dxa"/>
            <w:vAlign w:val="bottom"/>
            <w:gridSpan w:val="2"/>
            <w:vMerge w:val="restart"/>
          </w:tcPr>
          <w:p>
            <w:pPr>
              <w:ind w:left="4340"/>
              <w:spacing w:after="0"/>
              <w:rPr>
                <w:sz w:val="20"/>
                <w:szCs w:val="20"/>
                <w:color w:val="auto"/>
              </w:rPr>
            </w:pPr>
            <w:r>
              <w:rPr>
                <w:rFonts w:ascii="Arial" w:cs="Arial" w:eastAsia="Arial" w:hAnsi="Arial"/>
                <w:sz w:val="14"/>
                <w:szCs w:val="14"/>
                <w:b w:val="1"/>
                <w:bCs w:val="1"/>
                <w:color w:val="auto"/>
                <w:w w:val="93"/>
              </w:rPr>
              <w:t>Input</w:t>
            </w:r>
          </w:p>
        </w:tc>
        <w:tc>
          <w:tcPr>
            <w:tcW w:w="860" w:type="dxa"/>
            <w:vAlign w:val="bottom"/>
          </w:tcPr>
          <w:p>
            <w:pPr>
              <w:spacing w:after="0"/>
              <w:rPr>
                <w:sz w:val="14"/>
                <w:szCs w:val="14"/>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1"/>
              </w:rPr>
              <w:t>September 25, 2020</w:t>
            </w:r>
          </w:p>
        </w:tc>
        <w:tc>
          <w:tcPr>
            <w:tcW w:w="144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4"/>
        </w:trPr>
        <w:tc>
          <w:tcPr>
            <w:tcW w:w="4680" w:type="dxa"/>
            <w:vAlign w:val="bottom"/>
            <w:gridSpan w:val="2"/>
            <w:vMerge w:val="continue"/>
          </w:tcPr>
          <w:p>
            <w:pPr>
              <w:spacing w:after="0"/>
              <w:rPr>
                <w:sz w:val="14"/>
                <w:szCs w:val="14"/>
                <w:color w:val="auto"/>
              </w:rPr>
            </w:pPr>
          </w:p>
        </w:tc>
        <w:tc>
          <w:tcPr>
            <w:tcW w:w="2700" w:type="dxa"/>
            <w:vAlign w:val="bottom"/>
            <w:gridSpan w:val="4"/>
          </w:tcPr>
          <w:p>
            <w:pPr>
              <w:ind w:left="860"/>
              <w:spacing w:after="0"/>
              <w:rPr>
                <w:sz w:val="20"/>
                <w:szCs w:val="20"/>
                <w:color w:val="auto"/>
              </w:rPr>
            </w:pPr>
            <w:r>
              <w:rPr>
                <w:rFonts w:ascii="Arial" w:cs="Arial" w:eastAsia="Arial" w:hAnsi="Arial"/>
                <w:sz w:val="14"/>
                <w:szCs w:val="14"/>
                <w:b w:val="1"/>
                <w:bCs w:val="1"/>
                <w:color w:val="auto"/>
              </w:rPr>
              <w:t>(Initial Measurement)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4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0.26%</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0.28%</w:t>
            </w:r>
          </w:p>
        </w:tc>
        <w:tc>
          <w:tcPr>
            <w:tcW w:w="0" w:type="dxa"/>
            <w:vAlign w:val="bottom"/>
          </w:tcPr>
          <w:p>
            <w:pPr>
              <w:spacing w:after="0"/>
              <w:rPr>
                <w:sz w:val="1"/>
                <w:szCs w:val="1"/>
                <w:color w:val="auto"/>
              </w:rPr>
            </w:pPr>
          </w:p>
        </w:tc>
      </w:tr>
      <w:tr>
        <w:trPr>
          <w:trHeight w:val="206"/>
        </w:trPr>
        <w:tc>
          <w:tcPr>
            <w:tcW w:w="4680" w:type="dxa"/>
            <w:vAlign w:val="bottom"/>
            <w:gridSpan w:val="2"/>
          </w:tcPr>
          <w:p>
            <w:pPr>
              <w:spacing w:after="0"/>
              <w:rPr>
                <w:sz w:val="20"/>
                <w:szCs w:val="20"/>
                <w:color w:val="auto"/>
              </w:rPr>
            </w:pPr>
            <w:r>
              <w:rPr>
                <w:rFonts w:ascii="Arial" w:cs="Arial" w:eastAsia="Arial" w:hAnsi="Arial"/>
                <w:sz w:val="17"/>
                <w:szCs w:val="17"/>
                <w:color w:val="auto"/>
              </w:rPr>
              <w:t>Trading days per year</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252</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24.0%</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6"/>
        </w:trPr>
        <w:tc>
          <w:tcPr>
            <w:tcW w:w="468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13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11.50</w:t>
            </w:r>
          </w:p>
        </w:tc>
        <w:tc>
          <w:tcPr>
            <w:tcW w:w="540" w:type="dxa"/>
            <w:vAlign w:val="bottom"/>
          </w:tcPr>
          <w:p>
            <w:pPr>
              <w:spacing w:after="0"/>
              <w:rPr>
                <w:sz w:val="17"/>
                <w:szCs w:val="17"/>
                <w:color w:val="auto"/>
              </w:rPr>
            </w:pPr>
          </w:p>
        </w:tc>
        <w:tc>
          <w:tcPr>
            <w:tcW w:w="5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4680" w:type="dxa"/>
            <w:vAlign w:val="bottom"/>
            <w:gridSpan w:val="2"/>
          </w:tcPr>
          <w:p>
            <w:pPr>
              <w:ind w:left="4320"/>
              <w:spacing w:after="0"/>
              <w:rPr>
                <w:sz w:val="20"/>
                <w:szCs w:val="20"/>
                <w:color w:val="auto"/>
              </w:rPr>
            </w:pPr>
            <w:r>
              <w:rPr>
                <w:rFonts w:ascii="Arial" w:cs="Arial" w:eastAsia="Arial" w:hAnsi="Arial"/>
                <w:sz w:val="17"/>
                <w:szCs w:val="17"/>
                <w:color w:val="auto"/>
              </w:rPr>
              <w:t>24</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key inputs into the Black-Scholes Model for the Private Placement Warrants were as follows at initial measurement:</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Input</w:t>
            </w:r>
          </w:p>
        </w:tc>
        <w:tc>
          <w:tcPr>
            <w:tcW w:w="760" w:type="dxa"/>
            <w:vAlign w:val="bottom"/>
          </w:tcPr>
          <w:p>
            <w:pPr>
              <w:spacing w:after="0"/>
              <w:rPr>
                <w:sz w:val="14"/>
                <w:szCs w:val="14"/>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1"/>
              </w:rPr>
              <w:t>September 25, 2020</w:t>
            </w:r>
          </w:p>
        </w:tc>
        <w:tc>
          <w:tcPr>
            <w:tcW w:w="3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37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(Initial Measurement)</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0.42%</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Trading days per year</w:t>
            </w: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252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7"/>
                <w:szCs w:val="17"/>
                <w:color w:val="auto"/>
              </w:rPr>
              <w:t>252</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24.0%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24.0%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126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11.50</w:t>
            </w:r>
          </w:p>
        </w:tc>
        <w:tc>
          <w:tcPr>
            <w:tcW w:w="5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7"/>
                <w:szCs w:val="17"/>
                <w:color w:val="auto"/>
              </w:rPr>
              <w:t>11.50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9.36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9.36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78" w:lineRule="auto"/>
        <w:rPr>
          <w:sz w:val="20"/>
          <w:szCs w:val="20"/>
          <w:color w:val="auto"/>
        </w:rPr>
      </w:pPr>
      <w:r>
        <w:rPr>
          <w:rFonts w:ascii="Arial" w:cs="Arial" w:eastAsia="Arial" w:hAnsi="Arial"/>
          <w:sz w:val="17"/>
          <w:szCs w:val="17"/>
          <w:color w:val="auto"/>
        </w:rPr>
        <w:t>On September 25, 2020, the Private Placement Warrants and Public Warrants were determined to be $1.36 and $1.28 per warrant, respectively, for aggregate values of $8.2 million and $12.8 million, respectively.</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Subsequent Measurement</w:t>
      </w:r>
    </w:p>
    <w:p>
      <w:pPr>
        <w:spacing w:after="0" w:line="216" w:lineRule="exact"/>
        <w:rPr>
          <w:sz w:val="20"/>
          <w:szCs w:val="20"/>
          <w:color w:val="auto"/>
        </w:rPr>
      </w:pPr>
    </w:p>
    <w:p>
      <w:pPr>
        <w:ind w:left="380" w:right="280" w:firstLine="420"/>
        <w:spacing w:after="0" w:line="278" w:lineRule="auto"/>
        <w:rPr>
          <w:sz w:val="20"/>
          <w:szCs w:val="20"/>
          <w:color w:val="auto"/>
        </w:rPr>
      </w:pPr>
      <w:r>
        <w:rPr>
          <w:rFonts w:ascii="Arial" w:cs="Arial" w:eastAsia="Arial" w:hAnsi="Arial"/>
          <w:sz w:val="17"/>
          <w:szCs w:val="17"/>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65"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As of December 31, 2020, the aggregate values of the Private Placement Warrants and Public Warrants were $11.0 million and $11.5 million, respectively.</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presents the changes in the fair value of warrant liabilities:</w:t>
      </w:r>
    </w:p>
    <w:p>
      <w:pPr>
        <w:spacing w:after="0" w:line="245" w:lineRule="exact"/>
        <w:rPr>
          <w:sz w:val="20"/>
          <w:szCs w:val="20"/>
          <w:color w:val="auto"/>
        </w:rPr>
      </w:pPr>
    </w:p>
    <w:tbl>
      <w:tblPr>
        <w:tblLayout w:type="fixed"/>
        <w:tblInd w:w="12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40" w:type="dxa"/>
            <w:vAlign w:val="bottom"/>
            <w:gridSpan w:val="3"/>
          </w:tcPr>
          <w:p>
            <w:pPr>
              <w:ind w:left="460"/>
              <w:spacing w:after="0"/>
              <w:rPr>
                <w:sz w:val="20"/>
                <w:szCs w:val="20"/>
                <w:color w:val="auto"/>
              </w:rPr>
            </w:pPr>
            <w:r>
              <w:rPr>
                <w:rFonts w:ascii="Arial" w:cs="Arial" w:eastAsia="Arial" w:hAnsi="Arial"/>
                <w:sz w:val="14"/>
                <w:szCs w:val="14"/>
                <w:b w:val="1"/>
                <w:bCs w:val="1"/>
                <w:color w:val="auto"/>
                <w:w w:val="87"/>
              </w:rPr>
              <w:t>Private Placement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Public</w:t>
            </w: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w w:val="97"/>
              </w:rPr>
              <w:t>Warrant Liabilities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as of September 25, 2020</w:t>
            </w: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Initial measurement on September 25, 2020 (IPO)</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8,160,000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12,800,000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20,960,000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inputs or other assumptions</w:t>
            </w:r>
          </w:p>
        </w:tc>
        <w:tc>
          <w:tcPr>
            <w:tcW w:w="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7"/>
                <w:szCs w:val="17"/>
                <w:color w:val="auto"/>
              </w:rPr>
              <w:t>Fair value as of September 30, 2020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8,160,000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12,800,000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21,060,000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Measurement on October 1, 2020 (Over-Allotment)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Change in valuation inputs or other assumptions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2,643,400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(1,866,348)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777,052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December 31, 2020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11,003,918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11,509,147</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22,513,065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80" w:firstLine="420"/>
        <w:spacing w:after="0" w:line="347" w:lineRule="auto"/>
        <w:rPr>
          <w:sz w:val="20"/>
          <w:szCs w:val="20"/>
          <w:color w:val="auto"/>
        </w:rPr>
      </w:pPr>
      <w:r>
        <w:rPr>
          <w:rFonts w:ascii="Arial" w:cs="Arial" w:eastAsia="Arial" w:hAnsi="Arial"/>
          <w:sz w:val="15"/>
          <w:szCs w:val="15"/>
          <w:color w:val="auto"/>
        </w:rPr>
        <w:t>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119"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Level 3 financial liabilities consist of the Private Placement Warrant liability for which there is no current market for these securities such that the determination of fair value requires significant judgment or estimation.</w:t>
      </w:r>
    </w:p>
    <w:p>
      <w:pPr>
        <w:spacing w:after="0" w:line="8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20"/>
          </w:cols>
          <w:pgMar w:left="320" w:top="471" w:right="75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right="300"/>
        <w:spacing w:after="0" w:line="278" w:lineRule="auto"/>
        <w:rPr>
          <w:sz w:val="20"/>
          <w:szCs w:val="20"/>
          <w:color w:val="auto"/>
        </w:rPr>
      </w:pPr>
      <w:r>
        <w:rPr>
          <w:rFonts w:ascii="Arial" w:cs="Arial" w:eastAsia="Arial" w:hAnsi="Arial"/>
          <w:sz w:val="17"/>
          <w:szCs w:val="17"/>
          <w:color w:val="auto"/>
        </w:rPr>
        <w:t>Changes in fair value measurements categorized within Level 3 of the fair value hierarchy are analyzed each period based on changes in estimates or assumptions and recorded as appropriate.</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11—SUBSEQUENT EVENTS</w:t>
      </w:r>
    </w:p>
    <w:p>
      <w:pPr>
        <w:spacing w:after="0" w:line="222" w:lineRule="exact"/>
        <w:rPr>
          <w:sz w:val="20"/>
          <w:szCs w:val="20"/>
          <w:color w:val="auto"/>
        </w:rPr>
      </w:pPr>
    </w:p>
    <w:p>
      <w:pPr>
        <w:ind w:left="380" w:right="200" w:firstLine="420"/>
        <w:spacing w:after="0" w:line="261"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financial statements were issued. Based upon this review, other than as described below and in Note 2 (Restatement of Previously Issued Financial Statements), the Company did not identify any subsequent events that would have required adjustment or disclosure in the consolidated financial statements, with the exception of the following matters: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16"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79" w:lineRule="exact"/>
        <w:rPr>
          <w:sz w:val="20"/>
          <w:szCs w:val="20"/>
          <w:color w:val="auto"/>
        </w:rPr>
      </w:pPr>
    </w:p>
    <w:p>
      <w:pPr>
        <w:jc w:val="both"/>
        <w:ind w:left="380" w:right="40" w:firstLine="420"/>
        <w:spacing w:after="0" w:line="317" w:lineRule="auto"/>
        <w:rPr>
          <w:sz w:val="20"/>
          <w:szCs w:val="20"/>
          <w:color w:val="auto"/>
        </w:rPr>
      </w:pPr>
      <w:r>
        <w:rPr>
          <w:rFonts w:ascii="Arial" w:cs="Arial" w:eastAsia="Arial" w:hAnsi="Arial"/>
          <w:sz w:val="15"/>
          <w:szCs w:val="15"/>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w:t>
      </w:r>
    </w:p>
    <w:p>
      <w:pPr>
        <w:spacing w:after="0" w:line="346" w:lineRule="exact"/>
        <w:rPr>
          <w:sz w:val="20"/>
          <w:szCs w:val="20"/>
          <w:color w:val="auto"/>
        </w:rPr>
      </w:pPr>
    </w:p>
    <w:p>
      <w:pPr>
        <w:ind w:left="380" w:right="40"/>
        <w:spacing w:after="0" w:line="259" w:lineRule="auto"/>
        <w:rPr>
          <w:sz w:val="20"/>
          <w:szCs w:val="20"/>
          <w:color w:val="auto"/>
        </w:rPr>
      </w:pPr>
      <w:r>
        <w:rPr>
          <w:rFonts w:ascii="Arial" w:cs="Arial" w:eastAsia="Arial" w:hAnsi="Arial"/>
          <w:sz w:val="17"/>
          <w:szCs w:val="17"/>
          <w:color w:val="auto"/>
        </w:rPr>
        <w:t>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Subscription Agreements (Restated)</w:t>
      </w:r>
    </w:p>
    <w:p>
      <w:pPr>
        <w:spacing w:after="0" w:line="216"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84"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At a special meeting of stockholders on October 14, 2021 (the “Special Meeting”), the stockholders of the Company voted and approved Proposal Nos. 1 through 8, including the Bakkt Business Combination. On</w:t>
      </w:r>
    </w:p>
    <w:p>
      <w:pPr>
        <w:spacing w:after="0" w:line="8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880"/>
          </w:cols>
          <w:pgMar w:left="320" w:top="471" w:right="6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October 15, 2021, subsequent to the fiscal quarter ended September 30,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(“(”Merger Sub”), and Bakkt Opco Holdings, LLC, a Delaware limited liability corporation (f/k/a Bakkt Holdings, LLC) (“Opco”).</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9A. Controls and Procedures.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2" w:lineRule="exact"/>
        <w:rPr>
          <w:sz w:val="20"/>
          <w:szCs w:val="20"/>
          <w:color w:val="auto"/>
        </w:rPr>
      </w:pPr>
    </w:p>
    <w:p>
      <w:pPr>
        <w:ind w:left="380" w:right="20" w:firstLine="420"/>
        <w:spacing w:after="0" w:line="255"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Second Amendment, our management re-evaluated, with the participation of our current chief executive officer and chief financial officer (our “Certifying Officers”), the effectiveness of our disclosure controls and procedures as of December 31, 2020, pursuant to Rule 13a-15(b) under the Exchange Act. Due to a material weakness in our internal control over financial reporting over the accounting for complex financial instruments, we performed additional analysis as deemed necessary to ensure that our financial statements were prepared in accordance with U.S. generally accepted accounting principles.</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Management’s Report on Internal Controls Over Financial Reporting</w:t>
      </w:r>
    </w:p>
    <w:p>
      <w:pPr>
        <w:spacing w:after="0" w:line="222" w:lineRule="exact"/>
        <w:rPr>
          <w:sz w:val="20"/>
          <w:szCs w:val="20"/>
          <w:color w:val="auto"/>
        </w:rPr>
      </w:pPr>
    </w:p>
    <w:p>
      <w:pPr>
        <w:ind w:left="380" w:right="80" w:firstLine="420"/>
        <w:spacing w:after="0" w:line="347" w:lineRule="auto"/>
        <w:rPr>
          <w:sz w:val="20"/>
          <w:szCs w:val="20"/>
          <w:color w:val="auto"/>
        </w:rPr>
      </w:pPr>
      <w:r>
        <w:rPr>
          <w:rFonts w:ascii="Arial" w:cs="Arial" w:eastAsia="Arial" w:hAnsi="Arial"/>
          <w:sz w:val="15"/>
          <w:szCs w:val="15"/>
          <w:color w:val="auto"/>
        </w:rPr>
        <w:t>This Annual Report on Form 10-K/A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2" w:lineRule="exact"/>
        <w:rPr>
          <w:sz w:val="20"/>
          <w:szCs w:val="20"/>
          <w:color w:val="auto"/>
        </w:rPr>
      </w:pPr>
    </w:p>
    <w:p>
      <w:pPr>
        <w:ind w:left="380" w:right="60" w:firstLine="420"/>
        <w:spacing w:after="0" w:line="274"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material weakness that resulted in the restatement of our financial statements included in this Second Amendment, we plan to enhance our processes to identify and appropriately apply applicable accounting requirements to better evaluate and understand the nuances of the complex accounting standards that apply to our financial statements. Since the filing of Amendment No. 1, the Company completed the Business Combination with Bakkt, following which the Company appointed a new Chief Executive Officer, Chief Financial Officer and Chief Accounting Officer, among others. The post-Business Combination management team will provide enhanced access to accounting literature, research materials and documents and increased communication among our personnel and</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20"/>
          </w:cols>
          <w:pgMar w:left="320" w:top="471" w:right="75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380"/>
        <w:spacing w:after="0" w:line="311" w:lineRule="auto"/>
        <w:rPr>
          <w:sz w:val="20"/>
          <w:szCs w:val="20"/>
          <w:color w:val="auto"/>
        </w:rPr>
      </w:pPr>
      <w:r>
        <w:rPr>
          <w:rFonts w:ascii="Arial" w:cs="Arial" w:eastAsia="Arial" w:hAnsi="Arial"/>
          <w:sz w:val="16"/>
          <w:szCs w:val="16"/>
          <w:color w:val="auto"/>
        </w:rPr>
        <w:t>third-party professionals with whom the Company can consult with regarding complex accounting applications. The elements of our remediation plan can only be accomplished over time, and we can offer no assurance that these initiatives will ultimately have the intended effects.</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9B. Other Information</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w:t>
      </w:r>
    </w:p>
    <w:p>
      <w:pPr>
        <w:spacing w:after="0" w:line="15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60"/>
          </w:cols>
          <w:pgMar w:left="320" w:top="471" w:right="91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4"/>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(Unaudited)</w:t>
            </w:r>
          </w:p>
        </w:tc>
        <w:tc>
          <w:tcPr>
            <w:tcW w:w="1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708,642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1,177,678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340"/>
              <w:spacing w:after="0"/>
              <w:rPr>
                <w:sz w:val="20"/>
                <w:szCs w:val="20"/>
                <w:color w:val="auto"/>
              </w:rPr>
            </w:pPr>
            <w:r>
              <w:rPr>
                <w:rFonts w:ascii="Arial" w:cs="Arial" w:eastAsia="Arial" w:hAnsi="Arial"/>
                <w:sz w:val="17"/>
                <w:szCs w:val="17"/>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134,813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234,959</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843,455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1,412,637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w w:val="97"/>
              </w:rPr>
              <w:t>207,396,111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207,376,213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7"/>
              </w:rPr>
              <w:t>208,239,566</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208,788,850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Current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6,144,562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893,415</w:t>
            </w:r>
          </w:p>
        </w:tc>
        <w:tc>
          <w:tcPr>
            <w:tcW w:w="0" w:type="dxa"/>
            <w:vAlign w:val="bottom"/>
          </w:tcPr>
          <w:p>
            <w:pPr>
              <w:spacing w:after="0"/>
              <w:rPr>
                <w:sz w:val="1"/>
                <w:szCs w:val="1"/>
                <w:color w:val="auto"/>
              </w:rPr>
            </w:pPr>
          </w:p>
        </w:tc>
      </w:tr>
      <w:tr>
        <w:trPr>
          <w:trHeight w:val="206"/>
        </w:trPr>
        <w:tc>
          <w:tcPr>
            <w:tcW w:w="7960" w:type="dxa"/>
            <w:vAlign w:val="bottom"/>
          </w:tcPr>
          <w:p>
            <w:pPr>
              <w:ind w:left="340"/>
              <w:spacing w:after="0"/>
              <w:rPr>
                <w:sz w:val="20"/>
                <w:szCs w:val="20"/>
                <w:color w:val="auto"/>
              </w:rPr>
            </w:pPr>
            <w:r>
              <w:rPr>
                <w:rFonts w:ascii="Arial" w:cs="Arial" w:eastAsia="Arial" w:hAnsi="Arial"/>
                <w:sz w:val="17"/>
                <w:szCs w:val="17"/>
                <w:color w:val="auto"/>
              </w:rPr>
              <w:t>Accrued offering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6,144,562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895,645</w:t>
            </w: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Warrant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29,599,970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22,513,065</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fee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7,258,021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7,258,021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6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43,002,553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30,666,731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60" w:type="dxa"/>
            <w:vAlign w:val="bottom"/>
          </w:tcPr>
          <w:p>
            <w:pPr>
              <w:spacing w:after="0" w:line="194" w:lineRule="exact"/>
              <w:rPr>
                <w:sz w:val="20"/>
                <w:szCs w:val="20"/>
                <w:color w:val="auto"/>
              </w:rPr>
            </w:pPr>
            <w:r>
              <w:rPr>
                <w:rFonts w:ascii="Arial" w:cs="Arial" w:eastAsia="Arial" w:hAnsi="Arial"/>
                <w:sz w:val="17"/>
                <w:szCs w:val="17"/>
                <w:color w:val="auto"/>
              </w:rPr>
              <w:t>Class A ordinary shares subject to possible redemption, 20,737,202 shares at $10.00 per share as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60" w:type="dxa"/>
            <w:vAlign w:val="bottom"/>
          </w:tcPr>
          <w:p>
            <w:pPr>
              <w:ind w:left="160"/>
              <w:spacing w:after="0"/>
              <w:rPr>
                <w:sz w:val="20"/>
                <w:szCs w:val="20"/>
                <w:color w:val="auto"/>
              </w:rPr>
            </w:pPr>
            <w:r>
              <w:rPr>
                <w:rFonts w:ascii="Arial" w:cs="Arial" w:eastAsia="Arial" w:hAnsi="Arial"/>
                <w:sz w:val="17"/>
                <w:szCs w:val="17"/>
                <w:color w:val="auto"/>
              </w:rPr>
              <w:t>September 30, 2021 and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207,372,020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 Deficit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Preference shares, $0.0001 par value; 1,000,000 shares authorized; no shares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Class A ordinary shares, $0.0001 par value; 200,000,000 shares authorized at September 30, 2021 and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7960" w:type="dxa"/>
            <w:vAlign w:val="bottom"/>
          </w:tcPr>
          <w:p>
            <w:pPr>
              <w:spacing w:after="0" w:line="194" w:lineRule="exact"/>
              <w:rPr>
                <w:sz w:val="20"/>
                <w:szCs w:val="20"/>
                <w:color w:val="auto"/>
              </w:rPr>
            </w:pPr>
            <w:r>
              <w:rPr>
                <w:rFonts w:ascii="Arial" w:cs="Arial" w:eastAsia="Arial" w:hAnsi="Arial"/>
                <w:sz w:val="17"/>
                <w:szCs w:val="17"/>
                <w:color w:val="auto"/>
              </w:rPr>
              <w:t>Class B ordinary shares, $0.0001 par value; 20,000,000 shares authorized; 5,184,300 shares issued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60" w:type="dxa"/>
            <w:vAlign w:val="bottom"/>
          </w:tcPr>
          <w:p>
            <w:pPr>
              <w:ind w:left="160"/>
              <w:spacing w:after="0"/>
              <w:rPr>
                <w:sz w:val="20"/>
                <w:szCs w:val="20"/>
                <w:color w:val="auto"/>
              </w:rPr>
            </w:pPr>
            <w:r>
              <w:rPr>
                <w:rFonts w:ascii="Arial" w:cs="Arial" w:eastAsia="Arial" w:hAnsi="Arial"/>
                <w:sz w:val="17"/>
                <w:szCs w:val="17"/>
                <w:color w:val="auto"/>
              </w:rPr>
              <w:t>outstanding at September 30, 2021 and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(42,135,525)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(29,250,419)</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Shareholders’ Deficit</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(42,135,007)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(29,249,901)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7"/>
                <w:szCs w:val="17"/>
                <w:b w:val="1"/>
                <w:bCs w:val="1"/>
                <w:color w:val="auto"/>
              </w:rPr>
              <w:t>TOTAL LIABILITIES AND SHAREHOLDERS’ DEFICIT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208,239,566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208,788,850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880"/>
          </w:cols>
          <w:pgMar w:left="320" w:top="471" w:right="69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(UNAUDITED)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For the Period</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from July 31,</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For The Three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Nine months</w:t>
            </w:r>
          </w:p>
        </w:tc>
        <w:tc>
          <w:tcPr>
            <w:tcW w:w="120" w:type="dxa"/>
            <w:vAlign w:val="bottom"/>
          </w:tcPr>
          <w:p>
            <w:pPr>
              <w:spacing w:after="0"/>
              <w:rPr>
                <w:sz w:val="12"/>
                <w:szCs w:val="12"/>
                <w:color w:val="auto"/>
              </w:rPr>
            </w:pPr>
          </w:p>
        </w:tc>
        <w:tc>
          <w:tcPr>
            <w:tcW w:w="820" w:type="dxa"/>
            <w:vAlign w:val="bottom"/>
          </w:tcPr>
          <w:p>
            <w:pPr>
              <w:jc w:val="center"/>
              <w:ind w:right="59"/>
              <w:spacing w:after="0" w:line="141"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34"/>
        </w:trPr>
        <w:tc>
          <w:tcPr>
            <w:tcW w:w="69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center"/>
              <w:ind w:right="36"/>
              <w:spacing w:after="0" w:line="135"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center"/>
              <w:ind w:right="18"/>
              <w:spacing w:after="0" w:line="135"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center"/>
              <w:ind w:right="59"/>
              <w:spacing w:after="0" w:line="13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2,241,776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5,822,575</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340"/>
              <w:spacing w:after="0"/>
              <w:rPr>
                <w:sz w:val="20"/>
                <w:szCs w:val="20"/>
                <w:color w:val="auto"/>
              </w:rPr>
            </w:pPr>
            <w:r>
              <w:rPr>
                <w:rFonts w:ascii="Arial" w:cs="Arial" w:eastAsia="Arial" w:hAnsi="Arial"/>
                <w:sz w:val="17"/>
                <w:szCs w:val="17"/>
                <w:b w:val="1"/>
                <w:bCs w:val="1"/>
                <w:color w:val="auto"/>
              </w:rPr>
              <w:t>Loss from operations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(2,241,776)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(5,822,575)</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(17,543)</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Other Income</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4,476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earned on investments held in Trust Account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19,898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1,755,959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(7,086,905)</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(2,260,000)</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costs—warrants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(754,990)</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340"/>
              <w:spacing w:after="0"/>
              <w:rPr>
                <w:sz w:val="20"/>
                <w:szCs w:val="20"/>
                <w:color w:val="auto"/>
              </w:rPr>
            </w:pPr>
            <w:r>
              <w:rPr>
                <w:rFonts w:ascii="Arial" w:cs="Arial" w:eastAsia="Arial" w:hAnsi="Arial"/>
                <w:sz w:val="17"/>
                <w:szCs w:val="17"/>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1,758,628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(7,062,531)</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(3,014,826)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(483,148)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w w:val="93"/>
              </w:rPr>
              <w:t>(12,885,106)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(3,032,369)</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A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20,737,202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20,737,202</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3,870,968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B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5,184,300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(0.34)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880"/>
          </w:cols>
          <w:pgMar w:left="320" w:top="471" w:right="69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CHANGES IN SHAREHOLDERS’ DEFICIT</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(UNAUDITED)</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FOR THE THREE AND NINE MONTHS ENDED SEPTEMBER 30, 2021</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Class A Ordinary</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1"/>
              </w:rPr>
              <w:t>Class B Ordinary</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39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880" w:type="dxa"/>
            <w:vAlign w:val="bottom"/>
            <w:gridSpan w:val="4"/>
          </w:tcPr>
          <w:p>
            <w:pPr>
              <w:jc w:val="right"/>
              <w:ind w:right="380"/>
              <w:spacing w:after="0" w:line="141"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820" w:type="dxa"/>
            <w:vAlign w:val="bottom"/>
            <w:gridSpan w:val="4"/>
          </w:tcPr>
          <w:p>
            <w:pPr>
              <w:jc w:val="center"/>
              <w:ind w:left="26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left="423"/>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4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b w:val="1"/>
                <w:bCs w:val="1"/>
                <w:color w:val="auto"/>
                <w:w w:val="76"/>
              </w:rPr>
              <w:t>Shares</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83"/>
              </w:rPr>
              <w:t>Amount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top w:val="single" w:sz="8" w:color="auto"/>
            </w:tcBorders>
            <w:gridSpan w:val="2"/>
          </w:tcPr>
          <w:p>
            <w:pPr>
              <w:ind w:left="180"/>
              <w:spacing w:after="0" w:line="147"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6"/>
                <w:shd w:val="clear" w:color="auto" w:fill="CCEEFF"/>
              </w:rPr>
              <w:t>Balance – January 1, 2021, as restated (see Note 2)</w:t>
            </w:r>
          </w:p>
        </w:tc>
        <w:tc>
          <w:tcPr>
            <w:tcW w:w="40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shd w:val="clear" w:color="auto" w:fill="CCEEFF"/>
              </w:rPr>
              <w:t>—</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5,184,300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280" w:type="dxa"/>
            <w:vAlign w:val="bottom"/>
            <w:tcBorders>
              <w:top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77"/>
                <w:shd w:val="clear" w:color="auto" w:fill="CCEEFF"/>
              </w:rPr>
              <w:t>518</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84"/>
                <w:shd w:val="clear" w:color="auto" w:fill="CCEEFF"/>
              </w:rPr>
              <w:t>$</w:t>
            </w:r>
          </w:p>
        </w:tc>
        <w:tc>
          <w:tcPr>
            <w:tcW w:w="780" w:type="dxa"/>
            <w:vAlign w:val="bottom"/>
            <w:tcBorders>
              <w:top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shd w:val="clear" w:color="auto" w:fill="CCEEFF"/>
              </w:rPr>
              <w:t>—</w:t>
            </w:r>
          </w:p>
        </w:tc>
        <w:tc>
          <w:tcPr>
            <w:tcW w:w="1180" w:type="dxa"/>
            <w:vAlign w:val="bottom"/>
            <w:tcBorders>
              <w:top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shd w:val="clear" w:color="auto" w:fill="CCEEFF"/>
              </w:rPr>
              <w:t>$ (29,250,419)</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9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shd w:val="clear" w:color="auto" w:fill="CCEEFF"/>
              </w:rPr>
              <w:t>(29,249,901)</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Net loss</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17"/>
                <w:szCs w:val="17"/>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7"/>
                <w:szCs w:val="17"/>
                <w:color w:val="auto"/>
              </w:rPr>
              <w:t>(33,671,616)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(33,671,616)</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shd w:val="clear" w:color="auto" w:fill="CCEEFF"/>
              </w:rPr>
              <w:t>Balance – March 31, 2021, as restated (see Note 2)</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shd w:val="clear" w:color="auto" w:fill="CCEEFF"/>
              </w:rPr>
              <w:t>—</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b w:val="1"/>
                <w:bCs w:val="1"/>
                <w:color w:val="auto"/>
                <w:shd w:val="clear" w:color="auto" w:fill="CCEEFF"/>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b w:val="1"/>
                <w:bCs w:val="1"/>
                <w:color w:val="auto"/>
                <w:shd w:val="clear" w:color="auto" w:fill="CCEEFF"/>
              </w:rPr>
              <w:t>5,184,300</w:t>
            </w:r>
          </w:p>
        </w:tc>
        <w:tc>
          <w:tcPr>
            <w:tcW w:w="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shd w:val="clear" w:color="auto" w:fill="CCEEFF"/>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shd w:val="clear" w:color="auto" w:fill="CCEEFF"/>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shd w:val="clear" w:color="auto" w:fill="CCEEFF"/>
              </w:rPr>
              <w:t>—</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shd w:val="clear" w:color="auto" w:fill="CCEEFF"/>
              </w:rPr>
              <w:t>$ (62,922,035)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shd w:val="clear" w:color="auto" w:fill="CCEEFF"/>
              </w:rPr>
              <w:t>(62,921,517)</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7"/>
                <w:szCs w:val="17"/>
                <w:color w:val="auto"/>
              </w:rPr>
              <w:t>Net income</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21,269,658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21,269,658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Balance – June 30, 2021, as restated (see Note 2)</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shd w:val="clear" w:color="auto" w:fill="CCEEFF"/>
              </w:rPr>
              <w:t>—</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b w:val="1"/>
                <w:bCs w:val="1"/>
                <w:color w:val="auto"/>
                <w:shd w:val="clear" w:color="auto" w:fill="CCEEFF"/>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b w:val="1"/>
                <w:bCs w:val="1"/>
                <w:color w:val="auto"/>
                <w:shd w:val="clear" w:color="auto" w:fill="CCEEFF"/>
              </w:rPr>
              <w:t>5,184,300</w:t>
            </w:r>
          </w:p>
        </w:tc>
        <w:tc>
          <w:tcPr>
            <w:tcW w:w="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shd w:val="clear" w:color="auto" w:fill="CCEEFF"/>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shd w:val="clear" w:color="auto" w:fill="CCEEFF"/>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shd w:val="clear" w:color="auto" w:fill="CCEEFF"/>
              </w:rPr>
              <w:t>—</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shd w:val="clear" w:color="auto" w:fill="CCEEFF"/>
              </w:rPr>
              <w:t>$ (41,652,377)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shd w:val="clear" w:color="auto" w:fill="CCEEFF"/>
              </w:rPr>
              <w:t>(41,651,859)</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Net loss</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7"/>
                <w:szCs w:val="17"/>
                <w:color w:val="auto"/>
              </w:rPr>
              <w:t>(483,148)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(483,148)</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September 30, 2021</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b w:val="1"/>
                <w:bCs w:val="1"/>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5,184,300</w:t>
            </w:r>
          </w:p>
        </w:tc>
        <w:tc>
          <w:tcPr>
            <w:tcW w:w="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rPr>
              <w:t>$ (42,135,525)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rPr>
              <w:t>(42,135,007)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9280" w:type="dxa"/>
            <w:vAlign w:val="bottom"/>
            <w:gridSpan w:val="22"/>
          </w:tcPr>
          <w:p>
            <w:pPr>
              <w:ind w:left="1760"/>
              <w:spacing w:after="0"/>
              <w:rPr>
                <w:sz w:val="20"/>
                <w:szCs w:val="20"/>
                <w:color w:val="auto"/>
              </w:rPr>
            </w:pPr>
            <w:r>
              <w:rPr>
                <w:rFonts w:ascii="Arial" w:cs="Arial" w:eastAsia="Arial" w:hAnsi="Arial"/>
                <w:sz w:val="17"/>
                <w:szCs w:val="17"/>
                <w:b w:val="1"/>
                <w:bCs w:val="1"/>
                <w:color w:val="auto"/>
              </w:rPr>
              <w:t>FOR THE PERIOD FROM JULY 31, 2020 (INCEPTION) THROUGH SEPTEMBER 30, 2020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980" w:type="dxa"/>
            <w:vAlign w:val="bottom"/>
          </w:tcPr>
          <w:p>
            <w:pPr>
              <w:spacing w:after="0"/>
              <w:rPr>
                <w:sz w:val="24"/>
                <w:szCs w:val="24"/>
                <w:color w:val="auto"/>
              </w:rPr>
            </w:pPr>
          </w:p>
        </w:tc>
        <w:tc>
          <w:tcPr>
            <w:tcW w:w="11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Class A Ordinary</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vMerge w:val="restart"/>
          </w:tcPr>
          <w:p>
            <w:pPr>
              <w:jc w:val="center"/>
              <w:ind w:left="163"/>
              <w:spacing w:after="0"/>
              <w:rPr>
                <w:sz w:val="20"/>
                <w:szCs w:val="20"/>
                <w:color w:val="auto"/>
              </w:rPr>
            </w:pPr>
            <w:r>
              <w:rPr>
                <w:rFonts w:ascii="Arial" w:cs="Arial" w:eastAsia="Arial" w:hAnsi="Arial"/>
                <w:sz w:val="14"/>
                <w:szCs w:val="14"/>
                <w:b w:val="1"/>
                <w:bCs w:val="1"/>
                <w:color w:val="auto"/>
                <w:w w:val="89"/>
              </w:rPr>
              <w:t>Class B Ordinary</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11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39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820" w:type="dxa"/>
            <w:vAlign w:val="bottom"/>
            <w:gridSpan w:val="4"/>
          </w:tcPr>
          <w:p>
            <w:pPr>
              <w:jc w:val="center"/>
              <w:ind w:left="22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left="383"/>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4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b w:val="1"/>
                <w:bCs w:val="1"/>
                <w:color w:val="auto"/>
                <w:w w:val="76"/>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40"/>
              <w:spacing w:after="0" w:line="147"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 July 31, 2020 (inception)</w:t>
            </w:r>
          </w:p>
        </w:tc>
        <w:tc>
          <w:tcPr>
            <w:tcW w:w="40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Issuance of Class B ordinary shares to Sponsor</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5,750,000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84"/>
              </w:rPr>
              <w:t>575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7"/>
                <w:szCs w:val="17"/>
                <w:color w:val="auto"/>
                <w:w w:val="99"/>
              </w:rPr>
              <w:t>24,425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193"/>
        </w:trPr>
        <w:tc>
          <w:tcPr>
            <w:tcW w:w="3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Accretion for Class A ordinary shares to redemption</w:t>
            </w:r>
          </w:p>
        </w:tc>
        <w:tc>
          <w:tcPr>
            <w:tcW w:w="4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w:t>
            </w:r>
          </w:p>
        </w:tc>
        <w:tc>
          <w:tcPr>
            <w:tcW w:w="4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1"/>
              </w:rPr>
              <w:t>(24,425)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1"/>
              </w:rPr>
              <w:t>(23,521,731)</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(23,546,156)</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Forfeiture of Founder Shares</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240"/>
              <w:spacing w:after="0"/>
              <w:rPr>
                <w:sz w:val="20"/>
                <w:szCs w:val="20"/>
                <w:color w:val="auto"/>
              </w:rPr>
            </w:pPr>
            <w:r>
              <w:rPr>
                <w:rFonts w:ascii="Arial" w:cs="Arial" w:eastAsia="Arial" w:hAnsi="Arial"/>
                <w:sz w:val="17"/>
                <w:szCs w:val="17"/>
                <w:color w:val="auto"/>
              </w:rPr>
              <w:t>(565,700)</w:t>
            </w:r>
          </w:p>
        </w:tc>
        <w:tc>
          <w:tcPr>
            <w:tcW w:w="2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w w:val="99"/>
              </w:rPr>
              <w:t>(57)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(3,032,369)</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(3,032,369)</w:t>
            </w:r>
          </w:p>
        </w:tc>
        <w:tc>
          <w:tcPr>
            <w:tcW w:w="0" w:type="dxa"/>
            <w:vAlign w:val="bottom"/>
          </w:tcPr>
          <w:p>
            <w:pPr>
              <w:spacing w:after="0"/>
              <w:rPr>
                <w:sz w:val="1"/>
                <w:szCs w:val="1"/>
                <w:color w:val="auto"/>
              </w:rPr>
            </w:pPr>
          </w:p>
        </w:tc>
      </w:tr>
      <w:tr>
        <w:trPr>
          <w:trHeight w:val="187"/>
        </w:trPr>
        <w:tc>
          <w:tcPr>
            <w:tcW w:w="3980" w:type="dxa"/>
            <w:vAlign w:val="bottom"/>
          </w:tcPr>
          <w:p>
            <w:pPr>
              <w:spacing w:after="0" w:line="188" w:lineRule="exact"/>
              <w:rPr>
                <w:sz w:val="20"/>
                <w:szCs w:val="20"/>
                <w:color w:val="auto"/>
              </w:rPr>
            </w:pPr>
            <w:r>
              <w:rPr>
                <w:rFonts w:ascii="Arial" w:cs="Arial" w:eastAsia="Arial" w:hAnsi="Arial"/>
                <w:sz w:val="17"/>
                <w:szCs w:val="17"/>
                <w:b w:val="1"/>
                <w:bCs w:val="1"/>
                <w:color w:val="auto"/>
              </w:rPr>
              <w:t>Balance – September 30, 2020, as restated (see</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60"/>
              <w:spacing w:after="0"/>
              <w:rPr>
                <w:sz w:val="20"/>
                <w:szCs w:val="20"/>
                <w:color w:val="auto"/>
              </w:rPr>
            </w:pPr>
            <w:r>
              <w:rPr>
                <w:rFonts w:ascii="Arial" w:cs="Arial" w:eastAsia="Arial" w:hAnsi="Arial"/>
                <w:sz w:val="17"/>
                <w:szCs w:val="17"/>
                <w:b w:val="1"/>
                <w:bCs w:val="1"/>
                <w:color w:val="auto"/>
              </w:rPr>
              <w:t>Note 2)</w:t>
            </w:r>
          </w:p>
        </w:tc>
        <w:tc>
          <w:tcPr>
            <w:tcW w:w="40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420" w:type="dxa"/>
            <w:vAlign w:val="bottom"/>
            <w:gridSpan w:val="3"/>
          </w:tcPr>
          <w:p>
            <w:pPr>
              <w:ind w:left="24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b w:val="1"/>
                <w:bCs w:val="1"/>
                <w:color w:val="auto"/>
              </w:rPr>
              <w:t>5,184,300</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w w:val="84"/>
              </w:rPr>
              <w:t>518</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7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1"/>
              </w:rPr>
              <w:t>(26,554,043)</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3"/>
              </w:rPr>
              <w:t>(26,553,525)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0880"/>
          </w:cols>
          <w:pgMar w:left="320" w:top="471" w:right="69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(UNAUDITED)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Nine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2020 (Inception)</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4"/>
        </w:trPr>
        <w:tc>
          <w:tcPr>
            <w:tcW w:w="68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(12,885,106)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(3,032,369)</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7,086,905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2,260,000</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Formation cost paid by Sponsor in exchange for issuance of founder shares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Interest earned on investments held in Trust Account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(19,898)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costs allocated to warrants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754,990</w:t>
            </w: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expenses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100,146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(278,363)</w:t>
            </w:r>
          </w:p>
        </w:tc>
        <w:tc>
          <w:tcPr>
            <w:tcW w:w="0" w:type="dxa"/>
            <w:vAlign w:val="bottom"/>
          </w:tcPr>
          <w:p>
            <w:pPr>
              <w:spacing w:after="0"/>
              <w:rPr>
                <w:sz w:val="1"/>
                <w:szCs w:val="1"/>
                <w:color w:val="auto"/>
              </w:rPr>
            </w:pPr>
          </w:p>
        </w:tc>
      </w:tr>
      <w:tr>
        <w:trPr>
          <w:trHeight w:val="206"/>
        </w:trPr>
        <w:tc>
          <w:tcPr>
            <w:tcW w:w="6820" w:type="dxa"/>
            <w:vAlign w:val="bottom"/>
          </w:tcPr>
          <w:p>
            <w:pPr>
              <w:ind w:left="680"/>
              <w:spacing w:after="0"/>
              <w:rPr>
                <w:sz w:val="20"/>
                <w:szCs w:val="20"/>
                <w:color w:val="auto"/>
              </w:rPr>
            </w:pPr>
            <w:r>
              <w:rPr>
                <w:rFonts w:ascii="Arial" w:cs="Arial" w:eastAsia="Arial" w:hAnsi="Arial"/>
                <w:sz w:val="17"/>
                <w:szCs w:val="17"/>
                <w:color w:val="auto"/>
              </w:rPr>
              <w:t>Accounts payable and accrued expenses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5,248,917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auto"/>
              </w:rPr>
              <w:t>Net cash used in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(469,036)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(289,300)</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Investment of cash into Trust Account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(200,000,000)</w:t>
            </w:r>
          </w:p>
        </w:tc>
        <w:tc>
          <w:tcPr>
            <w:tcW w:w="0" w:type="dxa"/>
            <w:vAlign w:val="bottom"/>
          </w:tcPr>
          <w:p>
            <w:pPr>
              <w:spacing w:after="0"/>
              <w:rPr>
                <w:sz w:val="1"/>
                <w:szCs w:val="1"/>
                <w:color w:val="auto"/>
              </w:rPr>
            </w:pPr>
          </w:p>
        </w:tc>
      </w:tr>
      <w:tr>
        <w:trPr>
          <w:trHeight w:val="217"/>
        </w:trPr>
        <w:tc>
          <w:tcPr>
            <w:tcW w:w="6820" w:type="dxa"/>
            <w:vAlign w:val="bottom"/>
          </w:tcPr>
          <w:p>
            <w:pPr>
              <w:ind w:left="1020"/>
              <w:spacing w:after="0"/>
              <w:rPr>
                <w:sz w:val="20"/>
                <w:szCs w:val="20"/>
                <w:color w:val="auto"/>
              </w:rPr>
            </w:pPr>
            <w:r>
              <w:rPr>
                <w:rFonts w:ascii="Arial" w:cs="Arial" w:eastAsia="Arial" w:hAnsi="Arial"/>
                <w:sz w:val="17"/>
                <w:szCs w:val="17"/>
                <w:b w:val="1"/>
                <w:bCs w:val="1"/>
                <w:color w:val="auto"/>
              </w:rPr>
              <w:t>Net cash used in investing activities</w:t>
            </w:r>
          </w:p>
        </w:tc>
        <w:tc>
          <w:tcPr>
            <w:tcW w:w="1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(200,000,000)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Proceeds from sale of Units, net of underwriting discount paid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196,000,000</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Private Placement Units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6,000,000</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Payment of offering costs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(397,793)</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Repayment of promissory note—related party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1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201,519,478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(469,036)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1,230,178</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Cash—Beginning of period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1,177,678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w:t>
            </w:r>
            <w:r>
              <w:rPr>
                <w:rFonts w:ascii="Arial" w:cs="Arial" w:eastAsia="Arial" w:hAnsi="Arial"/>
                <w:sz w:val="17"/>
                <w:szCs w:val="17"/>
                <w:color w:val="auto"/>
              </w:rPr>
              <w:t>—</w:t>
            </w:r>
            <w:r>
              <w:rPr>
                <w:rFonts w:ascii="Arial" w:cs="Arial" w:eastAsia="Arial" w:hAnsi="Arial"/>
                <w:sz w:val="17"/>
                <w:szCs w:val="17"/>
                <w:b w:val="1"/>
                <w:bCs w:val="1"/>
                <w:color w:val="auto"/>
              </w:rPr>
              <w:t>End of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708,642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1,230,178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 included in accrued offering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40"/>
              <w:spacing w:after="0"/>
              <w:rPr>
                <w:sz w:val="20"/>
                <w:szCs w:val="20"/>
                <w:color w:val="auto"/>
              </w:rPr>
            </w:pPr>
            <w:r>
              <w:rPr>
                <w:rFonts w:ascii="Arial" w:cs="Arial" w:eastAsia="Arial" w:hAnsi="Arial"/>
                <w:sz w:val="17"/>
                <w:szCs w:val="17"/>
                <w:color w:val="auto"/>
              </w:rPr>
              <w:t>Offering costs paid by Sponsor in exchange for issuance of founder shares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18,394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 paid through promissory note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40"/>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207,372,020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underwriting fee payable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7,000,000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0880"/>
          </w:cols>
          <w:pgMar w:left="320" w:top="471" w:right="69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0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1—DESCRIPTION OF ORGANIZATION AND BUSINESS OPERATIONS</w:t>
      </w:r>
    </w:p>
    <w:p>
      <w:pPr>
        <w:spacing w:after="0" w:line="222"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76"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7).</w:t>
      </w:r>
    </w:p>
    <w:p>
      <w:pPr>
        <w:spacing w:after="0" w:line="179"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9"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As of September 30, 2021, the Company had not commenced any operations. All activity from inception through September 30,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0"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76"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2020. As such, on October 1, 2020, the Company consummated the sale of an additional 737,202 Units, at $10.00 per Unit, and the sale of an additional</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147,440 Private Placement Warrants, at $1.00 per Private Warrant, generating total gross proceeds of $7,519,460.</w:t>
      </w:r>
    </w:p>
    <w:p>
      <w:pPr>
        <w:spacing w:after="0" w:line="205"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Transaction costs charged to equity amounted to $11,906,607, consisting of $4,147,440 of underwriting fees, $7,258,021 of deferred underwriting fees and $501,146 of other offering costs.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October 1, 2020, an amount of $207,372,020 ($10.00 per Unit) from the net proceeds of the sale of the Units in the Initial Public Offering and the sale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Private Placement Warrants was placed in a trust account (the “Trust Account”) and invested in U.S. government securities, within the meaning set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forth in Section 2(a)(16) of the Investment Company Act of 1940, as amended (the “Investment Company</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0860"/>
          </w:cols>
          <w:pgMar w:left="320" w:top="471" w:right="71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60" w:right="238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Act”), with a maturity of 185 days or less, or in any open-ended investment company that holds itself out as a money market fund investing solely in</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U.S. Treasuries and meeting certain conditions under Rule 2a-7 of the Investment Company Act, as determined by the Company, until the earliest of:</w:t>
      </w:r>
    </w:p>
    <w:p>
      <w:pPr>
        <w:spacing w:after="0" w:line="33" w:lineRule="exact"/>
        <w:rPr>
          <w:sz w:val="20"/>
          <w:szCs w:val="20"/>
          <w:color w:val="auto"/>
        </w:rPr>
      </w:pPr>
    </w:p>
    <w:p>
      <w:pPr>
        <w:ind w:left="160" w:right="280" w:hanging="4"/>
        <w:spacing w:after="0" w:line="265" w:lineRule="auto"/>
        <w:tabs>
          <w:tab w:leader="none" w:pos="36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completion of a Business Combination and (ii) the distribution of the funds in the Trust Account to the Company’s shareholders, as described below.</w:t>
      </w:r>
    </w:p>
    <w:p>
      <w:pPr>
        <w:spacing w:after="0" w:line="175" w:lineRule="exact"/>
        <w:rPr>
          <w:sz w:val="20"/>
          <w:szCs w:val="20"/>
          <w:color w:val="auto"/>
        </w:rPr>
      </w:pPr>
    </w:p>
    <w:p>
      <w:pPr>
        <w:ind w:left="160" w:right="20" w:firstLine="420"/>
        <w:spacing w:after="0" w:line="27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ind w:left="160" w:firstLine="420"/>
        <w:spacing w:after="0" w:line="294" w:lineRule="auto"/>
        <w:rPr>
          <w:sz w:val="20"/>
          <w:szCs w:val="20"/>
          <w:color w:val="auto"/>
        </w:rPr>
      </w:pPr>
      <w:r>
        <w:rPr>
          <w:rFonts w:ascii="Arial" w:cs="Arial" w:eastAsia="Arial" w:hAnsi="Arial"/>
          <w:sz w:val="15"/>
          <w:szCs w:val="15"/>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56" w:lineRule="exact"/>
        <w:rPr>
          <w:sz w:val="20"/>
          <w:szCs w:val="20"/>
          <w:color w:val="auto"/>
        </w:rPr>
      </w:pPr>
    </w:p>
    <w:p>
      <w:pPr>
        <w:ind w:left="160" w:firstLine="420"/>
        <w:spacing w:after="0" w:line="27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71" w:lineRule="exact"/>
        <w:rPr>
          <w:sz w:val="20"/>
          <w:szCs w:val="20"/>
          <w:color w:val="auto"/>
        </w:rPr>
      </w:pPr>
    </w:p>
    <w:p>
      <w:pPr>
        <w:ind w:left="160" w:right="380" w:firstLine="420"/>
        <w:spacing w:after="0" w:line="278"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600"/>
          </w:cols>
          <w:pgMar w:left="540" w:top="471" w:right="75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180" w:lineRule="exact"/>
        <w:rPr>
          <w:sz w:val="20"/>
          <w:szCs w:val="20"/>
          <w:color w:val="auto"/>
        </w:rPr>
      </w:pPr>
    </w:p>
    <w:p>
      <w:pPr>
        <w:ind w:left="160" w:right="100"/>
        <w:spacing w:after="0" w:line="259" w:lineRule="auto"/>
        <w:rPr>
          <w:sz w:val="20"/>
          <w:szCs w:val="20"/>
          <w:color w:val="auto"/>
        </w:rPr>
      </w:pPr>
      <w:r>
        <w:rPr>
          <w:rFonts w:ascii="Arial" w:cs="Arial" w:eastAsia="Arial" w:hAnsi="Arial"/>
          <w:sz w:val="17"/>
          <w:szCs w:val="17"/>
          <w:color w:val="auto"/>
        </w:rPr>
        <w:t>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79" w:lineRule="exact"/>
        <w:rPr>
          <w:sz w:val="20"/>
          <w:szCs w:val="20"/>
          <w:color w:val="auto"/>
        </w:rPr>
      </w:pPr>
    </w:p>
    <w:p>
      <w:pPr>
        <w:ind w:left="160" w:right="100" w:firstLine="420"/>
        <w:spacing w:after="0" w:line="293" w:lineRule="auto"/>
        <w:rPr>
          <w:sz w:val="20"/>
          <w:szCs w:val="20"/>
          <w:color w:val="auto"/>
        </w:rPr>
      </w:pPr>
      <w:r>
        <w:rPr>
          <w:rFonts w:ascii="Arial" w:cs="Arial" w:eastAsia="Arial" w:hAnsi="Arial"/>
          <w:sz w:val="15"/>
          <w:szCs w:val="15"/>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spacing w:after="0" w:line="1" w:lineRule="exact"/>
        <w:rPr>
          <w:sz w:val="20"/>
          <w:szCs w:val="20"/>
          <w:color w:val="auto"/>
        </w:rPr>
      </w:pPr>
    </w:p>
    <w:p>
      <w:pPr>
        <w:ind w:left="160" w:right="120" w:hanging="4"/>
        <w:spacing w:after="0" w:line="274" w:lineRule="auto"/>
        <w:tabs>
          <w:tab w:leader="none" w:pos="36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69" w:lineRule="exact"/>
        <w:rPr>
          <w:sz w:val="20"/>
          <w:szCs w:val="20"/>
          <w:color w:val="auto"/>
        </w:rPr>
      </w:pPr>
    </w:p>
    <w:p>
      <w:pPr>
        <w:ind w:left="160" w:right="40" w:firstLine="420"/>
        <w:spacing w:after="0" w:line="255" w:lineRule="auto"/>
        <w:rPr>
          <w:sz w:val="20"/>
          <w:szCs w:val="20"/>
          <w:color w:val="auto"/>
        </w:rPr>
      </w:pPr>
      <w:r>
        <w:rPr>
          <w:rFonts w:ascii="Arial" w:cs="Arial" w:eastAsia="Arial" w:hAnsi="Arial"/>
          <w:sz w:val="17"/>
          <w:szCs w:val="17"/>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5" w:lineRule="exact"/>
        <w:rPr>
          <w:sz w:val="20"/>
          <w:szCs w:val="20"/>
          <w:color w:val="auto"/>
        </w:rPr>
      </w:pPr>
    </w:p>
    <w:p>
      <w:pPr>
        <w:ind w:left="160" w:firstLine="420"/>
        <w:spacing w:after="0" w:line="256"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4" w:lineRule="exact"/>
        <w:rPr>
          <w:sz w:val="20"/>
          <w:szCs w:val="20"/>
          <w:color w:val="auto"/>
        </w:rPr>
      </w:pPr>
    </w:p>
    <w:p>
      <w:pPr>
        <w:ind w:left="160" w:right="20" w:firstLine="420"/>
        <w:spacing w:after="0" w:line="317" w:lineRule="auto"/>
        <w:rPr>
          <w:sz w:val="20"/>
          <w:szCs w:val="20"/>
          <w:color w:val="auto"/>
        </w:rPr>
      </w:pPr>
      <w:r>
        <w:rPr>
          <w:rFonts w:ascii="Arial" w:cs="Arial" w:eastAsia="Arial" w:hAnsi="Arial"/>
          <w:sz w:val="15"/>
          <w:szCs w:val="15"/>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w:t>
      </w:r>
    </w:p>
    <w:p>
      <w:pPr>
        <w:spacing w:after="0" w:line="7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640"/>
          </w:cols>
          <w:pgMar w:left="540" w:top="471" w:right="7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200" w:lineRule="exact"/>
        <w:rPr>
          <w:sz w:val="20"/>
          <w:szCs w:val="20"/>
          <w:color w:val="auto"/>
        </w:rPr>
      </w:pPr>
    </w:p>
    <w:p>
      <w:pPr>
        <w:spacing w:after="0" w:line="316" w:lineRule="exact"/>
        <w:rPr>
          <w:sz w:val="20"/>
          <w:szCs w:val="20"/>
          <w:color w:val="auto"/>
        </w:rPr>
      </w:pPr>
    </w:p>
    <w:p>
      <w:pPr>
        <w:ind w:left="380"/>
        <w:spacing w:after="0" w:line="255" w:lineRule="auto"/>
        <w:rPr>
          <w:sz w:val="20"/>
          <w:szCs w:val="20"/>
          <w:color w:val="auto"/>
        </w:rPr>
      </w:pPr>
      <w:r>
        <w:rPr>
          <w:rFonts w:ascii="Arial" w:cs="Arial" w:eastAsia="Arial" w:hAnsi="Arial"/>
          <w:sz w:val="17"/>
          <w:szCs w:val="17"/>
          <w:color w:val="auto"/>
        </w:rPr>
        <w:t>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16"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As of September 30, 2021, the Company had approximately $709,000 in its operating bank accounts and working capital deficit of approximately $5.3 million.</w:t>
      </w:r>
    </w:p>
    <w:p>
      <w:pPr>
        <w:spacing w:after="0" w:line="165" w:lineRule="exact"/>
        <w:rPr>
          <w:sz w:val="20"/>
          <w:szCs w:val="20"/>
          <w:color w:val="auto"/>
        </w:rPr>
      </w:pPr>
    </w:p>
    <w:p>
      <w:pPr>
        <w:ind w:left="380" w:right="180" w:firstLine="420"/>
        <w:spacing w:after="0" w:line="298" w:lineRule="auto"/>
        <w:rPr>
          <w:sz w:val="20"/>
          <w:szCs w:val="20"/>
          <w:color w:val="auto"/>
        </w:rPr>
      </w:pPr>
      <w:r>
        <w:rPr>
          <w:rFonts w:ascii="Arial" w:cs="Arial" w:eastAsia="Arial" w:hAnsi="Arial"/>
          <w:sz w:val="15"/>
          <w:szCs w:val="15"/>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September 30, 2021 and December 31, 2020, there were no amounts outstanding under any Working Capital Loan.</w:t>
      </w:r>
    </w:p>
    <w:p>
      <w:pPr>
        <w:spacing w:after="0" w:line="156" w:lineRule="exact"/>
        <w:rPr>
          <w:sz w:val="20"/>
          <w:szCs w:val="20"/>
          <w:color w:val="auto"/>
        </w:rPr>
      </w:pPr>
    </w:p>
    <w:p>
      <w:pPr>
        <w:ind w:left="380" w:right="520" w:firstLine="420"/>
        <w:spacing w:after="0" w:line="278" w:lineRule="auto"/>
        <w:rPr>
          <w:sz w:val="20"/>
          <w:szCs w:val="20"/>
          <w:color w:val="auto"/>
        </w:rPr>
      </w:pPr>
      <w:r>
        <w:rPr>
          <w:rFonts w:ascii="Arial" w:cs="Arial" w:eastAsia="Arial" w:hAnsi="Arial"/>
          <w:sz w:val="17"/>
          <w:szCs w:val="17"/>
          <w:color w:val="auto"/>
        </w:rPr>
        <w:t>As of October 15, 2021, substantial doubt about our ability to continue as a going concern related to the date for mandatory liquidation and dissolution was alleviated due to the closing of the business combination.</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2. RESTATEMENT OF PREVIOUSLY ISSUED FINANCIAL STATEMENTS</w:t>
      </w:r>
    </w:p>
    <w:p>
      <w:pPr>
        <w:spacing w:after="0" w:line="222" w:lineRule="exact"/>
        <w:rPr>
          <w:sz w:val="20"/>
          <w:szCs w:val="20"/>
          <w:color w:val="auto"/>
        </w:rPr>
      </w:pPr>
    </w:p>
    <w:p>
      <w:pPr>
        <w:ind w:left="380" w:right="80" w:firstLine="420"/>
        <w:spacing w:after="0" w:line="294" w:lineRule="auto"/>
        <w:rPr>
          <w:sz w:val="20"/>
          <w:szCs w:val="20"/>
          <w:color w:val="auto"/>
        </w:rPr>
      </w:pPr>
      <w:r>
        <w:rPr>
          <w:rFonts w:ascii="Arial" w:cs="Arial" w:eastAsia="Arial" w:hAnsi="Arial"/>
          <w:sz w:val="15"/>
          <w:szCs w:val="15"/>
          <w:color w:val="auto"/>
        </w:rPr>
        <w:t>In connection with the preparation of the Company’s financial statements as of September 30, 2021, management determined it should restate its previously reported financial statements. The Company determined, at the closing of the Company’s Initial Public Offering and shares sold pursuant to the exercise of the underwriters’ overallotment, it had improperly valued its Class A ordinary shares subject to possible redemption. The Company previously determined the Class A ordinary shares subject to possible redemption to be equal to the redemption value of $10.00 per Class A ordinary share while also taking into consideration a redemption cannot result in net tangible assets being less than $5,000,001. Management determined that the Class A ordinary shares issued during the Initial Public Offering and pursuant to the exercise of the underwriters’ overallotment can be redeemed or become redeemable subject to the occurrence of future events considered outside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has noted a reclassification</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860"/>
          </w:cols>
          <w:pgMar w:left="320" w:top="471" w:right="71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60" w:right="238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jc w:val="both"/>
        <w:ind w:left="160" w:right="120"/>
        <w:spacing w:after="0" w:line="265" w:lineRule="auto"/>
        <w:rPr>
          <w:sz w:val="20"/>
          <w:szCs w:val="20"/>
          <w:color w:val="auto"/>
        </w:rPr>
      </w:pPr>
      <w:r>
        <w:rPr>
          <w:rFonts w:ascii="Arial" w:cs="Arial" w:eastAsia="Arial" w:hAnsi="Arial"/>
          <w:sz w:val="17"/>
          <w:szCs w:val="17"/>
          <w:color w:val="auto"/>
        </w:rPr>
        <w:t>adjustment related to temporary equity and permanent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76" w:lineRule="exact"/>
        <w:rPr>
          <w:sz w:val="20"/>
          <w:szCs w:val="20"/>
          <w:color w:val="auto"/>
        </w:rPr>
      </w:pPr>
    </w:p>
    <w:p>
      <w:pPr>
        <w:ind w:left="160" w:firstLine="420"/>
        <w:spacing w:after="0" w:line="289" w:lineRule="auto"/>
        <w:rPr>
          <w:sz w:val="20"/>
          <w:szCs w:val="20"/>
          <w:color w:val="auto"/>
        </w:rPr>
      </w:pPr>
      <w:r>
        <w:rPr>
          <w:rFonts w:ascii="Arial" w:cs="Arial" w:eastAsia="Arial" w:hAnsi="Arial"/>
          <w:sz w:val="16"/>
          <w:szCs w:val="16"/>
          <w:color w:val="auto"/>
        </w:rPr>
        <w:t>In connection with the change in presentation for the Class A ordinary shares subject to redemption, the Company also revised its earnings per share calculation to allocate net income (loss) evenly to Class A and Class B ordinary shares. This presentation contemplates a Business Combination as the most likely outcome, in which case, both classes of ordinary shares share pro rata in the income (loss) of the Company.</w:t>
      </w:r>
    </w:p>
    <w:p>
      <w:pPr>
        <w:spacing w:after="0" w:line="159" w:lineRule="exact"/>
        <w:rPr>
          <w:sz w:val="20"/>
          <w:szCs w:val="20"/>
          <w:color w:val="auto"/>
        </w:rPr>
      </w:pPr>
    </w:p>
    <w:p>
      <w:pPr>
        <w:ind w:left="160" w:firstLine="420"/>
        <w:spacing w:after="0" w:line="291" w:lineRule="auto"/>
        <w:rPr>
          <w:sz w:val="20"/>
          <w:szCs w:val="20"/>
          <w:color w:val="auto"/>
        </w:rPr>
      </w:pPr>
      <w:r>
        <w:rPr>
          <w:rFonts w:ascii="Arial" w:cs="Arial" w:eastAsia="Arial" w:hAnsi="Arial"/>
          <w:sz w:val="15"/>
          <w:szCs w:val="15"/>
          <w:color w:val="auto"/>
        </w:rPr>
        <w:t>In accordance with SEC Staff Accounting Bulletin No. 99, “Materiality,” and SEC Staff Accounting Bulletin No. 108, “Considering the Effects of Prior Year Misstatements when Quantifying Misstatements in Current Year Financial Statements,” the Company evaluated the corrections and has determined that the related impact was material to the previously filed financial statements that contained the error, reported in the Company’s Form</w:t>
      </w:r>
    </w:p>
    <w:p>
      <w:pPr>
        <w:spacing w:after="0" w:line="1" w:lineRule="exact"/>
        <w:rPr>
          <w:sz w:val="20"/>
          <w:szCs w:val="20"/>
          <w:color w:val="auto"/>
        </w:rPr>
      </w:pPr>
    </w:p>
    <w:p>
      <w:pPr>
        <w:ind w:left="160" w:right="140"/>
        <w:spacing w:after="0" w:line="256" w:lineRule="auto"/>
        <w:rPr>
          <w:sz w:val="20"/>
          <w:szCs w:val="20"/>
          <w:color w:val="auto"/>
        </w:rPr>
      </w:pPr>
      <w:r>
        <w:rPr>
          <w:rFonts w:ascii="Arial" w:cs="Arial" w:eastAsia="Arial" w:hAnsi="Arial"/>
          <w:sz w:val="17"/>
          <w:szCs w:val="17"/>
          <w:color w:val="auto"/>
        </w:rPr>
        <w:t>10-Qs for the quarterly periods ended March 31, 2021, and June 30, 2021 (the “Affected Quarterly Periods”). Therefore, the Company, in consultation with its Audit Committee, concluded that the Affected Quarterly Periods should be restated to present all Class A ordinary shares subject to possible redemption as temporary equity and to recognize accretion from the initial book value to redemption value at the time of its Initial Public Offering. As such, the Company is reporting these restatements to those periods in this quarterly report.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There has been no change in the Company’s total assets, liabilities or operating results.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impact of the restatement on the Company’s financial statements is reflected in the following table:</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As Previously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Adjustment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Sheet as of March 31, 2021 (unaudited)</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w w:val="95"/>
              </w:rPr>
              <w:t>Class A ordinary shares subject to possible redemption</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139,450,500</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67,921,520</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43,531,612</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(43,531,612)</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(38,532,806)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(24,389,229)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(62,922,035)</w:t>
            </w: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5,000,003</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(67,921,520)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(62,921,517)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 subject to redemption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13,945,050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6,792,152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20,737,202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000" w:type="dxa"/>
            <w:vAlign w:val="bottom"/>
          </w:tcPr>
          <w:p>
            <w:pPr>
              <w:spacing w:after="0"/>
              <w:rPr>
                <w:sz w:val="20"/>
                <w:szCs w:val="20"/>
                <w:color w:val="auto"/>
              </w:rPr>
            </w:pPr>
            <w:r>
              <w:rPr>
                <w:rFonts w:ascii="Arial" w:cs="Arial" w:eastAsia="Arial" w:hAnsi="Arial"/>
                <w:sz w:val="17"/>
                <w:szCs w:val="17"/>
                <w:b w:val="1"/>
                <w:bCs w:val="1"/>
                <w:color w:val="auto"/>
              </w:rPr>
              <w:t>Balance Sheet as of June 30, 2021 (unaudited)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w w:val="95"/>
              </w:rPr>
              <w:t>Class A ordinary shares subject to possible redemption</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160,720,160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46,651,860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207,372,020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Class A ordinary shares</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467</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(467)</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22,262,164</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(22,262,164)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Accumulated deficit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(17,263,148)</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(24,389,229)</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(41,652,377)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5,000,001</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(46,651,860)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(41,651,859)</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7"/>
                <w:szCs w:val="17"/>
                <w:color w:val="auto"/>
              </w:rPr>
              <w:t>Number of shares subject to redemption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16,072,016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4,665,186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20,737,202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0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F-37</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540" w:top="471" w:right="75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1540" w:right="16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281"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As Previously</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Adjustment</w:t>
            </w:r>
          </w:p>
        </w:tc>
        <w:tc>
          <w:tcPr>
            <w:tcW w:w="280" w:type="dxa"/>
            <w:vAlign w:val="bottom"/>
          </w:tcPr>
          <w:p>
            <w:pPr>
              <w:spacing w:after="0"/>
              <w:rPr>
                <w:sz w:val="14"/>
                <w:szCs w:val="14"/>
                <w:color w:val="auto"/>
              </w:rPr>
            </w:pP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9"/>
              </w:rPr>
              <w:t>Statement of Cash Flows for the three months ended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March 31, 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line="194" w:lineRule="exact"/>
              <w:rPr>
                <w:sz w:val="20"/>
                <w:szCs w:val="20"/>
                <w:color w:val="auto"/>
              </w:rPr>
            </w:pPr>
            <w:r>
              <w:rPr>
                <w:rFonts w:ascii="Arial" w:cs="Arial" w:eastAsia="Arial" w:hAnsi="Arial"/>
                <w:sz w:val="17"/>
                <w:szCs w:val="17"/>
                <w:color w:val="auto"/>
                <w:w w:val="90"/>
              </w:rPr>
              <w:t>Change in value of Class A ordinary shares subject to possible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7"/>
                <w:szCs w:val="17"/>
                <w:color w:val="auto"/>
              </w:rPr>
              <w:t>redemption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3"/>
              </w:rPr>
              <w:t>33,671,610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(33,671,610)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Statement of Cash Flows for the six months ended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June 30, 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line="194" w:lineRule="exact"/>
              <w:rPr>
                <w:sz w:val="20"/>
                <w:szCs w:val="20"/>
                <w:color w:val="auto"/>
              </w:rPr>
            </w:pPr>
            <w:r>
              <w:rPr>
                <w:rFonts w:ascii="Arial" w:cs="Arial" w:eastAsia="Arial" w:hAnsi="Arial"/>
                <w:sz w:val="17"/>
                <w:szCs w:val="17"/>
                <w:color w:val="auto"/>
                <w:w w:val="90"/>
              </w:rPr>
              <w:t>Change in value of Class A ordinary shares subject to possible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7"/>
                <w:szCs w:val="17"/>
                <w:color w:val="auto"/>
              </w:rPr>
              <w:t>redemption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w w:val="89"/>
              </w:rPr>
              <w:t>(12,401,950)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12,401,950</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Statement of Operation for the three months ended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March 31, 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A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20,737,202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6"/>
              </w:rPr>
              <w:t>20,737,202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9"/>
              </w:rPr>
              <w:t>Basic and diluted net income per share, Class A ordinary</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B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5,184,300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92"/>
              </w:rPr>
              <w:t>Basic and diluted net loss per share, Class B ordinary 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90"/>
        </w:trPr>
        <w:tc>
          <w:tcPr>
            <w:tcW w:w="4300" w:type="dxa"/>
            <w:vAlign w:val="bottom"/>
            <w:gridSpan w:val="2"/>
          </w:tcPr>
          <w:p>
            <w:pPr>
              <w:spacing w:after="0"/>
              <w:rPr>
                <w:sz w:val="20"/>
                <w:szCs w:val="20"/>
                <w:color w:val="auto"/>
              </w:rPr>
            </w:pPr>
            <w:r>
              <w:rPr>
                <w:rFonts w:ascii="Arial" w:cs="Arial" w:eastAsia="Arial" w:hAnsi="Arial"/>
                <w:sz w:val="17"/>
                <w:szCs w:val="17"/>
                <w:b w:val="1"/>
                <w:bCs w:val="1"/>
                <w:color w:val="auto"/>
              </w:rPr>
              <w:t>Statement of Operation for the 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7"/>
                <w:szCs w:val="17"/>
                <w:b w:val="1"/>
                <w:bCs w:val="1"/>
                <w:color w:val="auto"/>
              </w:rPr>
              <w:t>June 30, 2021 (unaudited)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89"/>
              </w:rPr>
              <w:t>Weighted average shares outstanding, Class A ordinary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20,737,202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20,737,202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line="194" w:lineRule="exact"/>
              <w:rPr>
                <w:sz w:val="20"/>
                <w:szCs w:val="20"/>
                <w:color w:val="auto"/>
              </w:rPr>
            </w:pPr>
            <w:r>
              <w:rPr>
                <w:rFonts w:ascii="Arial" w:cs="Arial" w:eastAsia="Arial" w:hAnsi="Arial"/>
                <w:sz w:val="17"/>
                <w:szCs w:val="17"/>
                <w:color w:val="auto"/>
                <w:w w:val="99"/>
              </w:rPr>
              <w:t>Basic and diluted net income per share, Class A ordinary</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7"/>
                <w:szCs w:val="17"/>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0.82</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89"/>
              </w:rPr>
              <w:t>Weighted average shares outstanding, Class B ordinary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5,184,300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92"/>
              </w:rPr>
              <w:t>Basic and diluted net loss per share, Class B ordinary shares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4.10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(3.28)</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1"/>
              </w:rPr>
              <w:t>Statement of Operation for the six months ended June 30,</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A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20,737,202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6"/>
              </w:rPr>
              <w:t>20,737,202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9"/>
              </w:rPr>
              <w:t>Basic and diluted net income per share, Class A ordinary</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B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5,184,300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92"/>
              </w:rPr>
              <w:t>Basic and diluted net loss per share, Class B ordinary 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jc w:val="right"/>
              <w:ind w:right="214"/>
              <w:spacing w:after="0"/>
              <w:rPr>
                <w:sz w:val="20"/>
                <w:szCs w:val="20"/>
                <w:color w:val="auto"/>
              </w:rPr>
            </w:pPr>
            <w:r>
              <w:rPr>
                <w:rFonts w:ascii="Arial" w:cs="Arial" w:eastAsia="Arial" w:hAnsi="Arial"/>
                <w:sz w:val="17"/>
                <w:szCs w:val="17"/>
                <w:color w:val="auto"/>
                <w:w w:val="84"/>
              </w:rPr>
              <w:t>12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71" w:right="1440"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0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3—SUMMARY OF SIGNIFICANT ACCOUNTING POLICIES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6" w:lineRule="exact"/>
        <w:rPr>
          <w:sz w:val="20"/>
          <w:szCs w:val="20"/>
          <w:color w:val="auto"/>
        </w:rPr>
      </w:pPr>
    </w:p>
    <w:p>
      <w:pPr>
        <w:ind w:left="380" w:firstLine="420"/>
        <w:spacing w:after="0" w:line="27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 originally filed with the SEC on March 31, 2021 (as amended and restated on May 24, 2021 and December 7, 2021). The interim results for the three and nine months ended September 30, 2021 are not necessarily indicative of the results to be expected for the period ending December 31, 2021 or for any future interim periods.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16" w:lineRule="exact"/>
        <w:rPr>
          <w:sz w:val="20"/>
          <w:szCs w:val="20"/>
          <w:color w:val="auto"/>
        </w:rPr>
      </w:pPr>
    </w:p>
    <w:p>
      <w:pPr>
        <w:ind w:left="380" w:right="520" w:firstLine="420"/>
        <w:spacing w:after="0" w:line="278"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16"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left="380" w:right="140" w:firstLine="420"/>
        <w:spacing w:after="0" w:line="298"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w:t>
      </w:r>
    </w:p>
    <w:p>
      <w:pPr>
        <w:spacing w:after="0" w:line="9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860"/>
          </w:cols>
          <w:pgMar w:left="320" w:top="471" w:right="71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380" w:right="200"/>
        <w:spacing w:after="0" w:line="317" w:lineRule="auto"/>
        <w:rPr>
          <w:sz w:val="20"/>
          <w:szCs w:val="20"/>
          <w:color w:val="auto"/>
        </w:rPr>
      </w:pPr>
      <w:r>
        <w:rPr>
          <w:rFonts w:ascii="Arial" w:cs="Arial" w:eastAsia="Arial" w:hAnsi="Arial"/>
          <w:sz w:val="15"/>
          <w:szCs w:val="15"/>
          <w:color w:val="auto"/>
        </w:rPr>
        <w:t>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6" w:lineRule="exact"/>
        <w:rPr>
          <w:sz w:val="20"/>
          <w:szCs w:val="20"/>
          <w:color w:val="auto"/>
        </w:rPr>
      </w:pPr>
    </w:p>
    <w:p>
      <w:pPr>
        <w:ind w:left="380" w:firstLine="420"/>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59" w:lineRule="exact"/>
        <w:rPr>
          <w:sz w:val="20"/>
          <w:szCs w:val="20"/>
          <w:color w:val="auto"/>
        </w:rPr>
      </w:pPr>
    </w:p>
    <w:p>
      <w:pPr>
        <w:ind w:left="380" w:right="60" w:firstLine="420"/>
        <w:spacing w:after="0" w:line="261"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jc w:val="both"/>
        <w:ind w:left="380" w:right="340" w:firstLine="420"/>
        <w:spacing w:after="0" w:line="265" w:lineRule="auto"/>
        <w:rPr>
          <w:sz w:val="20"/>
          <w:szCs w:val="20"/>
          <w:color w:val="auto"/>
        </w:rPr>
      </w:pPr>
      <w:r>
        <w:rPr>
          <w:rFonts w:ascii="Arial" w:cs="Arial" w:eastAsia="Arial" w:hAnsi="Arial"/>
          <w:sz w:val="17"/>
          <w:szCs w:val="17"/>
          <w:color w:val="auto"/>
        </w:rPr>
        <w:t>One of the more significant accounting estimates included in these condensed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6"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Investments held in Trust Account</w:t>
      </w:r>
    </w:p>
    <w:p>
      <w:pPr>
        <w:spacing w:after="0" w:line="216" w:lineRule="exact"/>
        <w:rPr>
          <w:sz w:val="20"/>
          <w:szCs w:val="20"/>
          <w:color w:val="auto"/>
        </w:rPr>
      </w:pPr>
    </w:p>
    <w:p>
      <w:pPr>
        <w:ind w:left="380" w:right="220" w:firstLine="420"/>
        <w:spacing w:after="0" w:line="301" w:lineRule="auto"/>
        <w:rPr>
          <w:sz w:val="20"/>
          <w:szCs w:val="20"/>
          <w:color w:val="auto"/>
        </w:rPr>
      </w:pPr>
      <w:r>
        <w:rPr>
          <w:rFonts w:ascii="Arial" w:cs="Arial" w:eastAsia="Arial" w:hAnsi="Arial"/>
          <w:sz w:val="15"/>
          <w:szCs w:val="15"/>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consolidated statements of operations. The estimated fair values of investments held in the Trust Account are determined using available market information.</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Warrant Liabilities</w:t>
      </w:r>
    </w:p>
    <w:p>
      <w:pPr>
        <w:spacing w:after="0" w:line="216" w:lineRule="exact"/>
        <w:rPr>
          <w:sz w:val="20"/>
          <w:szCs w:val="20"/>
          <w:color w:val="auto"/>
        </w:rPr>
      </w:pPr>
    </w:p>
    <w:p>
      <w:pPr>
        <w:ind w:left="380" w:right="120" w:firstLine="420"/>
        <w:spacing w:after="0" w:line="282"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860"/>
          </w:cols>
          <w:pgMar w:left="320" w:top="471" w:right="71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jc w:val="both"/>
        <w:ind w:left="380" w:right="40"/>
        <w:spacing w:after="0" w:line="317" w:lineRule="auto"/>
        <w:rPr>
          <w:sz w:val="20"/>
          <w:szCs w:val="20"/>
          <w:color w:val="auto"/>
        </w:rPr>
      </w:pPr>
      <w:r>
        <w:rPr>
          <w:rFonts w:ascii="Arial" w:cs="Arial" w:eastAsia="Arial" w:hAnsi="Arial"/>
          <w:sz w:val="15"/>
          <w:szCs w:val="15"/>
          <w:color w:val="auto"/>
        </w:rPr>
        <w:t>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40"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10). For periods subsequent to the detachment of the Public Warrants from the Units, the close price of the Public Warrant price was used as the fair value of the Public Warrants as each relevant date.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Class A Ordinary Shares Subject to Possible Redemption</w:t>
      </w:r>
    </w:p>
    <w:p>
      <w:pPr>
        <w:spacing w:after="0" w:line="216"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September 30, 2021 and December 31, 2020, Class A ordinary shares subject to possible redemption are presented as temporary equity, outside of the shareholders’ equity section of the Company’s condensed consolidated balance sheets.</w:t>
      </w:r>
    </w:p>
    <w:p>
      <w:pPr>
        <w:spacing w:after="0" w:line="184"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79" w:lineRule="exact"/>
        <w:rPr>
          <w:sz w:val="20"/>
          <w:szCs w:val="20"/>
          <w:color w:val="auto"/>
        </w:rPr>
      </w:pPr>
    </w:p>
    <w:p>
      <w:pPr>
        <w:ind w:left="380" w:right="520" w:firstLine="420"/>
        <w:spacing w:after="0" w:line="278" w:lineRule="auto"/>
        <w:rPr>
          <w:sz w:val="20"/>
          <w:szCs w:val="20"/>
          <w:color w:val="auto"/>
        </w:rPr>
      </w:pPr>
      <w:r>
        <w:rPr>
          <w:rFonts w:ascii="Arial" w:cs="Arial" w:eastAsia="Arial" w:hAnsi="Arial"/>
          <w:sz w:val="17"/>
          <w:szCs w:val="17"/>
          <w:color w:val="auto"/>
        </w:rPr>
        <w:t>At September 30, 2021 and December 31, 2020, the Class A ordinary shares reflected in the condensed balance sheets are reconciled in the following table:</w:t>
      </w:r>
    </w:p>
    <w:p>
      <w:pPr>
        <w:spacing w:after="0" w:line="203" w:lineRule="exact"/>
        <w:rPr>
          <w:sz w:val="20"/>
          <w:szCs w:val="20"/>
          <w:color w:val="auto"/>
        </w:rPr>
      </w:pPr>
    </w:p>
    <w:tbl>
      <w:tblPr>
        <w:tblLayout w:type="fixed"/>
        <w:tblInd w:w="2060" w:type="dxa"/>
        <w:tblCellMar>
          <w:top w:w="0" w:type="dxa"/>
          <w:left w:w="0" w:type="dxa"/>
          <w:bottom w:w="0" w:type="dxa"/>
          <w:right w:w="0" w:type="dxa"/>
        </w:tblCellMar>
      </w:tblP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Gross proceeds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7"/>
                <w:szCs w:val="17"/>
                <w:color w:val="auto"/>
              </w:rPr>
              <w:t>Less: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allocated to Public Warrants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(13,275,495)</w:t>
            </w:r>
          </w:p>
        </w:tc>
        <w:tc>
          <w:tcPr>
            <w:tcW w:w="0" w:type="dxa"/>
            <w:vAlign w:val="bottom"/>
          </w:tcPr>
          <w:p>
            <w:pPr>
              <w:spacing w:after="0"/>
              <w:rPr>
                <w:sz w:val="1"/>
                <w:szCs w:val="1"/>
                <w:color w:val="auto"/>
              </w:rPr>
            </w:pPr>
          </w:p>
        </w:tc>
      </w:tr>
      <w:tr>
        <w:trPr>
          <w:trHeight w:val="206"/>
        </w:trPr>
        <w:tc>
          <w:tcPr>
            <w:tcW w:w="5960" w:type="dxa"/>
            <w:vAlign w:val="bottom"/>
          </w:tcPr>
          <w:p>
            <w:pPr>
              <w:ind w:left="340"/>
              <w:spacing w:after="0"/>
              <w:rPr>
                <w:sz w:val="20"/>
                <w:szCs w:val="20"/>
                <w:color w:val="auto"/>
              </w:rPr>
            </w:pPr>
            <w:r>
              <w:rPr>
                <w:rFonts w:ascii="Arial" w:cs="Arial" w:eastAsia="Arial" w:hAnsi="Arial"/>
                <w:sz w:val="17"/>
                <w:szCs w:val="17"/>
                <w:color w:val="auto"/>
              </w:rPr>
              <w:t>Class A ordinary shares issuance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(11,138,216)</w:t>
            </w: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340"/>
              <w:spacing w:after="0"/>
              <w:rPr>
                <w:sz w:val="20"/>
                <w:szCs w:val="20"/>
                <w:color w:val="auto"/>
              </w:rPr>
            </w:pPr>
            <w:r>
              <w:rPr>
                <w:rFonts w:ascii="Arial" w:cs="Arial" w:eastAsia="Arial" w:hAnsi="Arial"/>
                <w:sz w:val="17"/>
                <w:szCs w:val="17"/>
                <w:color w:val="auto"/>
              </w:rPr>
              <w:t>Accretion of carrying value to redemption value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24,413,711</w:t>
            </w: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Class A ordinary shares subject to possible redemption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3400"/>
              <w:spacing w:after="0"/>
              <w:rPr>
                <w:sz w:val="20"/>
                <w:szCs w:val="20"/>
                <w:color w:val="auto"/>
              </w:rPr>
            </w:pPr>
            <w:r>
              <w:rPr>
                <w:rFonts w:ascii="Arial" w:cs="Arial" w:eastAsia="Arial" w:hAnsi="Arial"/>
                <w:sz w:val="17"/>
                <w:szCs w:val="17"/>
                <w:color w:val="auto"/>
              </w:rPr>
              <w:t>F-41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Offering Costs</w:t>
      </w:r>
    </w:p>
    <w:p>
      <w:pPr>
        <w:spacing w:after="0" w:line="216"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condensed consolidated statements of operations.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Taxes</w:t>
      </w:r>
    </w:p>
    <w:p>
      <w:pPr>
        <w:spacing w:after="0" w:line="216"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September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81"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Income (Loss) Per Ordinary Share (Restated)</w:t>
      </w:r>
    </w:p>
    <w:p>
      <w:pPr>
        <w:spacing w:after="0" w:line="216" w:lineRule="exact"/>
        <w:rPr>
          <w:sz w:val="20"/>
          <w:szCs w:val="20"/>
          <w:color w:val="auto"/>
        </w:rPr>
      </w:pPr>
    </w:p>
    <w:p>
      <w:pPr>
        <w:ind w:left="380" w:right="120" w:firstLine="420"/>
        <w:spacing w:after="0" w:line="261"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79" w:lineRule="exact"/>
        <w:rPr>
          <w:sz w:val="20"/>
          <w:szCs w:val="20"/>
          <w:color w:val="auto"/>
        </w:rPr>
      </w:pPr>
    </w:p>
    <w:p>
      <w:pPr>
        <w:ind w:left="380" w:right="480" w:firstLine="420"/>
        <w:spacing w:after="0" w:line="301" w:lineRule="auto"/>
        <w:rPr>
          <w:sz w:val="20"/>
          <w:szCs w:val="20"/>
          <w:color w:val="auto"/>
        </w:rPr>
      </w:pPr>
      <w:r>
        <w:rPr>
          <w:rFonts w:ascii="Arial" w:cs="Arial" w:eastAsia="Arial" w:hAnsi="Arial"/>
          <w:sz w:val="15"/>
          <w:szCs w:val="15"/>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September 30, 2021 and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0860"/>
          </w:cols>
          <w:pgMar w:left="320" w:top="471" w:right="71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00" w:right="244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reflects the calculation of basic and diluted net loss per ordinary share (in dollars, except per share amounts):</w:t>
      </w: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For the Period from July 31,</w:t>
            </w: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2020 (Inception) Through</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September 30, 2020</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99"/>
              <w:spacing w:after="0" w:line="147" w:lineRule="exact"/>
              <w:rPr>
                <w:sz w:val="20"/>
                <w:szCs w:val="20"/>
                <w:color w:val="auto"/>
              </w:rPr>
            </w:pPr>
            <w:r>
              <w:rPr>
                <w:rFonts w:ascii="Arial" w:cs="Arial" w:eastAsia="Arial" w:hAnsi="Arial"/>
                <w:sz w:val="14"/>
                <w:szCs w:val="14"/>
                <w:b w:val="1"/>
                <w:bCs w:val="1"/>
                <w:color w:val="auto"/>
                <w:w w:val="97"/>
              </w:rPr>
              <w:t>Class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7"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9"/>
              <w:spacing w:after="0" w:line="147"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20"/>
              <w:spacing w:after="0" w:line="147"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9"/>
              <w:spacing w:after="0" w:line="147"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i w:val="1"/>
                <w:iCs w:val="1"/>
                <w:color w:val="auto"/>
              </w:rPr>
              <w:t>Basic and diluted net loss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7"/>
                <w:szCs w:val="17"/>
                <w:color w:val="auto"/>
              </w:rPr>
              <w:t>Numerator: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Allocation of net loss,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(368,518)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(96,630)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(10,308,085)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(2,577,021)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(1,323,216)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(1,709,153)</w:t>
            </w:r>
          </w:p>
        </w:tc>
        <w:tc>
          <w:tcPr>
            <w:tcW w:w="0" w:type="dxa"/>
            <w:vAlign w:val="bottom"/>
          </w:tcPr>
          <w:p>
            <w:pPr>
              <w:spacing w:after="0"/>
              <w:rPr>
                <w:sz w:val="1"/>
                <w:szCs w:val="1"/>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7"/>
                <w:szCs w:val="17"/>
                <w:color w:val="auto"/>
              </w:rPr>
              <w:t>Denominator: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8"/>
              </w:rPr>
              <w:t>Basic and diluted weighted average shares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20,737,202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5,184,300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20,737,202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5,184,300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3,870,968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7"/>
                <w:szCs w:val="17"/>
                <w:color w:val="auto"/>
              </w:rPr>
              <w:t>Basic and diluted net loss per ordinary share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(0.50)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(0.50)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(0.34)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3" w:lineRule="exact"/>
        <w:rPr>
          <w:sz w:val="20"/>
          <w:szCs w:val="20"/>
          <w:color w:val="auto"/>
        </w:rPr>
      </w:pPr>
    </w:p>
    <w:p>
      <w:pPr>
        <w:jc w:val="both"/>
        <w:ind w:left="380" w:right="380" w:firstLine="420"/>
        <w:spacing w:after="0" w:line="265"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3" w:lineRule="exact"/>
        <w:rPr>
          <w:sz w:val="20"/>
          <w:szCs w:val="20"/>
          <w:color w:val="auto"/>
        </w:rPr>
      </w:pPr>
    </w:p>
    <w:p>
      <w:pPr>
        <w:ind w:left="380" w:right="140" w:firstLine="420"/>
        <w:spacing w:after="0" w:line="265"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Company’s condensed consolidated balance sheets, primarily due to their short-term nature, with the exception of the warrant liabilities (see Note 10).</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13"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In August 2020, the FASB issued Accounting Standards UpdateNo.2020-06,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0880"/>
          </w:cols>
          <w:pgMar w:left="320" w:top="471" w:right="69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the Company’s condensed consolidated financial statements.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4—INITIAL PUBLIC OFFERING</w:t>
      </w:r>
    </w:p>
    <w:p>
      <w:pPr>
        <w:spacing w:after="0" w:line="222" w:lineRule="exact"/>
        <w:rPr>
          <w:sz w:val="20"/>
          <w:szCs w:val="20"/>
          <w:color w:val="auto"/>
        </w:rPr>
      </w:pPr>
    </w:p>
    <w:p>
      <w:pPr>
        <w:ind w:left="380" w:right="300" w:firstLine="420"/>
        <w:spacing w:after="0" w:line="282"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5—PRIVATE PLACEMENT</w:t>
      </w:r>
    </w:p>
    <w:p>
      <w:pPr>
        <w:spacing w:after="0" w:line="222" w:lineRule="exact"/>
        <w:rPr>
          <w:sz w:val="20"/>
          <w:szCs w:val="20"/>
          <w:color w:val="auto"/>
        </w:rPr>
      </w:pPr>
    </w:p>
    <w:p>
      <w:pPr>
        <w:ind w:left="380" w:right="20" w:firstLine="420"/>
        <w:spacing w:after="0" w:line="274"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6—RELATED PARTY TRANSACTIONS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Founder Shares</w:t>
      </w:r>
    </w:p>
    <w:p>
      <w:pPr>
        <w:spacing w:after="0" w:line="216"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84" w:lineRule="exact"/>
        <w:rPr>
          <w:sz w:val="20"/>
          <w:szCs w:val="20"/>
          <w:color w:val="auto"/>
        </w:rPr>
      </w:pPr>
    </w:p>
    <w:p>
      <w:pPr>
        <w:jc w:val="both"/>
        <w:ind w:left="380" w:right="220" w:firstLine="420"/>
        <w:spacing w:after="0" w:line="317" w:lineRule="auto"/>
        <w:rPr>
          <w:sz w:val="20"/>
          <w:szCs w:val="20"/>
          <w:color w:val="auto"/>
        </w:rPr>
      </w:pPr>
      <w:r>
        <w:rPr>
          <w:rFonts w:ascii="Arial" w:cs="Arial" w:eastAsia="Arial" w:hAnsi="Arial"/>
          <w:sz w:val="15"/>
          <w:szCs w:val="15"/>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w:t>
      </w:r>
    </w:p>
    <w:p>
      <w:pPr>
        <w:spacing w:after="0" w:line="6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860"/>
          </w:cols>
          <w:pgMar w:left="320" w:top="471" w:right="71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jc w:val="both"/>
        <w:ind w:left="380" w:right="260"/>
        <w:spacing w:after="0" w:line="265" w:lineRule="auto"/>
        <w:rPr>
          <w:sz w:val="20"/>
          <w:szCs w:val="20"/>
          <w:color w:val="auto"/>
        </w:rPr>
      </w:pPr>
      <w:r>
        <w:rPr>
          <w:rFonts w:ascii="Arial" w:cs="Arial" w:eastAsia="Arial" w:hAnsi="Arial"/>
          <w:sz w:val="17"/>
          <w:szCs w:val="17"/>
          <w:color w:val="auto"/>
        </w:rPr>
        <w:t>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216" w:lineRule="exact"/>
        <w:rPr>
          <w:sz w:val="20"/>
          <w:szCs w:val="20"/>
          <w:color w:val="auto"/>
        </w:rPr>
      </w:pPr>
    </w:p>
    <w:p>
      <w:pPr>
        <w:ind w:left="380" w:right="120" w:firstLine="420"/>
        <w:spacing w:after="0" w:line="301" w:lineRule="auto"/>
        <w:rPr>
          <w:sz w:val="20"/>
          <w:szCs w:val="20"/>
          <w:color w:val="auto"/>
        </w:rPr>
      </w:pPr>
      <w:r>
        <w:rPr>
          <w:rFonts w:ascii="Arial" w:cs="Arial" w:eastAsia="Arial" w:hAnsi="Arial"/>
          <w:sz w:val="15"/>
          <w:szCs w:val="15"/>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three and nine months ended September 30, 2021 and for the period from July 31, 2020 (inception) through September 30, 2020, the Company incurred $30,000, $90,000 and $0 in fees for these services, respectively. As of September 30, 2021 and December 31, 2020, $110,000 and $30,000 remained unpaid in the accrued expenses line item on the condensed balance sheets, respectively.</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216" w:lineRule="exact"/>
        <w:rPr>
          <w:sz w:val="20"/>
          <w:szCs w:val="20"/>
          <w:color w:val="auto"/>
        </w:rPr>
      </w:pPr>
    </w:p>
    <w:p>
      <w:pPr>
        <w:ind w:left="380" w:right="120" w:firstLine="420"/>
        <w:spacing w:after="0" w:line="256"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2021 and December 30, 2020, the Company had no outstanding borrowings under the Working Capital Loans.</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7—COMMITMENTS AND CONTINGENCIES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16"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condensed consolidated financial statements. The consolidated financial statements do not include any adjustments that might result from the outcome of this uncertainty.</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216"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860"/>
          </w:cols>
          <w:pgMar w:left="320" w:top="471" w:right="71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216" w:lineRule="exact"/>
        <w:rPr>
          <w:sz w:val="20"/>
          <w:szCs w:val="20"/>
          <w:color w:val="auto"/>
        </w:rPr>
      </w:pPr>
    </w:p>
    <w:p>
      <w:pPr>
        <w:ind w:left="160" w:right="140" w:firstLine="420"/>
        <w:spacing w:after="0" w:line="265" w:lineRule="auto"/>
        <w:rPr>
          <w:sz w:val="20"/>
          <w:szCs w:val="20"/>
          <w:color w:val="auto"/>
        </w:rPr>
      </w:pPr>
      <w:r>
        <w:rPr>
          <w:rFonts w:ascii="Arial" w:cs="Arial" w:eastAsia="Arial" w:hAnsi="Arial"/>
          <w:sz w:val="17"/>
          <w:szCs w:val="17"/>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16" w:lineRule="exact"/>
        <w:rPr>
          <w:sz w:val="20"/>
          <w:szCs w:val="20"/>
          <w:color w:val="auto"/>
        </w:rPr>
      </w:pPr>
    </w:p>
    <w:p>
      <w:pPr>
        <w:ind w:left="160" w:right="2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79" w:lineRule="exact"/>
        <w:rPr>
          <w:sz w:val="20"/>
          <w:szCs w:val="20"/>
          <w:color w:val="auto"/>
        </w:rPr>
      </w:pPr>
    </w:p>
    <w:p>
      <w:pPr>
        <w:ind w:left="160" w:right="20" w:firstLine="420"/>
        <w:spacing w:after="0" w:line="274" w:lineRule="auto"/>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Subscription Agreements</w:t>
      </w:r>
    </w:p>
    <w:p>
      <w:pPr>
        <w:spacing w:after="0" w:line="216" w:lineRule="exact"/>
        <w:rPr>
          <w:sz w:val="20"/>
          <w:szCs w:val="20"/>
          <w:color w:val="auto"/>
        </w:rPr>
      </w:pPr>
    </w:p>
    <w:p>
      <w:pPr>
        <w:ind w:left="160" w:right="60" w:firstLine="420"/>
        <w:spacing w:after="0" w:line="256" w:lineRule="auto"/>
        <w:rPr>
          <w:sz w:val="20"/>
          <w:szCs w:val="20"/>
          <w:color w:val="auto"/>
        </w:rPr>
      </w:pPr>
      <w:r>
        <w:rPr>
          <w:rFonts w:ascii="Arial" w:cs="Arial" w:eastAsia="Arial" w:hAnsi="Arial"/>
          <w:sz w:val="17"/>
          <w:szCs w:val="17"/>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640"/>
          </w:cols>
          <w:pgMar w:left="540" w:top="471" w:right="71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0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8 — SHAREHOLDERS’ EQUITY</w:t>
      </w:r>
    </w:p>
    <w:p>
      <w:pPr>
        <w:spacing w:after="0" w:line="222"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As of September 30, 2021 and December 31, 2020, there were no preference shares issued or outstanding.</w:t>
      </w:r>
    </w:p>
    <w:p>
      <w:pPr>
        <w:spacing w:after="0" w:line="176" w:lineRule="exact"/>
        <w:rPr>
          <w:sz w:val="20"/>
          <w:szCs w:val="20"/>
          <w:color w:val="auto"/>
        </w:rPr>
      </w:pPr>
    </w:p>
    <w:p>
      <w:pPr>
        <w:ind w:left="380" w:right="780" w:firstLine="420"/>
        <w:spacing w:after="0" w:line="311"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At September 30, 2021 and December 31, 2020, there were 20,737,202 Class A ordinary shares issued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including Class A ordinary shares subject to possible redemption which are presented as temporary equity.</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—The Company is authorized to issue 20,000,000 Class B ordinary shares, with a par value of $0.0001 per share.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Holders of the Class B ordinary shares are entitled to one vote for each share. As of September 30, 2021 and December 31, 2020, there were 5,184,300</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Class B ordinary shares issued and outstanding.</w:t>
      </w:r>
    </w:p>
    <w:p>
      <w:pPr>
        <w:spacing w:after="0" w:line="102"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64" w:lineRule="exact"/>
        <w:rPr>
          <w:sz w:val="20"/>
          <w:szCs w:val="20"/>
          <w:color w:val="auto"/>
        </w:rPr>
      </w:pPr>
    </w:p>
    <w:p>
      <w:pPr>
        <w:ind w:left="380" w:right="40" w:firstLine="420"/>
        <w:spacing w:after="0" w:line="255"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9 — WARRANTS LIABILITIES</w:t>
      </w:r>
    </w:p>
    <w:p>
      <w:pPr>
        <w:spacing w:after="0" w:line="222" w:lineRule="exact"/>
        <w:rPr>
          <w:sz w:val="20"/>
          <w:szCs w:val="20"/>
          <w:color w:val="auto"/>
        </w:rPr>
      </w:pPr>
    </w:p>
    <w:p>
      <w:pPr>
        <w:ind w:left="380" w:firstLine="420"/>
        <w:spacing w:after="0" w:line="279" w:lineRule="auto"/>
        <w:rPr>
          <w:sz w:val="20"/>
          <w:szCs w:val="20"/>
          <w:color w:val="auto"/>
        </w:rPr>
      </w:pPr>
      <w:r>
        <w:rPr>
          <w:rFonts w:ascii="Arial" w:cs="Arial" w:eastAsia="Arial" w:hAnsi="Arial"/>
          <w:sz w:val="16"/>
          <w:szCs w:val="16"/>
          <w:color w:val="auto"/>
        </w:rPr>
        <w:t>At September 30, 2021 and December 31, 2020, the fair value of the Public Warrants was $16,694,484 and $11,509,147, respectively and the fair value of the Private Placement Warrants was $12,905,486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65"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860"/>
          </w:cols>
          <w:pgMar w:left="320" w:top="471" w:right="71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64" w:lineRule="exact"/>
        <w:rPr>
          <w:sz w:val="20"/>
          <w:szCs w:val="20"/>
          <w:color w:val="auto"/>
        </w:rPr>
      </w:pPr>
    </w:p>
    <w:p>
      <w:pPr>
        <w:ind w:left="160" w:right="20" w:firstLine="420"/>
        <w:spacing w:after="0" w:line="27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$18.00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080" w:hanging="410"/>
        <w:spacing w:after="0"/>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080" w:hanging="410"/>
        <w:spacing w:after="0"/>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26" w:lineRule="exact"/>
        <w:rPr>
          <w:rFonts w:ascii="Arial" w:cs="Arial" w:eastAsia="Arial" w:hAnsi="Arial"/>
          <w:sz w:val="17"/>
          <w:szCs w:val="17"/>
          <w:color w:val="auto"/>
        </w:rPr>
      </w:pPr>
    </w:p>
    <w:p>
      <w:pPr>
        <w:ind w:left="1080" w:hanging="410"/>
        <w:spacing w:after="0"/>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to each warrant holder; and</w:t>
      </w:r>
    </w:p>
    <w:p>
      <w:pPr>
        <w:spacing w:after="0" w:line="126" w:lineRule="exact"/>
        <w:rPr>
          <w:rFonts w:ascii="Arial" w:cs="Arial" w:eastAsia="Arial" w:hAnsi="Arial"/>
          <w:sz w:val="17"/>
          <w:szCs w:val="17"/>
          <w:color w:val="auto"/>
        </w:rPr>
      </w:pPr>
    </w:p>
    <w:p>
      <w:pPr>
        <w:ind w:left="1080" w:right="320" w:hanging="410"/>
        <w:spacing w:after="0" w:line="347" w:lineRule="auto"/>
        <w:tabs>
          <w:tab w:leader="none" w:pos="10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19" w:lineRule="exact"/>
        <w:rPr>
          <w:sz w:val="20"/>
          <w:szCs w:val="20"/>
          <w:color w:val="auto"/>
        </w:rPr>
      </w:pPr>
    </w:p>
    <w:p>
      <w:pPr>
        <w:ind w:left="160" w:right="220" w:firstLine="420"/>
        <w:spacing w:after="0" w:line="278"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$10.00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080" w:hanging="410"/>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080" w:right="260" w:hanging="410"/>
        <w:spacing w:after="0" w:line="278"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0640"/>
          </w:cols>
          <w:pgMar w:left="540" w:top="471" w:right="71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number of shares based on the redemption date and the “fair market value” of the Company’s Class A ordinary shares;</w:t>
      </w:r>
    </w:p>
    <w:p>
      <w:pPr>
        <w:spacing w:after="0" w:line="126" w:lineRule="exact"/>
        <w:rPr>
          <w:sz w:val="20"/>
          <w:szCs w:val="20"/>
          <w:color w:val="auto"/>
        </w:rPr>
      </w:pPr>
    </w:p>
    <w:p>
      <w:pPr>
        <w:ind w:left="1300" w:right="60" w:hanging="410"/>
        <w:spacing w:after="0" w:line="265" w:lineRule="auto"/>
        <w:tabs>
          <w:tab w:leader="none" w:pos="1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5" w:lineRule="exact"/>
        <w:rPr>
          <w:rFonts w:ascii="Arial" w:cs="Arial" w:eastAsia="Arial" w:hAnsi="Arial"/>
          <w:sz w:val="17"/>
          <w:szCs w:val="17"/>
          <w:color w:val="auto"/>
        </w:rPr>
      </w:pPr>
    </w:p>
    <w:p>
      <w:pPr>
        <w:jc w:val="both"/>
        <w:ind w:left="1300" w:right="200" w:hanging="410"/>
        <w:spacing w:after="0" w:line="261" w:lineRule="auto"/>
        <w:tabs>
          <w:tab w:leader="none" w:pos="1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left="380" w:right="80" w:firstLine="420"/>
        <w:spacing w:after="0" w:line="255"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9" w:lineRule="exact"/>
        <w:rPr>
          <w:sz w:val="20"/>
          <w:szCs w:val="20"/>
          <w:color w:val="auto"/>
        </w:rPr>
      </w:pPr>
    </w:p>
    <w:p>
      <w:pPr>
        <w:ind w:left="380" w:firstLine="420"/>
        <w:spacing w:after="0" w:line="292" w:lineRule="auto"/>
        <w:rPr>
          <w:sz w:val="20"/>
          <w:szCs w:val="20"/>
          <w:color w:val="auto"/>
        </w:rPr>
      </w:pPr>
      <w:r>
        <w:rPr>
          <w:rFonts w:ascii="Arial" w:cs="Arial" w:eastAsia="Arial" w:hAnsi="Arial"/>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61"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840"/>
          </w:cols>
          <w:pgMar w:left="320" w:top="471" w:right="73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10 — FAIR VALUE MEASUREMENTS</w:t>
      </w:r>
    </w:p>
    <w:p>
      <w:pPr>
        <w:spacing w:after="0" w:line="222" w:lineRule="exact"/>
        <w:rPr>
          <w:sz w:val="20"/>
          <w:szCs w:val="20"/>
          <w:color w:val="auto"/>
        </w:rPr>
      </w:pPr>
    </w:p>
    <w:p>
      <w:pPr>
        <w:ind w:left="160" w:right="40" w:firstLine="420"/>
        <w:spacing w:after="0" w:line="277" w:lineRule="auto"/>
        <w:rPr>
          <w:sz w:val="20"/>
          <w:szCs w:val="20"/>
          <w:color w:val="auto"/>
        </w:rPr>
      </w:pPr>
      <w:r>
        <w:rPr>
          <w:rFonts w:ascii="Arial" w:cs="Arial" w:eastAsia="Arial" w:hAnsi="Arial"/>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7" w:lineRule="exact"/>
        <w:rPr>
          <w:sz w:val="20"/>
          <w:szCs w:val="20"/>
          <w:color w:val="auto"/>
        </w:rPr>
      </w:pPr>
    </w:p>
    <w:p>
      <w:pPr>
        <w:ind w:left="1100" w:hanging="951"/>
        <w:spacing w:after="0" w:line="311" w:lineRule="auto"/>
        <w:tabs>
          <w:tab w:leader="none" w:pos="108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100" w:right="420" w:hanging="951"/>
        <w:spacing w:after="0" w:line="278" w:lineRule="auto"/>
        <w:tabs>
          <w:tab w:leader="none" w:pos="108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60"/>
        <w:spacing w:after="0"/>
        <w:tabs>
          <w:tab w:leader="none" w:pos="108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16" w:lineRule="exact"/>
        <w:rPr>
          <w:sz w:val="20"/>
          <w:szCs w:val="20"/>
          <w:color w:val="auto"/>
        </w:rPr>
      </w:pPr>
    </w:p>
    <w:p>
      <w:pPr>
        <w:jc w:val="both"/>
        <w:ind w:left="160" w:right="160" w:firstLine="420"/>
        <w:spacing w:after="0" w:line="265" w:lineRule="auto"/>
        <w:rPr>
          <w:sz w:val="20"/>
          <w:szCs w:val="20"/>
          <w:color w:val="auto"/>
        </w:rPr>
      </w:pPr>
      <w:r>
        <w:rPr>
          <w:rFonts w:ascii="Arial" w:cs="Arial" w:eastAsia="Arial" w:hAnsi="Arial"/>
          <w:sz w:val="17"/>
          <w:szCs w:val="17"/>
          <w:color w:val="auto"/>
        </w:rPr>
        <w:t>At September 30, 2021 and December 31, 2020, assets held in the Trust Account were comprised of $207,396,111 and $207,376,213 in money market funds which are invested primarily in U.S. Treasury Securities, respectively. Through September 30, 2021, the Company did not withdraw any interest income from the Trust Account.</w:t>
      </w:r>
    </w:p>
    <w:p>
      <w:pPr>
        <w:spacing w:after="0" w:line="176" w:lineRule="exact"/>
        <w:rPr>
          <w:sz w:val="20"/>
          <w:szCs w:val="20"/>
          <w:color w:val="auto"/>
        </w:rPr>
      </w:pPr>
    </w:p>
    <w:p>
      <w:pPr>
        <w:jc w:val="center"/>
        <w:ind w:left="960" w:right="160"/>
        <w:spacing w:after="0" w:line="436" w:lineRule="auto"/>
        <w:rPr>
          <w:sz w:val="20"/>
          <w:szCs w:val="20"/>
          <w:color w:val="auto"/>
        </w:rPr>
      </w:pPr>
      <w:r>
        <w:rPr>
          <w:rFonts w:ascii="Arial" w:cs="Arial" w:eastAsia="Arial" w:hAnsi="Arial"/>
          <w:sz w:val="17"/>
          <w:szCs w:val="17"/>
          <w:color w:val="auto"/>
        </w:rPr>
        <w:t>At September 30, 2021 and December 31, 2020, there were 10,368,601 Public Warrants and 6,147,440 Private Placement Warrants outstanding. F-50</w:t>
      </w:r>
    </w:p>
    <w:p>
      <w:pPr>
        <w:sectPr>
          <w:pgSz w:w="11900" w:h="16838" w:orient="portrait"/>
          <w:cols w:equalWidth="0" w:num="1">
            <w:col w:w="10620"/>
          </w:cols>
          <w:pgMar w:left="540" w:top="471" w:right="73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75" w:lineRule="exact"/>
        <w:rPr>
          <w:sz w:val="20"/>
          <w:szCs w:val="20"/>
          <w:color w:val="auto"/>
        </w:rPr>
      </w:pPr>
    </w:p>
    <w:p>
      <w:pPr>
        <w:ind w:left="380" w:right="180" w:firstLine="420"/>
        <w:spacing w:after="0" w:line="317" w:lineRule="auto"/>
        <w:rPr>
          <w:sz w:val="20"/>
          <w:szCs w:val="20"/>
          <w:color w:val="auto"/>
        </w:rPr>
      </w:pPr>
      <w:r>
        <w:rPr>
          <w:rFonts w:ascii="Arial" w:cs="Arial" w:eastAsia="Arial" w:hAnsi="Arial"/>
          <w:sz w:val="15"/>
          <w:szCs w:val="15"/>
          <w:color w:val="auto"/>
        </w:rPr>
        <w:t>The following table presents information about the Company’s assets and liabilities that are measured at fair value on a recurring basis at September 30, 2021 and December 31, 2020 and indicates the fair value hierarchy of the valuation inputs the Company utilized to determine such fair value. The gross holding gains and fair value of held-to-maturity securities at September 30, 2021 and December 31, 2020 are as follows:</w:t>
      </w:r>
    </w:p>
    <w:p>
      <w:pPr>
        <w:spacing w:after="0" w:line="13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Significant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2"/>
              <w:spacing w:after="0" w:line="141"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4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12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2"/>
                <w:szCs w:val="12"/>
                <w:color w:val="auto"/>
              </w:rPr>
            </w:pPr>
          </w:p>
        </w:tc>
        <w:tc>
          <w:tcPr>
            <w:tcW w:w="7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w w:val="86"/>
              </w:rPr>
              <w:t>Observable</w:t>
            </w:r>
          </w:p>
        </w:tc>
        <w:tc>
          <w:tcPr>
            <w:tcW w:w="520" w:type="dxa"/>
            <w:vAlign w:val="bottom"/>
          </w:tcPr>
          <w:p>
            <w:pPr>
              <w:spacing w:after="0"/>
              <w:rPr>
                <w:sz w:val="12"/>
                <w:szCs w:val="12"/>
                <w:color w:val="auto"/>
              </w:rPr>
            </w:pPr>
          </w:p>
        </w:tc>
        <w:tc>
          <w:tcPr>
            <w:tcW w:w="94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2"/>
              <w:spacing w:after="0" w:line="141" w:lineRule="exact"/>
              <w:rPr>
                <w:sz w:val="20"/>
                <w:szCs w:val="20"/>
                <w:color w:val="auto"/>
              </w:rPr>
            </w:pPr>
            <w:r>
              <w:rPr>
                <w:rFonts w:ascii="Arial" w:cs="Arial" w:eastAsia="Arial" w:hAnsi="Arial"/>
                <w:sz w:val="14"/>
                <w:szCs w:val="14"/>
                <w:b w:val="1"/>
                <w:bCs w:val="1"/>
                <w:color w:val="auto"/>
                <w:w w:val="90"/>
              </w:rPr>
              <w:t>Inputs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4"/>
        </w:trPr>
        <w:tc>
          <w:tcPr>
            <w:tcW w:w="4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88"/>
              </w:rPr>
              <w:t>207,396,111</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207,396,111</w:t>
            </w:r>
          </w:p>
        </w:tc>
        <w:tc>
          <w:tcPr>
            <w:tcW w:w="240" w:type="dxa"/>
            <w:vAlign w:val="bottom"/>
          </w:tcPr>
          <w:p>
            <w:pPr>
              <w:spacing w:after="0"/>
              <w:rPr>
                <w:sz w:val="17"/>
                <w:szCs w:val="17"/>
                <w:color w:val="auto"/>
              </w:rPr>
            </w:pPr>
          </w:p>
        </w:tc>
        <w:tc>
          <w:tcPr>
            <w:tcW w:w="360" w:type="dxa"/>
            <w:vAlign w:val="bottom"/>
            <w:gridSpan w:val="3"/>
          </w:tcPr>
          <w:p>
            <w:pPr>
              <w:ind w:left="2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Warrant Liability – Public Warrants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16,694,484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16,694,484</w:t>
            </w:r>
          </w:p>
        </w:tc>
        <w:tc>
          <w:tcPr>
            <w:tcW w:w="240" w:type="dxa"/>
            <w:vAlign w:val="bottom"/>
          </w:tcPr>
          <w:p>
            <w:pPr>
              <w:spacing w:after="0"/>
              <w:rPr>
                <w:sz w:val="17"/>
                <w:szCs w:val="17"/>
                <w:color w:val="auto"/>
              </w:rPr>
            </w:pPr>
          </w:p>
        </w:tc>
        <w:tc>
          <w:tcPr>
            <w:tcW w:w="360" w:type="dxa"/>
            <w:vAlign w:val="bottom"/>
            <w:gridSpan w:val="3"/>
          </w:tcPr>
          <w:p>
            <w:pPr>
              <w:ind w:left="2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 Private Placement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12,905,486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460" w:type="dxa"/>
            <w:vAlign w:val="bottom"/>
            <w:gridSpan w:val="4"/>
            <w:shd w:val="clear" w:color="auto" w:fill="CCEEFF"/>
          </w:tcPr>
          <w:p>
            <w:pPr>
              <w:ind w:left="520"/>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12,905,486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Significant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1"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4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85"/>
              </w:rPr>
              <w:t>in Active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86"/>
              </w:rPr>
              <w:t>Observable</w:t>
            </w:r>
          </w:p>
        </w:tc>
        <w:tc>
          <w:tcPr>
            <w:tcW w:w="520" w:type="dxa"/>
            <w:vAlign w:val="bottom"/>
          </w:tcPr>
          <w:p>
            <w:pPr>
              <w:spacing w:after="0"/>
              <w:rPr>
                <w:sz w:val="12"/>
                <w:szCs w:val="12"/>
                <w:color w:val="auto"/>
              </w:rPr>
            </w:pPr>
          </w:p>
        </w:tc>
        <w:tc>
          <w:tcPr>
            <w:tcW w:w="94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1"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4"/>
        </w:trPr>
        <w:tc>
          <w:tcPr>
            <w:tcW w:w="4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(Level 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4"/>
                <w:szCs w:val="14"/>
                <w:b w:val="1"/>
                <w:bCs w:val="1"/>
                <w:color w:val="auto"/>
                <w:w w:val="87"/>
              </w:rPr>
              <w:t>(Level 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207,376,213</w:t>
            </w:r>
          </w:p>
        </w:tc>
        <w:tc>
          <w:tcPr>
            <w:tcW w:w="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w w:val="90"/>
              </w:rPr>
              <w:t>207,376,213</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Warrant Liability – Public Warrants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11,509,147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11,509,147</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 Private Placement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11,003,918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460" w:type="dxa"/>
            <w:vAlign w:val="bottom"/>
            <w:gridSpan w:val="4"/>
            <w:shd w:val="clear" w:color="auto" w:fill="CCEEFF"/>
          </w:tcPr>
          <w:p>
            <w:pPr>
              <w:ind w:left="520"/>
              <w:spacing w:after="0"/>
              <w:rPr>
                <w:sz w:val="20"/>
                <w:szCs w:val="20"/>
                <w:color w:val="auto"/>
              </w:rPr>
            </w:pPr>
            <w:r>
              <w:rPr>
                <w:rFonts w:ascii="Arial" w:cs="Arial" w:eastAsia="Arial" w:hAnsi="Arial"/>
                <w:sz w:val="17"/>
                <w:szCs w:val="17"/>
                <w:color w:val="auto"/>
                <w:w w:val="92"/>
              </w:rPr>
              <w:t>$ 11,003,918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firstLine="420"/>
        <w:spacing w:after="0" w:line="289"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 liabilities on the accompanying condensed consolidated balance sheets. The warrant liabilities are measured at fair value at inception and on a recurring basis, with changes in fair value presented within the change in fair value of warrant liabilities in the condensed consolidated statements of operations.</w:t>
      </w:r>
    </w:p>
    <w:p>
      <w:pPr>
        <w:spacing w:after="0" w:line="159" w:lineRule="exact"/>
        <w:rPr>
          <w:sz w:val="20"/>
          <w:szCs w:val="20"/>
          <w:color w:val="auto"/>
        </w:rPr>
      </w:pPr>
    </w:p>
    <w:p>
      <w:pPr>
        <w:ind w:left="380" w:right="20" w:firstLine="420"/>
        <w:spacing w:after="0" w:line="282" w:lineRule="auto"/>
        <w:rPr>
          <w:sz w:val="20"/>
          <w:szCs w:val="20"/>
          <w:color w:val="auto"/>
        </w:rPr>
      </w:pPr>
      <w:r>
        <w:rPr>
          <w:rFonts w:ascii="Arial" w:cs="Arial" w:eastAsia="Arial" w:hAnsi="Arial"/>
          <w:sz w:val="16"/>
          <w:szCs w:val="16"/>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40"/>
          </w:cols>
          <w:pgMar w:left="320" w:top="471" w:right="73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presents the quantitative information regarding Level 3 fair value measurements: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840" w:type="dxa"/>
            <w:vAlign w:val="bottom"/>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199"/>
        </w:trPr>
        <w:tc>
          <w:tcPr>
            <w:tcW w:w="84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200" w:type="dxa"/>
            <w:vAlign w:val="bottom"/>
            <w:shd w:val="clear" w:color="auto" w:fill="CCEEFF"/>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11.50</w:t>
            </w:r>
          </w:p>
        </w:tc>
        <w:tc>
          <w:tcPr>
            <w:tcW w:w="880" w:type="dxa"/>
            <w:vAlign w:val="bottom"/>
            <w:gridSpan w:val="3"/>
          </w:tcPr>
          <w:p>
            <w:pPr>
              <w:ind w:left="640"/>
              <w:spacing w:after="0"/>
              <w:rPr>
                <w:sz w:val="20"/>
                <w:szCs w:val="20"/>
                <w:color w:val="auto"/>
              </w:rPr>
            </w:pPr>
            <w:r>
              <w:rPr>
                <w:rFonts w:ascii="Arial" w:cs="Arial" w:eastAsia="Arial" w:hAnsi="Arial"/>
                <w:sz w:val="17"/>
                <w:szCs w:val="17"/>
                <w:color w:val="auto"/>
              </w:rPr>
              <w:t>$</w:t>
            </w:r>
          </w:p>
        </w:tc>
        <w:tc>
          <w:tcPr>
            <w:tcW w:w="760" w:type="dxa"/>
            <w:vAlign w:val="bottom"/>
            <w:gridSpan w:val="4"/>
          </w:tcPr>
          <w:p>
            <w:pPr>
              <w:jc w:val="right"/>
              <w:ind w:right="200"/>
              <w:spacing w:after="0"/>
              <w:rPr>
                <w:sz w:val="20"/>
                <w:szCs w:val="20"/>
                <w:color w:val="auto"/>
              </w:rPr>
            </w:pPr>
            <w:r>
              <w:rPr>
                <w:rFonts w:ascii="Arial" w:cs="Arial" w:eastAsia="Arial" w:hAnsi="Arial"/>
                <w:sz w:val="17"/>
                <w:szCs w:val="17"/>
                <w:color w:val="auto"/>
              </w:rPr>
              <w:t>11.50</w:t>
            </w:r>
          </w:p>
        </w:tc>
      </w:tr>
      <w:tr>
        <w:trPr>
          <w:trHeight w:val="206"/>
        </w:trPr>
        <w:tc>
          <w:tcPr>
            <w:tcW w:w="84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rate</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0.98%</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0.36%</w:t>
            </w:r>
          </w:p>
        </w:tc>
      </w:tr>
      <w:tr>
        <w:trPr>
          <w:trHeight w:val="206"/>
        </w:trPr>
        <w:tc>
          <w:tcPr>
            <w:tcW w:w="8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Volatility</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27.0%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7"/>
                <w:szCs w:val="17"/>
                <w:color w:val="auto"/>
              </w:rPr>
              <w:t>25.0%</w:t>
            </w:r>
          </w:p>
        </w:tc>
      </w:tr>
      <w:tr>
        <w:trPr>
          <w:trHeight w:val="206"/>
        </w:trPr>
        <w:tc>
          <w:tcPr>
            <w:tcW w:w="84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(in years)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5.0</w:t>
            </w:r>
          </w:p>
        </w:tc>
      </w:tr>
      <w:tr>
        <w:trPr>
          <w:trHeight w:val="217"/>
        </w:trPr>
        <w:tc>
          <w:tcPr>
            <w:tcW w:w="8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7"/>
                <w:szCs w:val="17"/>
                <w:color w:val="auto"/>
              </w:rPr>
              <w:t>0.0%</w:t>
            </w:r>
          </w:p>
        </w:tc>
      </w:tr>
      <w:tr>
        <w:trPr>
          <w:trHeight w:val="399"/>
        </w:trPr>
        <w:tc>
          <w:tcPr>
            <w:tcW w:w="6000" w:type="dxa"/>
            <w:vAlign w:val="bottom"/>
            <w:gridSpan w:val="3"/>
          </w:tcPr>
          <w:p>
            <w:pPr>
              <w:spacing w:after="0"/>
              <w:rPr>
                <w:sz w:val="20"/>
                <w:szCs w:val="20"/>
                <w:color w:val="auto"/>
              </w:rPr>
            </w:pPr>
            <w:r>
              <w:rPr>
                <w:rFonts w:ascii="Arial" w:cs="Arial" w:eastAsia="Arial" w:hAnsi="Arial"/>
                <w:sz w:val="17"/>
                <w:szCs w:val="17"/>
                <w:color w:val="auto"/>
                <w:w w:val="93"/>
              </w:rPr>
              <w:t>The following table presents the changes in the fair value of Level 3 warrant liabilities: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2"/>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ind w:left="220"/>
              <w:spacing w:after="0"/>
              <w:rPr>
                <w:sz w:val="20"/>
                <w:szCs w:val="20"/>
                <w:color w:val="auto"/>
              </w:rPr>
            </w:pPr>
            <w:r>
              <w:rPr>
                <w:rFonts w:ascii="Arial" w:cs="Arial" w:eastAsia="Arial" w:hAnsi="Arial"/>
                <w:sz w:val="14"/>
                <w:szCs w:val="14"/>
                <w:b w:val="1"/>
                <w:bCs w:val="1"/>
                <w:color w:val="auto"/>
                <w:w w:val="94"/>
              </w:rPr>
              <w:t>Private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4"/>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Placement</w:t>
            </w:r>
          </w:p>
        </w:tc>
      </w:tr>
      <w:tr>
        <w:trPr>
          <w:trHeight w:val="199"/>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as of January 1, 2021</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8"/>
              </w:rPr>
              <w:t>$ 11,003,918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Change in fair value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12,110,456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March 31, 2021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$ 23,114,374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Change in fair value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7"/>
                <w:szCs w:val="17"/>
                <w:color w:val="auto"/>
              </w:rPr>
              <w:t>(9,592,439)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
        </w:trPr>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June 30, 2021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$ 13,521,935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Change in fair value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7"/>
                <w:szCs w:val="17"/>
                <w:color w:val="auto"/>
              </w:rPr>
              <w:t>(616,449)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
        </w:trPr>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September 30, 2021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$ 12,905,486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48" w:lineRule="exact"/>
        <w:rPr>
          <w:sz w:val="20"/>
          <w:szCs w:val="20"/>
          <w:color w:val="auto"/>
        </w:rPr>
      </w:pPr>
    </w:p>
    <w:p>
      <w:pPr>
        <w:ind w:left="380" w:firstLine="420"/>
        <w:spacing w:after="0" w:line="278" w:lineRule="auto"/>
        <w:rPr>
          <w:sz w:val="20"/>
          <w:szCs w:val="20"/>
          <w:color w:val="auto"/>
        </w:rPr>
      </w:pPr>
      <w:r>
        <w:rPr>
          <w:rFonts w:ascii="Arial" w:cs="Arial" w:eastAsia="Arial" w:hAnsi="Arial"/>
          <w:sz w:val="17"/>
          <w:szCs w:val="17"/>
          <w:color w:val="auto"/>
        </w:rPr>
        <w:t>Transfers to/from Levels 1, 2 and 3 are recognized at the end of the reporting period. There were no transfers between levels for the three and nine months ended September 30, 2021.</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11 — SUBSEQUENT EVENTS</w:t>
      </w:r>
    </w:p>
    <w:p>
      <w:pPr>
        <w:spacing w:after="0" w:line="119"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unaudited condensed consolidated financial statements were issued. Based upon this review, the Company did not identify, other than as described below and in Note 2 (Restatement of Previously Issued Financial Statements), any subsequent events that would have required adjustment or disclosure in the unaudited condensed consolidated financial statements.</w:t>
      </w:r>
    </w:p>
    <w:p>
      <w:pPr>
        <w:spacing w:after="0" w:line="179"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At a special meeting of stockholders on October 14, 2021 (the “Special Meeting”), the stockholders of the Company voted and approved Proposal Nos. 1 through 8, including the Bakkt Business Combination. On October 15, 2021, subsequent to the fiscal quarter ended September 30,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(“(”Merger Sub”), and Bakkt Opco Holdings, LLC, a Delaware limited liability corporation (f/k/a Bakkt Holdings, LLC) (“Opco”).</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840"/>
          </w:cols>
          <w:pgMar w:left="320" w:top="471" w:right="73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020" w:type="dxa"/>
            <w:vAlign w:val="bottom"/>
            <w:gridSpan w:val="4"/>
            <w:vMerge w:val="restart"/>
          </w:tcPr>
          <w:p>
            <w:pPr>
              <w:spacing w:after="0"/>
              <w:rPr>
                <w:rFonts w:ascii="Arial" w:cs="Arial" w:eastAsia="Arial" w:hAnsi="Arial"/>
                <w:sz w:val="17"/>
                <w:szCs w:val="17"/>
                <w:color w:val="0000EE"/>
                <w:w w:val="92"/>
              </w:rPr>
            </w:pPr>
            <w:hyperlink w:anchor="page234">
              <w:r>
                <w:rPr>
                  <w:rFonts w:ascii="Arial" w:cs="Arial" w:eastAsia="Arial" w:hAnsi="Arial"/>
                  <w:sz w:val="17"/>
                  <w:szCs w:val="17"/>
                  <w:color w:val="0000EE"/>
                  <w:w w:val="92"/>
                </w:rPr>
                <w:t>Report of Independent Registered Public Accounting Firm</w:t>
              </w:r>
            </w:hyperlink>
          </w:p>
        </w:tc>
        <w:tc>
          <w:tcPr>
            <w:tcW w:w="6040" w:type="dxa"/>
            <w:vAlign w:val="bottom"/>
            <w:gridSpan w:val="3"/>
            <w:vMerge w:val="restart"/>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5"/>
        </w:trPr>
        <w:tc>
          <w:tcPr>
            <w:tcW w:w="4020" w:type="dxa"/>
            <w:vAlign w:val="bottom"/>
            <w:tcBorders>
              <w:bottom w:val="single" w:sz="8" w:color="0000EE"/>
            </w:tcBorders>
            <w:gridSpan w:val="4"/>
            <w:vMerge w:val="continue"/>
          </w:tcPr>
          <w:p>
            <w:pPr>
              <w:spacing w:after="0"/>
              <w:rPr>
                <w:sz w:val="13"/>
                <w:szCs w:val="13"/>
                <w:color w:val="auto"/>
              </w:rPr>
            </w:pPr>
          </w:p>
        </w:tc>
        <w:tc>
          <w:tcPr>
            <w:tcW w:w="6040" w:type="dxa"/>
            <w:vAlign w:val="bottom"/>
            <w:gridSpan w:val="3"/>
            <w:vMerge w:val="continue"/>
          </w:tcPr>
          <w:p>
            <w:pPr>
              <w:spacing w:after="0"/>
              <w:rPr>
                <w:sz w:val="13"/>
                <w:szCs w:val="13"/>
                <w:color w:val="auto"/>
              </w:rPr>
            </w:pPr>
          </w:p>
        </w:tc>
        <w:tc>
          <w:tcPr>
            <w:tcW w:w="380" w:type="dxa"/>
            <w:vAlign w:val="bottom"/>
            <w:tcBorders>
              <w:top w:val="single" w:sz="8" w:color="auto"/>
            </w:tcBorders>
          </w:tcPr>
          <w:p>
            <w:pPr>
              <w:ind w:left="60"/>
              <w:spacing w:after="0" w:line="160" w:lineRule="exact"/>
              <w:rPr>
                <w:sz w:val="20"/>
                <w:szCs w:val="20"/>
                <w:color w:val="auto"/>
              </w:rPr>
            </w:pPr>
            <w:r>
              <w:rPr>
                <w:rFonts w:ascii="Arial" w:cs="Arial" w:eastAsia="Arial" w:hAnsi="Arial"/>
                <w:sz w:val="17"/>
                <w:szCs w:val="17"/>
                <w:color w:val="auto"/>
                <w:w w:val="85"/>
              </w:rPr>
              <w:t>F-54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35">
              <w:r>
                <w:rPr>
                  <w:rFonts w:ascii="Arial" w:cs="Arial" w:eastAsia="Arial" w:hAnsi="Arial"/>
                  <w:sz w:val="17"/>
                  <w:szCs w:val="17"/>
                  <w:color w:val="0000EE"/>
                </w:rPr>
                <w:t>Consolidated Balance Sheets</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F-55</w:t>
            </w: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60" w:type="dxa"/>
            <w:vAlign w:val="bottom"/>
            <w:tcBorders>
              <w:bottom w:val="single" w:sz="8" w:color="0000EE"/>
            </w:tcBorders>
            <w:gridSpan w:val="5"/>
          </w:tcPr>
          <w:p>
            <w:pPr>
              <w:spacing w:after="0" w:line="186" w:lineRule="exact"/>
              <w:rPr>
                <w:rFonts w:ascii="Arial" w:cs="Arial" w:eastAsia="Arial" w:hAnsi="Arial"/>
                <w:sz w:val="17"/>
                <w:szCs w:val="17"/>
                <w:color w:val="0000EE"/>
                <w:w w:val="89"/>
              </w:rPr>
            </w:pPr>
            <w:hyperlink w:anchor="page236">
              <w:r>
                <w:rPr>
                  <w:rFonts w:ascii="Arial" w:cs="Arial" w:eastAsia="Arial" w:hAnsi="Arial"/>
                  <w:sz w:val="17"/>
                  <w:szCs w:val="17"/>
                  <w:color w:val="0000EE"/>
                  <w:w w:val="89"/>
                </w:rPr>
                <w:t>Consolidated Statements of Operations and Comprehensive Loss</w:t>
              </w:r>
            </w:hyperlink>
          </w:p>
        </w:tc>
        <w:tc>
          <w:tcPr>
            <w:tcW w:w="5600" w:type="dxa"/>
            <w:vAlign w:val="bottom"/>
            <w:gridSpan w:val="2"/>
          </w:tcPr>
          <w:p>
            <w:pPr>
              <w:spacing w:after="0"/>
              <w:rPr>
                <w:sz w:val="16"/>
                <w:szCs w:val="16"/>
                <w:color w:val="auto"/>
              </w:rPr>
            </w:pPr>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F-56</w:t>
            </w:r>
          </w:p>
        </w:tc>
        <w:tc>
          <w:tcPr>
            <w:tcW w:w="0" w:type="dxa"/>
            <w:vAlign w:val="bottom"/>
          </w:tcPr>
          <w:p>
            <w:pPr>
              <w:spacing w:after="0"/>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37">
              <w:r>
                <w:rPr>
                  <w:rFonts w:ascii="Arial" w:cs="Arial" w:eastAsia="Arial" w:hAnsi="Arial"/>
                  <w:sz w:val="17"/>
                  <w:szCs w:val="17"/>
                  <w:color w:val="0000EE"/>
                </w:rPr>
                <w:t>Consolidated Statements of Changes in Members’ Equity and Mezzanine Equity</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F-57</w:t>
            </w:r>
          </w:p>
        </w:tc>
        <w:tc>
          <w:tcPr>
            <w:tcW w:w="0" w:type="dxa"/>
            <w:vAlign w:val="bottom"/>
          </w:tcPr>
          <w:p>
            <w:pPr>
              <w:spacing w:after="0"/>
              <w:rPr>
                <w:sz w:val="1"/>
                <w:szCs w:val="1"/>
                <w:color w:val="auto"/>
              </w:rPr>
            </w:pPr>
          </w:p>
        </w:tc>
      </w:tr>
      <w:tr>
        <w:trPr>
          <w:trHeight w:val="186"/>
        </w:trPr>
        <w:tc>
          <w:tcPr>
            <w:tcW w:w="5520" w:type="dxa"/>
            <w:vAlign w:val="bottom"/>
            <w:tcBorders>
              <w:top w:val="single" w:sz="8" w:color="0000EE"/>
            </w:tcBorders>
            <w:gridSpan w:val="6"/>
          </w:tcPr>
          <w:p>
            <w:pPr>
              <w:spacing w:after="0" w:line="186" w:lineRule="exact"/>
              <w:rPr>
                <w:rFonts w:ascii="Arial" w:cs="Arial" w:eastAsia="Arial" w:hAnsi="Arial"/>
                <w:sz w:val="17"/>
                <w:szCs w:val="17"/>
                <w:color w:val="0000EE"/>
              </w:rPr>
            </w:pPr>
            <w:hyperlink w:anchor="page238">
              <w:r>
                <w:rPr>
                  <w:rFonts w:ascii="Arial" w:cs="Arial" w:eastAsia="Arial" w:hAnsi="Arial"/>
                  <w:sz w:val="17"/>
                  <w:szCs w:val="17"/>
                  <w:color w:val="0000EE"/>
                </w:rPr>
                <w:t>Consolidated Statements of Cash Flows</w:t>
              </w:r>
            </w:hyperlink>
          </w:p>
        </w:tc>
        <w:tc>
          <w:tcPr>
            <w:tcW w:w="4540" w:type="dxa"/>
            <w:vAlign w:val="bottom"/>
          </w:tcPr>
          <w:p>
            <w:pPr>
              <w:spacing w:after="0"/>
              <w:rPr>
                <w:sz w:val="16"/>
                <w:szCs w:val="16"/>
                <w:color w:val="auto"/>
              </w:rPr>
            </w:pPr>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F-58</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40">
              <w:r>
                <w:rPr>
                  <w:rFonts w:ascii="Arial" w:cs="Arial" w:eastAsia="Arial" w:hAnsi="Arial"/>
                  <w:sz w:val="17"/>
                  <w:szCs w:val="17"/>
                  <w:color w:val="0000EE"/>
                </w:rPr>
                <w:t>Notes to Consolidated Financial Statements</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F-60</w:t>
            </w:r>
          </w:p>
        </w:tc>
        <w:tc>
          <w:tcPr>
            <w:tcW w:w="0" w:type="dxa"/>
            <w:vAlign w:val="bottom"/>
          </w:tcPr>
          <w:p>
            <w:pPr>
              <w:spacing w:after="0"/>
              <w:rPr>
                <w:sz w:val="1"/>
                <w:szCs w:val="1"/>
                <w:color w:val="auto"/>
              </w:rPr>
            </w:pPr>
          </w:p>
        </w:tc>
      </w:tr>
      <w:tr>
        <w:trPr>
          <w:trHeight w:val="364"/>
        </w:trPr>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2"/>
          </w:tcPr>
          <w:p>
            <w:pPr>
              <w:ind w:left="620"/>
              <w:spacing w:after="0"/>
              <w:rPr>
                <w:sz w:val="20"/>
                <w:szCs w:val="20"/>
                <w:color w:val="auto"/>
              </w:rPr>
            </w:pPr>
            <w:r>
              <w:rPr>
                <w:rFonts w:ascii="Arial" w:cs="Arial" w:eastAsia="Arial" w:hAnsi="Arial"/>
                <w:sz w:val="17"/>
                <w:szCs w:val="17"/>
                <w:color w:val="auto"/>
              </w:rPr>
              <w:t>F-53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Members and the Board of Managers of Bakkt Holdings, LLC</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9" w:lineRule="exact"/>
        <w:rPr>
          <w:sz w:val="20"/>
          <w:szCs w:val="20"/>
          <w:color w:val="auto"/>
        </w:rPr>
      </w:pPr>
    </w:p>
    <w:p>
      <w:pPr>
        <w:ind w:left="380" w:right="20"/>
        <w:spacing w:after="0" w:line="279" w:lineRule="auto"/>
        <w:rPr>
          <w:sz w:val="20"/>
          <w:szCs w:val="20"/>
          <w:color w:val="auto"/>
        </w:rPr>
      </w:pPr>
      <w:r>
        <w:rPr>
          <w:rFonts w:ascii="Arial" w:cs="Arial" w:eastAsia="Arial" w:hAnsi="Arial"/>
          <w:sz w:val="16"/>
          <w:szCs w:val="16"/>
          <w:color w:val="auto"/>
        </w:rPr>
        <w:t>We have audited the accompanying consolidated balance sheets of Bakkt Holdings, LLC and subsidiaries (the Company) as of December 31, 2020 and 2019, the related consolidated statements of operations and comprehensive loss, changes in members’ equity and mezzanine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Basis for Opinion</w:t>
      </w:r>
    </w:p>
    <w:p>
      <w:pPr>
        <w:spacing w:after="0" w:line="119" w:lineRule="exact"/>
        <w:rPr>
          <w:sz w:val="20"/>
          <w:szCs w:val="20"/>
          <w:color w:val="auto"/>
        </w:rPr>
      </w:pPr>
    </w:p>
    <w:p>
      <w:pPr>
        <w:ind w:left="380" w:right="60"/>
        <w:spacing w:after="0" w:line="26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/s/ Ernst &amp; Young LLP</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served as the Company’s auditor since 2018.</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Atlanta, GA</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March 31, 2021</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840"/>
          </w:cols>
          <w:pgMar w:left="320" w:top="471" w:right="73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243" w:lineRule="exact"/>
        <w:rPr>
          <w:sz w:val="20"/>
          <w:szCs w:val="20"/>
          <w:color w:val="auto"/>
        </w:rPr>
      </w:pPr>
    </w:p>
    <w:tbl>
      <w:tblPr>
        <w:tblLayout w:type="fixed"/>
        <w:tblInd w:w="380" w:type="dxa"/>
        <w:tblCellMar>
          <w:top w:w="0" w:type="dxa"/>
          <w:left w:w="0" w:type="dxa"/>
          <w:bottom w:w="0" w:type="dxa"/>
          <w:right w:w="0" w:type="dxa"/>
        </w:tblCellMar>
      </w:tblPr>
      <w:tr>
        <w:trPr>
          <w:trHeight w:val="154"/>
        </w:trPr>
        <w:tc>
          <w:tcPr>
            <w:tcW w:w="8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7"/>
          </w:tcPr>
          <w:p>
            <w:pPr>
              <w:ind w:left="10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7"/>
        </w:trPr>
        <w:tc>
          <w:tcPr>
            <w:tcW w:w="8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8" w:lineRule="exact"/>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7"/>
              <w:spacing w:after="0" w:line="148"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900" w:type="dxa"/>
            <w:vAlign w:val="bottom"/>
            <w:shd w:val="clear" w:color="auto" w:fill="CCEEFF"/>
          </w:tcPr>
          <w:p>
            <w:pPr>
              <w:spacing w:after="0" w:line="134" w:lineRule="exact"/>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75,361</w:t>
            </w:r>
          </w:p>
        </w:tc>
        <w:tc>
          <w:tcPr>
            <w:tcW w:w="1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76,634</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16,500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16,500</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Customer funds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3"/>
                <w:szCs w:val="13"/>
                <w:color w:val="auto"/>
              </w:rPr>
            </w:pPr>
          </w:p>
        </w:tc>
        <w:tc>
          <w:tcPr>
            <w:tcW w:w="660" w:type="dxa"/>
            <w:vAlign w:val="bottom"/>
            <w:gridSpan w:val="3"/>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Accounts receivable,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10,408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Other receivables</w:t>
            </w:r>
          </w:p>
        </w:tc>
        <w:tc>
          <w:tcPr>
            <w:tcW w:w="120" w:type="dxa"/>
            <w:vAlign w:val="bottom"/>
          </w:tcPr>
          <w:p>
            <w:pPr>
              <w:spacing w:after="0"/>
              <w:rPr>
                <w:sz w:val="13"/>
                <w:szCs w:val="13"/>
                <w:color w:val="auto"/>
              </w:rPr>
            </w:pPr>
          </w:p>
        </w:tc>
        <w:tc>
          <w:tcPr>
            <w:tcW w:w="660" w:type="dxa"/>
            <w:vAlign w:val="bottom"/>
            <w:gridSpan w:val="3"/>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Investment in shares of affiliate stock, current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1,823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Deposits with clearinghouse affiliate, current</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20,200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7,690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4,840</w:t>
            </w:r>
          </w:p>
        </w:tc>
        <w:tc>
          <w:tcPr>
            <w:tcW w:w="0" w:type="dxa"/>
            <w:vAlign w:val="bottom"/>
          </w:tcPr>
          <w:p>
            <w:pPr>
              <w:spacing w:after="0"/>
              <w:rPr>
                <w:sz w:val="1"/>
                <w:szCs w:val="1"/>
                <w:color w:val="auto"/>
              </w:rPr>
            </w:pPr>
          </w:p>
        </w:tc>
      </w:tr>
      <w:tr>
        <w:trPr>
          <w:trHeight w:val="160"/>
        </w:trPr>
        <w:tc>
          <w:tcPr>
            <w:tcW w:w="8900" w:type="dxa"/>
            <w:vAlign w:val="bottom"/>
          </w:tcPr>
          <w:p>
            <w:pPr>
              <w:ind w:left="580"/>
              <w:spacing w:after="0" w:line="160" w:lineRule="exact"/>
              <w:rPr>
                <w:sz w:val="20"/>
                <w:szCs w:val="20"/>
                <w:color w:val="auto"/>
              </w:rPr>
            </w:pPr>
            <w:r>
              <w:rPr>
                <w:rFonts w:ascii="Arial" w:cs="Arial" w:eastAsia="Arial" w:hAnsi="Arial"/>
                <w:sz w:val="15"/>
                <w:szCs w:val="15"/>
                <w:color w:val="auto"/>
              </w:rPr>
              <w:t>Total current assets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95"/>
              </w:rPr>
              <w:t>132,063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92"/>
              </w:rPr>
              <w:t>100,077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Property, equipment and software,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19,957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11,108</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w w:val="95"/>
              </w:rPr>
              <w:t>233,429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16,854</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Intangible assets,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62,199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2,092</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Deposits with clearinghouse affiliate, noncurrent</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15,150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46,352</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Investment in shares of affiliate stock</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1,194</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5,578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assets</w:t>
            </w:r>
          </w:p>
        </w:tc>
        <w:tc>
          <w:tcPr>
            <w:tcW w:w="1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w w:val="95"/>
              </w:rPr>
              <w:t>468,376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w w:val="92"/>
              </w:rPr>
              <w:t>177,681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Current liabilities:</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Accounts payable and accrued liabilities</w:t>
            </w:r>
          </w:p>
        </w:tc>
        <w:tc>
          <w:tcPr>
            <w:tcW w:w="120" w:type="dxa"/>
            <w:vAlign w:val="bottom"/>
          </w:tcPr>
          <w:p>
            <w:pPr>
              <w:jc w:val="right"/>
              <w:spacing w:after="0" w:line="154" w:lineRule="exact"/>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42,915</w:t>
            </w:r>
          </w:p>
        </w:tc>
        <w:tc>
          <w:tcPr>
            <w:tcW w:w="180" w:type="dxa"/>
            <w:vAlign w:val="bottom"/>
            <w:gridSpan w:val="2"/>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5,955</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Customer funds payable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Deferred revenue, current</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rPr>
              <w:t>4,282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Due to affiliates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1,856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9,432</w:t>
            </w:r>
          </w:p>
        </w:tc>
        <w:tc>
          <w:tcPr>
            <w:tcW w:w="0" w:type="dxa"/>
            <w:vAlign w:val="bottom"/>
          </w:tcPr>
          <w:p>
            <w:pPr>
              <w:spacing w:after="0"/>
              <w:rPr>
                <w:sz w:val="1"/>
                <w:szCs w:val="1"/>
                <w:color w:val="auto"/>
              </w:rPr>
            </w:pPr>
          </w:p>
        </w:tc>
      </w:tr>
      <w:tr>
        <w:trPr>
          <w:trHeight w:val="160"/>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Other current liabilities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1,943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line="154"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current liabilities</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51,077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15,387</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Deferred revenue, noncurrent</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rPr>
              <w:t>4,103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Deferred tax liabilities, net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3,319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liabilities</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58,594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15,649</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Mezzanine equity: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900" w:type="dxa"/>
            <w:vAlign w:val="bottom"/>
            <w:shd w:val="clear" w:color="auto" w:fill="CCEEFF"/>
          </w:tcPr>
          <w:p>
            <w:pPr>
              <w:ind w:left="280"/>
              <w:spacing w:after="0" w:line="141" w:lineRule="exact"/>
              <w:rPr>
                <w:sz w:val="20"/>
                <w:szCs w:val="20"/>
                <w:color w:val="auto"/>
              </w:rPr>
            </w:pPr>
            <w:r>
              <w:rPr>
                <w:rFonts w:ascii="Arial" w:cs="Arial" w:eastAsia="Arial" w:hAnsi="Arial"/>
                <w:sz w:val="15"/>
                <w:szCs w:val="15"/>
                <w:color w:val="auto"/>
                <w:w w:val="89"/>
              </w:rPr>
              <w:t>Incentive units (156,000,000 authorized, 103,318,325 unvested units and 85,875,000 unvested units issued and outstanding as of December 31,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900" w:type="dxa"/>
            <w:vAlign w:val="bottom"/>
            <w:shd w:val="clear" w:color="auto" w:fill="CCEEFF"/>
          </w:tcPr>
          <w:p>
            <w:pPr>
              <w:ind w:left="440"/>
              <w:spacing w:after="0" w:line="168" w:lineRule="exact"/>
              <w:rPr>
                <w:sz w:val="20"/>
                <w:szCs w:val="20"/>
                <w:color w:val="auto"/>
              </w:rPr>
            </w:pPr>
            <w:r>
              <w:rPr>
                <w:rFonts w:ascii="Arial" w:cs="Arial" w:eastAsia="Arial" w:hAnsi="Arial"/>
                <w:sz w:val="15"/>
                <w:szCs w:val="15"/>
                <w:color w:val="auto"/>
              </w:rPr>
              <w:t>2020 and 2019, respectively)</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21,452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10,515</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Members’ equity: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w w:val="99"/>
              </w:rPr>
              <w:t>Class A voting units (413,000,000 units authorized, 400,000,000 units issued and outstanding as of December 31, 2020 and 2019)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2,613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1,916</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w w:val="99"/>
              </w:rPr>
              <w:t>Class B voting units (212,500,000 units authorized, 182,500,000 units issued and outstanding as of December 31, 2020 and 2019)</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w w:val="95"/>
              </w:rPr>
              <w:t>182,500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w w:val="92"/>
              </w:rPr>
              <w:t>182,500</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Class B warrant (see Note 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5,426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1"/>
        </w:trPr>
        <w:tc>
          <w:tcPr>
            <w:tcW w:w="8900" w:type="dxa"/>
            <w:vAlign w:val="bottom"/>
          </w:tcPr>
          <w:p>
            <w:pPr>
              <w:ind w:left="280"/>
              <w:spacing w:after="0" w:line="141" w:lineRule="exact"/>
              <w:rPr>
                <w:sz w:val="20"/>
                <w:szCs w:val="20"/>
                <w:color w:val="auto"/>
              </w:rPr>
            </w:pPr>
            <w:r>
              <w:rPr>
                <w:rFonts w:ascii="Arial" w:cs="Arial" w:eastAsia="Arial" w:hAnsi="Arial"/>
                <w:sz w:val="15"/>
                <w:szCs w:val="15"/>
                <w:color w:val="auto"/>
                <w:w w:val="91"/>
              </w:rPr>
              <w:t>Class C voting units (284,000,000 units authorized, 270,270,270 units and 0 units issued and outstanding as of December 31, 2020 and 2019,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900" w:type="dxa"/>
            <w:vAlign w:val="bottom"/>
          </w:tcPr>
          <w:p>
            <w:pPr>
              <w:ind w:left="440"/>
              <w:spacing w:after="0" w:line="168" w:lineRule="exact"/>
              <w:rPr>
                <w:sz w:val="20"/>
                <w:szCs w:val="20"/>
                <w:color w:val="auto"/>
              </w:rPr>
            </w:pPr>
            <w:r>
              <w:rPr>
                <w:rFonts w:ascii="Arial" w:cs="Arial" w:eastAsia="Arial" w:hAnsi="Arial"/>
                <w:sz w:val="15"/>
                <w:szCs w:val="15"/>
                <w:color w:val="auto"/>
              </w:rPr>
              <w:t>respectively)</w:t>
            </w:r>
          </w:p>
        </w:tc>
        <w:tc>
          <w:tcPr>
            <w:tcW w:w="120" w:type="dxa"/>
            <w:vAlign w:val="bottom"/>
          </w:tcPr>
          <w:p>
            <w:pPr>
              <w:spacing w:after="0"/>
              <w:rPr>
                <w:sz w:val="14"/>
                <w:szCs w:val="14"/>
                <w:color w:val="auto"/>
              </w:rPr>
            </w:pPr>
          </w:p>
        </w:tc>
        <w:tc>
          <w:tcPr>
            <w:tcW w:w="560" w:type="dxa"/>
            <w:vAlign w:val="bottom"/>
            <w:gridSpan w:val="2"/>
          </w:tcPr>
          <w:p>
            <w:pPr>
              <w:jc w:val="right"/>
              <w:ind w:right="20"/>
              <w:spacing w:after="0" w:line="168" w:lineRule="exact"/>
              <w:rPr>
                <w:sz w:val="20"/>
                <w:szCs w:val="20"/>
                <w:color w:val="auto"/>
              </w:rPr>
            </w:pPr>
            <w:r>
              <w:rPr>
                <w:rFonts w:ascii="Arial" w:cs="Arial" w:eastAsia="Arial" w:hAnsi="Arial"/>
                <w:sz w:val="15"/>
                <w:szCs w:val="15"/>
                <w:color w:val="auto"/>
                <w:w w:val="95"/>
              </w:rPr>
              <w:t>310,104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Accumulated other comprehensive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Accumulated deficit</w:t>
            </w:r>
          </w:p>
        </w:tc>
        <w:tc>
          <w:tcPr>
            <w:tcW w:w="120" w:type="dxa"/>
            <w:vAlign w:val="bottom"/>
          </w:tcPr>
          <w:p>
            <w:pPr>
              <w:spacing w:after="0"/>
              <w:rPr>
                <w:sz w:val="13"/>
                <w:szCs w:val="13"/>
                <w:color w:val="auto"/>
              </w:rPr>
            </w:pPr>
          </w:p>
        </w:tc>
        <w:tc>
          <w:tcPr>
            <w:tcW w:w="660" w:type="dxa"/>
            <w:vAlign w:val="bottom"/>
            <w:gridSpan w:val="3"/>
          </w:tcPr>
          <w:p>
            <w:pPr>
              <w:jc w:val="right"/>
              <w:ind w:right="60"/>
              <w:spacing w:after="0" w:line="154" w:lineRule="exact"/>
              <w:rPr>
                <w:sz w:val="20"/>
                <w:szCs w:val="20"/>
                <w:color w:val="auto"/>
              </w:rPr>
            </w:pPr>
            <w:r>
              <w:rPr>
                <w:rFonts w:ascii="Arial" w:cs="Arial" w:eastAsia="Arial" w:hAnsi="Arial"/>
                <w:sz w:val="15"/>
                <w:szCs w:val="15"/>
                <w:color w:val="auto"/>
                <w:w w:val="90"/>
              </w:rPr>
              <w:t>(112,504)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w w:val="96"/>
              </w:rPr>
              <w:t>(32,899)</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members’ equity</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5"/>
              </w:rPr>
              <w:t>388,330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2"/>
              </w:rPr>
              <w:t>151,517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900" w:type="dxa"/>
            <w:vAlign w:val="bottom"/>
          </w:tcPr>
          <w:p>
            <w:pPr>
              <w:spacing w:after="0" w:line="160" w:lineRule="exact"/>
              <w:rPr>
                <w:sz w:val="20"/>
                <w:szCs w:val="20"/>
                <w:color w:val="auto"/>
              </w:rPr>
            </w:pPr>
            <w:r>
              <w:rPr>
                <w:rFonts w:ascii="Arial" w:cs="Arial" w:eastAsia="Arial" w:hAnsi="Arial"/>
                <w:sz w:val="15"/>
                <w:szCs w:val="15"/>
                <w:color w:val="auto"/>
              </w:rPr>
              <w:t>Total liabilities and members’ equity</w:t>
            </w:r>
          </w:p>
        </w:tc>
        <w:tc>
          <w:tcPr>
            <w:tcW w:w="1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95"/>
              </w:rPr>
              <w:t>468,376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92"/>
              </w:rPr>
              <w:t>177,681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880"/>
          </w:cols>
          <w:pgMar w:left="320" w:top="471" w:right="69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jc w:val="center"/>
        <w:ind w:left="868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380" w:type="dxa"/>
        <w:tblCellMar>
          <w:top w:w="0" w:type="dxa"/>
          <w:left w:w="0" w:type="dxa"/>
          <w:bottom w:w="0" w:type="dxa"/>
          <w:right w:w="0" w:type="dxa"/>
        </w:tblCellMar>
      </w:tblPr>
      <w:tr>
        <w:trPr>
          <w:trHeight w:val="147"/>
        </w:trPr>
        <w:tc>
          <w:tcPr>
            <w:tcW w:w="8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8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Net revenues (includes net revenues from affiliate of $(2,007) and $(881),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28,495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80"/>
              <w:spacing w:after="0"/>
              <w:rPr>
                <w:sz w:val="20"/>
                <w:szCs w:val="20"/>
                <w:color w:val="auto"/>
              </w:rPr>
            </w:pPr>
            <w:r>
              <w:rPr>
                <w:rFonts w:ascii="Arial" w:cs="Arial" w:eastAsia="Arial" w:hAnsi="Arial"/>
                <w:sz w:val="17"/>
                <w:szCs w:val="17"/>
                <w:color w:val="auto"/>
              </w:rPr>
              <w:t>Total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43,141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23,237</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9,741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4,256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13,372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3,082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80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107,614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35,815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(79,119)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(36,679)</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(33,175)</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(79,605)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color w:val="auto"/>
              </w:rPr>
              <w:t>Currency translation adjustment, net of tax</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(79,414)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880"/>
          </w:cols>
          <w:pgMar w:left="320" w:top="471" w:right="69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Accumulated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r>
      <w:tr>
        <w:trPr>
          <w:trHeight w:val="129"/>
        </w:trPr>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9"/>
              </w:rPr>
              <w:t>Other</w:t>
            </w:r>
          </w:p>
        </w:tc>
        <w:tc>
          <w:tcPr>
            <w:tcW w:w="6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Total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ind w:right="40"/>
              <w:spacing w:after="0" w:line="129" w:lineRule="exact"/>
              <w:rPr>
                <w:sz w:val="20"/>
                <w:szCs w:val="20"/>
                <w:color w:val="auto"/>
              </w:rPr>
            </w:pPr>
            <w:r>
              <w:rPr>
                <w:rFonts w:ascii="Arial" w:cs="Arial" w:eastAsia="Arial" w:hAnsi="Arial"/>
                <w:sz w:val="12"/>
                <w:szCs w:val="12"/>
                <w:b w:val="1"/>
                <w:bCs w:val="1"/>
                <w:color w:val="auto"/>
                <w:w w:val="89"/>
              </w:rPr>
              <w:t>Mezzanine</w:t>
            </w:r>
          </w:p>
        </w:tc>
      </w:tr>
      <w:tr>
        <w:trPr>
          <w:trHeight w:val="129"/>
        </w:trPr>
        <w:tc>
          <w:tcPr>
            <w:tcW w:w="1060" w:type="dxa"/>
            <w:vAlign w:val="bottom"/>
          </w:tcPr>
          <w:p>
            <w:pPr>
              <w:spacing w:after="0"/>
              <w:rPr>
                <w:sz w:val="11"/>
                <w:szCs w:val="11"/>
                <w:color w:val="auto"/>
              </w:rPr>
            </w:pPr>
          </w:p>
        </w:tc>
        <w:tc>
          <w:tcPr>
            <w:tcW w:w="1360" w:type="dxa"/>
            <w:vAlign w:val="bottom"/>
            <w:gridSpan w:val="4"/>
          </w:tcPr>
          <w:p>
            <w:pPr>
              <w:jc w:val="center"/>
              <w:ind w:right="80"/>
              <w:spacing w:after="0" w:line="109" w:lineRule="exact"/>
              <w:rPr>
                <w:sz w:val="20"/>
                <w:szCs w:val="20"/>
                <w:color w:val="auto"/>
              </w:rPr>
            </w:pPr>
            <w:r>
              <w:rPr>
                <w:rFonts w:ascii="Arial" w:cs="Arial" w:eastAsia="Arial" w:hAnsi="Arial"/>
                <w:sz w:val="12"/>
                <w:szCs w:val="12"/>
                <w:b w:val="1"/>
                <w:bCs w:val="1"/>
                <w:color w:val="auto"/>
                <w:w w:val="88"/>
              </w:rPr>
              <w:t>Class A Voting Units</w:t>
            </w:r>
          </w:p>
        </w:tc>
        <w:tc>
          <w:tcPr>
            <w:tcW w:w="1520" w:type="dxa"/>
            <w:vAlign w:val="bottom"/>
            <w:gridSpan w:val="5"/>
          </w:tcPr>
          <w:p>
            <w:pPr>
              <w:ind w:left="180"/>
              <w:spacing w:after="0" w:line="109" w:lineRule="exact"/>
              <w:rPr>
                <w:sz w:val="20"/>
                <w:szCs w:val="20"/>
                <w:color w:val="auto"/>
              </w:rPr>
            </w:pPr>
            <w:r>
              <w:rPr>
                <w:rFonts w:ascii="Arial" w:cs="Arial" w:eastAsia="Arial" w:hAnsi="Arial"/>
                <w:sz w:val="12"/>
                <w:szCs w:val="12"/>
                <w:b w:val="1"/>
                <w:bCs w:val="1"/>
                <w:color w:val="auto"/>
              </w:rPr>
              <w:t>Class B Voting Units</w:t>
            </w:r>
          </w:p>
        </w:tc>
        <w:tc>
          <w:tcPr>
            <w:tcW w:w="1080" w:type="dxa"/>
            <w:vAlign w:val="bottom"/>
            <w:gridSpan w:val="4"/>
          </w:tcPr>
          <w:p>
            <w:pPr>
              <w:ind w:left="60"/>
              <w:spacing w:after="0" w:line="109" w:lineRule="exact"/>
              <w:rPr>
                <w:sz w:val="20"/>
                <w:szCs w:val="20"/>
                <w:color w:val="auto"/>
              </w:rPr>
            </w:pPr>
            <w:r>
              <w:rPr>
                <w:rFonts w:ascii="Arial" w:cs="Arial" w:eastAsia="Arial" w:hAnsi="Arial"/>
                <w:sz w:val="12"/>
                <w:szCs w:val="12"/>
                <w:b w:val="1"/>
                <w:bCs w:val="1"/>
                <w:color w:val="auto"/>
              </w:rPr>
              <w:t>Class B Warrant</w:t>
            </w:r>
          </w:p>
        </w:tc>
        <w:tc>
          <w:tcPr>
            <w:tcW w:w="1460" w:type="dxa"/>
            <w:vAlign w:val="bottom"/>
            <w:gridSpan w:val="4"/>
          </w:tcPr>
          <w:p>
            <w:pPr>
              <w:ind w:left="180"/>
              <w:spacing w:after="0" w:line="109" w:lineRule="exact"/>
              <w:rPr>
                <w:sz w:val="20"/>
                <w:szCs w:val="20"/>
                <w:color w:val="auto"/>
              </w:rPr>
            </w:pPr>
            <w:r>
              <w:rPr>
                <w:rFonts w:ascii="Arial" w:cs="Arial" w:eastAsia="Arial" w:hAnsi="Arial"/>
                <w:sz w:val="12"/>
                <w:szCs w:val="12"/>
                <w:b w:val="1"/>
                <w:bCs w:val="1"/>
                <w:color w:val="auto"/>
              </w:rPr>
              <w:t>Class C Voting Units</w:t>
            </w:r>
          </w:p>
        </w:tc>
        <w:tc>
          <w:tcPr>
            <w:tcW w:w="60" w:type="dxa"/>
            <w:vAlign w:val="bottom"/>
          </w:tcPr>
          <w:p>
            <w:pPr>
              <w:spacing w:after="0"/>
              <w:rPr>
                <w:sz w:val="11"/>
                <w:szCs w:val="11"/>
                <w:color w:val="auto"/>
              </w:rPr>
            </w:pPr>
          </w:p>
        </w:tc>
        <w:tc>
          <w:tcPr>
            <w:tcW w:w="8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Accumulated</w:t>
            </w:r>
          </w:p>
        </w:tc>
        <w:tc>
          <w:tcPr>
            <w:tcW w:w="900" w:type="dxa"/>
            <w:vAlign w:val="bottom"/>
            <w:gridSpan w:val="3"/>
          </w:tcPr>
          <w:p>
            <w:pPr>
              <w:jc w:val="center"/>
              <w:ind w:right="100"/>
              <w:spacing w:after="0" w:line="109" w:lineRule="exact"/>
              <w:rPr>
                <w:sz w:val="20"/>
                <w:szCs w:val="20"/>
                <w:color w:val="auto"/>
              </w:rPr>
            </w:pPr>
            <w:r>
              <w:rPr>
                <w:rFonts w:ascii="Arial" w:cs="Arial" w:eastAsia="Arial" w:hAnsi="Arial"/>
                <w:sz w:val="12"/>
                <w:szCs w:val="12"/>
                <w:b w:val="1"/>
                <w:bCs w:val="1"/>
                <w:color w:val="auto"/>
                <w:w w:val="88"/>
              </w:rPr>
              <w:t>Comprehensive</w:t>
            </w: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2"/>
                <w:szCs w:val="12"/>
                <w:b w:val="1"/>
                <w:bCs w:val="1"/>
                <w:color w:val="auto"/>
                <w:w w:val="96"/>
              </w:rPr>
              <w:t>Members’</w:t>
            </w:r>
          </w:p>
        </w:tc>
        <w:tc>
          <w:tcPr>
            <w:tcW w:w="960" w:type="dxa"/>
            <w:vAlign w:val="bottom"/>
            <w:gridSpan w:val="4"/>
          </w:tcPr>
          <w:p>
            <w:pPr>
              <w:ind w:left="60"/>
              <w:spacing w:after="0" w:line="109" w:lineRule="exact"/>
              <w:rPr>
                <w:sz w:val="20"/>
                <w:szCs w:val="20"/>
                <w:color w:val="auto"/>
              </w:rPr>
            </w:pPr>
            <w:r>
              <w:rPr>
                <w:rFonts w:ascii="Arial" w:cs="Arial" w:eastAsia="Arial" w:hAnsi="Arial"/>
                <w:sz w:val="12"/>
                <w:szCs w:val="12"/>
                <w:b w:val="1"/>
                <w:bCs w:val="1"/>
                <w:color w:val="auto"/>
              </w:rPr>
              <w:t>Incentive Units</w:t>
            </w:r>
          </w:p>
        </w:tc>
        <w:tc>
          <w:tcPr>
            <w:tcW w:w="80" w:type="dxa"/>
            <w:vAlign w:val="bottom"/>
          </w:tcPr>
          <w:p>
            <w:pPr>
              <w:spacing w:after="0"/>
              <w:rPr>
                <w:sz w:val="11"/>
                <w:szCs w:val="11"/>
                <w:color w:val="auto"/>
              </w:rPr>
            </w:pPr>
          </w:p>
        </w:tc>
        <w:tc>
          <w:tcPr>
            <w:tcW w:w="52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Equity</w:t>
            </w:r>
          </w:p>
        </w:tc>
      </w:tr>
      <w:tr>
        <w:trPr>
          <w:trHeight w:val="127"/>
        </w:trPr>
        <w:tc>
          <w:tcPr>
            <w:tcW w:w="106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2"/>
                <w:szCs w:val="12"/>
                <w:b w:val="1"/>
                <w:bCs w:val="1"/>
                <w:color w:val="auto"/>
                <w:w w:val="86"/>
              </w:rPr>
              <w:t>Units</w:t>
            </w:r>
          </w:p>
        </w:tc>
        <w:tc>
          <w:tcPr>
            <w:tcW w:w="420" w:type="dxa"/>
            <w:vAlign w:val="bottom"/>
            <w:tcBorders>
              <w:top w:val="single" w:sz="8" w:color="auto"/>
            </w:tcBorders>
          </w:tcPr>
          <w:p>
            <w:pPr>
              <w:jc w:val="right"/>
              <w:ind w:right="108"/>
              <w:spacing w:after="0" w:line="122"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ind w:left="260"/>
              <w:spacing w:after="0" w:line="122" w:lineRule="exact"/>
              <w:rPr>
                <w:sz w:val="20"/>
                <w:szCs w:val="20"/>
                <w:color w:val="auto"/>
              </w:rPr>
            </w:pPr>
            <w:r>
              <w:rPr>
                <w:rFonts w:ascii="Arial" w:cs="Arial" w:eastAsia="Arial" w:hAnsi="Arial"/>
                <w:sz w:val="12"/>
                <w:szCs w:val="12"/>
                <w:b w:val="1"/>
                <w:bCs w:val="1"/>
                <w:color w:val="auto"/>
              </w:rPr>
              <w:t>Units</w:t>
            </w:r>
          </w:p>
        </w:tc>
        <w:tc>
          <w:tcPr>
            <w:tcW w:w="600" w:type="dxa"/>
            <w:vAlign w:val="bottom"/>
            <w:tcBorders>
              <w:top w:val="single" w:sz="8" w:color="auto"/>
            </w:tcBorders>
            <w:gridSpan w:val="2"/>
          </w:tcPr>
          <w:p>
            <w:pPr>
              <w:jc w:val="right"/>
              <w:ind w:right="167"/>
              <w:spacing w:after="0" w:line="122"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w w:val="92"/>
              </w:rPr>
              <w:t>Warrants</w:t>
            </w:r>
          </w:p>
        </w:tc>
        <w:tc>
          <w:tcPr>
            <w:tcW w:w="500" w:type="dxa"/>
            <w:vAlign w:val="bottom"/>
            <w:tcBorders>
              <w:top w:val="single" w:sz="8" w:color="auto"/>
            </w:tcBorders>
            <w:gridSpan w:val="2"/>
          </w:tcPr>
          <w:p>
            <w:pPr>
              <w:jc w:val="right"/>
              <w:ind w:right="107"/>
              <w:spacing w:after="0" w:line="122"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860" w:type="dxa"/>
            <w:vAlign w:val="bottom"/>
            <w:tcBorders>
              <w:top w:val="single" w:sz="8" w:color="auto"/>
            </w:tcBorders>
            <w:gridSpan w:val="2"/>
          </w:tcPr>
          <w:p>
            <w:pPr>
              <w:ind w:left="260"/>
              <w:spacing w:after="0" w:line="122" w:lineRule="exact"/>
              <w:rPr>
                <w:sz w:val="20"/>
                <w:szCs w:val="20"/>
                <w:color w:val="auto"/>
              </w:rPr>
            </w:pPr>
            <w:r>
              <w:rPr>
                <w:rFonts w:ascii="Arial" w:cs="Arial" w:eastAsia="Arial" w:hAnsi="Arial"/>
                <w:sz w:val="12"/>
                <w:szCs w:val="12"/>
                <w:b w:val="1"/>
                <w:bCs w:val="1"/>
                <w:color w:val="auto"/>
              </w:rPr>
              <w:t>Units</w:t>
            </w:r>
          </w:p>
        </w:tc>
        <w:tc>
          <w:tcPr>
            <w:tcW w:w="560" w:type="dxa"/>
            <w:vAlign w:val="bottom"/>
            <w:tcBorders>
              <w:top w:val="single" w:sz="8" w:color="auto"/>
            </w:tcBorders>
          </w:tcPr>
          <w:p>
            <w:pPr>
              <w:jc w:val="right"/>
              <w:ind w:right="168"/>
              <w:spacing w:after="0" w:line="122"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0"/>
              </w:rPr>
              <w:t>Income</w:t>
            </w:r>
          </w:p>
        </w:tc>
        <w:tc>
          <w:tcPr>
            <w:tcW w:w="68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2"/>
              </w:rPr>
              <w:t>Equity</w:t>
            </w:r>
          </w:p>
        </w:tc>
        <w:tc>
          <w:tcPr>
            <w:tcW w:w="300" w:type="dxa"/>
            <w:vAlign w:val="bottom"/>
            <w:tcBorders>
              <w:top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w w:val="86"/>
              </w:rPr>
              <w:t>Units</w:t>
            </w:r>
          </w:p>
        </w:tc>
        <w:tc>
          <w:tcPr>
            <w:tcW w:w="580" w:type="dxa"/>
            <w:vAlign w:val="bottom"/>
            <w:tcBorders>
              <w:top w:val="single" w:sz="8" w:color="auto"/>
            </w:tcBorders>
            <w:gridSpan w:val="2"/>
          </w:tcPr>
          <w:p>
            <w:pPr>
              <w:jc w:val="right"/>
              <w:ind w:right="147"/>
              <w:spacing w:after="0" w:line="122"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1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as of</w:t>
            </w: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2018</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w w:val="92"/>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    —</w:t>
            </w:r>
          </w:p>
        </w:tc>
        <w:tc>
          <w:tcPr>
            <w:tcW w:w="16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83"/>
              </w:rPr>
              <w:t>$182,577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3"/>
              </w:rPr>
              <w:t>Class A voting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units in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exchange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capital</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contribution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8)</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1,916</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8" w:lineRule="exact"/>
              <w:rPr>
                <w:sz w:val="20"/>
                <w:szCs w:val="20"/>
                <w:color w:val="auto"/>
              </w:rPr>
            </w:pPr>
            <w:r>
              <w:rPr>
                <w:rFonts w:ascii="Arial" w:cs="Arial" w:eastAsia="Arial" w:hAnsi="Arial"/>
                <w:sz w:val="15"/>
                <w:szCs w:val="15"/>
                <w:color w:val="auto"/>
              </w:rPr>
              <w:t>1,916</w:t>
            </w:r>
          </w:p>
        </w:tc>
        <w:tc>
          <w:tcPr>
            <w:tcW w:w="140" w:type="dxa"/>
            <w:vAlign w:val="bottom"/>
          </w:tcPr>
          <w:p>
            <w:pPr>
              <w:spacing w:after="0"/>
              <w:rPr>
                <w:sz w:val="14"/>
                <w:szCs w:val="14"/>
                <w:color w:val="auto"/>
              </w:rPr>
            </w:pP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Unit-based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6"/>
              </w:rPr>
              <w:t>compensation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expense for</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4"/>
              </w:rPr>
              <w:t>incentive units</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(see Note 9)</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10,515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10,515</w:t>
            </w:r>
          </w:p>
        </w:tc>
      </w:tr>
      <w:tr>
        <w:trPr>
          <w:trHeight w:val="160"/>
        </w:trPr>
        <w:tc>
          <w:tcPr>
            <w:tcW w:w="1060" w:type="dxa"/>
            <w:vAlign w:val="bottom"/>
          </w:tcPr>
          <w:p>
            <w:pPr>
              <w:spacing w:after="0" w:line="154" w:lineRule="exact"/>
              <w:rPr>
                <w:sz w:val="20"/>
                <w:szCs w:val="20"/>
                <w:color w:val="auto"/>
              </w:rPr>
            </w:pPr>
            <w:r>
              <w:rPr>
                <w:rFonts w:ascii="Arial" w:cs="Arial" w:eastAsia="Arial" w:hAnsi="Arial"/>
                <w:sz w:val="15"/>
                <w:szCs w:val="15"/>
                <w:color w:val="auto"/>
              </w:rPr>
              <w:t>Net loss</w:t>
            </w:r>
          </w:p>
        </w:tc>
        <w:tc>
          <w:tcPr>
            <w:tcW w:w="860" w:type="dxa"/>
            <w:vAlign w:val="bottom"/>
            <w:gridSpan w:val="2"/>
          </w:tcPr>
          <w:p>
            <w:pPr>
              <w:jc w:val="center"/>
              <w:ind w:left="329"/>
              <w:spacing w:after="0" w:line="154"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(32,976)</w:t>
            </w:r>
          </w:p>
        </w:tc>
        <w:tc>
          <w:tcPr>
            <w:tcW w:w="140" w:type="dxa"/>
            <w:vAlign w:val="bottom"/>
          </w:tcPr>
          <w:p>
            <w:pPr>
              <w:spacing w:after="0"/>
              <w:rPr>
                <w:sz w:val="13"/>
                <w:szCs w:val="13"/>
                <w:color w:val="auto"/>
              </w:rPr>
            </w:pPr>
          </w:p>
        </w:tc>
        <w:tc>
          <w:tcPr>
            <w:tcW w:w="760" w:type="dxa"/>
            <w:vAlign w:val="bottom"/>
            <w:gridSpan w:val="2"/>
          </w:tcPr>
          <w:p>
            <w:pPr>
              <w:ind w:left="440"/>
              <w:spacing w:after="0" w:line="154"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rPr>
              <w:t>(32,976)</w:t>
            </w:r>
          </w:p>
        </w:tc>
        <w:tc>
          <w:tcPr>
            <w:tcW w:w="300" w:type="dxa"/>
            <w:vAlign w:val="bottom"/>
          </w:tcPr>
          <w:p>
            <w:pPr>
              <w:ind w:left="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line="154"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Balance as of</w:t>
            </w: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2019</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1,916</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(32,899)</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151,517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10,515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10,515</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3"/>
              </w:rPr>
              <w:t>Class A voting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units in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exchange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capital</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contribution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8)</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697</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68" w:lineRule="exact"/>
              <w:rPr>
                <w:sz w:val="20"/>
                <w:szCs w:val="20"/>
                <w:color w:val="auto"/>
              </w:rPr>
            </w:pPr>
            <w:r>
              <w:rPr>
                <w:rFonts w:ascii="Arial" w:cs="Arial" w:eastAsia="Arial" w:hAnsi="Arial"/>
                <w:sz w:val="15"/>
                <w:szCs w:val="15"/>
                <w:color w:val="auto"/>
              </w:rPr>
              <w:t>697</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Class B</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warrant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(Note 8)</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5,426</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rPr>
              <w:t>5,426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Unit-based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6"/>
              </w:rPr>
              <w:t>compensation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expense for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4"/>
              </w:rPr>
              <w:t>incentive units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9)</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tcPr>
          <w:p>
            <w:pPr>
              <w:jc w:val="right"/>
              <w:ind w:right="80"/>
              <w:spacing w:after="0" w:line="168" w:lineRule="exact"/>
              <w:rPr>
                <w:sz w:val="20"/>
                <w:szCs w:val="20"/>
                <w:color w:val="auto"/>
              </w:rPr>
            </w:pPr>
            <w:r>
              <w:rPr>
                <w:rFonts w:ascii="Arial" w:cs="Arial" w:eastAsia="Arial" w:hAnsi="Arial"/>
                <w:sz w:val="15"/>
                <w:szCs w:val="15"/>
                <w:color w:val="auto"/>
              </w:rPr>
              <w:t>10,937</w:t>
            </w:r>
          </w:p>
        </w:tc>
        <w:tc>
          <w:tcPr>
            <w:tcW w:w="80" w:type="dxa"/>
            <w:vAlign w:val="bottom"/>
          </w:tcPr>
          <w:p>
            <w:pPr>
              <w:spacing w:after="0"/>
              <w:rPr>
                <w:sz w:val="14"/>
                <w:szCs w:val="14"/>
                <w:color w:val="auto"/>
              </w:rPr>
            </w:pPr>
          </w:p>
        </w:tc>
        <w:tc>
          <w:tcPr>
            <w:tcW w:w="52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10,937</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3"/>
              </w:rPr>
              <w:t>Class C voting</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units</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40"/>
              <w:spacing w:after="0" w:line="168" w:lineRule="exact"/>
              <w:rPr>
                <w:sz w:val="20"/>
                <w:szCs w:val="20"/>
                <w:color w:val="auto"/>
              </w:rPr>
            </w:pPr>
            <w:r>
              <w:rPr>
                <w:rFonts w:ascii="Arial" w:cs="Arial" w:eastAsia="Arial" w:hAnsi="Arial"/>
                <w:sz w:val="15"/>
                <w:szCs w:val="15"/>
                <w:color w:val="auto"/>
                <w:w w:val="95"/>
              </w:rPr>
              <w:t>270,270,270</w:t>
            </w:r>
          </w:p>
        </w:tc>
        <w:tc>
          <w:tcPr>
            <w:tcW w:w="60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w w:val="99"/>
              </w:rPr>
              <w:t>300,000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300,000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Pushdown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5"/>
              </w:rPr>
              <w:t>accounting for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deferred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income tax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liabilities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9"/>
              </w:rPr>
              <w:t>resulting from</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Bridge2</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Solutions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acquisition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4)</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10,104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68" w:lineRule="exact"/>
              <w:rPr>
                <w:sz w:val="20"/>
                <w:szCs w:val="20"/>
                <w:color w:val="auto"/>
              </w:rPr>
            </w:pPr>
            <w:r>
              <w:rPr>
                <w:rFonts w:ascii="Arial" w:cs="Arial" w:eastAsia="Arial" w:hAnsi="Arial"/>
                <w:sz w:val="15"/>
                <w:szCs w:val="15"/>
                <w:color w:val="auto"/>
              </w:rPr>
              <w:t>10,104</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Currency</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translation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adjustment,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net of tax</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191</w:t>
            </w:r>
          </w:p>
        </w:tc>
        <w:tc>
          <w:tcPr>
            <w:tcW w:w="68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5"/>
                <w:szCs w:val="15"/>
                <w:color w:val="auto"/>
              </w:rPr>
              <w:t>191</w:t>
            </w: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60"/>
        </w:trPr>
        <w:tc>
          <w:tcPr>
            <w:tcW w:w="1060" w:type="dxa"/>
            <w:vAlign w:val="bottom"/>
          </w:tcPr>
          <w:p>
            <w:pPr>
              <w:spacing w:after="0" w:line="154" w:lineRule="exact"/>
              <w:rPr>
                <w:sz w:val="20"/>
                <w:szCs w:val="20"/>
                <w:color w:val="auto"/>
              </w:rPr>
            </w:pPr>
            <w:r>
              <w:rPr>
                <w:rFonts w:ascii="Arial" w:cs="Arial" w:eastAsia="Arial" w:hAnsi="Arial"/>
                <w:sz w:val="15"/>
                <w:szCs w:val="15"/>
                <w:color w:val="auto"/>
              </w:rPr>
              <w:t>Net loss</w:t>
            </w:r>
          </w:p>
        </w:tc>
        <w:tc>
          <w:tcPr>
            <w:tcW w:w="860" w:type="dxa"/>
            <w:vAlign w:val="bottom"/>
            <w:gridSpan w:val="2"/>
          </w:tcPr>
          <w:p>
            <w:pPr>
              <w:jc w:val="center"/>
              <w:ind w:left="329"/>
              <w:spacing w:after="0" w:line="154"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(79,605)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rPr>
              <w:t>(79,605)</w:t>
            </w:r>
          </w:p>
        </w:tc>
        <w:tc>
          <w:tcPr>
            <w:tcW w:w="300" w:type="dxa"/>
            <w:vAlign w:val="bottom"/>
          </w:tcPr>
          <w:p>
            <w:pPr>
              <w:ind w:left="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line="154"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Balance as of</w:t>
            </w: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2020</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2,613</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5,426</w:t>
            </w:r>
          </w:p>
        </w:tc>
        <w:tc>
          <w:tcPr>
            <w:tcW w:w="860" w:type="dxa"/>
            <w:vAlign w:val="bottom"/>
            <w:gridSpan w:val="2"/>
            <w:shd w:val="clear" w:color="auto" w:fill="CCEEFF"/>
          </w:tcPr>
          <w:p>
            <w:pPr>
              <w:ind w:left="40"/>
              <w:spacing w:after="0" w:line="168" w:lineRule="exact"/>
              <w:rPr>
                <w:sz w:val="20"/>
                <w:szCs w:val="20"/>
                <w:color w:val="auto"/>
              </w:rPr>
            </w:pPr>
            <w:r>
              <w:rPr>
                <w:rFonts w:ascii="Arial" w:cs="Arial" w:eastAsia="Arial" w:hAnsi="Arial"/>
                <w:sz w:val="15"/>
                <w:szCs w:val="15"/>
                <w:color w:val="auto"/>
                <w:w w:val="95"/>
              </w:rPr>
              <w:t>270,270,270</w:t>
            </w:r>
          </w:p>
        </w:tc>
        <w:tc>
          <w:tcPr>
            <w:tcW w:w="60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310,104</w:t>
            </w:r>
          </w:p>
        </w:tc>
        <w:tc>
          <w:tcPr>
            <w:tcW w:w="16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w w:val="93"/>
              </w:rPr>
              <w:t>(112,504)</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191</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u w:val="single" w:color="auto"/>
                <w:color w:val="auto"/>
                <w:w w:val="83"/>
              </w:rPr>
              <w:t>$</w:t>
            </w:r>
            <w:r>
              <w:rPr>
                <w:rFonts w:ascii="Arial" w:cs="Arial" w:eastAsia="Arial" w:hAnsi="Arial"/>
                <w:sz w:val="15"/>
                <w:szCs w:val="15"/>
                <w:color w:val="auto"/>
                <w:w w:val="83"/>
              </w:rPr>
              <w:t>388,330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 xml:space="preserve"> 21,452</w:t>
            </w:r>
          </w:p>
        </w:tc>
        <w:tc>
          <w:tcPr>
            <w:tcW w:w="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21,452</w:t>
            </w:r>
          </w:p>
        </w:tc>
      </w:tr>
      <w:tr>
        <w:trPr>
          <w:trHeight w:val="20"/>
        </w:trPr>
        <w:tc>
          <w:tcPr>
            <w:tcW w:w="1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880"/>
          </w:cols>
          <w:pgMar w:left="320" w:top="471" w:right="69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jc w:val="center"/>
        <w:ind w:left="868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380" w:type="dxa"/>
        <w:tblCellMar>
          <w:top w:w="0" w:type="dxa"/>
          <w:left w:w="0" w:type="dxa"/>
          <w:bottom w:w="0" w:type="dxa"/>
          <w:right w:w="0" w:type="dxa"/>
        </w:tblCellMar>
      </w:tblPr>
      <w:tr>
        <w:trPr>
          <w:trHeight w:val="147"/>
        </w:trPr>
        <w:tc>
          <w:tcPr>
            <w:tcW w:w="88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8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Cash flows from operating activities:</w:t>
            </w: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$(79,605)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(32,976)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7,973</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lease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1,388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Unit-based compensation expense (see Note 9)</w:t>
            </w:r>
          </w:p>
        </w:tc>
        <w:tc>
          <w:tcPr>
            <w:tcW w:w="620" w:type="dxa"/>
            <w:vAlign w:val="bottom"/>
          </w:tcPr>
          <w:p>
            <w:pPr>
              <w:jc w:val="right"/>
              <w:spacing w:after="0"/>
              <w:rPr>
                <w:sz w:val="20"/>
                <w:szCs w:val="20"/>
                <w:color w:val="auto"/>
              </w:rPr>
            </w:pPr>
            <w:r>
              <w:rPr>
                <w:rFonts w:ascii="Arial" w:cs="Arial" w:eastAsia="Arial" w:hAnsi="Arial"/>
                <w:sz w:val="17"/>
                <w:szCs w:val="17"/>
                <w:color w:val="auto"/>
              </w:rPr>
              <w:t>11,649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Recognition of affiliate capital contribution (see Note 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697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Amortization of Class B warrant asset (see Note 8)</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388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Impairment of long-lived assets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15,292</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expenses paid by affiliate (see Note 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1,378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Unrealized gain on investment in shares of affiliate stock (see Note 7)</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(628)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Other receivables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Deposits with clearinghouse affiliate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(39,007)</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Accounts payable and accrued liabilities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16,076</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5,863</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Due to affiliates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(7,927)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9,432</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Deferred revenues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(4,331)</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Customer funds payable</w:t>
            </w:r>
          </w:p>
        </w:tc>
        <w:tc>
          <w:tcPr>
            <w:tcW w:w="620" w:type="dxa"/>
            <w:vAlign w:val="bottom"/>
          </w:tcPr>
          <w:p>
            <w:pPr>
              <w:jc w:val="right"/>
              <w:spacing w:after="0"/>
              <w:rPr>
                <w:sz w:val="20"/>
                <w:szCs w:val="20"/>
                <w:color w:val="auto"/>
              </w:rPr>
            </w:pPr>
            <w:r>
              <w:rPr>
                <w:rFonts w:ascii="Arial" w:cs="Arial" w:eastAsia="Arial" w:hAnsi="Arial"/>
                <w:sz w:val="17"/>
                <w:szCs w:val="17"/>
                <w:color w:val="auto"/>
              </w:rPr>
              <w:t>81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 and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(2,795)</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(2,764)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80"/>
              <w:spacing w:after="0"/>
              <w:rPr>
                <w:sz w:val="20"/>
                <w:szCs w:val="20"/>
                <w:color w:val="auto"/>
              </w:rPr>
            </w:pPr>
            <w:r>
              <w:rPr>
                <w:rFonts w:ascii="Arial" w:cs="Arial" w:eastAsia="Arial" w:hAnsi="Arial"/>
                <w:sz w:val="17"/>
                <w:szCs w:val="17"/>
                <w:color w:val="auto"/>
              </w:rPr>
              <w:t>Net cash used in operating activities</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vMerge w:val="continue"/>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(30,940)</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(48,496)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Capitalized internal-use software development costs and other capital expenditures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(20,569)</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(9,181)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Purchases of short-term investments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(1,988)</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Proceeds from maturities of short-term investments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1,988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Acquisitions, net of cash acquired</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(29,778)</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Cash acquired through non-cash business combination</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10,652</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proceeds used in investing activities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(7,929)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(40,947)</w:t>
            </w:r>
          </w:p>
        </w:tc>
        <w:tc>
          <w:tcPr>
            <w:tcW w:w="0" w:type="dxa"/>
            <w:vAlign w:val="bottom"/>
          </w:tcPr>
          <w:p>
            <w:pPr>
              <w:spacing w:after="0"/>
              <w:rPr>
                <w:sz w:val="1"/>
                <w:szCs w:val="1"/>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Payment of finance lease liability</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Proceeds from issuance of Class C voting units (see Note 7)</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37,800</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37,487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vMerge w:val="continue"/>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cash equivalents, restricted cash and customer funds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(89,443)</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Cash, cash equivalents, restricted cash and customer funds at the beginning of the year</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93,134</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182,577</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restricted cash and customer funds at the end of the year</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$ 91,943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93,134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080"/>
              <w:spacing w:after="0"/>
              <w:rPr>
                <w:sz w:val="20"/>
                <w:szCs w:val="20"/>
                <w:color w:val="auto"/>
              </w:rPr>
            </w:pPr>
            <w:r>
              <w:rPr>
                <w:rFonts w:ascii="Arial" w:cs="Arial" w:eastAsia="Arial" w:hAnsi="Arial"/>
                <w:sz w:val="17"/>
                <w:szCs w:val="17"/>
                <w:color w:val="auto"/>
              </w:rPr>
              <w:t>F-58</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7"/>
        </w:trPr>
        <w:tc>
          <w:tcPr>
            <w:tcW w:w="8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CEEFF"/>
            </w:tcBorders>
          </w:tcPr>
          <w:p>
            <w:pPr>
              <w:spacing w:after="0"/>
              <w:rPr>
                <w:sz w:val="12"/>
                <w:szCs w:val="12"/>
                <w:color w:val="auto"/>
              </w:rPr>
            </w:pPr>
          </w:p>
        </w:tc>
      </w:tr>
      <w:tr>
        <w:trPr>
          <w:trHeight w:val="186"/>
        </w:trPr>
        <w:tc>
          <w:tcPr>
            <w:tcW w:w="89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activity:</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Issuance of Class A voting units in exchange of capital contribution (see Note 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697</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1,916</w:t>
            </w:r>
          </w:p>
        </w:tc>
      </w:tr>
      <w:tr>
        <w:trPr>
          <w:trHeight w:val="193"/>
        </w:trPr>
        <w:tc>
          <w:tcPr>
            <w:tcW w:w="89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6"/>
              </w:rPr>
              <w:t>Capitalized internal-use software development costs and other capital expenditures included in accounts payable and</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8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550</w:t>
            </w: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Issuance of Class B warrant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5,426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contribution of Bridge2 Holdings by affiliate (see Note 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260,811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tcPr>
          <w:p>
            <w:pPr>
              <w:spacing w:after="0"/>
              <w:rPr>
                <w:sz w:val="20"/>
                <w:szCs w:val="20"/>
                <w:color w:val="auto"/>
              </w:rPr>
            </w:pPr>
            <w:r>
              <w:rPr>
                <w:rFonts w:ascii="Arial" w:cs="Arial" w:eastAsia="Arial" w:hAnsi="Arial"/>
                <w:sz w:val="17"/>
                <w:szCs w:val="17"/>
                <w:b w:val="1"/>
                <w:bCs w:val="1"/>
                <w:color w:val="auto"/>
              </w:rPr>
              <w:t>Reconciliation of cash, cash equivalents, restricted cash and customer funds to consolidated balance sheets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75,361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76,634</w:t>
            </w:r>
          </w:p>
        </w:tc>
      </w:tr>
      <w:tr>
        <w:trPr>
          <w:trHeight w:val="206"/>
        </w:trPr>
        <w:tc>
          <w:tcPr>
            <w:tcW w:w="8900" w:type="dxa"/>
            <w:vAlign w:val="bottom"/>
          </w:tcPr>
          <w:p>
            <w:pPr>
              <w:spacing w:after="0"/>
              <w:rPr>
                <w:sz w:val="20"/>
                <w:szCs w:val="20"/>
                <w:color w:val="auto"/>
              </w:rPr>
            </w:pPr>
            <w:r>
              <w:rPr>
                <w:rFonts w:ascii="Arial" w:cs="Arial" w:eastAsia="Arial" w:hAnsi="Arial"/>
                <w:sz w:val="17"/>
                <w:szCs w:val="17"/>
                <w:color w:val="auto"/>
              </w:rPr>
              <w:t>Restricted cash</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16,500</w:t>
            </w: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Customer funds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1"/>
        </w:trPr>
        <w:tc>
          <w:tcPr>
            <w:tcW w:w="8900" w:type="dxa"/>
            <w:vAlign w:val="bottom"/>
          </w:tcPr>
          <w:p>
            <w:pPr>
              <w:ind w:left="680"/>
              <w:spacing w:after="0"/>
              <w:rPr>
                <w:sz w:val="20"/>
                <w:szCs w:val="20"/>
                <w:color w:val="auto"/>
              </w:rPr>
            </w:pPr>
            <w:r>
              <w:rPr>
                <w:rFonts w:ascii="Arial" w:cs="Arial" w:eastAsia="Arial" w:hAnsi="Arial"/>
                <w:sz w:val="17"/>
                <w:szCs w:val="17"/>
                <w:color w:val="auto"/>
              </w:rPr>
              <w:t>Total cash, cash equivalents, restricted cash and customer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91,943</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93,134</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0880"/>
          </w:cols>
          <w:pgMar w:left="320" w:top="471" w:right="69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ind w:left="780" w:hanging="404"/>
        <w:spacing w:after="0"/>
        <w:tabs>
          <w:tab w:leader="none" w:pos="78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9"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Bakkt Holdings, LLC (“Bakkt”, “the Company”) and Bakkt, LLC, a wholly owned subsidiary of Bakkt, were formed on July 31, 2018 and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Bakkt is an indirect majority-owned subsidiary of Intercontinental Exchange Holdings, Inc. (“ICE”). Class A voting units are held by ICE and Class B and Class C voting units are held by ICE and minority investors.</w:t>
      </w:r>
    </w:p>
    <w:p>
      <w:pPr>
        <w:spacing w:after="0" w:line="185" w:lineRule="exact"/>
        <w:rPr>
          <w:sz w:val="20"/>
          <w:szCs w:val="20"/>
          <w:color w:val="auto"/>
        </w:rPr>
      </w:pPr>
    </w:p>
    <w:p>
      <w:pPr>
        <w:ind w:left="380" w:right="60"/>
        <w:spacing w:after="0" w:line="277" w:lineRule="auto"/>
        <w:rPr>
          <w:sz w:val="20"/>
          <w:szCs w:val="20"/>
          <w:color w:val="auto"/>
        </w:rPr>
      </w:pPr>
      <w:r>
        <w:rPr>
          <w:rFonts w:ascii="Arial" w:cs="Arial" w:eastAsia="Arial" w:hAnsi="Arial"/>
          <w:sz w:val="16"/>
          <w:szCs w:val="16"/>
          <w:color w:val="auto"/>
        </w:rPr>
        <w:t>Bakkt owns entities formed during the year ended December 31, 2019, including Bakkt Trust Company LLC (“Bakkt Trust”), and Bakkt Marketplace, LLC (“Bakkt Marketplace”). Bakkt also owns entities that were acquired during the year ended December 31, 2019, including DACC Technologies, Inc., Digital Asset Custody Company, Inc. (collectively with DACC Technologies, Inc., “DACC”), and Bakkt Clearing, LLC (“Bakkt Clearing”), formerly known as Rosenthal Collins Group, L.L.C (see Note 4). Bakkt also acquired Bridge2 Solutions, LLC and certain of its affiliated companies (collectively, (“Bridge2 Solutions”) during the year ended December 31, 2020 (see Note 4). All subsidiaries of the Company, other than DACC and two foreign legal entities acquired as part of the Bridge2 Solutions acquisition, are structured as limited liability companies.</w:t>
      </w:r>
    </w:p>
    <w:p>
      <w:pPr>
        <w:spacing w:after="0" w:line="167"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NYSDFS to, and does, offer non-trading-related, standalone custody of bitcoin to institutions and certain high net worth individuals in cryptoassets, subject to NYSDFS regulatory oversight.</w:t>
      </w:r>
    </w:p>
    <w:p>
      <w:pPr>
        <w:spacing w:after="0" w:line="181" w:lineRule="exact"/>
        <w:rPr>
          <w:sz w:val="20"/>
          <w:szCs w:val="20"/>
          <w:color w:val="auto"/>
        </w:rPr>
      </w:pPr>
    </w:p>
    <w:p>
      <w:pPr>
        <w:ind w:left="380" w:right="60"/>
        <w:spacing w:after="0" w:line="277"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bitcoin functionality within the consumer app.</w:t>
      </w:r>
    </w:p>
    <w:p>
      <w:pPr>
        <w:spacing w:after="0" w:line="167"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w:t>
      </w:r>
    </w:p>
    <w:p>
      <w:pPr>
        <w:spacing w:after="0" w:line="311" w:lineRule="exact"/>
        <w:rPr>
          <w:sz w:val="20"/>
          <w:szCs w:val="20"/>
          <w:color w:val="auto"/>
        </w:rPr>
      </w:pPr>
    </w:p>
    <w:p>
      <w:pPr>
        <w:ind w:left="380" w:right="6860" w:hanging="4"/>
        <w:spacing w:after="0" w:line="433" w:lineRule="auto"/>
        <w:tabs>
          <w:tab w:leader="none" w:pos="792"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jc w:val="both"/>
        <w:ind w:left="380" w:right="340"/>
        <w:spacing w:after="0" w:line="265" w:lineRule="auto"/>
        <w:rPr>
          <w:sz w:val="20"/>
          <w:szCs w:val="20"/>
          <w:color w:val="auto"/>
        </w:rPr>
      </w:pPr>
      <w:r>
        <w:rPr>
          <w:rFonts w:ascii="Arial" w:cs="Arial" w:eastAsia="Arial" w:hAnsi="Arial"/>
          <w:sz w:val="17"/>
          <w:szCs w:val="17"/>
          <w:color w:val="auto"/>
        </w:rPr>
        <w:t>The accompanying consolidated financial statements are prepared in accordance with United States generally accepted accounting principles (“U.S. GAAP”) and include the accounts of Bakkt Holdings, LLC and its subsidiaries. All intercompany balances and transactions have been eliminated in consolidation.</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860"/>
          </w:cols>
          <w:pgMar w:left="320" w:top="471" w:right="71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The Company bases its estimates and assumptions on various judgments that it believes to be reasonable under the circumstances. The significant estimates and assumptions that affect the Company’s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consolidated financial statements.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380" w:right="200"/>
        <w:spacing w:after="0" w:line="278" w:lineRule="auto"/>
        <w:rPr>
          <w:sz w:val="20"/>
          <w:szCs w:val="20"/>
          <w:color w:val="auto"/>
        </w:rPr>
      </w:pPr>
      <w:r>
        <w:rPr>
          <w:rFonts w:ascii="Arial" w:cs="Arial" w:eastAsia="Arial" w:hAnsi="Arial"/>
          <w:sz w:val="17"/>
          <w:szCs w:val="17"/>
          <w:color w:val="auto"/>
        </w:rPr>
        <w:t>In March 2020, the World Health Organization declared the COVID-19 outbreak a global pandemic. The COVID-19 pandemic has adversely affected global economic activity and contributed to significant declines and volatility in financial markets.</w:t>
      </w:r>
    </w:p>
    <w:p>
      <w:pPr>
        <w:spacing w:after="0" w:line="165" w:lineRule="exact"/>
        <w:rPr>
          <w:sz w:val="20"/>
          <w:szCs w:val="20"/>
          <w:color w:val="auto"/>
        </w:rPr>
      </w:pPr>
    </w:p>
    <w:p>
      <w:pPr>
        <w:ind w:left="380" w:right="60"/>
        <w:spacing w:after="0" w:line="301" w:lineRule="auto"/>
        <w:rPr>
          <w:sz w:val="20"/>
          <w:szCs w:val="20"/>
          <w:color w:val="auto"/>
        </w:rPr>
      </w:pPr>
      <w:r>
        <w:rPr>
          <w:rFonts w:ascii="Arial" w:cs="Arial" w:eastAsia="Arial" w:hAnsi="Arial"/>
          <w:sz w:val="15"/>
          <w:szCs w:val="15"/>
          <w:color w:val="auto"/>
        </w:rPr>
        <w:t>Bakkt operates in geographic locations that have been impacted by COVID-19 and that are subject to various mandated public health ordinances, which have impacted the business operations of Bakkt and its customers. The COVID-19 pandemic has had an impact on Bakkt’s business through December 31, 2020, primarily in that it has (i) decreased revenue from our loyalty and travel businesses, and (ii) impacted our ability to expand out relationships with existing loyalty partners, and to conclude relationships with new loyalty partners, whose businesses similarly have been adversely affected by the pandemic. A continuation of the pandemic could have a continued material adverse impact on economic and market conditions.</w:t>
      </w:r>
    </w:p>
    <w:p>
      <w:pPr>
        <w:spacing w:after="0" w:line="153"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As of the date of issuance of these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left="380" w:right="180"/>
        <w:spacing w:after="0" w:line="306" w:lineRule="auto"/>
        <w:rPr>
          <w:sz w:val="20"/>
          <w:szCs w:val="20"/>
          <w:color w:val="auto"/>
        </w:rPr>
      </w:pPr>
      <w:r>
        <w:rPr>
          <w:rFonts w:ascii="Arial" w:cs="Arial" w:eastAsia="Arial" w:hAnsi="Arial"/>
          <w:sz w:val="15"/>
          <w:szCs w:val="15"/>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Cash and Cash Equivalents and Restricted Cash</w:t>
      </w:r>
    </w:p>
    <w:p>
      <w:pPr>
        <w:spacing w:after="0" w:line="119" w:lineRule="exact"/>
        <w:rPr>
          <w:sz w:val="20"/>
          <w:szCs w:val="20"/>
          <w:color w:val="auto"/>
        </w:rPr>
      </w:pPr>
    </w:p>
    <w:p>
      <w:pPr>
        <w:ind w:left="380" w:right="640"/>
        <w:spacing w:after="0" w:line="278" w:lineRule="auto"/>
        <w:rPr>
          <w:sz w:val="20"/>
          <w:szCs w:val="20"/>
          <w:color w:val="auto"/>
        </w:rPr>
      </w:pPr>
      <w:r>
        <w:rPr>
          <w:rFonts w:ascii="Arial" w:cs="Arial" w:eastAsia="Arial" w:hAnsi="Arial"/>
          <w:sz w:val="17"/>
          <w:szCs w:val="17"/>
          <w:color w:val="auto"/>
        </w:rPr>
        <w:t>The Company considers all short-term, highly liquid investments with original maturities at the purchase date of three months or less to be cash equivalents. Cash equivalents consists of amounts invested in money market funds.</w:t>
      </w:r>
    </w:p>
    <w:p>
      <w:pPr>
        <w:spacing w:after="0" w:line="165" w:lineRule="exact"/>
        <w:rPr>
          <w:sz w:val="20"/>
          <w:szCs w:val="20"/>
          <w:color w:val="auto"/>
        </w:rPr>
      </w:pPr>
    </w:p>
    <w:p>
      <w:pPr>
        <w:ind w:left="380" w:right="360"/>
        <w:spacing w:after="0" w:line="311" w:lineRule="auto"/>
        <w:rPr>
          <w:sz w:val="20"/>
          <w:szCs w:val="20"/>
          <w:color w:val="auto"/>
        </w:rPr>
      </w:pPr>
      <w:r>
        <w:rPr>
          <w:rFonts w:ascii="Arial" w:cs="Arial" w:eastAsia="Arial" w:hAnsi="Arial"/>
          <w:sz w:val="16"/>
          <w:szCs w:val="16"/>
          <w:color w:val="auto"/>
        </w:rPr>
        <w:t>The Company classifies all cash and cash equivalents that are not available for immediate or general business use as restricted in the accompanying consolidated balance sheets. The restricted cash includes amounts set aside due to regulatory requirements (see Note 10).</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0860"/>
          </w:cols>
          <w:pgMar w:left="320" w:top="471" w:right="71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Customer Funds and Customer Funds Payable</w:t>
      </w:r>
    </w:p>
    <w:p>
      <w:pPr>
        <w:spacing w:after="0" w:line="119" w:lineRule="exact"/>
        <w:rPr>
          <w:sz w:val="20"/>
          <w:szCs w:val="20"/>
          <w:color w:val="auto"/>
        </w:rPr>
      </w:pPr>
    </w:p>
    <w:p>
      <w:pPr>
        <w:ind w:left="380" w:right="60"/>
        <w:spacing w:after="0" w:line="261" w:lineRule="auto"/>
        <w:rPr>
          <w:sz w:val="20"/>
          <w:szCs w:val="20"/>
          <w:color w:val="auto"/>
        </w:rPr>
      </w:pPr>
      <w:r>
        <w:rPr>
          <w:rFonts w:ascii="Arial" w:cs="Arial" w:eastAsia="Arial" w:hAnsi="Arial"/>
          <w:sz w:val="17"/>
          <w:szCs w:val="17"/>
          <w:color w:val="auto"/>
        </w:rPr>
        <w:t>Customer funds represents fiat currency deposited by customers in their digital wallet. In accordance with state money transmitter laws, the Company may invest customer cash deposits in certain permissible investments. As of December 31, 2020, the Company has not made any such investments. The Company classifies the assets as current based on their purpose and records a corresponding liability for customer cash deposits as customer funds payable.</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Translation of Foreign Currencies and Foreign Currency Transactions</w:t>
      </w:r>
    </w:p>
    <w:p>
      <w:pPr>
        <w:spacing w:after="0" w:line="119" w:lineRule="exact"/>
        <w:rPr>
          <w:sz w:val="20"/>
          <w:szCs w:val="20"/>
          <w:color w:val="auto"/>
        </w:rPr>
      </w:pPr>
    </w:p>
    <w:p>
      <w:pPr>
        <w:ind w:left="380"/>
        <w:spacing w:after="0" w:line="306" w:lineRule="auto"/>
        <w:rPr>
          <w:sz w:val="20"/>
          <w:szCs w:val="20"/>
          <w:color w:val="auto"/>
        </w:rPr>
      </w:pPr>
      <w:r>
        <w:rPr>
          <w:rFonts w:ascii="Arial" w:cs="Arial" w:eastAsia="Arial" w:hAnsi="Arial"/>
          <w:sz w:val="15"/>
          <w:szCs w:val="15"/>
          <w:color w:val="auto"/>
        </w:rPr>
        <w:t>The Company’s foreign subsidiaries’ respective local currencies are their functional currencies. The assets and liabilities of foreign subsidiaries are translated into U.S. dollars at the exchange rate in effect at the balance sheet date. Revenue and expenses are translated into U.S. dollars using average monthly exchange rates. Translation adjustments are included in “Accumulated other comprehensive income” in the accompanying consolidated balance sheets and reflected as “Currency translation adjustment, net of tax” in the accompanying consolidated statements of operations and comprehensive loss.</w:t>
      </w:r>
    </w:p>
    <w:p>
      <w:pPr>
        <w:spacing w:after="0" w:line="149" w:lineRule="exact"/>
        <w:rPr>
          <w:sz w:val="20"/>
          <w:szCs w:val="20"/>
          <w:color w:val="auto"/>
        </w:rPr>
      </w:pPr>
    </w:p>
    <w:p>
      <w:pPr>
        <w:ind w:left="380" w:right="300"/>
        <w:spacing w:after="0" w:line="259" w:lineRule="auto"/>
        <w:rPr>
          <w:sz w:val="20"/>
          <w:szCs w:val="20"/>
          <w:color w:val="auto"/>
        </w:rPr>
      </w:pPr>
      <w:r>
        <w:rPr>
          <w:rFonts w:ascii="Arial" w:cs="Arial" w:eastAsia="Arial" w:hAnsi="Arial"/>
          <w:sz w:val="17"/>
          <w:szCs w:val="17"/>
          <w:color w:val="auto"/>
        </w:rPr>
        <w:t>Transactions denominated in currencies other than the functional currency are remeasured based on the exchange rates at the time of the transaction. Monetary assets and liabilities are subject to translation at the exchange rate in effect at the balance sheet date, with subsequent changes in exchange rates resulting in transaction gains or losses, which are included in “Other income (expense), net” in the accompanying consolidated statements of operations and comprehensive loss. Non-monetary assets and liabilities are translated at historical rates and revenue and expenses are translated at average exchange rates in effect during each reporting period.</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Accounts Receivable and Allowance for Doubtful Accounts</w:t>
      </w:r>
    </w:p>
    <w:p>
      <w:pPr>
        <w:spacing w:after="0" w:line="119" w:lineRule="exact"/>
        <w:rPr>
          <w:sz w:val="20"/>
          <w:szCs w:val="20"/>
          <w:color w:val="auto"/>
        </w:rPr>
      </w:pPr>
    </w:p>
    <w:p>
      <w:pPr>
        <w:ind w:left="380" w:right="40"/>
        <w:spacing w:after="0" w:line="273" w:lineRule="auto"/>
        <w:rPr>
          <w:sz w:val="20"/>
          <w:szCs w:val="20"/>
          <w:color w:val="auto"/>
        </w:rPr>
      </w:pPr>
      <w:r>
        <w:rPr>
          <w:rFonts w:ascii="Arial" w:cs="Arial" w:eastAsia="Arial" w:hAnsi="Arial"/>
          <w:sz w:val="16"/>
          <w:szCs w:val="16"/>
          <w:color w:val="auto"/>
        </w:rPr>
        <w:t xml:space="preserve">The Company classifies its rights to consideration in exchange for transferring services or goods as accounts receivables. Accounts receivable are rights to consideration that are unconditional (i.e., only the passage of time is required before payment is due). “Accounts receivable, net” on the accompanying consolidated balance sheets includes billed and ASC 606 contract assets (i.e., unbilled receivables), net of an estimated allowance for doubtful accounts. We calculate our allowance using the current expected credit loss model in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This allowance is based upon historical loss patterns, the number of days that billings are past due, an evaluation of the potential risk of loss associated with delinquent accounts and incorporates the use of forward-looking information over the contractual term of our accounts receivable. Receivables are written-off and charged against its recorded allowance when the Company has exhausted collection efforts without success. The Company estimated the allowance for doubtful accounts to be $150,000 and $0 at December 31, 2020 and 2019, respectively. There were no write-offs of receivables during the years ended December 31, 2020 and 2019, respectively.</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Property, Equipment and Software, Net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equipment and software are stated at cost, less accumulated depreciation and amortization.</w:t>
      </w:r>
    </w:p>
    <w:p>
      <w:pPr>
        <w:spacing w:after="0" w:line="216"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The Company capitalizes costs related to software it develops or obtains for internal use and such costs are included in “Property, equipment and software, net” on the accompanying consolidated balance sheets.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860"/>
          </w:cols>
          <w:pgMar w:left="320" w:top="471" w:right="71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and amortization are computed using the straight-line method over the following estimated useful lives of assets:</w:t>
      </w:r>
    </w:p>
    <w:p>
      <w:pPr>
        <w:spacing w:after="0" w:line="212"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Estimated</w:t>
            </w:r>
          </w:p>
        </w:tc>
      </w:tr>
      <w:tr>
        <w:trPr>
          <w:trHeight w:val="164"/>
        </w:trPr>
        <w:tc>
          <w:tcPr>
            <w:tcW w:w="6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Useful Life</w:t>
            </w:r>
          </w:p>
        </w:tc>
      </w:tr>
      <w:tr>
        <w:trPr>
          <w:trHeight w:val="19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years</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Purchased software</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 years</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Assets under finance lease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 years</w:t>
            </w: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7-10 years</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 years</w:t>
            </w:r>
          </w:p>
        </w:tc>
      </w:t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 years</w:t>
            </w:r>
          </w:p>
        </w:tc>
      </w:tr>
    </w:tbl>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Impairment of Long-Lived Assets</w:t>
      </w:r>
    </w:p>
    <w:p>
      <w:pPr>
        <w:spacing w:after="0" w:line="119" w:lineRule="exact"/>
        <w:rPr>
          <w:sz w:val="20"/>
          <w:szCs w:val="20"/>
          <w:color w:val="auto"/>
        </w:rPr>
      </w:pPr>
    </w:p>
    <w:p>
      <w:pPr>
        <w:ind w:left="380" w:right="40"/>
        <w:spacing w:after="0" w:line="296" w:lineRule="auto"/>
        <w:rPr>
          <w:sz w:val="20"/>
          <w:szCs w:val="20"/>
          <w:color w:val="auto"/>
        </w:rPr>
      </w:pPr>
      <w:r>
        <w:rPr>
          <w:rFonts w:ascii="Arial" w:cs="Arial" w:eastAsia="Arial" w:hAnsi="Arial"/>
          <w:sz w:val="15"/>
          <w:szCs w:val="15"/>
          <w:color w:val="auto"/>
        </w:rPr>
        <w:t>The Company’s long-lived assets are reviewed for impairment whenever events or changes in circumstances indicate that the carrying value of the asset may not be recoverable. The Company also evaluates the period of depreciation and amortization of long-lived assets to determine whether events or circumstances warrant revised estimates of useful lives. When indicators of impairment are present, the Company determines the recoverability of its long-lived assets by comparing the carrying value of its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The Company recorded impairment charges of $15,292,000 related to long-lived assets during the year ended December 31, 2020 (see Note 6).</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Leases</w:t>
      </w:r>
    </w:p>
    <w:p>
      <w:pPr>
        <w:spacing w:after="0" w:line="119" w:lineRule="exact"/>
        <w:rPr>
          <w:sz w:val="20"/>
          <w:szCs w:val="20"/>
          <w:color w:val="auto"/>
        </w:rPr>
      </w:pPr>
    </w:p>
    <w:p>
      <w:pPr>
        <w:ind w:left="380" w:right="120"/>
        <w:spacing w:after="0" w:line="275" w:lineRule="auto"/>
        <w:rPr>
          <w:sz w:val="20"/>
          <w:szCs w:val="20"/>
          <w:color w:val="auto"/>
        </w:rPr>
      </w:pPr>
      <w:r>
        <w:rPr>
          <w:rFonts w:ascii="Arial" w:cs="Arial" w:eastAsia="Arial" w:hAnsi="Arial"/>
          <w:sz w:val="16"/>
          <w:szCs w:val="16"/>
          <w:color w:val="auto"/>
        </w:rPr>
        <w:t>Under ASC 842, a contract is or contains a lease when, (1) explicitly or implicitly identified assets have been identified in the contract and (2) the customer obtains substantially all of the economic benefits from the use of that underlying asset and directs how and for what purpose the asset is used during the term of the contract. The Company determines if an arrangement is a lease at inception of the contract. For all leases (finance and operating leases), the Company recognizes as of the lease commencement date on the balance sheet a liability for its obligation related to the lease and a corresponding asset representing our right to use the underlying asset over the period of use. Leases with an initial term of 12 months or less meet the definition of a short-term lease which, as an accounting policy election, are not recorded on the balance sheet; and the lease expense for these leases is recognized on a straight-line basis over the lease term.</w:t>
      </w:r>
    </w:p>
    <w:p>
      <w:pPr>
        <w:spacing w:after="0" w:line="171" w:lineRule="exact"/>
        <w:rPr>
          <w:sz w:val="20"/>
          <w:szCs w:val="20"/>
          <w:color w:val="auto"/>
        </w:rPr>
      </w:pPr>
    </w:p>
    <w:p>
      <w:pPr>
        <w:ind w:left="380" w:right="380"/>
        <w:spacing w:after="0" w:line="265" w:lineRule="auto"/>
        <w:rPr>
          <w:sz w:val="20"/>
          <w:szCs w:val="20"/>
          <w:color w:val="auto"/>
        </w:rPr>
      </w:pPr>
      <w:r>
        <w:rPr>
          <w:rFonts w:ascii="Arial" w:cs="Arial" w:eastAsia="Arial" w:hAnsi="Arial"/>
          <w:sz w:val="17"/>
          <w:szCs w:val="17"/>
          <w:color w:val="auto"/>
        </w:rPr>
        <w:t>The lease liability for each lease is recognized as the present value of the lease payments not yet paid at the commencement date of the lease. The right-of-use asset (“ROU asset”) for each lease is recorded at the amount equal to the initial measurement of lease liability, adjusted for balances of prepaid rent, lease incentives received and initial direct costs incurred.</w:t>
      </w:r>
    </w:p>
    <w:p>
      <w:pPr>
        <w:spacing w:after="0" w:line="176" w:lineRule="exact"/>
        <w:rPr>
          <w:sz w:val="20"/>
          <w:szCs w:val="20"/>
          <w:color w:val="auto"/>
        </w:rPr>
      </w:pPr>
    </w:p>
    <w:p>
      <w:pPr>
        <w:ind w:left="380"/>
        <w:spacing w:after="0" w:line="278" w:lineRule="auto"/>
        <w:rPr>
          <w:sz w:val="20"/>
          <w:szCs w:val="20"/>
          <w:color w:val="auto"/>
        </w:rPr>
      </w:pPr>
      <w:r>
        <w:rPr>
          <w:rFonts w:ascii="Arial" w:cs="Arial" w:eastAsia="Arial" w:hAnsi="Arial"/>
          <w:sz w:val="17"/>
          <w:szCs w:val="17"/>
          <w:color w:val="auto"/>
        </w:rPr>
        <w:t>When determining lease term, the Company considers renewal options that it is reasonably certain to exercise and termination options that the Company is reasonably certain not to exercise, in addition to the non-cancellable period of the lease.</w:t>
      </w:r>
    </w:p>
    <w:p>
      <w:pPr>
        <w:spacing w:after="0" w:line="165" w:lineRule="exact"/>
        <w:rPr>
          <w:sz w:val="20"/>
          <w:szCs w:val="20"/>
          <w:color w:val="auto"/>
        </w:rPr>
      </w:pPr>
    </w:p>
    <w:p>
      <w:pPr>
        <w:ind w:left="380" w:right="320"/>
        <w:spacing w:after="0" w:line="282" w:lineRule="auto"/>
        <w:rPr>
          <w:sz w:val="20"/>
          <w:szCs w:val="20"/>
          <w:color w:val="auto"/>
        </w:rPr>
      </w:pPr>
      <w:r>
        <w:rPr>
          <w:rFonts w:ascii="Arial" w:cs="Arial" w:eastAsia="Arial" w:hAnsi="Arial"/>
          <w:sz w:val="16"/>
          <w:szCs w:val="16"/>
          <w:color w:val="auto"/>
        </w:rPr>
        <w:t>For operating leases, expense is generally recognized on a straight-line basis over the lease term, and is recorded within “Selling, general and administrative” in the accompanying consolidated statements of operations and comprehensive loss. For finance leases, interest on lease liability is recognized using the effective interest method, while the right-of-use asset is amortized on a straight-line basis, from the commencement date to the earlier of the end of the useful life of the right-of-use asset or the end of the lease term. Interest on lease liability</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0840"/>
          </w:cols>
          <w:pgMar w:left="320" w:top="471" w:right="73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980"/>
        <w:spacing w:after="0" w:line="278" w:lineRule="auto"/>
        <w:rPr>
          <w:sz w:val="20"/>
          <w:szCs w:val="20"/>
          <w:color w:val="auto"/>
        </w:rPr>
      </w:pPr>
      <w:r>
        <w:rPr>
          <w:rFonts w:ascii="Arial" w:cs="Arial" w:eastAsia="Arial" w:hAnsi="Arial"/>
          <w:sz w:val="17"/>
          <w:szCs w:val="17"/>
          <w:color w:val="auto"/>
        </w:rPr>
        <w:t>is recorded within “Interest income, net”, and amortization of right-of-use assets is recorded within “Depreciation and amortization” in the accompanying consolidated statements of operations and comprehensive loss.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Business Combinations</w:t>
      </w:r>
    </w:p>
    <w:p>
      <w:pPr>
        <w:spacing w:after="0" w:line="119" w:lineRule="exact"/>
        <w:rPr>
          <w:sz w:val="20"/>
          <w:szCs w:val="20"/>
          <w:color w:val="auto"/>
        </w:rPr>
      </w:pPr>
    </w:p>
    <w:p>
      <w:pPr>
        <w:ind w:left="380" w:right="20"/>
        <w:spacing w:after="0" w:line="273" w:lineRule="auto"/>
        <w:rPr>
          <w:sz w:val="20"/>
          <w:szCs w:val="20"/>
          <w:color w:val="auto"/>
        </w:rPr>
      </w:pPr>
      <w:r>
        <w:rPr>
          <w:rFonts w:ascii="Arial" w:cs="Arial" w:eastAsia="Arial" w:hAnsi="Arial"/>
          <w:sz w:val="16"/>
          <w:szCs w:val="16"/>
          <w:color w:val="auto"/>
        </w:rPr>
        <w:t xml:space="preserve">The Company accounts for its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The Company bases its fair value estimates on assumptions it believes are reasonable but recognizes that the assumptions are inherently uncertain.</w:t>
      </w:r>
    </w:p>
    <w:p>
      <w:pPr>
        <w:spacing w:after="0" w:line="175" w:lineRule="exact"/>
        <w:rPr>
          <w:sz w:val="20"/>
          <w:szCs w:val="20"/>
          <w:color w:val="auto"/>
        </w:rPr>
      </w:pPr>
    </w:p>
    <w:p>
      <w:pPr>
        <w:ind w:left="380" w:right="160"/>
        <w:spacing w:after="0" w:line="261" w:lineRule="auto"/>
        <w:rPr>
          <w:sz w:val="20"/>
          <w:szCs w:val="20"/>
          <w:color w:val="auto"/>
        </w:rPr>
      </w:pPr>
      <w:r>
        <w:rPr>
          <w:rFonts w:ascii="Arial" w:cs="Arial" w:eastAsia="Arial" w:hAnsi="Arial"/>
          <w:sz w:val="17"/>
          <w:szCs w:val="17"/>
          <w:color w:val="auto"/>
        </w:rPr>
        <w:t>For business combinations effected through a common control transaction, the Company measures the recognized net assets of the acquiree at the carrying amounts of the net assets previously recognized by the Company’s related party. The Company reflects the operations of entities acquired through a common control transaction in its financial statements as of the first date in the reporting period or as of the date that the entity was acquired by the Company’s related party, as applicable.</w:t>
      </w:r>
    </w:p>
    <w:p>
      <w:pPr>
        <w:spacing w:after="0" w:line="179" w:lineRule="exact"/>
        <w:rPr>
          <w:sz w:val="20"/>
          <w:szCs w:val="20"/>
          <w:color w:val="auto"/>
        </w:rPr>
      </w:pPr>
    </w:p>
    <w:p>
      <w:pPr>
        <w:ind w:left="380" w:right="60"/>
        <w:spacing w:after="0" w:line="261" w:lineRule="auto"/>
        <w:rPr>
          <w:sz w:val="20"/>
          <w:szCs w:val="20"/>
          <w:color w:val="auto"/>
        </w:rPr>
      </w:pPr>
      <w:r>
        <w:rPr>
          <w:rFonts w:ascii="Arial" w:cs="Arial" w:eastAsia="Arial" w:hAnsi="Arial"/>
          <w:sz w:val="17"/>
          <w:szCs w:val="17"/>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79" w:lineRule="exact"/>
        <w:rPr>
          <w:sz w:val="20"/>
          <w:szCs w:val="20"/>
          <w:color w:val="auto"/>
        </w:rPr>
      </w:pPr>
    </w:p>
    <w:p>
      <w:pPr>
        <w:ind w:left="380" w:right="640"/>
        <w:spacing w:after="0" w:line="278" w:lineRule="auto"/>
        <w:rPr>
          <w:sz w:val="20"/>
          <w:szCs w:val="20"/>
          <w:color w:val="auto"/>
        </w:rPr>
      </w:pPr>
      <w:r>
        <w:rPr>
          <w:rFonts w:ascii="Arial" w:cs="Arial" w:eastAsia="Arial" w:hAnsi="Arial"/>
          <w:sz w:val="17"/>
          <w:szCs w:val="17"/>
          <w:color w:val="auto"/>
        </w:rPr>
        <w:t>All acquisition-related costs, other than the costs to issue debt or equity securities, are accounted for as expenses in the period in which they are incurred.</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Goodwill and Other Intangible Assets</w:t>
      </w:r>
    </w:p>
    <w:p>
      <w:pPr>
        <w:spacing w:after="0" w:line="119" w:lineRule="exact"/>
        <w:rPr>
          <w:sz w:val="20"/>
          <w:szCs w:val="20"/>
          <w:color w:val="auto"/>
        </w:rPr>
      </w:pPr>
    </w:p>
    <w:p>
      <w:pPr>
        <w:ind w:left="380"/>
        <w:spacing w:after="0" w:line="291" w:lineRule="auto"/>
        <w:rPr>
          <w:sz w:val="20"/>
          <w:szCs w:val="20"/>
          <w:color w:val="auto"/>
        </w:rPr>
      </w:pPr>
      <w:r>
        <w:rPr>
          <w:rFonts w:ascii="Arial" w:cs="Arial" w:eastAsia="Arial" w:hAnsi="Arial"/>
          <w:sz w:val="15"/>
          <w:szCs w:val="15"/>
          <w:color w:val="auto"/>
        </w:rPr>
        <w:t xml:space="preserve">Goodwill and intangible assets that have indefinite useful lives are accounted for in accordance with ASC 350,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The Company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the Company is organized and operates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the Company first assesses qualitative factors to determine whether it is necessary to perform the quantitative impairment test. In the qualitative assessment, the Company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the Company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0860"/>
          </w:cols>
          <w:pgMar w:left="320" w:top="471" w:right="71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40"/>
        <w:spacing w:after="0" w:line="278" w:lineRule="auto"/>
        <w:rPr>
          <w:sz w:val="20"/>
          <w:szCs w:val="20"/>
          <w:color w:val="auto"/>
        </w:rPr>
      </w:pPr>
      <w:r>
        <w:rPr>
          <w:rFonts w:ascii="Arial" w:cs="Arial" w:eastAsia="Arial" w:hAnsi="Arial"/>
          <w:sz w:val="17"/>
          <w:szCs w:val="17"/>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did not record any impairment charges related to goodwill and intangible assets during the years ended December 31, 2020 and 2019.</w:t>
      </w:r>
    </w:p>
    <w:p>
      <w:pPr>
        <w:spacing w:after="0" w:line="33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380" w:right="60"/>
        <w:spacing w:after="0" w:line="288" w:lineRule="auto"/>
        <w:rPr>
          <w:sz w:val="20"/>
          <w:szCs w:val="20"/>
          <w:color w:val="auto"/>
        </w:rPr>
      </w:pPr>
      <w:r>
        <w:rPr>
          <w:rFonts w:ascii="Arial" w:cs="Arial" w:eastAsia="Arial" w:hAnsi="Arial"/>
          <w:sz w:val="15"/>
          <w:szCs w:val="15"/>
          <w:color w:val="auto"/>
        </w:rPr>
        <w:t>The Digital Currency Trading, Clearing, and Warehouse Services Agreement with IFUS and ICUS (the “Triparty Agreement”) governs the trading, clearing and custody services for physically-delivered bitcoin futures contracts and options contracts (collectively, “PDF Contracts”). The PDF Contracts generally have a duration of less than one month, and substantially all of the PDF Contracts are settled in the same month in which the trade execution is initiated. At the expiration of a PDF Contract, physical delivery will occur if the counterparties to the PDF Contract have not previously settled the PDF Contract. Parties that trade PDF Contracts (“PDF Contract Traders”) are generally institutional investors and market makers that enter into agreements separately with each of IFUS, ICUS and Bakkt for trading, clearing and custody related services, respectively. With respect to Bakkt’s provision of custody services that are necessary to support the trading and clearing services provided by IFUS and ICUS for the PDF Contracts, Bakkt’s customers are IFUS and ICUS, who are related parties. In this regard, Bakkt’s obligation is to provide a stand-ready custody function that supports the trading and clearing services for the PDF Contracts. Bakkt’s obligation to provide a stand-ready custody function includes related promises such as:</w:t>
      </w:r>
    </w:p>
    <w:p>
      <w:pPr>
        <w:ind w:left="580" w:hanging="204"/>
        <w:spacing w:after="0"/>
        <w:tabs>
          <w:tab w:leader="none" w:pos="5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initial onboarding of PDF Contract Traders to the custody warehouse, which represents the commencement of the custody services;</w:t>
      </w:r>
    </w:p>
    <w:p>
      <w:pPr>
        <w:spacing w:after="0" w:line="10" w:lineRule="exact"/>
        <w:rPr>
          <w:rFonts w:ascii="Arial" w:cs="Arial" w:eastAsia="Arial" w:hAnsi="Arial"/>
          <w:sz w:val="17"/>
          <w:szCs w:val="17"/>
          <w:color w:val="auto"/>
        </w:rPr>
      </w:pPr>
    </w:p>
    <w:p>
      <w:pPr>
        <w:jc w:val="both"/>
        <w:ind w:left="380" w:right="80" w:hanging="4"/>
        <w:spacing w:after="0" w:line="286" w:lineRule="auto"/>
        <w:tabs>
          <w:tab w:leader="none" w:pos="63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jc w:val="both"/>
        <w:ind w:left="380" w:right="40" w:hanging="4"/>
        <w:spacing w:after="0" w:line="256" w:lineRule="auto"/>
        <w:tabs>
          <w:tab w:leader="none" w:pos="67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Bakkt has incurred significant time and expense to build, establish and maintain a fully licensed, institutional-grade bitcoin custodian.</w:t>
      </w:r>
    </w:p>
    <w:p>
      <w:pPr>
        <w:spacing w:after="0" w:line="184"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While Bakkt’s performance obligation to IFUS and ICUS is comprised of several related promises as described above,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The maximum duration of Bakkt’s performance obligation would extend from trade execution through the later of settlement of a PDF Contract or the ultimate withdrawal of physically-delivered bitcoin underlying the PDF Contract. However, in Bakkt’s experience, less than 1% of PDF Contracts go to physical settlement. Bakkt determines the obligation period associated with Triparty Agreement revenue using the portfolio method based on its historical transaction experience, as the PDF Contracts have similar characteristics. The average performance obligation period is less than one month based on the application of the portfolio method. Therefore, Bakkt recognizes revenue for the stand-ready custody</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860"/>
          </w:cols>
          <w:pgMar w:left="320" w:top="471" w:right="71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services that it provides to IFUS and ICUS on a straight-line basis over the average performance obligation period, which is less than one month.</w:t>
      </w:r>
    </w:p>
    <w:p>
      <w:pPr>
        <w:spacing w:after="0" w:line="228"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PDF Contract Traders pay a transaction fee for trading and clearing, which is collected by ICUS. Per terms of the Triparty Agreement, IFUS and ICUS pass to Bakkt all trading and clearing transaction fees, net of rebates and liquidity payments issued to PDF Contract Traders. Bakkt considers the transaction price to be the net transaction fee received from IFUS and ICUS or paid to IFUS and ICUS.</w:t>
      </w:r>
    </w:p>
    <w:p>
      <w:pPr>
        <w:spacing w:after="0" w:line="176" w:lineRule="exact"/>
        <w:rPr>
          <w:sz w:val="20"/>
          <w:szCs w:val="20"/>
          <w:color w:val="auto"/>
        </w:rPr>
      </w:pPr>
    </w:p>
    <w:p>
      <w:pPr>
        <w:ind w:left="380" w:right="14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Bakkt. To the extent the rebates issued to PDF Contract Traders exceed the transaction fees collected by IFUS and ICUS, Bakkt pays IFUS and ICUS for the difference between the rebate amounts and the collected transaction fees. Bakkt does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Bakkt to estimate these at a given reporting period date.</w:t>
      </w:r>
    </w:p>
    <w:p>
      <w:pPr>
        <w:spacing w:after="0" w:line="156" w:lineRule="exact"/>
        <w:rPr>
          <w:sz w:val="20"/>
          <w:szCs w:val="20"/>
          <w:color w:val="auto"/>
        </w:rPr>
      </w:pPr>
    </w:p>
    <w:p>
      <w:pPr>
        <w:ind w:left="380" w:right="240"/>
        <w:spacing w:after="0" w:line="278" w:lineRule="auto"/>
        <w:rPr>
          <w:sz w:val="20"/>
          <w:szCs w:val="20"/>
          <w:color w:val="auto"/>
        </w:rPr>
      </w:pPr>
      <w:r>
        <w:rPr>
          <w:rFonts w:ascii="Arial" w:cs="Arial" w:eastAsia="Arial" w:hAnsi="Arial"/>
          <w:sz w:val="17"/>
          <w:szCs w:val="17"/>
          <w:color w:val="auto"/>
        </w:rPr>
        <w:t>Bakkt also recognizes a capital contribution for the cost of the trading and clearing services provided by IFUS and ICUS pursuant to the Contribution Agreement (see Note 8), which reduces the revenue recognized as part of the net transaction fee.</w:t>
      </w:r>
    </w:p>
    <w:p>
      <w:pPr>
        <w:spacing w:after="0" w:line="165" w:lineRule="exact"/>
        <w:rPr>
          <w:sz w:val="20"/>
          <w:szCs w:val="20"/>
          <w:color w:val="auto"/>
        </w:rPr>
      </w:pPr>
    </w:p>
    <w:p>
      <w:pPr>
        <w:jc w:val="both"/>
        <w:ind w:left="380" w:right="360"/>
        <w:spacing w:after="0" w:line="261" w:lineRule="auto"/>
        <w:rPr>
          <w:sz w:val="20"/>
          <w:szCs w:val="20"/>
          <w:color w:val="auto"/>
        </w:rPr>
      </w:pPr>
      <w:r>
        <w:rPr>
          <w:rFonts w:ascii="Arial" w:cs="Arial" w:eastAsia="Arial" w:hAnsi="Arial"/>
          <w:sz w:val="17"/>
          <w:szCs w:val="17"/>
          <w:color w:val="auto"/>
        </w:rPr>
        <w:t>Bakkt recognized net revenues related to the Triparty Agreement of ($2,007,000) and ($881,000) for the years ended December 31, 2020 and 2019, respectively. These amounts are net of contra-revenue amounts of $3,393,000 and $693,000 for rebates and incentive payments for the years ended December 31, 2020 and 2019, respectively, and reduced by the capital contribution by related parties of $697,000 and $188,000 for the years ended December 31, 2020 and 2019, respectively.</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Custody</w:t>
      </w:r>
    </w:p>
    <w:p>
      <w:pPr>
        <w:spacing w:after="0" w:line="216"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The Company provides a bitcoin custody solution to institutions and certain high net worth individuals. For PDF Contract Traders with custody accounts related to PDF Contracts, the Company does not charge a fee specifically for the custody service. For customers using custody services on a standalone basis, the Company charges a fee, which is generally based on a fixed fee and represents fixed consideration. The Company invoices customers on a quarterly basis. Our performance obligation related to the storage and custody of a customer’s bitcoin represents an obligation to provide custody services for digital assets. Bitcoin held in a custodial capacity on behalf of the Company’s customers is not included in the Company’s consolidated balance sheet, as the Company does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5"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Bakkt’s performance obligation to provide custodial services meets the criterion to be satisfied over time. Revenue from our custodial services is included in “Net revenues” in the accompanying consolidated statements of operations and comprehensive loss.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0860"/>
          </w:cols>
          <w:pgMar w:left="320" w:top="471" w:right="71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Bakkt recognized revenue of $304,000 the year ended December 31, 2020 and no revenue for the year ended December 31, 2019.</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Through our acquisition of Bridge2 Solutions, 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the Company’s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accompanying consolidated statements of operations and comprehensive loss and include the following:</w:t>
      </w:r>
    </w:p>
    <w:p>
      <w:pPr>
        <w:spacing w:after="0" w:line="81" w:lineRule="exact"/>
        <w:rPr>
          <w:sz w:val="20"/>
          <w:szCs w:val="20"/>
          <w:color w:val="auto"/>
        </w:rPr>
      </w:pPr>
    </w:p>
    <w:p>
      <w:pPr>
        <w:ind w:left="1300" w:hanging="410"/>
        <w:spacing w:after="0" w:line="259" w:lineRule="auto"/>
        <w:tabs>
          <w:tab w:leader="none" w:pos="13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customers to access the redemption platform and receive customer support 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in Note 3.</w:t>
      </w:r>
    </w:p>
    <w:p>
      <w:pPr>
        <w:spacing w:after="0" w:line="90" w:lineRule="exact"/>
        <w:rPr>
          <w:rFonts w:ascii="Arial" w:cs="Arial" w:eastAsia="Arial" w:hAnsi="Arial"/>
          <w:sz w:val="17"/>
          <w:szCs w:val="17"/>
          <w:color w:val="auto"/>
        </w:rPr>
      </w:pPr>
    </w:p>
    <w:p>
      <w:pPr>
        <w:ind w:left="1300" w:right="140" w:hanging="410"/>
        <w:spacing w:after="0" w:line="282" w:lineRule="auto"/>
        <w:tabs>
          <w:tab w:leader="none" w:pos="1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in Note 3.</w:t>
      </w:r>
    </w:p>
    <w:p>
      <w:pPr>
        <w:spacing w:after="0" w:line="74" w:lineRule="exact"/>
        <w:rPr>
          <w:rFonts w:ascii="Arial" w:cs="Arial" w:eastAsia="Arial" w:hAnsi="Arial"/>
          <w:sz w:val="16"/>
          <w:szCs w:val="16"/>
          <w:color w:val="auto"/>
        </w:rPr>
      </w:pPr>
    </w:p>
    <w:p>
      <w:pPr>
        <w:ind w:left="1300" w:right="180" w:hanging="410"/>
        <w:spacing w:after="0" w:line="257" w:lineRule="auto"/>
        <w:tabs>
          <w:tab w:leader="none" w:pos="13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fulfillment. We allocate revenue share fees to the period in which the related transaction occurs.</w:t>
      </w:r>
    </w:p>
    <w:p>
      <w:pPr>
        <w:ind w:left="1320"/>
        <w:spacing w:after="0"/>
        <w:rPr>
          <w:rFonts w:ascii="Arial" w:cs="Arial" w:eastAsia="Arial" w:hAnsi="Arial"/>
          <w:sz w:val="17"/>
          <w:szCs w:val="17"/>
          <w:color w:val="auto"/>
        </w:rPr>
      </w:pPr>
      <w:r>
        <w:rPr>
          <w:rFonts w:ascii="Arial" w:cs="Arial" w:eastAsia="Arial" w:hAnsi="Arial"/>
          <w:sz w:val="16"/>
          <w:szCs w:val="16"/>
          <w:color w:val="auto"/>
        </w:rPr>
        <w:t>Revenue from our revenue share fees is included in “Transaction revenue, net” in the disaggregation of revenue table in Note 3.</w:t>
      </w:r>
    </w:p>
    <w:p>
      <w:pPr>
        <w:spacing w:after="0" w:line="126" w:lineRule="exact"/>
        <w:rPr>
          <w:rFonts w:ascii="Arial" w:cs="Arial" w:eastAsia="Arial" w:hAnsi="Arial"/>
          <w:sz w:val="17"/>
          <w:szCs w:val="17"/>
          <w:color w:val="auto"/>
        </w:rPr>
      </w:pPr>
    </w:p>
    <w:p>
      <w:pPr>
        <w:ind w:left="1300" w:right="40" w:hanging="410"/>
        <w:spacing w:after="0" w:line="274" w:lineRule="auto"/>
        <w:tabs>
          <w:tab w:leader="none" w:pos="1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customer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 The Company recognizes deferred revenue when all such fees are billed. Revenue from our services fees is included in “Subscription and services revenue” in the disaggregation of revenue table in Note 3.</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In February 2020, the Company entered into a Strategic Alliance Agreement (the “Strategic Alliance Agreement”) with a strategic partner, who is also a customer of the Company, to develop and operate a mechanism whereby a customer can purchase food and beverage items from the strategic partner using their Bakkt digital wallet.</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0860"/>
          </w:cols>
          <w:pgMar w:left="320" w:top="471" w:right="71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75" w:lineRule="auto"/>
        <w:rPr>
          <w:sz w:val="20"/>
          <w:szCs w:val="20"/>
          <w:color w:val="auto"/>
        </w:rPr>
      </w:pPr>
      <w:r>
        <w:rPr>
          <w:rFonts w:ascii="Arial" w:cs="Arial" w:eastAsia="Arial" w:hAnsi="Arial"/>
          <w:sz w:val="16"/>
          <w:szCs w:val="16"/>
          <w:color w:val="auto"/>
        </w:rPr>
        <w:t xml:space="preserve">In conjunction with the Strategic Alliance Agreement, the parties entered into a separate agreement under which Bakkt issued the strategic partner a warrant to purchase 15 million Class B voting units (see Note 8). The Company accounts for the warrant as consideration payable to a customer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 Refer to Note 8 for additional information related to the warrants.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Transaction fees and the reduction to transaction fees are included in “Transaction revenue, net” in the disaggregation of revenue table in Note 3.</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Practical expedients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1300" w:hanging="410"/>
        <w:spacing w:after="0"/>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1300" w:right="420" w:hanging="410"/>
        <w:spacing w:after="0" w:line="278" w:lineRule="auto"/>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1300" w:right="180" w:hanging="410"/>
        <w:spacing w:after="0" w:line="289" w:lineRule="auto"/>
        <w:tabs>
          <w:tab w:leader="none" w:pos="13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left="380" w:right="14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3 for additional disclosures related to Bakkt’s recognition of revenue.</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460"/>
        <w:spacing w:after="0" w:line="278" w:lineRule="auto"/>
        <w:rPr>
          <w:sz w:val="20"/>
          <w:szCs w:val="20"/>
          <w:color w:val="auto"/>
        </w:rPr>
      </w:pPr>
      <w:r>
        <w:rPr>
          <w:rFonts w:ascii="Arial" w:cs="Arial" w:eastAsia="Arial" w:hAnsi="Arial"/>
          <w:sz w:val="17"/>
          <w:szCs w:val="17"/>
          <w:color w:val="auto"/>
        </w:rPr>
        <w:t>Deferred revenue includes amounts invoiced prior to the Company meeting the criteria for revenue recognition. The Company typically invoices customers for subscription fees in arrears on a monthly basis.</w:t>
      </w:r>
    </w:p>
    <w:p>
      <w:pPr>
        <w:spacing w:after="0" w:line="165"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w:t>
      </w:r>
    </w:p>
    <w:p>
      <w:pPr>
        <w:spacing w:after="0" w:line="164" w:lineRule="exact"/>
        <w:rPr>
          <w:sz w:val="20"/>
          <w:szCs w:val="20"/>
          <w:color w:val="auto"/>
        </w:rPr>
      </w:pPr>
    </w:p>
    <w:p>
      <w:pPr>
        <w:ind w:left="380" w:right="220"/>
        <w:spacing w:after="0" w:line="311" w:lineRule="auto"/>
        <w:rPr>
          <w:sz w:val="20"/>
          <w:szCs w:val="20"/>
          <w:color w:val="auto"/>
        </w:rPr>
      </w:pPr>
      <w:r>
        <w:rPr>
          <w:rFonts w:ascii="Arial" w:cs="Arial" w:eastAsia="Arial" w:hAnsi="Arial"/>
          <w:sz w:val="16"/>
          <w:szCs w:val="16"/>
          <w:color w:val="auto"/>
        </w:rPr>
        <w:t>The amount of revenue recognized for the year ended December 31, 2020 from the opening deferred revenue balance as of the date of acquisition of Bridge2 Solutions (see Note 4) was $11,005,000. The Company did not have any deferred revenue as of December 31, 2019.</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and Benefits</w:t>
      </w:r>
    </w:p>
    <w:p>
      <w:pPr>
        <w:spacing w:after="0" w:line="119" w:lineRule="exact"/>
        <w:rPr>
          <w:sz w:val="20"/>
          <w:szCs w:val="20"/>
          <w:color w:val="auto"/>
        </w:rPr>
      </w:pPr>
    </w:p>
    <w:p>
      <w:pPr>
        <w:ind w:left="380" w:right="100"/>
        <w:spacing w:after="0" w:line="289" w:lineRule="auto"/>
        <w:rPr>
          <w:sz w:val="20"/>
          <w:szCs w:val="20"/>
          <w:color w:val="auto"/>
        </w:rPr>
      </w:pPr>
      <w:r>
        <w:rPr>
          <w:rFonts w:ascii="Arial" w:cs="Arial" w:eastAsia="Arial" w:hAnsi="Arial"/>
          <w:sz w:val="16"/>
          <w:szCs w:val="16"/>
          <w:color w:val="auto"/>
        </w:rPr>
        <w:t>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760"/>
          </w:cols>
          <w:pgMar w:left="320" w:top="471" w:right="81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Professional Services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Professional services expenses consist of costs associated with audit, tax, legal and other professional services.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Technology and Communication</w:t>
      </w:r>
    </w:p>
    <w:p>
      <w:pPr>
        <w:spacing w:after="0" w:line="119"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Technology and communication expenses include costs incurred in operating and maintaining the Company’s platform, including software licenses, software maintenance and support, hosting and infrastructure costs.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Selling, General and Administrative</w:t>
      </w:r>
    </w:p>
    <w:p>
      <w:pPr>
        <w:spacing w:after="0" w:line="119" w:lineRule="exact"/>
        <w:rPr>
          <w:sz w:val="20"/>
          <w:szCs w:val="20"/>
          <w:color w:val="auto"/>
        </w:rPr>
      </w:pPr>
    </w:p>
    <w:p>
      <w:pPr>
        <w:ind w:left="380" w:right="100"/>
        <w:spacing w:after="0" w:line="34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advertising costs for the years ended December 31, 2020 and 2019 were $4,851,000 and $534,000, respectively.</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Acquisition-Related Expenses</w:t>
      </w:r>
    </w:p>
    <w:p>
      <w:pPr>
        <w:spacing w:after="0" w:line="119" w:lineRule="exact"/>
        <w:rPr>
          <w:sz w:val="20"/>
          <w:szCs w:val="20"/>
          <w:color w:val="auto"/>
        </w:rPr>
      </w:pPr>
    </w:p>
    <w:p>
      <w:pPr>
        <w:ind w:left="380" w:right="100"/>
        <w:spacing w:after="0" w:line="257" w:lineRule="auto"/>
        <w:rPr>
          <w:sz w:val="20"/>
          <w:szCs w:val="20"/>
          <w:color w:val="auto"/>
        </w:rPr>
      </w:pPr>
      <w:r>
        <w:rPr>
          <w:rFonts w:ascii="Arial" w:cs="Arial" w:eastAsia="Arial" w:hAnsi="Arial"/>
          <w:sz w:val="17"/>
          <w:szCs w:val="17"/>
          <w:color w:val="auto"/>
        </w:rPr>
        <w:t>We incur incremental costs relating to our completed and potential acquisitions and other strategic opportunities. This includes fees for investment banking advisors, lawyers, accountants, tax advisors and public relations firms, as well as costs associated with other external costs directly related to the proposed or closed transactions. Acquisition-related expenses for the years ended December 31, 2020 and 2019 were $13,372,000 and $731,000, respectively. Acquisition-related expenses for the year ended December 31, 2020 included approximately $9,567,000 of accelerated expense for the Company’s incentive and participation units resulting from the issuance of Class C voting units in connection with the acquisition of Bridge2 Solutions (see Note 9).</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Unit-Based Compensation</w:t>
      </w:r>
    </w:p>
    <w:p>
      <w:pPr>
        <w:spacing w:after="0" w:line="119" w:lineRule="exact"/>
        <w:rPr>
          <w:sz w:val="20"/>
          <w:szCs w:val="20"/>
          <w:color w:val="auto"/>
        </w:rPr>
      </w:pPr>
    </w:p>
    <w:p>
      <w:pPr>
        <w:ind w:left="380" w:right="40"/>
        <w:spacing w:after="0" w:line="259" w:lineRule="auto"/>
        <w:rPr>
          <w:sz w:val="20"/>
          <w:szCs w:val="20"/>
          <w:color w:val="auto"/>
        </w:rPr>
      </w:pPr>
      <w:r>
        <w:rPr>
          <w:rFonts w:ascii="Arial" w:cs="Arial" w:eastAsia="Arial" w:hAnsi="Arial"/>
          <w:sz w:val="17"/>
          <w:szCs w:val="17"/>
          <w:color w:val="auto"/>
        </w:rPr>
        <w:t>Share-based payments to employees, which consist of incentive units and phantom units (“participation” units), are measured at fair value on the date of grant and recognized as expense in “Compensation and benefits” in the accompanying consolidated statements of operations and comprehensive loss over the requisite service period. Additionally, the Company recognizes variable compensation expense for liability-classified participation units based on changes to the fair value of the awards at each reporting date. The Company elects to account for forfeitures as they occur. See Note 9 for additional disclosures related to unit-based compensation.</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860"/>
          </w:cols>
          <w:pgMar w:left="320" w:top="471" w:right="71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Fair Value Measurements</w:t>
      </w:r>
    </w:p>
    <w:p>
      <w:pPr>
        <w:spacing w:after="0" w:line="119"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 xml:space="preserve">The Company accounts for its financial assets and liabilities that are recognized and/or disclosed at fair value on a recurring basis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for identical assets or liabilities in active markets.</w:t>
      </w:r>
    </w:p>
    <w:p>
      <w:pPr>
        <w:spacing w:after="0" w:line="216"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79"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Level 3 — Unobservable inputs reflecting the Company’s view about the assumptions that market participants would use in measuring the fair value of the assets or liabilities.</w:t>
      </w:r>
    </w:p>
    <w:p>
      <w:pPr>
        <w:spacing w:after="0" w:line="165" w:lineRule="exact"/>
        <w:rPr>
          <w:sz w:val="20"/>
          <w:szCs w:val="20"/>
          <w:color w:val="auto"/>
        </w:rPr>
      </w:pPr>
    </w:p>
    <w:p>
      <w:pPr>
        <w:ind w:left="380" w:right="120"/>
        <w:spacing w:after="0" w:line="257" w:lineRule="auto"/>
        <w:rPr>
          <w:sz w:val="20"/>
          <w:szCs w:val="20"/>
          <w:color w:val="auto"/>
        </w:rPr>
      </w:pPr>
      <w:r>
        <w:rPr>
          <w:rFonts w:ascii="Arial" w:cs="Arial" w:eastAsia="Arial" w:hAnsi="Arial"/>
          <w:sz w:val="17"/>
          <w:szCs w:val="17"/>
          <w:color w:val="auto"/>
        </w:rPr>
        <w:t>Where the fair values of financial assets and liabilities recorded in the consolidated balance sheets cannot be derived from an active market, they are determined using a variety of valuation techniques. These valuation techniques may include a net present value technique, comparison to similar instruments with market observable inputs, options pricing models and other relevant valuation models. Inputs into these models are taken from observable market data whenever possible, but in instances where it is not reasonably feasible, a degree of judgment is required to establish fair values. Nonperformance risk includes, but may not be limited to, the Company or counterparty’s credit and settlement risk. This risk is estimated by the Company using credit spreads and risk premiums that are observable in the market whenever possible, or estimated borrowing costs based on bank quotes.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Concentration of Credit Risk</w:t>
      </w:r>
    </w:p>
    <w:p>
      <w:pPr>
        <w:spacing w:after="0" w:line="119" w:lineRule="exact"/>
        <w:rPr>
          <w:sz w:val="20"/>
          <w:szCs w:val="20"/>
          <w:color w:val="auto"/>
        </w:rPr>
      </w:pPr>
    </w:p>
    <w:p>
      <w:pPr>
        <w:ind w:left="380" w:right="40"/>
        <w:spacing w:after="0" w:line="27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w:t>
      </w:r>
    </w:p>
    <w:p>
      <w:pPr>
        <w:spacing w:after="0" w:line="165"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As of December 31, 2020, three customers represented approximately 57% of total accounts receivable. During the year ended December 31, 2019, the Company did not enter into any transactions in which credit was extended to customers.</w:t>
      </w:r>
    </w:p>
    <w:p>
      <w:pPr>
        <w:spacing w:after="0" w:line="165" w:lineRule="exact"/>
        <w:rPr>
          <w:sz w:val="20"/>
          <w:szCs w:val="20"/>
          <w:color w:val="auto"/>
        </w:rPr>
      </w:pPr>
    </w:p>
    <w:p>
      <w:pPr>
        <w:ind w:left="380" w:right="380"/>
        <w:spacing w:after="0" w:line="278" w:lineRule="auto"/>
        <w:rPr>
          <w:sz w:val="20"/>
          <w:szCs w:val="20"/>
          <w:color w:val="auto"/>
        </w:rPr>
      </w:pPr>
      <w:r>
        <w:rPr>
          <w:rFonts w:ascii="Arial" w:cs="Arial" w:eastAsia="Arial" w:hAnsi="Arial"/>
          <w:sz w:val="17"/>
          <w:szCs w:val="17"/>
          <w:color w:val="auto"/>
        </w:rPr>
        <w:t>For the year ended December 31, 2020, two customers represented approximately 65% of total revenue. For the year ended December 31, 2019, no customer represented 10% of more of revenue.</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0860"/>
          </w:cols>
          <w:pgMar w:left="320" w:top="471" w:right="71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Investments</w:t>
      </w:r>
    </w:p>
    <w:p>
      <w:pPr>
        <w:spacing w:after="0" w:line="119" w:lineRule="exact"/>
        <w:rPr>
          <w:sz w:val="20"/>
          <w:szCs w:val="20"/>
          <w:color w:val="auto"/>
        </w:rPr>
      </w:pPr>
    </w:p>
    <w:p>
      <w:pPr>
        <w:ind w:left="380" w:right="60"/>
        <w:spacing w:after="0" w:line="289" w:lineRule="auto"/>
        <w:rPr>
          <w:sz w:val="20"/>
          <w:szCs w:val="20"/>
          <w:color w:val="auto"/>
        </w:rPr>
      </w:pPr>
      <w:r>
        <w:rPr>
          <w:rFonts w:ascii="Arial" w:cs="Arial" w:eastAsia="Arial" w:hAnsi="Arial"/>
          <w:sz w:val="15"/>
          <w:szCs w:val="15"/>
          <w:color w:val="auto"/>
        </w:rPr>
        <w:t xml:space="preserve">As of December 31, 2019, short-term investments consisted of investments in U.S. Government securities which matured in May 2020 and were redeemed for cash. During the year ended December 31, 2020, the Company recorded $18,000 of interest income from these securities which is included in “Interest income, net” in the accompanying consolidated statements of operations and comprehensive loss. Management determines the appropriate classification of our investments at the time they are acquired and evaluates the appropriateness of such classifications at each balance sheet date. Prior to maturity, the Company classified its investments as available-for-sale pursuant to ASC 320, </w:t>
      </w:r>
      <w:r>
        <w:rPr>
          <w:rFonts w:ascii="Arial" w:cs="Arial" w:eastAsia="Arial" w:hAnsi="Arial"/>
          <w:sz w:val="15"/>
          <w:szCs w:val="15"/>
          <w:i w:val="1"/>
          <w:iCs w:val="1"/>
          <w:color w:val="auto"/>
        </w:rPr>
        <w:t>Investments—Debt and Equity</w:t>
      </w:r>
    </w:p>
    <w:p>
      <w:pPr>
        <w:spacing w:after="0" w:line="2" w:lineRule="exact"/>
        <w:rPr>
          <w:sz w:val="20"/>
          <w:szCs w:val="20"/>
          <w:color w:val="auto"/>
        </w:rPr>
      </w:pPr>
    </w:p>
    <w:p>
      <w:pPr>
        <w:ind w:left="380" w:right="400"/>
        <w:spacing w:after="0" w:line="259" w:lineRule="auto"/>
        <w:rPr>
          <w:sz w:val="20"/>
          <w:szCs w:val="20"/>
          <w:color w:val="auto"/>
        </w:rPr>
      </w:pPr>
      <w:r>
        <w:rPr>
          <w:rFonts w:ascii="Arial" w:cs="Arial" w:eastAsia="Arial" w:hAnsi="Arial"/>
          <w:sz w:val="17"/>
          <w:szCs w:val="17"/>
          <w:i w:val="1"/>
          <w:iCs w:val="1"/>
          <w:color w:val="auto"/>
        </w:rPr>
        <w:t>Securities</w:t>
      </w:r>
      <w:r>
        <w:rPr>
          <w:rFonts w:ascii="Arial" w:cs="Arial" w:eastAsia="Arial" w:hAnsi="Arial"/>
          <w:sz w:val="17"/>
          <w:szCs w:val="17"/>
          <w:color w:val="auto"/>
        </w:rPr>
        <w:t>. Investments are recorded at fair value, with realized gains and losses included in “Other income, net” in the accompanying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operations and comprehensive loss on a specific-identification basis. There were no realized or unrealized gains or losses on short-term investments for the years ended December 31, 2020 and 2019.</w:t>
      </w:r>
    </w:p>
    <w:p>
      <w:pPr>
        <w:spacing w:after="0" w:line="179" w:lineRule="exact"/>
        <w:rPr>
          <w:sz w:val="20"/>
          <w:szCs w:val="20"/>
          <w:color w:val="auto"/>
        </w:rPr>
      </w:pPr>
    </w:p>
    <w:p>
      <w:pPr>
        <w:ind w:left="380" w:right="160"/>
        <w:spacing w:after="0" w:line="282" w:lineRule="auto"/>
        <w:rPr>
          <w:sz w:val="20"/>
          <w:szCs w:val="20"/>
          <w:color w:val="auto"/>
        </w:rPr>
      </w:pPr>
      <w:r>
        <w:rPr>
          <w:rFonts w:ascii="Arial" w:cs="Arial" w:eastAsia="Arial" w:hAnsi="Arial"/>
          <w:sz w:val="16"/>
          <w:szCs w:val="16"/>
          <w:color w:val="auto"/>
        </w:rPr>
        <w:t>Bakkt Clearing was required to hold shares of ICE stock for ICUS membership privileges prior to the withdrawal of its ICUS membership on May 20, 2020. These shares were carried at cost basis and evaluated periodically for impairment. Upon withdrawal of its ICUS membership, these shares were remeasured at fair value, resulting in an unrealized gain of $628,000 for the year ended December 31, 2020 which is reflected as “Other income (expense), net” in the accompanying consolidated statements of operations and comprehensive loss (see Note 7).</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Investments are classified as current or non-current depending on their maturity dates and when it is expected to be converted into cash.</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9" w:lineRule="exact"/>
        <w:rPr>
          <w:sz w:val="20"/>
          <w:szCs w:val="20"/>
          <w:color w:val="auto"/>
        </w:rPr>
      </w:pPr>
    </w:p>
    <w:p>
      <w:pPr>
        <w:ind w:left="380" w:right="100"/>
        <w:spacing w:after="0" w:line="293" w:lineRule="auto"/>
        <w:rPr>
          <w:sz w:val="20"/>
          <w:szCs w:val="20"/>
          <w:color w:val="auto"/>
        </w:rPr>
      </w:pPr>
      <w:r>
        <w:rPr>
          <w:rFonts w:ascii="Arial" w:cs="Arial" w:eastAsia="Arial" w:hAnsi="Arial"/>
          <w:sz w:val="15"/>
          <w:szCs w:val="15"/>
          <w:color w:val="auto"/>
        </w:rPr>
        <w:t xml:space="preserve">On January 1, 2019, the Company adopted ASU 2018-07,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(Topic 718), or ASU 2018-07. This amendment expands ASC 718 to include share-based payment transactions for acquiring goods and services from non-employees and to supersede the guidance in ASC</w:t>
      </w:r>
    </w:p>
    <w:p>
      <w:pPr>
        <w:spacing w:after="0" w:line="1" w:lineRule="exact"/>
        <w:rPr>
          <w:sz w:val="20"/>
          <w:szCs w:val="20"/>
          <w:color w:val="auto"/>
        </w:rPr>
      </w:pPr>
    </w:p>
    <w:p>
      <w:pPr>
        <w:ind w:left="380" w:right="80"/>
        <w:spacing w:after="0" w:line="301" w:lineRule="auto"/>
        <w:rPr>
          <w:sz w:val="20"/>
          <w:szCs w:val="20"/>
          <w:color w:val="auto"/>
        </w:rPr>
      </w:pPr>
      <w:r>
        <w:rPr>
          <w:rFonts w:ascii="Arial" w:cs="Arial" w:eastAsia="Arial" w:hAnsi="Arial"/>
          <w:sz w:val="15"/>
          <w:szCs w:val="15"/>
          <w:color w:val="auto"/>
        </w:rPr>
        <w:t>505-50 which previously included the accounting for non-employee awards. ASU 2018-07 retains the existing cost attribution guidance, which requires entities to recognize compensation cost for non-employee awards in the same period and in the same manner (i.e., capitalize or expense) as they would have had they paid cash for the goods or services, but it moves the guidance to ASC 718. Adoption of the new standard did not have a material impact on the Company’s consolidated financial statement amounts, and we will no longer adjust such awards to fair market value each reporting period.</w:t>
      </w:r>
    </w:p>
    <w:p>
      <w:pPr>
        <w:spacing w:after="0" w:line="153" w:lineRule="exact"/>
        <w:rPr>
          <w:sz w:val="20"/>
          <w:szCs w:val="20"/>
          <w:color w:val="auto"/>
        </w:rPr>
      </w:pPr>
    </w:p>
    <w:p>
      <w:pPr>
        <w:ind w:left="380" w:right="120"/>
        <w:spacing w:after="0" w:line="282" w:lineRule="auto"/>
        <w:rPr>
          <w:sz w:val="20"/>
          <w:szCs w:val="20"/>
          <w:color w:val="auto"/>
        </w:rPr>
      </w:pPr>
      <w:r>
        <w:rPr>
          <w:rFonts w:ascii="Arial" w:cs="Arial" w:eastAsia="Arial" w:hAnsi="Arial"/>
          <w:sz w:val="16"/>
          <w:szCs w:val="16"/>
          <w:color w:val="auto"/>
        </w:rPr>
        <w:t xml:space="preserve">On January 1, 2019, the Company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or ASU 2016-02. This standard requires recognition of both assets and liabilities arising from finance and operating leases, along with additional qualitative and quantitative disclosures. ASU 2016-02 requires lessees to recognize a right-of-use asset representing a right to use the underlying asset over the lease term, and a corresponding lease liability on the balance sheet. Adoption of the new standard did not have a material impact on the Company’s consolidated financial statement amounts.</w:t>
      </w:r>
    </w:p>
    <w:p>
      <w:pPr>
        <w:spacing w:after="0" w:line="164"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 xml:space="preserve">On January 1, 2020, the Company adopted ASU 2016-13, </w:t>
      </w:r>
      <w:r>
        <w:rPr>
          <w:rFonts w:ascii="Arial" w:cs="Arial" w:eastAsia="Arial" w:hAnsi="Arial"/>
          <w:sz w:val="16"/>
          <w:szCs w:val="16"/>
          <w:i w:val="1"/>
          <w:iCs w:val="1"/>
          <w:color w:val="auto"/>
        </w:rPr>
        <w:t>Financial Instruments—Measurement of Credit Losses on Financial Instruments</w:t>
      </w:r>
      <w:r>
        <w:rPr>
          <w:rFonts w:ascii="Arial" w:cs="Arial" w:eastAsia="Arial" w:hAnsi="Arial"/>
          <w:sz w:val="16"/>
          <w:szCs w:val="16"/>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F-71</w:t>
      </w:r>
    </w:p>
    <w:p>
      <w:pPr>
        <w:sectPr>
          <w:pgSz w:w="11900" w:h="16838" w:orient="portrait"/>
          <w:cols w:equalWidth="0" w:num="1">
            <w:col w:w="10860"/>
          </w:cols>
          <w:pgMar w:left="320" w:top="471" w:right="71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6"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84" w:lineRule="exact"/>
        <w:rPr>
          <w:sz w:val="20"/>
          <w:szCs w:val="20"/>
          <w:color w:val="auto"/>
        </w:rPr>
      </w:pPr>
    </w:p>
    <w:p>
      <w:pPr>
        <w:ind w:left="380" w:right="180"/>
        <w:spacing w:after="0" w:line="257" w:lineRule="auto"/>
        <w:rPr>
          <w:sz w:val="20"/>
          <w:szCs w:val="20"/>
          <w:color w:val="auto"/>
        </w:rPr>
      </w:pPr>
      <w:r>
        <w:rPr>
          <w:rFonts w:ascii="Arial" w:cs="Arial" w:eastAsia="Arial" w:hAnsi="Arial"/>
          <w:sz w:val="17"/>
          <w:szCs w:val="17"/>
          <w:color w:val="auto"/>
        </w:rPr>
        <w:t xml:space="preserve">On January 1, 2020, the Company adopted ASU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or ASU 2018-15. This standard helps entities evaluate the accounting for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81" w:lineRule="exact"/>
        <w:rPr>
          <w:sz w:val="20"/>
          <w:szCs w:val="20"/>
          <w:color w:val="auto"/>
        </w:rPr>
      </w:pPr>
    </w:p>
    <w:p>
      <w:pPr>
        <w:ind w:left="380" w:right="20"/>
        <w:spacing w:after="0" w:line="298" w:lineRule="auto"/>
        <w:rPr>
          <w:sz w:val="20"/>
          <w:szCs w:val="20"/>
          <w:color w:val="auto"/>
        </w:rPr>
      </w:pPr>
      <w:r>
        <w:rPr>
          <w:rFonts w:ascii="Arial" w:cs="Arial" w:eastAsia="Arial" w:hAnsi="Arial"/>
          <w:sz w:val="15"/>
          <w:szCs w:val="15"/>
          <w:color w:val="auto"/>
        </w:rPr>
        <w:t xml:space="preserve">On January 1, 2020, the Company adopted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ind w:left="380"/>
        <w:spacing w:after="0" w:line="298" w:lineRule="auto"/>
        <w:rPr>
          <w:sz w:val="20"/>
          <w:szCs w:val="20"/>
          <w:color w:val="auto"/>
        </w:rPr>
      </w:pPr>
      <w:r>
        <w:rPr>
          <w:rFonts w:ascii="Arial" w:cs="Arial" w:eastAsia="Arial" w:hAnsi="Arial"/>
          <w:sz w:val="15"/>
          <w:szCs w:val="15"/>
          <w:color w:val="auto"/>
        </w:rPr>
        <w:t>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are currently evaluating the impact of the new guidance on our consolidated financial statements.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F-72</w:t>
      </w:r>
    </w:p>
    <w:p>
      <w:pPr>
        <w:sectPr>
          <w:pgSz w:w="11900" w:h="16838" w:orient="portrait"/>
          <w:cols w:equalWidth="0" w:num="1">
            <w:col w:w="10860"/>
          </w:cols>
          <w:pgMar w:left="320" w:top="471" w:right="71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and Under the Triparty Agreement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13"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93"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199"/>
        </w:trPr>
        <w:tc>
          <w:tcPr>
            <w:tcW w:w="460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7"/>
                <w:szCs w:val="17"/>
                <w:color w:val="auto"/>
              </w:rPr>
              <w:t>Transaction revenue, net</w:t>
            </w:r>
            <w:r>
              <w:rPr>
                <w:rFonts w:ascii="Arial" w:cs="Arial" w:eastAsia="Arial" w:hAnsi="Arial"/>
                <w:sz w:val="23"/>
                <w:szCs w:val="23"/>
                <w:color w:val="auto"/>
                <w:vertAlign w:val="superscript"/>
              </w:rPr>
              <w:t>(a)</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7,386</w:t>
            </w:r>
          </w:p>
        </w:tc>
        <w:tc>
          <w:tcPr>
            <w:tcW w:w="10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7"/>
                <w:szCs w:val="17"/>
                <w:color w:val="auto"/>
              </w:rPr>
              <w:t>Subscription and service revenue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21,109</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7"/>
                <w:szCs w:val="17"/>
                <w:color w:val="auto"/>
              </w:rPr>
            </w:pPr>
          </w:p>
        </w:tc>
      </w:tr>
      <w:tr>
        <w:trPr>
          <w:trHeight w:val="211"/>
        </w:trPr>
        <w:tc>
          <w:tcPr>
            <w:tcW w:w="46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28,495</w:t>
            </w:r>
          </w:p>
        </w:tc>
        <w:tc>
          <w:tcPr>
            <w:tcW w:w="10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2" w:lineRule="exact"/>
        <w:rPr>
          <w:sz w:val="20"/>
          <w:szCs w:val="20"/>
          <w:color w:val="auto"/>
        </w:rPr>
      </w:pPr>
    </w:p>
    <w:p>
      <w:pPr>
        <w:ind w:left="780" w:right="40" w:hanging="404"/>
        <w:spacing w:after="0" w:line="261" w:lineRule="auto"/>
        <w:tabs>
          <w:tab w:leader="none" w:pos="7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Amounts presented are net of rebates and liquidity payments under the Triparty Agreement, reductions in connection with the Contribution Agreement and consideration payable to a customer pursuant to the Strategic Alliance Agreement of $4,477,000 and $881,000 for the years ended December 31, 2020 and 2019, respectively. Included in these amounts are related party amounts of $4,090,000 and $881,000 for the years ended December 31, 2020 and 2019, respectively (see Note 7).</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one reportable segment to which its revenues relate (see Note 2).</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As of December 31, 2020, the aggregate amount of the transaction price allocated to the remaining performance obligations related to partially completed contracts is $15.5 million, $7.1 million of which relates to subscription fees and $8.4 million of which relates to service fees that are deferred. The Company will recognize its subscription fees as revenue over a weighted-average period of 18.5 months (ranges from 4 months – 42 months) and its service fees as revenue over approximately 3 years.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Contract Costs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did not incur any costs to obtain or costs to fulfill a contract during the years ended December 31, 2020 and 2019.</w:t>
      </w:r>
    </w:p>
    <w:p>
      <w:pPr>
        <w:spacing w:after="0" w:line="352" w:lineRule="exact"/>
        <w:rPr>
          <w:sz w:val="20"/>
          <w:szCs w:val="20"/>
          <w:color w:val="auto"/>
        </w:rPr>
      </w:pPr>
    </w:p>
    <w:p>
      <w:pPr>
        <w:ind w:left="780" w:hanging="404"/>
        <w:spacing w:after="0"/>
        <w:tabs>
          <w:tab w:leader="none" w:pos="78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Bakkt Clearing, LLC</w:t>
      </w:r>
    </w:p>
    <w:p>
      <w:pPr>
        <w:spacing w:after="0" w:line="113" w:lineRule="exact"/>
        <w:rPr>
          <w:sz w:val="20"/>
          <w:szCs w:val="20"/>
          <w:color w:val="auto"/>
        </w:rPr>
      </w:pPr>
    </w:p>
    <w:p>
      <w:pPr>
        <w:ind w:left="380" w:right="80"/>
        <w:spacing w:after="0" w:line="282" w:lineRule="auto"/>
        <w:rPr>
          <w:sz w:val="20"/>
          <w:szCs w:val="20"/>
          <w:color w:val="auto"/>
        </w:rPr>
      </w:pPr>
      <w:r>
        <w:rPr>
          <w:rFonts w:ascii="Arial" w:cs="Arial" w:eastAsia="Arial" w:hAnsi="Arial"/>
          <w:sz w:val="16"/>
          <w:szCs w:val="16"/>
          <w:color w:val="auto"/>
        </w:rPr>
        <w:t>On February 8, 2019, the Company acquired 100% of the issued and outstanding membership interests in Bakkt Clearing for $20,735,000 in cash consideration. This acquisition complements the Company’s business as Bakkt Clearing is registered as a futures commission merchant (FCM) with the Commodity Futures Trading Commission (CFTC) and a member of the National Futures Association (NFA). The acquisition qualifies as a business combination in accordance with ASC 805. This acquisition is included in the Company’s one reportable segment.</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860"/>
          </w:cols>
          <w:pgMar w:left="320" w:top="471" w:right="71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preliminary fair values of the assets acquired as of the acquisition date (in thousands):</w:t>
      </w:r>
    </w:p>
    <w:p>
      <w:pPr>
        <w:spacing w:after="0" w:line="245"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2"/>
              </w:rPr>
              <w:t>February 8, 2019</w:t>
            </w:r>
          </w:p>
        </w:tc>
      </w:tr>
      <w:tr>
        <w:trPr>
          <w:trHeight w:val="19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366</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w:t>
            </w: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Clearinghouse deposits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4,766</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Depository Trust and Clearing Corporation</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2,684</w:t>
            </w: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1,089</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9,200</w:t>
            </w:r>
          </w:p>
        </w:tc>
        <w:tc>
          <w:tcPr>
            <w:tcW w:w="40" w:type="dxa"/>
            <w:vAlign w:val="bottom"/>
            <w:shd w:val="clear" w:color="auto" w:fill="CCEEFF"/>
          </w:tcPr>
          <w:p>
            <w:pPr>
              <w:spacing w:after="0"/>
              <w:rPr>
                <w:sz w:val="17"/>
                <w:szCs w:val="17"/>
                <w:color w:val="auto"/>
              </w:rPr>
            </w:pPr>
          </w:p>
        </w:tc>
      </w:tr>
      <w:tr>
        <w:trPr>
          <w:trHeight w:val="217"/>
        </w:trPr>
        <w:tc>
          <w:tcPr>
            <w:tcW w:w="5100" w:type="dxa"/>
            <w:vAlign w:val="bottom"/>
          </w:tcPr>
          <w:p>
            <w:pPr>
              <w:ind w:left="340"/>
              <w:spacing w:after="0"/>
              <w:rPr>
                <w:sz w:val="20"/>
                <w:szCs w:val="20"/>
                <w:color w:val="auto"/>
              </w:rPr>
            </w:pPr>
            <w:r>
              <w:rPr>
                <w:rFonts w:ascii="Arial" w:cs="Arial" w:eastAsia="Arial" w:hAnsi="Arial"/>
                <w:sz w:val="17"/>
                <w:szCs w:val="17"/>
                <w:color w:val="auto"/>
              </w:rPr>
              <w:t>Total assets acquired</w:t>
            </w: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20,735</w:t>
            </w:r>
          </w:p>
        </w:tc>
        <w:tc>
          <w:tcPr>
            <w:tcW w:w="40" w:type="dxa"/>
            <w:vAlign w:val="bottom"/>
          </w:tcPr>
          <w:p>
            <w:pPr>
              <w:spacing w:after="0"/>
              <w:rPr>
                <w:sz w:val="18"/>
                <w:szCs w:val="18"/>
                <w:color w:val="auto"/>
              </w:rPr>
            </w:pPr>
          </w:p>
        </w:tc>
      </w:tr>
      <w:tr>
        <w:trPr>
          <w:trHeight w:val="206"/>
        </w:trPr>
        <w:tc>
          <w:tcPr>
            <w:tcW w:w="51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purchase consideration</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20,735</w:t>
            </w:r>
          </w:p>
        </w:tc>
      </w:tr>
      <w:tr>
        <w:trPr>
          <w:trHeight w:val="20"/>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The Company did not recognize any liabilities through the transaction. The identifiable intangible assets acquired represent regulatory licenses, which have been assigned an indefinite life. The goodwill related to the acquisition represents the value paid for (1) the expertise and experience of employees required in the daily operations of an FCM, including financial expertise required for CFTC capital reporting and technical expertise related to operating a clearing system, and (2) business connections of long-tenured senior employees retained through the acquisition.</w:t>
      </w:r>
    </w:p>
    <w:p>
      <w:pPr>
        <w:spacing w:after="0" w:line="164"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As part of the acquisition, the Company was required to purchase 15,810 shares of ICE’s common stock on behalf of Bakkt Clearing for a price equal to the fair market value of the shares upon completion of the acquisition, as a requirement to have ICUS membership privileges is that it hold common stock in the ICE (see Note 7).</w:t>
      </w:r>
    </w:p>
    <w:p>
      <w:pPr>
        <w:spacing w:after="0" w:line="176"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Prior to the acquisition, Bakkt Clearing’s former owners sold certain assets and liabilities, primarily consisting of customer and vendor contracts, to a third-party purchaser. Concurrent with the acquisition, Bakkt Clearing entered into a transition services agreement on behalf of its former owners to arrange for certain Bakkt Clearing employees that were retained as part of the acquisition to provide various services to the third party purchaser to help ensure an orderly transition of the customer and vendor contracts. In exchange for performing these services, the third-party purchaser reimburses Bakkt Clearing for the cost of the employees plus a fixed percentage mark-up. Amounts received as reimbursement for the cost of employees under the transition services agreement are netted against the related costs incurred to provide the services. The Company recognizes the mark-up amounts received as “Other income, net” in the accompanying consolidated statements of operations and comprehensive loss.</w:t>
      </w:r>
    </w:p>
    <w:p>
      <w:pPr>
        <w:spacing w:after="0" w:line="171"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Bakkt Clearing’s revenue and earnings included in the accompanying consolidated statements of operations and comprehensive loss from February 8, 2019 through December 31, 2019 (in thousands):</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February 8, 2019 –</w:t>
            </w:r>
          </w:p>
        </w:tc>
      </w:tr>
      <w:tr>
        <w:trPr>
          <w:trHeight w:val="164"/>
        </w:trPr>
        <w:tc>
          <w:tcPr>
            <w:tcW w:w="59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December 31, 2019</w:t>
            </w:r>
          </w:p>
        </w:tc>
      </w:tr>
      <w:tr>
        <w:trPr>
          <w:trHeight w:val="19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Net income / (loss)</w:t>
            </w:r>
          </w:p>
        </w:tc>
        <w:tc>
          <w:tcPr>
            <w:tcW w:w="48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7"/>
                <w:szCs w:val="17"/>
                <w:color w:val="auto"/>
                <w:w w:val="98"/>
              </w:rPr>
              <w:t>268</w:t>
            </w: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of Bakkt Clearing’s revenue is related to the provision of intercompany services and therefore is eliminated upon consolidation.</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840"/>
          </w:cols>
          <w:pgMar w:left="320" w:top="471" w:right="73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Digital Asset Custody Company, Inc.</w:t>
      </w:r>
    </w:p>
    <w:p>
      <w:pPr>
        <w:spacing w:after="0" w:line="113"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On April 26, 2019, the Company acquired 100% of the issued and outstanding shares of common and preferred stock in DACC for $9,043,000 in cash consideration. This acquisition complements the Company’s business as DACC is a provider of cryptocurrency custody software and integration services designed to safeguard digital assets. The acquisition qualifies as a business combination in accordance with ASC 805. This acquisition is included in the Company’s one reportable segment.</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preliminary fair values of the assets acquired and liabilities assumed as of the acquisition date (in thousands):</w:t>
      </w:r>
    </w:p>
    <w:p>
      <w:pPr>
        <w:spacing w:after="0" w:line="256"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April 26, 2019</w:t>
            </w:r>
          </w:p>
        </w:tc>
        <w:tc>
          <w:tcPr>
            <w:tcW w:w="0" w:type="dxa"/>
            <w:vAlign w:val="bottom"/>
          </w:tcPr>
          <w:p>
            <w:pPr>
              <w:spacing w:after="0"/>
              <w:rPr>
                <w:sz w:val="1"/>
                <w:szCs w:val="1"/>
                <w:color w:val="auto"/>
              </w:rPr>
            </w:pPr>
          </w:p>
        </w:tc>
      </w:tr>
      <w:tr>
        <w:trPr>
          <w:trHeight w:val="19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Technology</w:t>
            </w:r>
          </w:p>
        </w:tc>
        <w:tc>
          <w:tcPr>
            <w:tcW w:w="1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Goodwill</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7,654</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assets acquired</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9,354</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Arial" w:cs="Arial" w:eastAsia="Arial" w:hAnsi="Arial"/>
                <w:sz w:val="17"/>
                <w:szCs w:val="17"/>
                <w:color w:val="auto"/>
              </w:rPr>
              <w:t>Total liabilities assumed</w:t>
            </w: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purchase consideration</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9,043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360"/>
        <w:spacing w:after="0" w:line="265" w:lineRule="auto"/>
        <w:rPr>
          <w:sz w:val="20"/>
          <w:szCs w:val="20"/>
          <w:color w:val="auto"/>
        </w:rPr>
      </w:pPr>
      <w:r>
        <w:rPr>
          <w:rFonts w:ascii="Arial" w:cs="Arial" w:eastAsia="Arial" w:hAnsi="Arial"/>
          <w:sz w:val="17"/>
          <w:szCs w:val="17"/>
          <w:color w:val="auto"/>
        </w:rPr>
        <w:t>The identifiable intangible assets acquired were $1,700,000 for acquired technology, which has been assigned a useful life of 7 years. The goodwill related to the acquisition represents the value paid for the expertise of employees in digital assets and custody, blockchain technology and related cybersecurity issues.</w:t>
      </w:r>
    </w:p>
    <w:p>
      <w:pPr>
        <w:spacing w:after="0" w:line="176"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DACC’s revenue and earnings included in the accompanying consolidated statements of operations and comprehensive loss from April 26, 2019 through December 31, 2019 (in thousands):</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April 26, 2019 –</w:t>
            </w:r>
          </w:p>
        </w:tc>
      </w:tr>
      <w:tr>
        <w:trPr>
          <w:trHeight w:val="164"/>
        </w:trPr>
        <w:tc>
          <w:tcPr>
            <w:tcW w:w="5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r>
      <w:tr>
        <w:trPr>
          <w:trHeight w:val="19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7"/>
                <w:szCs w:val="17"/>
                <w:color w:val="auto"/>
              </w:rPr>
              <w:t>Net income / (loss)</w:t>
            </w: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(256)</w:t>
            </w:r>
          </w:p>
        </w:tc>
      </w:tr>
    </w:tbl>
    <w:p>
      <w:pPr>
        <w:spacing w:after="0" w:line="2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Bridge2 Solutions, LLC business</w:t>
      </w:r>
    </w:p>
    <w:p>
      <w:pPr>
        <w:spacing w:after="0" w:line="113"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 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0840"/>
          </w:cols>
          <w:pgMar w:left="320" w:top="471" w:right="73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preliminary values of the net assets acquired as of the acquisition date (in thousands):</w:t>
      </w:r>
    </w:p>
    <w:p>
      <w:pPr>
        <w:spacing w:after="0" w:line="245"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February 21, 2020</w:t>
            </w:r>
          </w:p>
        </w:tc>
        <w:tc>
          <w:tcPr>
            <w:tcW w:w="0" w:type="dxa"/>
            <w:vAlign w:val="bottom"/>
          </w:tcPr>
          <w:p>
            <w:pPr>
              <w:spacing w:after="0"/>
              <w:rPr>
                <w:sz w:val="1"/>
                <w:szCs w:val="1"/>
                <w:color w:val="auto"/>
              </w:rPr>
            </w:pPr>
          </w:p>
        </w:tc>
      </w:tr>
      <w:tr>
        <w:trPr>
          <w:trHeight w:val="19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4,465</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53,620</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Technology</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11,990</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216,575</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340"/>
              <w:spacing w:after="0"/>
              <w:rPr>
                <w:sz w:val="20"/>
                <w:szCs w:val="20"/>
                <w:color w:val="auto"/>
              </w:rPr>
            </w:pPr>
            <w:r>
              <w:rPr>
                <w:rFonts w:ascii="Arial" w:cs="Arial" w:eastAsia="Arial" w:hAnsi="Arial"/>
                <w:sz w:val="17"/>
                <w:szCs w:val="17"/>
                <w:color w:val="auto"/>
              </w:rPr>
              <w:t>Total assets acquired</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312,023</w:t>
            </w: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Deferred revenue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(12,703)</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assumed</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(40,560)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680"/>
              <w:spacing w:after="0"/>
              <w:rPr>
                <w:sz w:val="20"/>
                <w:szCs w:val="20"/>
                <w:color w:val="auto"/>
              </w:rPr>
            </w:pPr>
            <w:r>
              <w:rPr>
                <w:rFonts w:ascii="Arial" w:cs="Arial" w:eastAsia="Arial" w:hAnsi="Arial"/>
                <w:sz w:val="17"/>
                <w:szCs w:val="17"/>
                <w:color w:val="auto"/>
              </w:rPr>
              <w:t>Total purchase consideration</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vMerge w:val="continue"/>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(271,463)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11.0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w:t>
      </w:r>
    </w:p>
    <w:p>
      <w:pPr>
        <w:spacing w:after="0" w:line="181"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December 31, 2020 (in thousands):</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February 22, 2020</w:t>
            </w:r>
          </w:p>
        </w:tc>
      </w:tr>
      <w:tr>
        <w:trPr>
          <w:trHeight w:val="141"/>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 December 31,</w:t>
            </w:r>
          </w:p>
        </w:tc>
      </w:tr>
      <w:tr>
        <w:trPr>
          <w:trHeight w:val="164"/>
        </w:trPr>
        <w:tc>
          <w:tcPr>
            <w:tcW w:w="5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r>
      <w:tr>
        <w:trPr>
          <w:trHeight w:val="199"/>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30,774</w:t>
            </w:r>
          </w:p>
        </w:tc>
        <w:tc>
          <w:tcPr>
            <w:tcW w:w="100" w:type="dxa"/>
            <w:vAlign w:val="bottom"/>
            <w:shd w:val="clear" w:color="auto" w:fill="CCEEFF"/>
          </w:tcPr>
          <w:p>
            <w:pPr>
              <w:spacing w:after="0"/>
              <w:rPr>
                <w:sz w:val="17"/>
                <w:szCs w:val="17"/>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7"/>
                <w:szCs w:val="17"/>
                <w:color w:val="auto"/>
              </w:rPr>
              <w:t>Net income / (loss)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(11,085)</w:t>
            </w:r>
          </w:p>
        </w:tc>
      </w:tr>
    </w:tbl>
    <w:p>
      <w:pPr>
        <w:spacing w:after="0" w:line="182"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The acquisition of Bridge2 Solutions qualifies as a significant acquisition under the amended SEC Regulation S-X Rule 3-05, which the Company has elected to apply. As such, the Company has included the historical financial statements of Bridge2 Solutions for the years ended December 31, 2018 and December 31, 2019, in its registration filing.</w:t>
      </w:r>
    </w:p>
    <w:p>
      <w:pPr>
        <w:spacing w:after="0" w:line="176"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Bakkt Clearing, DACC, and Bridge2 Solutions as if the companies were combined as of</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F-76</w:t>
      </w:r>
    </w:p>
    <w:p>
      <w:pPr>
        <w:sectPr>
          <w:pgSz w:w="11900" w:h="16838" w:orient="portrait"/>
          <w:cols w:equalWidth="0" w:num="1">
            <w:col w:w="10840"/>
          </w:cols>
          <w:pgMar w:left="320" w:top="471" w:right="73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January 1, 2019.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7"/>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5"/>
          </w:tcPr>
          <w:p>
            <w:pPr>
              <w:jc w:val="center"/>
              <w:ind w:right="120"/>
              <w:spacing w:after="0" w:line="141"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center"/>
              <w:ind w:right="12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640" w:type="dxa"/>
            <w:vAlign w:val="bottom"/>
            <w:tcBorders>
              <w:right w:val="single" w:sz="8" w:color="CCEEFF"/>
            </w:tcBorders>
            <w:gridSpan w:val="4"/>
            <w:shd w:val="clear" w:color="auto" w:fill="CCEEFF"/>
          </w:tcPr>
          <w:p>
            <w:pPr>
              <w:jc w:val="center"/>
              <w:ind w:left="58"/>
              <w:spacing w:after="0"/>
              <w:rPr>
                <w:sz w:val="20"/>
                <w:szCs w:val="20"/>
                <w:color w:val="auto"/>
              </w:rPr>
            </w:pPr>
            <w:r>
              <w:rPr>
                <w:rFonts w:ascii="Arial" w:cs="Arial" w:eastAsia="Arial" w:hAnsi="Arial"/>
                <w:sz w:val="17"/>
                <w:szCs w:val="17"/>
                <w:color w:val="auto"/>
                <w:w w:val="88"/>
              </w:rPr>
              <w:t>34,154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43,511</w:t>
            </w: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Pro forma net loss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7"/>
                <w:szCs w:val="17"/>
                <w:color w:val="auto"/>
                <w:w w:val="84"/>
              </w:rPr>
              <w:t>$</w:t>
            </w:r>
          </w:p>
        </w:tc>
        <w:tc>
          <w:tcPr>
            <w:tcW w:w="760" w:type="dxa"/>
            <w:vAlign w:val="bottom"/>
            <w:gridSpan w:val="5"/>
          </w:tcPr>
          <w:p>
            <w:pPr>
              <w:ind w:left="100"/>
              <w:spacing w:after="0"/>
              <w:rPr>
                <w:sz w:val="20"/>
                <w:szCs w:val="20"/>
                <w:color w:val="auto"/>
              </w:rPr>
            </w:pPr>
            <w:r>
              <w:rPr>
                <w:rFonts w:ascii="Arial" w:cs="Arial" w:eastAsia="Arial" w:hAnsi="Arial"/>
                <w:sz w:val="17"/>
                <w:szCs w:val="17"/>
                <w:color w:val="auto"/>
              </w:rPr>
              <w:t>(80,071)</w:t>
            </w:r>
          </w:p>
        </w:tc>
        <w:tc>
          <w:tcPr>
            <w:tcW w:w="16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4"/>
          </w:tcPr>
          <w:p>
            <w:pPr>
              <w:ind w:left="140"/>
              <w:spacing w:after="0"/>
              <w:rPr>
                <w:sz w:val="20"/>
                <w:szCs w:val="20"/>
                <w:color w:val="auto"/>
              </w:rPr>
            </w:pPr>
            <w:r>
              <w:rPr>
                <w:rFonts w:ascii="Arial" w:cs="Arial" w:eastAsia="Arial" w:hAnsi="Arial"/>
                <w:sz w:val="17"/>
                <w:szCs w:val="17"/>
                <w:color w:val="auto"/>
                <w:w w:val="97"/>
              </w:rPr>
              <w:t>(31,843)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1"/>
        </w:trPr>
        <w:tc>
          <w:tcPr>
            <w:tcW w:w="260" w:type="dxa"/>
            <w:vAlign w:val="bottom"/>
          </w:tcPr>
          <w:p>
            <w:pPr>
              <w:spacing w:after="0"/>
              <w:rPr>
                <w:sz w:val="20"/>
                <w:szCs w:val="20"/>
                <w:color w:val="auto"/>
              </w:rPr>
            </w:pPr>
            <w:r>
              <w:rPr>
                <w:rFonts w:ascii="Arial" w:cs="Arial" w:eastAsia="Arial" w:hAnsi="Arial"/>
                <w:sz w:val="17"/>
                <w:szCs w:val="17"/>
                <w:b w:val="1"/>
                <w:bCs w:val="1"/>
                <w:color w:val="auto"/>
              </w:rPr>
              <w:t>5.</w:t>
            </w:r>
          </w:p>
        </w:tc>
        <w:tc>
          <w:tcPr>
            <w:tcW w:w="5620" w:type="dxa"/>
            <w:vAlign w:val="bottom"/>
            <w:gridSpan w:val="4"/>
          </w:tcPr>
          <w:p>
            <w:pPr>
              <w:ind w:left="140"/>
              <w:spacing w:after="0"/>
              <w:rPr>
                <w:sz w:val="20"/>
                <w:szCs w:val="20"/>
                <w:color w:val="auto"/>
              </w:rPr>
            </w:pPr>
            <w:r>
              <w:rPr>
                <w:rFonts w:ascii="Arial" w:cs="Arial" w:eastAsia="Arial" w:hAnsi="Arial"/>
                <w:sz w:val="17"/>
                <w:szCs w:val="17"/>
                <w:b w:val="1"/>
                <w:bCs w:val="1"/>
                <w:color w:val="auto"/>
              </w:rPr>
              <w:t>Goodwill and Intangible Assets, Net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880" w:type="dxa"/>
            <w:vAlign w:val="bottom"/>
            <w:gridSpan w:val="5"/>
          </w:tcPr>
          <w:p>
            <w:pPr>
              <w:spacing w:after="0"/>
              <w:rPr>
                <w:sz w:val="20"/>
                <w:szCs w:val="20"/>
                <w:color w:val="auto"/>
              </w:rPr>
            </w:pPr>
            <w:r>
              <w:rPr>
                <w:rFonts w:ascii="Arial" w:cs="Arial" w:eastAsia="Arial" w:hAnsi="Arial"/>
                <w:sz w:val="17"/>
                <w:szCs w:val="17"/>
                <w:color w:val="auto"/>
              </w:rPr>
              <w:t>Changes in goodwill consisted of the following (in thousands):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January 1, 2019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Pr>
          <w:p>
            <w:pPr>
              <w:ind w:left="340"/>
              <w:spacing w:after="0"/>
              <w:rPr>
                <w:sz w:val="20"/>
                <w:szCs w:val="20"/>
                <w:color w:val="auto"/>
              </w:rPr>
            </w:pPr>
            <w:r>
              <w:rPr>
                <w:rFonts w:ascii="Arial" w:cs="Arial" w:eastAsia="Arial" w:hAnsi="Arial"/>
                <w:sz w:val="17"/>
                <w:szCs w:val="17"/>
                <w:color w:val="auto"/>
              </w:rPr>
              <w:t>Addition: acquisition of Bakkt Clearing</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9,200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 acquisition of DACC</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7,654</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vMerge w:val="restart"/>
          </w:tcPr>
          <w:p>
            <w:pPr>
              <w:spacing w:after="0"/>
              <w:rPr>
                <w:sz w:val="20"/>
                <w:szCs w:val="20"/>
                <w:color w:val="auto"/>
              </w:rPr>
            </w:pPr>
            <w:r>
              <w:rPr>
                <w:rFonts w:ascii="Arial" w:cs="Arial" w:eastAsia="Arial" w:hAnsi="Arial"/>
                <w:sz w:val="17"/>
                <w:szCs w:val="17"/>
                <w:color w:val="auto"/>
              </w:rPr>
              <w:t>Balance as of December 31, 2019</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16,854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 acquisition of Bridge2 Solutions</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216,575</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$ 233,429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5"/>
            <w:vMerge w:val="restart"/>
          </w:tcPr>
          <w:p>
            <w:pPr>
              <w:spacing w:after="0"/>
              <w:rPr>
                <w:sz w:val="20"/>
                <w:szCs w:val="20"/>
                <w:color w:val="auto"/>
              </w:rPr>
            </w:pPr>
            <w:r>
              <w:rPr>
                <w:rFonts w:ascii="Arial" w:cs="Arial" w:eastAsia="Arial" w:hAnsi="Arial"/>
                <w:sz w:val="17"/>
                <w:szCs w:val="17"/>
                <w:color w:val="auto"/>
                <w:w w:val="96"/>
              </w:rPr>
              <w:t>No goodwill impairment charges have been recognized in the periods presented.</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80" w:type="dxa"/>
            <w:vAlign w:val="bottom"/>
            <w:gridSpan w:val="5"/>
          </w:tcPr>
          <w:p>
            <w:pPr>
              <w:spacing w:after="0"/>
              <w:rPr>
                <w:sz w:val="20"/>
                <w:szCs w:val="20"/>
                <w:color w:val="auto"/>
              </w:rPr>
            </w:pPr>
            <w:r>
              <w:rPr>
                <w:rFonts w:ascii="Arial" w:cs="Arial" w:eastAsia="Arial" w:hAnsi="Arial"/>
                <w:sz w:val="17"/>
                <w:szCs w:val="17"/>
                <w:color w:val="auto"/>
              </w:rPr>
              <w:t>Intangible assets consisted of the following (in thousands):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20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center"/>
              <w:ind w:right="40"/>
              <w:spacing w:after="0" w:line="11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Useful 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right="140"/>
              <w:spacing w:after="0" w:line="141"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7"/>
                <w:szCs w:val="17"/>
                <w:color w:val="auto"/>
                <w:w w:val="95"/>
              </w:rPr>
              <w:t>Indefinite</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7"/>
                <w:szCs w:val="17"/>
                <w:color w:val="auto"/>
                <w:w w:val="93"/>
              </w:rPr>
              <w:t>—</w:t>
            </w:r>
          </w:p>
        </w:tc>
        <w:tc>
          <w:tcPr>
            <w:tcW w:w="3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Acquired technology</w:t>
            </w:r>
          </w:p>
        </w:tc>
        <w:tc>
          <w:tcPr>
            <w:tcW w:w="720" w:type="dxa"/>
            <w:vAlign w:val="bottom"/>
            <w:gridSpan w:val="2"/>
          </w:tcPr>
          <w:p>
            <w:pPr>
              <w:jc w:val="center"/>
              <w:ind w:left="323"/>
              <w:spacing w:after="0"/>
              <w:rPr>
                <w:sz w:val="20"/>
                <w:szCs w:val="20"/>
                <w:color w:val="auto"/>
              </w:rPr>
            </w:pPr>
            <w:r>
              <w:rPr>
                <w:rFonts w:ascii="Arial" w:cs="Arial" w:eastAsia="Arial" w:hAnsi="Arial"/>
                <w:sz w:val="17"/>
                <w:szCs w:val="17"/>
                <w:color w:val="auto"/>
                <w:w w:val="84"/>
              </w:rPr>
              <w:t>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w w:val="88"/>
              </w:rPr>
              <w:t>13,690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(1,879)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11,811</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720" w:type="dxa"/>
            <w:vAlign w:val="bottom"/>
            <w:gridSpan w:val="2"/>
            <w:shd w:val="clear" w:color="auto" w:fill="CCEEFF"/>
          </w:tcPr>
          <w:p>
            <w:pPr>
              <w:jc w:val="center"/>
              <w:ind w:left="323"/>
              <w:spacing w:after="0"/>
              <w:rPr>
                <w:sz w:val="20"/>
                <w:szCs w:val="20"/>
                <w:color w:val="auto"/>
              </w:rPr>
            </w:pPr>
            <w:r>
              <w:rPr>
                <w:rFonts w:ascii="Arial" w:cs="Arial" w:eastAsia="Arial" w:hAnsi="Arial"/>
                <w:sz w:val="17"/>
                <w:szCs w:val="17"/>
                <w:color w:val="auto"/>
                <w:w w:val="84"/>
              </w:rPr>
              <w:t>12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88"/>
              </w:rPr>
              <w:t>53,620</w:t>
            </w: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(3,844)</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49,776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Trade name</w:t>
            </w:r>
          </w:p>
        </w:tc>
        <w:tc>
          <w:tcPr>
            <w:tcW w:w="720" w:type="dxa"/>
            <w:vAlign w:val="bottom"/>
            <w:gridSpan w:val="2"/>
          </w:tcPr>
          <w:p>
            <w:pPr>
              <w:jc w:val="center"/>
              <w:ind w:left="32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rPr>
              <w:t>415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68,279</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(6,080)</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62,199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940" w:type="dxa"/>
            <w:vAlign w:val="bottom"/>
            <w:gridSpan w:val="4"/>
          </w:tcPr>
          <w:p>
            <w:pPr>
              <w:jc w:val="center"/>
              <w:ind w:right="220"/>
              <w:spacing w:after="0" w:line="11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gridSpan w:val="4"/>
          </w:tcPr>
          <w:p>
            <w:pPr>
              <w:jc w:val="center"/>
              <w:ind w:right="22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gridSpan w:val="4"/>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Useful 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w w:val="70"/>
              </w:rPr>
              <w:t>554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Acquired technology</w:t>
            </w:r>
          </w:p>
        </w:tc>
        <w:tc>
          <w:tcPr>
            <w:tcW w:w="720" w:type="dxa"/>
            <w:vAlign w:val="bottom"/>
            <w:gridSpan w:val="2"/>
          </w:tcPr>
          <w:p>
            <w:pPr>
              <w:jc w:val="right"/>
              <w:ind w:right="21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7"/>
                <w:szCs w:val="17"/>
                <w:color w:val="auto"/>
              </w:rPr>
              <w:t>1,700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140"/>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1,542</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$ 2,254</w:t>
            </w:r>
          </w:p>
        </w:tc>
        <w:tc>
          <w:tcPr>
            <w:tcW w:w="160" w:type="dxa"/>
            <w:vAlign w:val="bottom"/>
            <w:shd w:val="clear" w:color="auto" w:fill="CCEEFF"/>
          </w:tcPr>
          <w:p>
            <w:pPr>
              <w:spacing w:after="0"/>
              <w:rPr>
                <w:sz w:val="17"/>
                <w:szCs w:val="17"/>
                <w:color w:val="auto"/>
              </w:rPr>
            </w:pP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$ 2,096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60"/>
        <w:spacing w:after="0" w:line="278" w:lineRule="auto"/>
        <w:rPr>
          <w:sz w:val="20"/>
          <w:szCs w:val="20"/>
          <w:color w:val="auto"/>
        </w:rPr>
      </w:pPr>
      <w:r>
        <w:rPr>
          <w:rFonts w:ascii="Arial" w:cs="Arial" w:eastAsia="Arial" w:hAnsi="Arial"/>
          <w:sz w:val="17"/>
          <w:szCs w:val="17"/>
          <w:color w:val="auto"/>
        </w:rPr>
        <w:t>Amortization expense related to intangible assets for the year ended December 31, 2020 and 2019 was $6,516,000 and $158,000 and was included in “Depreciation and amortization” in the accompanying consolidated statements of operations and comprehensive loss.</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F-77</w:t>
      </w:r>
    </w:p>
    <w:p>
      <w:pPr>
        <w:sectPr>
          <w:pgSz w:w="11900" w:h="16838" w:orient="portrait"/>
          <w:cols w:equalWidth="0" w:num="1">
            <w:col w:w="10860"/>
          </w:cols>
          <w:pgMar w:left="320" w:top="471" w:right="71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table below shows estimated future amortization expense for definite-lived intangible assets as of December 31, 2020 (in thousands):</w:t>
      </w:r>
    </w:p>
    <w:p>
      <w:pPr>
        <w:spacing w:after="0" w:line="259"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2021</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2024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2025</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Thereafter</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29,466</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$ 61,645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7"/>
                <w:szCs w:val="17"/>
                <w:b w:val="1"/>
                <w:bCs w:val="1"/>
                <w:color w:val="auto"/>
              </w:rPr>
              <w:t>6.</w:t>
            </w:r>
          </w:p>
        </w:tc>
        <w:tc>
          <w:tcPr>
            <w:tcW w:w="5660" w:type="dxa"/>
            <w:vAlign w:val="bottom"/>
            <w:gridSpan w:val="3"/>
            <w:vMerge w:val="restart"/>
          </w:tcPr>
          <w:p>
            <w:pPr>
              <w:ind w:left="140"/>
              <w:spacing w:after="0"/>
              <w:rPr>
                <w:sz w:val="20"/>
                <w:szCs w:val="20"/>
                <w:color w:val="auto"/>
              </w:rPr>
            </w:pPr>
            <w:r>
              <w:rPr>
                <w:rFonts w:ascii="Arial" w:cs="Arial" w:eastAsia="Arial" w:hAnsi="Arial"/>
                <w:sz w:val="17"/>
                <w:szCs w:val="17"/>
                <w:b w:val="1"/>
                <w:bCs w:val="1"/>
                <w:color w:val="auto"/>
              </w:rPr>
              <w:t>Consolidated Balance Sheet Components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60" w:type="dxa"/>
            <w:vAlign w:val="bottom"/>
            <w:vMerge w:val="continue"/>
          </w:tcPr>
          <w:p>
            <w:pPr>
              <w:spacing w:after="0"/>
              <w:rPr>
                <w:sz w:val="24"/>
                <w:szCs w:val="24"/>
                <w:color w:val="auto"/>
              </w:rPr>
            </w:pPr>
          </w:p>
        </w:tc>
        <w:tc>
          <w:tcPr>
            <w:tcW w:w="56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92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920" w:type="dxa"/>
            <w:vAlign w:val="bottom"/>
            <w:gridSpan w:val="4"/>
          </w:tcPr>
          <w:p>
            <w:pPr>
              <w:spacing w:after="0"/>
              <w:rPr>
                <w:sz w:val="20"/>
                <w:szCs w:val="20"/>
                <w:color w:val="auto"/>
              </w:rPr>
            </w:pPr>
            <w:r>
              <w:rPr>
                <w:rFonts w:ascii="Arial" w:cs="Arial" w:eastAsia="Arial" w:hAnsi="Arial"/>
                <w:sz w:val="17"/>
                <w:szCs w:val="17"/>
                <w:color w:val="auto"/>
              </w:rPr>
              <w:t>Other current assets consisted of the following (in thousands):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 2020</w:t>
            </w:r>
          </w:p>
        </w:tc>
        <w:tc>
          <w:tcPr>
            <w:tcW w:w="104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7"/>
                <w:szCs w:val="17"/>
                <w:color w:val="auto"/>
                <w:w w:val="89"/>
              </w:rPr>
              <w:t>5,365</w:t>
            </w: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Class B warrant asset, current (see Note 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2,325</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Receivable from Depository Trust and Clearing</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2,684</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Interest receivable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center"/>
              <w:ind w:left="254"/>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receivable</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7,690</w:t>
            </w:r>
          </w:p>
        </w:tc>
        <w:tc>
          <w:tcPr>
            <w:tcW w:w="1220" w:type="dxa"/>
            <w:vAlign w:val="bottom"/>
            <w:gridSpan w:val="3"/>
          </w:tcPr>
          <w:p>
            <w:pPr>
              <w:ind w:left="104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4,840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equipment and software, net consisted of the following (in thousands):</w:t>
      </w:r>
    </w:p>
    <w:p>
      <w:pPr>
        <w:sectPr>
          <w:pgSz w:w="11900" w:h="16838" w:orient="portrait"/>
          <w:cols w:equalWidth="0" w:num="1">
            <w:col w:w="10460"/>
          </w:cols>
          <w:pgMar w:left="320" w:top="471" w:right="1119" w:bottom="1440" w:gutter="0" w:footer="0" w:header="0"/>
        </w:sectPr>
      </w:pPr>
    </w:p>
    <w:p>
      <w:pPr>
        <w:spacing w:after="0" w:line="396"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Internal-use software</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Purchased software</w:t>
      </w:r>
    </w:p>
    <w:p>
      <w:pPr>
        <w:spacing w:after="0" w:line="2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Office furniture and equipment</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Other computer and network equipment</w:t>
      </w:r>
    </w:p>
    <w:p>
      <w:pPr>
        <w:spacing w:after="0" w:line="3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2019</w:t>
            </w:r>
          </w:p>
        </w:tc>
      </w:tr>
      <w:tr>
        <w:trPr>
          <w:trHeight w:val="186"/>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20,343</w:t>
            </w:r>
          </w:p>
        </w:tc>
        <w:tc>
          <w:tcPr>
            <w:tcW w:w="1000" w:type="dxa"/>
            <w:vAlign w:val="bottom"/>
          </w:tcPr>
          <w:p>
            <w:pPr>
              <w:spacing w:after="0"/>
              <w:rPr>
                <w:sz w:val="16"/>
                <w:szCs w:val="16"/>
                <w:color w:val="auto"/>
              </w:rPr>
            </w:pPr>
          </w:p>
        </w:tc>
        <w:tc>
          <w:tcPr>
            <w:tcW w:w="3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11,146</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110</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609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1,199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479</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-659765</wp:posOffset>
            </wp:positionV>
            <wp:extent cx="5064125" cy="1390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64125" cy="13906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-390525</wp:posOffset>
            </wp:positionV>
            <wp:extent cx="5064125" cy="1308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64125" cy="13081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-128905</wp:posOffset>
            </wp:positionV>
            <wp:extent cx="5064125" cy="1308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80" w:space="720"/>
            <w:col w:w="4160"/>
          </w:cols>
          <w:pgMar w:left="320" w:top="471" w:right="1119" w:bottom="1440" w:gutter="0" w:footer="0" w:header="0"/>
          <w:type w:val="continuous"/>
        </w:sectPr>
      </w:pPr>
    </w:p>
    <w:tbl>
      <w:tblPr>
        <w:tblLayout w:type="fixed"/>
        <w:tblInd w:w="1640" w:type="dxa"/>
        <w:tblCellMar>
          <w:top w:w="0" w:type="dxa"/>
          <w:left w:w="0" w:type="dxa"/>
          <w:bottom w:w="0" w:type="dxa"/>
          <w:right w:w="0" w:type="dxa"/>
        </w:tblCellMar>
      </w:tblPr>
      <w:tr>
        <w:trPr>
          <w:trHeight w:val="213"/>
        </w:trPr>
        <w:tc>
          <w:tcPr>
            <w:tcW w:w="4660" w:type="dxa"/>
            <w:vAlign w:val="bottom"/>
          </w:tcPr>
          <w:p>
            <w:pPr>
              <w:ind w:left="340"/>
              <w:spacing w:after="0"/>
              <w:rPr>
                <w:sz w:val="20"/>
                <w:szCs w:val="20"/>
                <w:color w:val="auto"/>
              </w:rPr>
            </w:pPr>
            <w:r>
              <w:rPr>
                <w:rFonts w:ascii="Arial" w:cs="Arial" w:eastAsia="Arial" w:hAnsi="Arial"/>
                <w:sz w:val="17"/>
                <w:szCs w:val="17"/>
                <w:color w:val="auto"/>
              </w:rPr>
              <w:t>Property, equipment and software, gross</w:t>
            </w: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22,740</w:t>
            </w: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11,188</w:t>
            </w:r>
          </w:p>
        </w:tc>
        <w:tc>
          <w:tcPr>
            <w:tcW w:w="120" w:type="dxa"/>
            <w:vAlign w:val="bottom"/>
          </w:tcPr>
          <w:p>
            <w:pPr>
              <w:spacing w:after="0"/>
              <w:rPr>
                <w:sz w:val="18"/>
                <w:szCs w:val="18"/>
                <w:color w:val="auto"/>
              </w:rPr>
            </w:pPr>
          </w:p>
        </w:tc>
      </w:tr>
      <w:tr>
        <w:trPr>
          <w:trHeight w:val="206"/>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 and depreciation</w:t>
            </w:r>
          </w:p>
        </w:tc>
        <w:tc>
          <w:tcPr>
            <w:tcW w:w="3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(2,783)</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r>
      <w:tr>
        <w:trPr>
          <w:trHeight w:val="211"/>
        </w:trPr>
        <w:tc>
          <w:tcPr>
            <w:tcW w:w="4660" w:type="dxa"/>
            <w:vAlign w:val="bottom"/>
          </w:tcPr>
          <w:p>
            <w:pPr>
              <w:ind w:left="340"/>
              <w:spacing w:after="0"/>
              <w:rPr>
                <w:sz w:val="20"/>
                <w:szCs w:val="20"/>
                <w:color w:val="auto"/>
              </w:rPr>
            </w:pPr>
            <w:r>
              <w:rPr>
                <w:rFonts w:ascii="Arial" w:cs="Arial" w:eastAsia="Arial" w:hAnsi="Arial"/>
                <w:sz w:val="17"/>
                <w:szCs w:val="17"/>
                <w:color w:val="auto"/>
              </w:rPr>
              <w:t>Total</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19,957</w:t>
            </w:r>
          </w:p>
        </w:tc>
        <w:tc>
          <w:tcPr>
            <w:tcW w:w="10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11,108</w:t>
            </w:r>
          </w:p>
        </w:tc>
        <w:tc>
          <w:tcPr>
            <w:tcW w:w="1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For the year ended December 31, 2020 and 2019, the Company recorded depreciation and amortization expense related to property, equipment and software amounting to $2,703,000 and $80,000, respectively, of which $878,000 and $79,000, respectively, related to amortization expense of capitalized internal-use software placed in service.</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F-78</w:t>
      </w:r>
    </w:p>
    <w:p>
      <w:pPr>
        <w:sectPr>
          <w:pgSz w:w="11900" w:h="16838" w:orient="portrait"/>
          <w:cols w:equalWidth="0" w:num="1">
            <w:col w:w="10460"/>
          </w:cols>
          <w:pgMar w:left="320" w:top="471" w:right="1119" w:bottom="1440" w:gutter="0" w:footer="0" w:header="0"/>
          <w:type w:val="continuous"/>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ICE has contributed to the Company capitalized costs related to software obtained for internal use (see Note 8). As of December 31, 2020 and 2019, total amounts capitalized were $19,805,000 and $11,146,000, respectively, with $1,728,000 having been contributed by ICE during the year ended December 31, 2019 at historical cost. As of December 31, 2020 and 2019, $17,407,000 and $2,416,000, respectively, of internal-use software has been placed in service.</w:t>
      </w:r>
    </w:p>
    <w:p>
      <w:pPr>
        <w:spacing w:after="0" w:line="179" w:lineRule="exact"/>
        <w:rPr>
          <w:sz w:val="20"/>
          <w:szCs w:val="20"/>
          <w:color w:val="auto"/>
        </w:rPr>
      </w:pPr>
    </w:p>
    <w:p>
      <w:pPr>
        <w:ind w:left="380"/>
        <w:spacing w:after="0" w:line="298" w:lineRule="auto"/>
        <w:rPr>
          <w:sz w:val="20"/>
          <w:szCs w:val="20"/>
          <w:color w:val="auto"/>
        </w:rPr>
      </w:pPr>
      <w:r>
        <w:rPr>
          <w:rFonts w:ascii="Arial" w:cs="Arial" w:eastAsia="Arial" w:hAnsi="Arial"/>
          <w:sz w:val="15"/>
          <w:szCs w:val="15"/>
          <w:color w:val="auto"/>
        </w:rPr>
        <w:t>The Company entered into a software license agreement that requires a minimum usage fee of $675,000 annually for the contract term. The license was capitalized at the present value of minimum license payments over the contract term. The Company recognized a corresponding liability for the license payments. The software license is being amortized over the contract term. Additional amounts may be owed under the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 As of December 31, 2020, the remaining asset and liability related to the software license are $1,742,000 and $1,908,000, respectively (see Note 6).</w:t>
      </w:r>
    </w:p>
    <w:p>
      <w:pPr>
        <w:spacing w:after="0" w:line="156" w:lineRule="exact"/>
        <w:rPr>
          <w:sz w:val="20"/>
          <w:szCs w:val="20"/>
          <w:color w:val="auto"/>
        </w:rPr>
      </w:pPr>
    </w:p>
    <w:p>
      <w:pPr>
        <w:ind w:left="380" w:right="120"/>
        <w:spacing w:after="0" w:line="275" w:lineRule="auto"/>
        <w:rPr>
          <w:sz w:val="20"/>
          <w:szCs w:val="20"/>
          <w:color w:val="auto"/>
        </w:rPr>
      </w:pPr>
      <w:r>
        <w:rPr>
          <w:rFonts w:ascii="Arial" w:cs="Arial" w:eastAsia="Arial" w:hAnsi="Arial"/>
          <w:sz w:val="16"/>
          <w:szCs w:val="16"/>
          <w:color w:val="auto"/>
        </w:rPr>
        <w:t>During the year ended December 31, 2020, the Company recognized that various customizations were needed to an application being developed by a third party for Bakkt Marketplace to expand the application’s functionality to meet the Company’s business requirements. The application was customized to include necessary features, and its testing began in the second half of fiscal year 2020. The Company began encountering significant obstacles and complications in achieving desired results during testing, which was identified as a triggering event for impairment analysis. The Company concluded that the application would not provide a viable solution for its business requirements. Subsequent to this conclusion, no additional costs have been capitalized for this initiative. This termination of development, in addition to the aforementioned triggering event, indicated that the carrying value of the capitalized internal-use software was impaired as of December 31, 2020.</w:t>
      </w:r>
    </w:p>
    <w:p>
      <w:pPr>
        <w:spacing w:after="0" w:line="171" w:lineRule="exact"/>
        <w:rPr>
          <w:sz w:val="20"/>
          <w:szCs w:val="20"/>
          <w:color w:val="auto"/>
        </w:rPr>
      </w:pPr>
    </w:p>
    <w:p>
      <w:pPr>
        <w:ind w:left="380" w:right="280"/>
        <w:spacing w:after="0" w:line="265" w:lineRule="auto"/>
        <w:rPr>
          <w:sz w:val="20"/>
          <w:szCs w:val="20"/>
          <w:color w:val="auto"/>
        </w:rPr>
      </w:pPr>
      <w:r>
        <w:rPr>
          <w:rFonts w:ascii="Arial" w:cs="Arial" w:eastAsia="Arial" w:hAnsi="Arial"/>
          <w:sz w:val="17"/>
          <w:szCs w:val="17"/>
          <w:color w:val="auto"/>
        </w:rPr>
        <w:t>The Company recorded an impairment charge of $11,449,000 to reduce the carrying amount of internal-use software within property, equipment and software to its fair value. The impairment charge is reflected as “Impairment of long-lived assets” in the accompanying consolidated statements of operations and comprehensive loss.</w:t>
      </w:r>
    </w:p>
    <w:p>
      <w:pPr>
        <w:spacing w:after="0" w:line="176"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During the year ended December 31,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w:t>
      </w:r>
    </w:p>
    <w:p>
      <w:pPr>
        <w:spacing w:after="0" w:line="179" w:lineRule="exact"/>
        <w:rPr>
          <w:sz w:val="20"/>
          <w:szCs w:val="20"/>
          <w:color w:val="auto"/>
        </w:rPr>
      </w:pPr>
    </w:p>
    <w:p>
      <w:pPr>
        <w:ind w:left="380" w:right="20"/>
        <w:spacing w:after="0" w:line="306" w:lineRule="auto"/>
        <w:rPr>
          <w:sz w:val="20"/>
          <w:szCs w:val="20"/>
          <w:color w:val="auto"/>
        </w:rPr>
      </w:pPr>
      <w:r>
        <w:rPr>
          <w:rFonts w:ascii="Arial" w:cs="Arial" w:eastAsia="Arial" w:hAnsi="Arial"/>
          <w:sz w:val="15"/>
          <w:szCs w:val="15"/>
          <w:color w:val="auto"/>
        </w:rPr>
        <w:t>During the year ended December 31,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F-79</w:t>
      </w:r>
    </w:p>
    <w:p>
      <w:pPr>
        <w:sectPr>
          <w:pgSz w:w="11900" w:h="16838" w:orient="portrait"/>
          <w:cols w:equalWidth="0" w:num="1">
            <w:col w:w="10860"/>
          </w:cols>
          <w:pgMar w:left="320" w:top="471" w:right="71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Deposits with Clearinghouse Affiliate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Deposits with clearinghouse affiliate, current and noncurrent,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 2020</w:t>
            </w:r>
          </w:p>
        </w:tc>
        <w:tc>
          <w:tcPr>
            <w:tcW w:w="50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December 31, 2019</w:t>
            </w:r>
          </w:p>
        </w:tc>
      </w:tr>
      <w:tr>
        <w:trPr>
          <w:trHeight w:val="19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Default resource contribution (see Note 7)</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35,350</w:t>
            </w: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35,377</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7"/>
                <w:szCs w:val="17"/>
                <w:color w:val="auto"/>
              </w:rPr>
              <w:t>Other clearinghouse deposits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10,975</w:t>
            </w:r>
          </w:p>
        </w:tc>
      </w:tr>
      <w:tr>
        <w:trPr>
          <w:trHeight w:val="26"/>
        </w:trPr>
        <w:tc>
          <w:tcPr>
            <w:tcW w:w="3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38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35,350</w:t>
            </w: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46,352</w:t>
            </w:r>
          </w:p>
        </w:tc>
      </w:tr>
      <w:tr>
        <w:trPr>
          <w:trHeight w:val="20"/>
        </w:trPr>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311" w:lineRule="auto"/>
        <w:rPr>
          <w:sz w:val="20"/>
          <w:szCs w:val="20"/>
          <w:color w:val="auto"/>
        </w:rPr>
      </w:pPr>
      <w:r>
        <w:rPr>
          <w:rFonts w:ascii="Arial" w:cs="Arial" w:eastAsia="Arial" w:hAnsi="Arial"/>
          <w:sz w:val="16"/>
          <w:szCs w:val="16"/>
          <w:color w:val="auto"/>
        </w:rPr>
        <w:t>Bakkt Clearing had FCM-related deposits of $0 and $10,975,000 with ICUS as of December 31, 2020 and 2019, respectively. In connection with the withdrawal of Bakkt Clearing’s ICUS membership on May 20, 2020, all FCM-related deposits were released to Bakkt Clearing.</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Assets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assets consisted of the following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12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w w:val="88"/>
              </w:rPr>
              <w:t>December 31, 2020</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Class B warrant asset, noncurrent (see Note 8)</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1,799</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Finance lease right-of-use assets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468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598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5,578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Accounts Payable and Accrued Liabilities</w:t>
            </w: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760" w:type="dxa"/>
            <w:vAlign w:val="bottom"/>
            <w:gridSpan w:val="2"/>
          </w:tcPr>
          <w:p>
            <w:pPr>
              <w:spacing w:after="0"/>
              <w:rPr>
                <w:sz w:val="20"/>
                <w:szCs w:val="20"/>
                <w:color w:val="auto"/>
              </w:rPr>
            </w:pPr>
            <w:r>
              <w:rPr>
                <w:rFonts w:ascii="Arial" w:cs="Arial" w:eastAsia="Arial" w:hAnsi="Arial"/>
                <w:sz w:val="17"/>
                <w:szCs w:val="17"/>
                <w:color w:val="auto"/>
                <w:w w:val="93"/>
              </w:rPr>
              <w:t>Accounts payable and accrued liabilities consisted of the following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7,165</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Accrued expenses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14,808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Purchasing card payable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12,683</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Salaries and benefits payable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6,018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3"/>
          </w:tcPr>
          <w:p>
            <w:pPr>
              <w:ind w:left="5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42,915</w:t>
            </w:r>
          </w:p>
        </w:tc>
        <w:tc>
          <w:tcPr>
            <w:tcW w:w="940" w:type="dxa"/>
            <w:vAlign w:val="bottom"/>
            <w:gridSpan w:val="3"/>
          </w:tcPr>
          <w:p>
            <w:pPr>
              <w:ind w:left="7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5,955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Current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current liabilities consisted of the following (in thousands):</w:t>
      </w:r>
    </w:p>
    <w:p>
      <w:pPr>
        <w:sectPr>
          <w:pgSz w:w="11900" w:h="16838" w:orient="portrait"/>
          <w:cols w:equalWidth="0" w:num="1">
            <w:col w:w="10580"/>
          </w:cols>
          <w:pgMar w:left="320" w:top="471" w:right="99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640" w:right="140"/>
        <w:spacing w:after="0" w:line="266" w:lineRule="auto"/>
        <w:rPr>
          <w:sz w:val="20"/>
          <w:szCs w:val="20"/>
          <w:color w:val="auto"/>
        </w:rPr>
      </w:pPr>
      <w:r>
        <w:rPr>
          <w:rFonts w:ascii="Arial" w:cs="Arial" w:eastAsia="Arial" w:hAnsi="Arial"/>
          <w:sz w:val="17"/>
          <w:szCs w:val="17"/>
          <w:color w:val="auto"/>
        </w:rPr>
        <w:t>Current maturities of operating lease liability Software license obligation, current Current maturities of finance lease liability Other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104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December 31, 2019</w:t>
            </w:r>
          </w:p>
        </w:tc>
        <w:tc>
          <w:tcPr>
            <w:tcW w:w="0" w:type="dxa"/>
            <w:vAlign w:val="bottom"/>
          </w:tcPr>
          <w:p>
            <w:pPr>
              <w:spacing w:after="0"/>
              <w:rPr>
                <w:sz w:val="1"/>
                <w:szCs w:val="1"/>
                <w:color w:val="auto"/>
              </w:rPr>
            </w:pPr>
          </w:p>
        </w:tc>
      </w:tr>
      <w:tr>
        <w:trPr>
          <w:trHeight w:val="164"/>
        </w:trPr>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953</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640" w:type="dxa"/>
            <w:vAlign w:val="bottom"/>
          </w:tcPr>
          <w:p>
            <w:pPr>
              <w:ind w:left="38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675</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129</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186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1,943</w:t>
            </w:r>
          </w:p>
        </w:tc>
        <w:tc>
          <w:tcPr>
            <w:tcW w:w="52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-701675</wp:posOffset>
            </wp:positionV>
            <wp:extent cx="5064125" cy="1390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064125" cy="13906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-432435</wp:posOffset>
            </wp:positionV>
            <wp:extent cx="5064125" cy="1308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064125" cy="13081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-154305</wp:posOffset>
            </wp:positionV>
            <wp:extent cx="5064125" cy="1308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F-80</w:t>
      </w:r>
    </w:p>
    <w:p>
      <w:pPr>
        <w:sectPr>
          <w:pgSz w:w="11900" w:h="16838" w:orient="portrait"/>
          <w:cols w:equalWidth="0" w:num="2">
            <w:col w:w="4860" w:space="720"/>
            <w:col w:w="5000"/>
          </w:cols>
          <w:pgMar w:left="320" w:top="471" w:right="999" w:bottom="1440" w:gutter="0" w:footer="0" w:header="0"/>
          <w:type w:val="continuous"/>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liabilities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2019</w:t>
            </w:r>
          </w:p>
        </w:tc>
      </w:tr>
      <w:tr>
        <w:trPr>
          <w:trHeight w:val="199"/>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Software license obligation, noncurrent</w:t>
            </w:r>
          </w:p>
        </w:tc>
        <w:tc>
          <w:tcPr>
            <w:tcW w:w="9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Participation units liability</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870</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158</w:t>
            </w:r>
          </w:p>
        </w:tc>
      </w:tr>
      <w:tr>
        <w:trPr>
          <w:trHeight w:val="20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liability, noncurrent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847</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Finance lease liability, noncurrent</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369</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w:t>
            </w:r>
          </w:p>
        </w:tc>
      </w:tr>
      <w:tr>
        <w:trPr>
          <w:trHeight w:val="26"/>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3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3,319</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158</w:t>
            </w:r>
          </w:p>
        </w:tc>
      </w:tr>
      <w:tr>
        <w:trPr>
          <w:trHeight w:val="20"/>
        </w:trPr>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780" w:hanging="404"/>
        <w:spacing w:after="0"/>
        <w:tabs>
          <w:tab w:leader="none" w:pos="78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Parties</w:t>
      </w:r>
    </w:p>
    <w:p>
      <w:pPr>
        <w:spacing w:after="0" w:line="119" w:lineRule="exact"/>
        <w:rPr>
          <w:sz w:val="20"/>
          <w:szCs w:val="20"/>
          <w:color w:val="auto"/>
        </w:rPr>
      </w:pPr>
    </w:p>
    <w:p>
      <w:pPr>
        <w:ind w:left="380" w:right="40"/>
        <w:spacing w:after="0" w:line="306" w:lineRule="auto"/>
        <w:rPr>
          <w:sz w:val="20"/>
          <w:szCs w:val="20"/>
          <w:color w:val="auto"/>
        </w:rPr>
      </w:pPr>
      <w:r>
        <w:rPr>
          <w:rFonts w:ascii="Arial" w:cs="Arial" w:eastAsia="Arial" w:hAnsi="Arial"/>
          <w:sz w:val="15"/>
          <w:szCs w:val="15"/>
          <w:color w:val="auto"/>
        </w:rPr>
        <w:t>On December 19, 2018, Bakkt entered into an intercompany services agreement with ICE to provide management and technical support services. For the year ended December 31, 2020 and 2019, expenses of $3,082,000 and $500,000 respectively have been recorded by Bakkt in connection with this agreement and are reflected as “Affiliate expenses” in the accompanying consolidated statements of operations and comprehensive loss. ICE also makes various payroll distributions and payments to vendors on behalf of Bakkt. ICE also makes unitary state income taxes on behalf of DACC.</w:t>
      </w:r>
    </w:p>
    <w:p>
      <w:pPr>
        <w:spacing w:after="0" w:line="149"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A Company executive was a party to the Purchase and Sale Agreement dated as of April 26, 2019, by and among, DACC, the Company, and each of the sellers of DACC. The Company executive owned approximately three percent of DACC’s equity prior to the sale and was paid approximately $226,000 as consideration for the shares owned at signing/closing and another approximately $27,000 upon the release of the escrow amount during the year ended December 31, 2020.</w:t>
      </w:r>
    </w:p>
    <w:p>
      <w:pPr>
        <w:spacing w:after="0" w:line="179" w:lineRule="exact"/>
        <w:rPr>
          <w:sz w:val="20"/>
          <w:szCs w:val="20"/>
          <w:color w:val="auto"/>
        </w:rPr>
      </w:pPr>
    </w:p>
    <w:p>
      <w:pPr>
        <w:ind w:left="380"/>
        <w:spacing w:after="0" w:line="290" w:lineRule="auto"/>
        <w:rPr>
          <w:sz w:val="20"/>
          <w:szCs w:val="20"/>
          <w:color w:val="auto"/>
        </w:rPr>
      </w:pPr>
      <w:r>
        <w:rPr>
          <w:rFonts w:ascii="Arial" w:cs="Arial" w:eastAsia="Arial" w:hAnsi="Arial"/>
          <w:sz w:val="15"/>
          <w:szCs w:val="15"/>
          <w:color w:val="auto"/>
        </w:rPr>
        <w:t>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custody, settlement and ancillary services relating to digital currencies. The Triparty Agreement required Bakkt Trust to make, and, subject to certain limits, to replenish as needed a $35,350,000 default resource contribution to ICUS, to be used by ICUS in accordance with the ICUS rules and is included in the “Deposits with clearinghouse affiliate” current and noncurrent balances on the accompanying consolidated balance sheets. Interest earned on the contribution, net of certain fees and costs, is paid to Bakkt Trust from ICUS. Total interest of $123,000 and $188,000 was earned for the year ended December 31, 2020 and 2019, respectively, and is included in “Interest income, net” in the accompanying consolidated statements of operations and comprehensive loss. $0 and $27,000 of the interest earned remains uncollected and is included in “Deposits with clearinghouse affiliate, noncurrent” in the accompanying consolidated balance sheets as of December 31, 2020 and 2019, respectively. The Triparty Agreement further requires all revenues of IFUS and ICUS with respect to the trading and clearing of digital currency contracts, after deduction of any applicable rebates and liquidity or incentive payments, to be remitted to Bakkt. Bakkt recognized revenues related to the Triparty Agreement of ($2,007,000) and ($881,000) for the years ended December 31, 2020 and 2019, respectively, net of $3,393,000 and $693,000 for rebates and incentive payments (contra-revenue) for the years ended December 31, 2020 and 2019, respectively. Bakkt also recognized a capital contribution for the cost of the trading and clearing services provided by IFUS and ICUS pursuant to the Contribution Agreement, which reduced revenue attributable to the Triparty Agreement by $697,000 and $188,000 for the years ended December 31, 2020 and 2019, respectively (see Note 8).</w:t>
      </w:r>
    </w:p>
    <w:p>
      <w:pPr>
        <w:spacing w:after="0" w:line="161" w:lineRule="exact"/>
        <w:rPr>
          <w:sz w:val="20"/>
          <w:szCs w:val="20"/>
          <w:color w:val="auto"/>
        </w:rPr>
      </w:pPr>
    </w:p>
    <w:p>
      <w:pPr>
        <w:ind w:left="380" w:right="180"/>
        <w:spacing w:after="0" w:line="269" w:lineRule="auto"/>
        <w:rPr>
          <w:sz w:val="20"/>
          <w:szCs w:val="20"/>
          <w:color w:val="auto"/>
        </w:rPr>
      </w:pPr>
      <w:r>
        <w:rPr>
          <w:rFonts w:ascii="Arial" w:cs="Arial" w:eastAsia="Arial" w:hAnsi="Arial"/>
          <w:sz w:val="17"/>
          <w:szCs w:val="17"/>
          <w:color w:val="auto"/>
        </w:rPr>
        <w:t>Pursuant to a separate triparty agreement among ICE Futures Singapore (“</w:t>
      </w:r>
      <w:r>
        <w:rPr>
          <w:rFonts w:ascii="Arial" w:cs="Arial" w:eastAsia="Arial" w:hAnsi="Arial"/>
          <w:sz w:val="17"/>
          <w:szCs w:val="17"/>
          <w:b w:val="1"/>
          <w:bCs w:val="1"/>
          <w:color w:val="auto"/>
        </w:rPr>
        <w:t>IFS</w:t>
      </w:r>
      <w:r>
        <w:rPr>
          <w:rFonts w:ascii="Arial" w:cs="Arial" w:eastAsia="Arial" w:hAnsi="Arial"/>
          <w:sz w:val="17"/>
          <w:szCs w:val="17"/>
          <w:color w:val="auto"/>
        </w:rPr>
        <w:t>”), ICE Clear Singapore (“</w:t>
      </w:r>
      <w:r>
        <w:rPr>
          <w:rFonts w:ascii="Arial" w:cs="Arial" w:eastAsia="Arial" w:hAnsi="Arial"/>
          <w:sz w:val="17"/>
          <w:szCs w:val="17"/>
          <w:b w:val="1"/>
          <w:bCs w:val="1"/>
          <w:color w:val="auto"/>
        </w:rPr>
        <w:t>ICS</w:t>
      </w:r>
      <w:r>
        <w:rPr>
          <w:rFonts w:ascii="Arial" w:cs="Arial" w:eastAsia="Arial" w:hAnsi="Arial"/>
          <w:sz w:val="17"/>
          <w:szCs w:val="17"/>
          <w:color w:val="auto"/>
        </w:rPr>
        <w:t>”) and Bakkt Holdings, IFS and ICS provide trade execution and clearing services to customers that trade the cash-settled futures. Bakkt provides to IFS and ICS pricing data from its PDF Contracts and also licenses its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F-81</w:t>
      </w:r>
    </w:p>
    <w:p>
      <w:pPr>
        <w:sectPr>
          <w:pgSz w:w="11900" w:h="16838" w:orient="portrait"/>
          <w:cols w:equalWidth="0" w:num="1">
            <w:col w:w="10860"/>
          </w:cols>
          <w:pgMar w:left="320" w:top="471" w:right="71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00"/>
        <w:spacing w:after="0" w:line="265" w:lineRule="auto"/>
        <w:rPr>
          <w:sz w:val="20"/>
          <w:szCs w:val="20"/>
          <w:color w:val="auto"/>
        </w:rPr>
      </w:pPr>
      <w:r>
        <w:rPr>
          <w:rFonts w:ascii="Arial" w:cs="Arial" w:eastAsia="Arial" w:hAnsi="Arial"/>
          <w:sz w:val="17"/>
          <w:szCs w:val="17"/>
          <w:color w:val="auto"/>
        </w:rPr>
        <w:t>name to IFS and ICS for use in marketing the cash-settled futures. ICS and IFS pay to Bakkt 35% of the net trading and clearing revenue that they earn with respect to these contracts. Bakkt is not a party to the contracts with customers that trade the cash-settled futures. To date, the cash-settled contracts have resulted in no net revenue payable to Bakkt.</w:t>
      </w:r>
    </w:p>
    <w:p>
      <w:pPr>
        <w:spacing w:after="0" w:line="176" w:lineRule="exact"/>
        <w:rPr>
          <w:sz w:val="20"/>
          <w:szCs w:val="20"/>
          <w:color w:val="auto"/>
        </w:rPr>
      </w:pPr>
    </w:p>
    <w:p>
      <w:pPr>
        <w:ind w:left="380" w:right="800"/>
        <w:spacing w:after="0" w:line="278" w:lineRule="auto"/>
        <w:rPr>
          <w:sz w:val="20"/>
          <w:szCs w:val="20"/>
          <w:color w:val="auto"/>
        </w:rPr>
      </w:pPr>
      <w:r>
        <w:rPr>
          <w:rFonts w:ascii="Arial" w:cs="Arial" w:eastAsia="Arial" w:hAnsi="Arial"/>
          <w:sz w:val="17"/>
          <w:szCs w:val="17"/>
          <w:color w:val="auto"/>
        </w:rPr>
        <w:t>As of December 31, 2020 and 2019, Bakkt had $1,856,000 and $9,432,000, respectively, reflected as “Due to affiliates” in the accompanying consolidated balance sheets related to the intercompany services agreement and Triparty Agreement.</w:t>
      </w:r>
    </w:p>
    <w:p>
      <w:pPr>
        <w:spacing w:after="0" w:line="165"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Prior to the withdrawal of Bakkt Clearing’s ICUS membership on May 20, 2020, Bakkt Clearing was required to hold shares of ICE stock for ICUS membership privileges. These shares were carried at cost basis and evaluated periodically for impairment. As of December 31, 2019, the cost basis of these shares was $1,194,000 and is reflected as “Investment in shares of affiliate stock” in the accompanying consolidated balance sheets. In connection with the withdrawal of Bakkt Clearing’s ICUS membership, these shares were remeasured at fair value, and the Company recorded an unrealized gain of $628,000 for the year ended December 31, 2020 which is included in “Other income (expense), net” in the accompanying consolidated statements of operations and comprehensive loss.</w:t>
      </w:r>
    </w:p>
    <w:p>
      <w:pPr>
        <w:spacing w:after="0" w:line="185" w:lineRule="exact"/>
        <w:rPr>
          <w:sz w:val="20"/>
          <w:szCs w:val="20"/>
          <w:color w:val="auto"/>
        </w:rPr>
      </w:pPr>
    </w:p>
    <w:p>
      <w:pPr>
        <w:ind w:left="380" w:right="440"/>
        <w:spacing w:after="0" w:line="278" w:lineRule="auto"/>
        <w:rPr>
          <w:sz w:val="20"/>
          <w:szCs w:val="20"/>
          <w:color w:val="auto"/>
        </w:rPr>
      </w:pPr>
      <w:r>
        <w:rPr>
          <w:rFonts w:ascii="Arial" w:cs="Arial" w:eastAsia="Arial" w:hAnsi="Arial"/>
          <w:sz w:val="17"/>
          <w:szCs w:val="17"/>
          <w:color w:val="auto"/>
        </w:rPr>
        <w:t>Bakkt Clearing had FCM-related deposits of $0 and $10,975,000 with ICUS as of December 31, 2020 and 2019, respectively, which is included in “Deposits with clearinghouse affiliate, noncurrent” in the accompanying consolidated balance sheets (see Note 6).</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 February 21, 2020, ICE acquired 100% of the issued and outstanding ownership interests in Bridge2 Solutions (see Note 4). On March 12, 2020, the</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Company completed Series C round of funding in the amount of $300 million and issued 270 million Class C voting units to ICE and certain minority</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investors (see Note 8). As part of this funding, ICE contributed the Bridge2 Solutions business to Bakkt at an enterprise value of approximately</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$261,400,000 with approximately $10,100,000 of additional goodwill, as discussed in Note 4, and made a $2,612,000 cash contribution, $1,378,000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which was used to pay acquisition-related expenses incurred by the Company. Additionally, the Company received $36,567,000 of cash contributions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from ICE and certain minority investors.</w:t>
      </w:r>
    </w:p>
    <w:p>
      <w:pPr>
        <w:spacing w:after="0" w:line="205"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As of December 31, 2020, no vesting of the warrant has occurred and Bakkt has not recognized any cost or any amount within members’ equity associated with the warrant (see Note 8).</w:t>
      </w:r>
    </w:p>
    <w:p>
      <w:pPr>
        <w:spacing w:after="0" w:line="314" w:lineRule="exact"/>
        <w:rPr>
          <w:sz w:val="20"/>
          <w:szCs w:val="20"/>
          <w:color w:val="auto"/>
        </w:rPr>
      </w:pPr>
    </w:p>
    <w:p>
      <w:pPr>
        <w:ind w:left="780" w:hanging="404"/>
        <w:spacing w:after="0"/>
        <w:tabs>
          <w:tab w:leader="none" w:pos="78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Members’ Equity</w:t>
      </w:r>
    </w:p>
    <w:p>
      <w:pPr>
        <w:spacing w:after="0" w:line="119" w:lineRule="exact"/>
        <w:rPr>
          <w:sz w:val="20"/>
          <w:szCs w:val="20"/>
          <w:color w:val="auto"/>
        </w:rPr>
      </w:pPr>
    </w:p>
    <w:p>
      <w:pPr>
        <w:jc w:val="both"/>
        <w:ind w:left="380" w:right="20"/>
        <w:spacing w:after="0" w:line="265" w:lineRule="auto"/>
        <w:rPr>
          <w:sz w:val="20"/>
          <w:szCs w:val="20"/>
          <w:color w:val="auto"/>
        </w:rPr>
      </w:pPr>
      <w:r>
        <w:rPr>
          <w:rFonts w:ascii="Arial" w:cs="Arial" w:eastAsia="Arial" w:hAnsi="Arial"/>
          <w:sz w:val="17"/>
          <w:szCs w:val="17"/>
          <w:color w:val="auto"/>
        </w:rPr>
        <w:t>The Company is authorized to issue up to 413,000,000 Class A voting units, 212,500,000 Class B voting units, 284,000,000 Class C voting units, and an aggregate number of 156,000,000 common incentive units and preferred incentive units authorized under the Bakkt Equity Incentive Plan (see Note 9), less the number of participation units issued.</w:t>
      </w:r>
    </w:p>
    <w:p>
      <w:pPr>
        <w:spacing w:after="0" w:line="176" w:lineRule="exact"/>
        <w:rPr>
          <w:sz w:val="20"/>
          <w:szCs w:val="20"/>
          <w:color w:val="auto"/>
        </w:rPr>
      </w:pPr>
    </w:p>
    <w:p>
      <w:pPr>
        <w:ind w:left="380" w:right="320"/>
        <w:spacing w:after="0" w:line="298" w:lineRule="auto"/>
        <w:rPr>
          <w:sz w:val="20"/>
          <w:szCs w:val="20"/>
          <w:color w:val="auto"/>
        </w:rPr>
      </w:pPr>
      <w:r>
        <w:rPr>
          <w:rFonts w:ascii="Arial" w:cs="Arial" w:eastAsia="Arial" w:hAnsi="Arial"/>
          <w:sz w:val="15"/>
          <w:szCs w:val="15"/>
          <w:color w:val="auto"/>
        </w:rPr>
        <w:t>On December 19, 2018, pursuant to the contribution agreement executed between Bakkt and ICE in connection with ICE’s formation of Bakkt (the “Contribution Agreement”), ICE committed to contribute developed assets and rights to use exchange and clearing licenses to permit a customer to engage in the offering of custody, trading, clearing, peer-to-peer and retail payment services for digital commodities in exchange for 400,000,000 Class A voting units. The primary value contributed by ICE was the access to the trading and clearing services to be provided for the duration of the Triparty Agreement. As of December 31, 2019, ICE has contributed developed technology assets of $1,728,000, which is included in “Property, equipment and software, net” in the accompanying consolidated balance sheets (see Note 6). The contribution from ICE and associated increase in</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F-82</w:t>
      </w:r>
    </w:p>
    <w:p>
      <w:pPr>
        <w:sectPr>
          <w:pgSz w:w="11900" w:h="16838" w:orient="portrait"/>
          <w:cols w:equalWidth="0" w:num="1">
            <w:col w:w="10860"/>
          </w:cols>
          <w:pgMar w:left="320" w:top="471" w:right="71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“Members’ equity” in the accompanying consolidated balance sheets for the Class A voting units issued is being recognized over time as the services are provided. During the years ended December 31, 2020 and 2019, ICE has contributed $697,000 and $188,000, respectively, of exchange and clearing license value based on costs incurred by IFUS and ICUS for executing and clearing bitcoin futures under the Triparty Agreement. This is shown as a reduction to “Net revenues” in the accompanying consolidated statements of operations and comprehensive loss and an increase to “Members’ equity” in the accompanying consolidated balance sheets.</w:t>
      </w:r>
    </w:p>
    <w:p>
      <w:pPr>
        <w:spacing w:after="0" w:line="180" w:lineRule="exact"/>
        <w:rPr>
          <w:sz w:val="20"/>
          <w:szCs w:val="20"/>
          <w:color w:val="auto"/>
        </w:rPr>
      </w:pPr>
    </w:p>
    <w:p>
      <w:pPr>
        <w:ind w:left="380" w:right="620"/>
        <w:spacing w:after="0" w:line="347" w:lineRule="auto"/>
        <w:rPr>
          <w:sz w:val="20"/>
          <w:szCs w:val="20"/>
          <w:color w:val="auto"/>
        </w:rPr>
      </w:pPr>
      <w:r>
        <w:rPr>
          <w:rFonts w:ascii="Arial" w:cs="Arial" w:eastAsia="Arial" w:hAnsi="Arial"/>
          <w:sz w:val="15"/>
          <w:szCs w:val="15"/>
          <w:color w:val="auto"/>
        </w:rPr>
        <w:t>Also, on December 19, 2018, ICE and minority investors contributed $182,500,000 in exchange for 182,500,000 Class B voting units. This was comprised of $111,500,000 and $71,000,000 contributed by ICE and other Class B voting unit holders (“Minority Investors”), respectively.</w:t>
      </w:r>
    </w:p>
    <w:p>
      <w:pPr>
        <w:spacing w:after="0" w:line="119"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Each Class B voting unit is convertible at the option of the voting unit holder, at any time after the date of issuance of the Class B voting unit, into a number of Class A voting units using a defined conversion price formula. All Class B voting units will convert automatically to Class A voting units in the event of an initial public offering.</w:t>
      </w:r>
    </w:p>
    <w:p>
      <w:pPr>
        <w:spacing w:after="0" w:line="176" w:lineRule="exact"/>
        <w:rPr>
          <w:sz w:val="20"/>
          <w:szCs w:val="20"/>
          <w:color w:val="auto"/>
        </w:rPr>
      </w:pPr>
    </w:p>
    <w:p>
      <w:pPr>
        <w:ind w:left="380" w:right="200"/>
        <w:spacing w:after="0" w:line="259" w:lineRule="auto"/>
        <w:rPr>
          <w:sz w:val="20"/>
          <w:szCs w:val="20"/>
          <w:color w:val="auto"/>
        </w:rPr>
      </w:pPr>
      <w:r>
        <w:rPr>
          <w:rFonts w:ascii="Arial" w:cs="Arial" w:eastAsia="Arial" w:hAnsi="Arial"/>
          <w:sz w:val="17"/>
          <w:szCs w:val="17"/>
          <w:color w:val="auto"/>
        </w:rPr>
        <w:t>ICE has a call option on voting units held by Minority Investors that has a trigger date on the fifth anniversary of the launch of certain services, which occurred on September 23, 2019, and ending on the second anniversary after the trigger date. The Minority Investors have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is based on a fair market value calculation, as defined in the LLC Agreement.</w:t>
      </w:r>
    </w:p>
    <w:p>
      <w:pPr>
        <w:spacing w:after="0" w:line="180"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 (see Note 9).</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B Warrant</w:t>
      </w:r>
    </w:p>
    <w:p>
      <w:pPr>
        <w:spacing w:after="0" w:line="113" w:lineRule="exact"/>
        <w:rPr>
          <w:sz w:val="20"/>
          <w:szCs w:val="20"/>
          <w:color w:val="auto"/>
        </w:rPr>
      </w:pPr>
    </w:p>
    <w:p>
      <w:pPr>
        <w:ind w:left="380" w:right="360"/>
        <w:spacing w:after="0" w:line="265" w:lineRule="auto"/>
        <w:rPr>
          <w:sz w:val="20"/>
          <w:szCs w:val="20"/>
          <w:color w:val="auto"/>
        </w:rPr>
      </w:pPr>
      <w:r>
        <w:rPr>
          <w:rFonts w:ascii="Arial" w:cs="Arial" w:eastAsia="Arial" w:hAnsi="Arial"/>
          <w:sz w:val="17"/>
          <w:szCs w:val="17"/>
          <w:color w:val="auto"/>
        </w:rPr>
        <w:t>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w:t>
      </w:r>
    </w:p>
    <w:p>
      <w:pPr>
        <w:spacing w:after="0" w:line="176" w:lineRule="exact"/>
        <w:rPr>
          <w:sz w:val="20"/>
          <w:szCs w:val="20"/>
          <w:color w:val="auto"/>
        </w:rPr>
      </w:pPr>
    </w:p>
    <w:p>
      <w:pPr>
        <w:ind w:left="380" w:right="40"/>
        <w:spacing w:after="0" w:line="306" w:lineRule="auto"/>
        <w:rPr>
          <w:sz w:val="20"/>
          <w:szCs w:val="20"/>
          <w:color w:val="auto"/>
        </w:rPr>
      </w:pPr>
      <w:r>
        <w:rPr>
          <w:rFonts w:ascii="Arial" w:cs="Arial" w:eastAsia="Arial" w:hAnsi="Arial"/>
          <w:sz w:val="15"/>
          <w:szCs w:val="15"/>
          <w:color w:val="auto"/>
        </w:rPr>
        <w:t>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w:t>
      </w:r>
    </w:p>
    <w:p>
      <w:pPr>
        <w:spacing w:after="0" w:line="149"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The Company measured the fair value of its Class B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8"/>
              </w:rPr>
              <w:t>As of February 19,</w:t>
            </w:r>
          </w:p>
        </w:tc>
      </w:tr>
      <w:tr>
        <w:trPr>
          <w:trHeight w:val="164"/>
        </w:trPr>
        <w:tc>
          <w:tcPr>
            <w:tcW w:w="2520" w:type="dxa"/>
            <w:vAlign w:val="bottom"/>
          </w:tcPr>
          <w:p>
            <w:pPr>
              <w:spacing w:after="0"/>
              <w:rPr>
                <w:sz w:val="14"/>
                <w:szCs w:val="14"/>
                <w:color w:val="auto"/>
              </w:rPr>
            </w:pPr>
          </w:p>
        </w:tc>
        <w:tc>
          <w:tcPr>
            <w:tcW w:w="4420" w:type="dxa"/>
            <w:vAlign w:val="bottom"/>
            <w:gridSpan w:val="2"/>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19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3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25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600" w:type="dxa"/>
            <w:vAlign w:val="bottom"/>
            <w:gridSpan w:val="3"/>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4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7"/>
        </w:trPr>
        <w:tc>
          <w:tcPr>
            <w:tcW w:w="2520" w:type="dxa"/>
            <w:vAlign w:val="bottom"/>
          </w:tcPr>
          <w:p>
            <w:pPr>
              <w:spacing w:after="0"/>
              <w:rPr>
                <w:sz w:val="20"/>
                <w:szCs w:val="20"/>
                <w:color w:val="auto"/>
              </w:rPr>
            </w:pPr>
            <w:r>
              <w:rPr>
                <w:rFonts w:ascii="Arial" w:cs="Arial" w:eastAsia="Arial" w:hAnsi="Arial"/>
                <w:sz w:val="17"/>
                <w:szCs w:val="17"/>
                <w:color w:val="auto"/>
              </w:rPr>
              <w:t>Expected term (years)</w:t>
            </w:r>
          </w:p>
        </w:tc>
        <w:tc>
          <w:tcPr>
            <w:tcW w:w="4600" w:type="dxa"/>
            <w:vAlign w:val="bottom"/>
            <w:gridSpan w:val="3"/>
          </w:tcPr>
          <w:p>
            <w:pPr>
              <w:jc w:val="right"/>
              <w:ind w:right="94"/>
              <w:spacing w:after="0"/>
              <w:rPr>
                <w:sz w:val="20"/>
                <w:szCs w:val="20"/>
                <w:color w:val="auto"/>
              </w:rPr>
            </w:pPr>
            <w:r>
              <w:rPr>
                <w:rFonts w:ascii="Arial" w:cs="Arial" w:eastAsia="Arial" w:hAnsi="Arial"/>
                <w:sz w:val="17"/>
                <w:szCs w:val="17"/>
                <w:color w:val="auto"/>
              </w:rPr>
              <w:t>3.00</w:t>
            </w:r>
          </w:p>
        </w:tc>
      </w:tr>
      <w:tr>
        <w:trPr>
          <w:trHeight w:val="335"/>
        </w:trPr>
        <w:tc>
          <w:tcPr>
            <w:tcW w:w="2520" w:type="dxa"/>
            <w:vAlign w:val="bottom"/>
          </w:tcPr>
          <w:p>
            <w:pPr>
              <w:spacing w:after="0"/>
              <w:rPr>
                <w:sz w:val="24"/>
                <w:szCs w:val="24"/>
                <w:color w:val="auto"/>
              </w:rPr>
            </w:pPr>
          </w:p>
        </w:tc>
        <w:tc>
          <w:tcPr>
            <w:tcW w:w="4600" w:type="dxa"/>
            <w:vAlign w:val="bottom"/>
            <w:gridSpan w:val="3"/>
          </w:tcPr>
          <w:p>
            <w:pPr>
              <w:jc w:val="right"/>
              <w:ind w:right="3194"/>
              <w:spacing w:after="0"/>
              <w:rPr>
                <w:sz w:val="20"/>
                <w:szCs w:val="20"/>
                <w:color w:val="auto"/>
              </w:rPr>
            </w:pPr>
            <w:r>
              <w:rPr>
                <w:rFonts w:ascii="Arial" w:cs="Arial" w:eastAsia="Arial" w:hAnsi="Arial"/>
                <w:sz w:val="17"/>
                <w:szCs w:val="17"/>
                <w:color w:val="auto"/>
              </w:rPr>
              <w:t>F-83</w:t>
            </w:r>
          </w:p>
        </w:tc>
      </w:tr>
    </w:tbl>
    <w:p>
      <w:pPr>
        <w:sectPr>
          <w:pgSz w:w="11900" w:h="16838" w:orient="portrait"/>
          <w:cols w:equalWidth="0" w:num="1">
            <w:col w:w="10860"/>
          </w:cols>
          <w:pgMar w:left="320" w:top="471" w:right="71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right="60"/>
        <w:spacing w:after="0" w:line="278" w:lineRule="auto"/>
        <w:rPr>
          <w:sz w:val="20"/>
          <w:szCs w:val="20"/>
          <w:color w:val="auto"/>
        </w:rPr>
      </w:pPr>
      <w:r>
        <w:rPr>
          <w:rFonts w:ascii="Arial" w:cs="Arial" w:eastAsia="Arial" w:hAnsi="Arial"/>
          <w:sz w:val="17"/>
          <w:szCs w:val="17"/>
          <w:color w:val="auto"/>
        </w:rPr>
        <w:t>As of December 31, 2020, the Class B Warrant has not been exercised. During the year ended December 31, 2020, the Company recognized a reduction to revenue of approximately $387,000 related to the Class B Warrant.</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C Warrant</w:t>
      </w:r>
    </w:p>
    <w:p>
      <w:pPr>
        <w:spacing w:after="0" w:line="113" w:lineRule="exact"/>
        <w:rPr>
          <w:sz w:val="20"/>
          <w:szCs w:val="20"/>
          <w:color w:val="auto"/>
        </w:rPr>
      </w:pPr>
    </w:p>
    <w:p>
      <w:pPr>
        <w:ind w:left="380" w:right="100"/>
        <w:spacing w:after="0" w:line="289" w:lineRule="auto"/>
        <w:rPr>
          <w:sz w:val="20"/>
          <w:szCs w:val="20"/>
          <w:color w:val="auto"/>
        </w:rPr>
      </w:pPr>
      <w:r>
        <w:rPr>
          <w:rFonts w:ascii="Arial" w:cs="Arial" w:eastAsia="Arial" w:hAnsi="Arial"/>
          <w:sz w:val="16"/>
          <w:szCs w:val="16"/>
          <w:color w:val="auto"/>
        </w:rPr>
        <w:t>On May 19, 2020, the Company issued a warrant to a minority investor to purchase 3,600,000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w:t>
      </w:r>
    </w:p>
    <w:p>
      <w:pPr>
        <w:spacing w:after="0" w:line="159"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The Company measured the fair value of its Class C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9"/>
              </w:rPr>
              <w:t>As of May 19,</w:t>
            </w:r>
          </w:p>
        </w:tc>
      </w:tr>
      <w:tr>
        <w:trPr>
          <w:trHeight w:val="164"/>
        </w:trPr>
        <w:tc>
          <w:tcPr>
            <w:tcW w:w="6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199"/>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Expected term (years)</w:t>
            </w: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4.35</w:t>
            </w:r>
          </w:p>
        </w:tc>
      </w:tr>
    </w:tbl>
    <w:p>
      <w:pPr>
        <w:spacing w:after="0" w:line="182" w:lineRule="exact"/>
        <w:rPr>
          <w:sz w:val="20"/>
          <w:szCs w:val="20"/>
          <w:color w:val="auto"/>
        </w:rPr>
      </w:pPr>
    </w:p>
    <w:p>
      <w:pPr>
        <w:ind w:left="380" w:right="1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2020, the Class C Warrant has not vested or been exercised.</w:t>
      </w:r>
    </w:p>
    <w:p>
      <w:pPr>
        <w:spacing w:after="0" w:line="352" w:lineRule="exact"/>
        <w:rPr>
          <w:sz w:val="20"/>
          <w:szCs w:val="20"/>
          <w:color w:val="auto"/>
        </w:rPr>
      </w:pPr>
    </w:p>
    <w:p>
      <w:pPr>
        <w:ind w:left="780" w:hanging="404"/>
        <w:spacing w:after="0"/>
        <w:tabs>
          <w:tab w:leader="none" w:pos="78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Unit-Based Compensation</w:t>
      </w:r>
    </w:p>
    <w:p>
      <w:pPr>
        <w:spacing w:after="0" w:line="222" w:lineRule="exact"/>
        <w:rPr>
          <w:sz w:val="20"/>
          <w:szCs w:val="20"/>
          <w:color w:val="auto"/>
        </w:rPr>
      </w:pPr>
    </w:p>
    <w:p>
      <w:pPr>
        <w:ind w:left="380" w:right="20"/>
        <w:spacing w:after="0" w:line="259" w:lineRule="auto"/>
        <w:rPr>
          <w:sz w:val="20"/>
          <w:szCs w:val="20"/>
          <w:color w:val="auto"/>
        </w:rPr>
      </w:pPr>
      <w:r>
        <w:rPr>
          <w:rFonts w:ascii="Arial" w:cs="Arial" w:eastAsia="Arial" w:hAnsi="Arial"/>
          <w:sz w:val="17"/>
          <w:szCs w:val="17"/>
          <w:color w:val="auto"/>
        </w:rPr>
        <w:t>In December 2018, the Company established the Bakkt Equity Incentive Plan (the “Equity Plan”). The purpose of the Equity Plan is to provide incentives to selected employees, directors, and service providers to promote long-term growth and profitability. Three types of awards may be granted under the Equity Plan: (1) preferred incentive units, (2) common incentive units, and (3) participation units. The total number of units that the Company is authorized to issue under the Equity Plan is 156 million, which are granted at the discretion of the Compensation Committee of the Board of Directors of ICE.</w:t>
      </w:r>
    </w:p>
    <w:p>
      <w:pPr>
        <w:spacing w:after="0" w:line="180"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Preferred incentive units and common incentive units (collectively, “incentive units”) represent an ownership interest in Bakkt and are entitled to receive distributions from Bakkt, subject to certain vesting conditions. The Company classifies incentive units as equity awards on its consolidated balance sheets.</w:t>
      </w:r>
    </w:p>
    <w:p>
      <w:pPr>
        <w:spacing w:after="0" w:line="17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Participation units, issued directly by the Company to Equity Plan participants, do not represent an ownership interest in the Company but rather provide Equity Plan participants the contractual right to participate in the value of the Company, if any through a cash payment upon the occurrence of certain events following vesting of</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F-84</w:t>
      </w:r>
    </w:p>
    <w:p>
      <w:pPr>
        <w:sectPr>
          <w:pgSz w:w="11900" w:h="16838" w:orient="portrait"/>
          <w:cols w:equalWidth="0" w:num="1">
            <w:col w:w="10860"/>
          </w:cols>
          <w:pgMar w:left="320" w:top="471" w:right="71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0"/>
        <w:spacing w:after="0" w:line="278" w:lineRule="auto"/>
        <w:rPr>
          <w:sz w:val="20"/>
          <w:szCs w:val="20"/>
          <w:color w:val="auto"/>
        </w:rPr>
      </w:pPr>
      <w:r>
        <w:rPr>
          <w:rFonts w:ascii="Arial" w:cs="Arial" w:eastAsia="Arial" w:hAnsi="Arial"/>
          <w:sz w:val="17"/>
          <w:szCs w:val="17"/>
          <w:color w:val="auto"/>
        </w:rPr>
        <w:t>the participation units. Because participation units are settled in cash, the Company classifies participation units as liability awards on its consolidated balance sheets.</w:t>
      </w:r>
    </w:p>
    <w:p>
      <w:pPr>
        <w:spacing w:after="0" w:line="165" w:lineRule="exact"/>
        <w:rPr>
          <w:sz w:val="20"/>
          <w:szCs w:val="20"/>
          <w:color w:val="auto"/>
        </w:rPr>
      </w:pPr>
    </w:p>
    <w:p>
      <w:pPr>
        <w:ind w:left="380" w:right="80"/>
        <w:spacing w:after="0" w:line="275" w:lineRule="auto"/>
        <w:rPr>
          <w:sz w:val="20"/>
          <w:szCs w:val="20"/>
          <w:color w:val="auto"/>
        </w:rPr>
      </w:pPr>
      <w:r>
        <w:rPr>
          <w:rFonts w:ascii="Arial" w:cs="Arial" w:eastAsia="Arial" w:hAnsi="Arial"/>
          <w:sz w:val="16"/>
          <w:szCs w:val="16"/>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Equity Plan and individual award agreements. A portion of the units may be subject to vesting upon a liquidity event, initial public offering, or partial exit event, as defined in the Equity Plan, or to the extent any incentive units and participation units remain outstanding and unvested on the date that is the eight-year anniversary of the launch of one of the Company’s services in a production environment, which occurred on September 23, 2019, these remaining units will vest based on the calculated fair market value of the Company, as defined in the LLC agreement, as of such date.</w:t>
      </w:r>
    </w:p>
    <w:p>
      <w:pPr>
        <w:spacing w:after="0" w:line="171" w:lineRule="exact"/>
        <w:rPr>
          <w:sz w:val="20"/>
          <w:szCs w:val="20"/>
          <w:color w:val="auto"/>
        </w:rPr>
      </w:pPr>
    </w:p>
    <w:p>
      <w:pPr>
        <w:ind w:left="380"/>
        <w:spacing w:after="0" w:line="272" w:lineRule="auto"/>
        <w:rPr>
          <w:sz w:val="20"/>
          <w:szCs w:val="20"/>
          <w:color w:val="auto"/>
        </w:rPr>
      </w:pPr>
      <w:r>
        <w:rPr>
          <w:rFonts w:ascii="Arial" w:cs="Arial" w:eastAsia="Arial" w:hAnsi="Arial"/>
          <w:sz w:val="16"/>
          <w:szCs w:val="16"/>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 (“Management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December 31, 2020, we do not believe it is probable that the put option will be exercised and have not remeasured these incentive units.</w:t>
      </w:r>
    </w:p>
    <w:p>
      <w:pPr>
        <w:spacing w:after="0" w:line="176" w:lineRule="exact"/>
        <w:rPr>
          <w:sz w:val="20"/>
          <w:szCs w:val="20"/>
          <w:color w:val="auto"/>
        </w:rPr>
      </w:pPr>
    </w:p>
    <w:p>
      <w:pPr>
        <w:ind w:left="380" w:right="80"/>
        <w:spacing w:after="0" w:line="279" w:lineRule="auto"/>
        <w:rPr>
          <w:sz w:val="20"/>
          <w:szCs w:val="20"/>
          <w:color w:val="auto"/>
        </w:rPr>
      </w:pPr>
      <w:r>
        <w:rPr>
          <w:rFonts w:ascii="Arial" w:cs="Arial" w:eastAsia="Arial" w:hAnsi="Arial"/>
          <w:sz w:val="16"/>
          <w:szCs w:val="16"/>
          <w:color w:val="auto"/>
        </w:rPr>
        <w:t>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left="380" w:right="120"/>
        <w:spacing w:after="0" w:line="259" w:lineRule="auto"/>
        <w:rPr>
          <w:sz w:val="20"/>
          <w:szCs w:val="20"/>
          <w:color w:val="auto"/>
        </w:rPr>
      </w:pPr>
      <w:r>
        <w:rPr>
          <w:rFonts w:ascii="Arial" w:cs="Arial" w:eastAsia="Arial" w:hAnsi="Arial"/>
          <w:sz w:val="17"/>
          <w:szCs w:val="17"/>
          <w:color w:val="auto"/>
        </w:rPr>
        <w:t>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w:t>
      </w:r>
    </w:p>
    <w:p>
      <w:pPr>
        <w:spacing w:after="0" w:line="180"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In March 2021, in anticipation of the business combination discussed in Note 15, certain awards granted under the Equity Plan in late 2020 were modified to allow participants to elect to redeem a portion of the award immediately for cash, in order to provide liquidity for taxes due upon the vesting of those awards.</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F-85</w:t>
      </w:r>
    </w:p>
    <w:p>
      <w:pPr>
        <w:sectPr>
          <w:pgSz w:w="11900" w:h="16838" w:orient="portrait"/>
          <w:cols w:equalWidth="0" w:num="1">
            <w:col w:w="10860"/>
          </w:cols>
          <w:pgMar w:left="320" w:top="471" w:right="71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Unit-Based Compensation Expense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Unit-based compensation expense included in the accompanying consolidated statements of operations and comprehensive loss for the year ended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2019 was as follows (in thousands):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60" w:type="dxa"/>
            <w:vAlign w:val="bottom"/>
            <w:gridSpan w:val="2"/>
            <w:vMerge w:val="restart"/>
          </w:tcPr>
          <w:p>
            <w:pPr>
              <w:jc w:val="right"/>
              <w:ind w:right="318"/>
              <w:spacing w:after="0"/>
              <w:rPr>
                <w:sz w:val="20"/>
                <w:szCs w:val="20"/>
                <w:color w:val="auto"/>
              </w:rPr>
            </w:pPr>
            <w:r>
              <w:rPr>
                <w:rFonts w:ascii="Arial" w:cs="Arial" w:eastAsia="Arial" w:hAnsi="Arial"/>
                <w:sz w:val="14"/>
                <w:szCs w:val="14"/>
                <w:b w:val="1"/>
                <w:bCs w:val="1"/>
                <w:color w:val="auto"/>
              </w:rPr>
              <w:t>Compensation</w:t>
            </w:r>
          </w:p>
        </w:tc>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Statement of Operations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2660" w:type="dxa"/>
            <w:vAlign w:val="bottom"/>
            <w:gridSpan w:val="2"/>
            <w:vMerge w:val="continue"/>
          </w:tcPr>
          <w:p>
            <w:pPr>
              <w:spacing w:after="0"/>
              <w:rPr>
                <w:sz w:val="12"/>
                <w:szCs w:val="12"/>
                <w:color w:val="auto"/>
              </w:rPr>
            </w:pPr>
          </w:p>
        </w:tc>
        <w:tc>
          <w:tcPr>
            <w:tcW w:w="236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and Comprehensive Loss</w:t>
            </w:r>
          </w:p>
        </w:tc>
        <w:tc>
          <w:tcPr>
            <w:tcW w:w="2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64"/>
        </w:trPr>
        <w:tc>
          <w:tcPr>
            <w:tcW w:w="29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w w:val="97"/>
              </w:rPr>
              <w:t>Expense</w:t>
            </w:r>
          </w:p>
        </w:tc>
        <w:tc>
          <w:tcPr>
            <w:tcW w:w="2360" w:type="dxa"/>
            <w:vAlign w:val="bottom"/>
          </w:tcPr>
          <w:p>
            <w:pPr>
              <w:ind w:left="660"/>
              <w:spacing w:after="0"/>
              <w:rPr>
                <w:sz w:val="20"/>
                <w:szCs w:val="20"/>
                <w:color w:val="auto"/>
              </w:rPr>
            </w:pPr>
            <w:r>
              <w:rPr>
                <w:rFonts w:ascii="Arial" w:cs="Arial" w:eastAsia="Arial" w:hAnsi="Arial"/>
                <w:sz w:val="14"/>
                <w:szCs w:val="14"/>
                <w:b w:val="1"/>
                <w:bCs w:val="1"/>
                <w:color w:val="auto"/>
              </w:rPr>
              <w:t>Classification</w:t>
            </w: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Preferred incentive unit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10,388</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Common incentive unit</w:t>
            </w:r>
          </w:p>
        </w:tc>
        <w:tc>
          <w:tcPr>
            <w:tcW w:w="150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127</w:t>
            </w:r>
          </w:p>
        </w:tc>
        <w:tc>
          <w:tcPr>
            <w:tcW w:w="2360" w:type="dxa"/>
            <w:vAlign w:val="bottom"/>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Participation unit</w:t>
            </w: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158</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6"/>
              </w:rPr>
              <w:t>Other non-current liabilities</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Total</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10,673</w:t>
            </w: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Unit-based compensation expense included in the accompanying consolidated statements of operations and comprehensive loss for the year ended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2020 was as follows (in thousands):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60" w:type="dxa"/>
            <w:vAlign w:val="bottom"/>
            <w:gridSpan w:val="2"/>
            <w:vMerge w:val="restart"/>
          </w:tcPr>
          <w:p>
            <w:pPr>
              <w:jc w:val="right"/>
              <w:ind w:right="318"/>
              <w:spacing w:after="0"/>
              <w:rPr>
                <w:sz w:val="20"/>
                <w:szCs w:val="20"/>
                <w:color w:val="auto"/>
              </w:rPr>
            </w:pPr>
            <w:r>
              <w:rPr>
                <w:rFonts w:ascii="Arial" w:cs="Arial" w:eastAsia="Arial" w:hAnsi="Arial"/>
                <w:sz w:val="14"/>
                <w:szCs w:val="14"/>
                <w:b w:val="1"/>
                <w:bCs w:val="1"/>
                <w:color w:val="auto"/>
              </w:rPr>
              <w:t>Compensation</w:t>
            </w:r>
          </w:p>
        </w:tc>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Statement of Operations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2660" w:type="dxa"/>
            <w:vAlign w:val="bottom"/>
            <w:gridSpan w:val="2"/>
            <w:vMerge w:val="continue"/>
          </w:tcPr>
          <w:p>
            <w:pPr>
              <w:spacing w:after="0"/>
              <w:rPr>
                <w:sz w:val="12"/>
                <w:szCs w:val="12"/>
                <w:color w:val="auto"/>
              </w:rPr>
            </w:pPr>
          </w:p>
        </w:tc>
        <w:tc>
          <w:tcPr>
            <w:tcW w:w="236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and Comprehensive Loss</w:t>
            </w:r>
          </w:p>
        </w:tc>
        <w:tc>
          <w:tcPr>
            <w:tcW w:w="2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64"/>
        </w:trPr>
        <w:tc>
          <w:tcPr>
            <w:tcW w:w="29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w w:val="97"/>
              </w:rPr>
              <w:t>Expense</w:t>
            </w:r>
          </w:p>
        </w:tc>
        <w:tc>
          <w:tcPr>
            <w:tcW w:w="2360" w:type="dxa"/>
            <w:vAlign w:val="bottom"/>
          </w:tcPr>
          <w:p>
            <w:pPr>
              <w:ind w:left="660"/>
              <w:spacing w:after="0"/>
              <w:rPr>
                <w:sz w:val="20"/>
                <w:szCs w:val="20"/>
                <w:color w:val="auto"/>
              </w:rPr>
            </w:pPr>
            <w:r>
              <w:rPr>
                <w:rFonts w:ascii="Arial" w:cs="Arial" w:eastAsia="Arial" w:hAnsi="Arial"/>
                <w:sz w:val="14"/>
                <w:szCs w:val="14"/>
                <w:b w:val="1"/>
                <w:bCs w:val="1"/>
                <w:color w:val="auto"/>
              </w:rPr>
              <w:t>Classification</w:t>
            </w: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Preferred incentive unit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9,210</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Common incentive unit</w:t>
            </w:r>
          </w:p>
        </w:tc>
        <w:tc>
          <w:tcPr>
            <w:tcW w:w="150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1,727</w:t>
            </w:r>
          </w:p>
        </w:tc>
        <w:tc>
          <w:tcPr>
            <w:tcW w:w="2360" w:type="dxa"/>
            <w:vAlign w:val="bottom"/>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Participation unit</w:t>
            </w: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712</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6"/>
              </w:rPr>
              <w:t>Other non-current liabilities</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Total</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11,649</w:t>
            </w: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80" w:right="360"/>
        <w:spacing w:after="0" w:line="282" w:lineRule="auto"/>
        <w:rPr>
          <w:sz w:val="20"/>
          <w:szCs w:val="20"/>
          <w:color w:val="auto"/>
        </w:rPr>
      </w:pPr>
      <w:r>
        <w:rPr>
          <w:rFonts w:ascii="Arial" w:cs="Arial" w:eastAsia="Arial" w:hAnsi="Arial"/>
          <w:sz w:val="16"/>
          <w:szCs w:val="16"/>
          <w:color w:val="auto"/>
        </w:rPr>
        <w:t>Included in the unit-based compensation expense for the year ended December 31, 2019 is $6,175,000 of accelerated expense related to preferred incentive units held by a former Company executive whose award was modified upon termination of employment such that the executive retained a portion of the incentive units that would have otherwise been forfeited. This increase in expense was partially offset by the reversal of expense previously recorded for forfeitures of participation units made by certain terminated employees.</w:t>
      </w:r>
    </w:p>
    <w:p>
      <w:pPr>
        <w:spacing w:after="0" w:line="164" w:lineRule="exact"/>
        <w:rPr>
          <w:sz w:val="20"/>
          <w:szCs w:val="20"/>
          <w:color w:val="auto"/>
        </w:rPr>
      </w:pPr>
    </w:p>
    <w:p>
      <w:pPr>
        <w:ind w:left="380" w:right="100"/>
        <w:spacing w:after="0" w:line="257" w:lineRule="auto"/>
        <w:rPr>
          <w:sz w:val="20"/>
          <w:szCs w:val="20"/>
          <w:color w:val="auto"/>
        </w:rPr>
      </w:pPr>
      <w:r>
        <w:rPr>
          <w:rFonts w:ascii="Arial" w:cs="Arial" w:eastAsia="Arial" w:hAnsi="Arial"/>
          <w:sz w:val="17"/>
          <w:szCs w:val="17"/>
          <w:color w:val="auto"/>
        </w:rPr>
        <w:t>Included in the unit-based compensation expense for the year ended December 31,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w:t>
      </w:r>
    </w:p>
    <w:p>
      <w:pPr>
        <w:spacing w:after="0" w:line="185" w:lineRule="exact"/>
        <w:rPr>
          <w:sz w:val="20"/>
          <w:szCs w:val="20"/>
          <w:color w:val="auto"/>
        </w:rPr>
      </w:pPr>
    </w:p>
    <w:p>
      <w:pPr>
        <w:ind w:left="380" w:right="60"/>
        <w:spacing w:after="0" w:line="265" w:lineRule="auto"/>
        <w:rPr>
          <w:sz w:val="20"/>
          <w:szCs w:val="20"/>
          <w:color w:val="auto"/>
        </w:rPr>
      </w:pPr>
      <w:r>
        <w:rPr>
          <w:rFonts w:ascii="Arial" w:cs="Arial" w:eastAsia="Arial" w:hAnsi="Arial"/>
          <w:sz w:val="17"/>
          <w:szCs w:val="17"/>
          <w:color w:val="auto"/>
        </w:rPr>
        <w:t>Unrecognized compensation expense for the year ended December 31, 2019 was $23,941,000, $1,158,000, and $2,958,000 for preferred incentive units, common incentive units, and participation units, respectively. The unrecognized compensation expense will be recognized over a weighted-average period of 7.73 years.</w:t>
      </w:r>
    </w:p>
    <w:p>
      <w:pPr>
        <w:spacing w:after="0" w:line="176" w:lineRule="exact"/>
        <w:rPr>
          <w:sz w:val="20"/>
          <w:szCs w:val="20"/>
          <w:color w:val="auto"/>
        </w:rPr>
      </w:pPr>
    </w:p>
    <w:p>
      <w:pPr>
        <w:ind w:left="380" w:right="400"/>
        <w:spacing w:after="0" w:line="265" w:lineRule="auto"/>
        <w:rPr>
          <w:sz w:val="20"/>
          <w:szCs w:val="20"/>
          <w:color w:val="auto"/>
        </w:rPr>
      </w:pPr>
      <w:r>
        <w:rPr>
          <w:rFonts w:ascii="Arial" w:cs="Arial" w:eastAsia="Arial" w:hAnsi="Arial"/>
          <w:sz w:val="17"/>
          <w:szCs w:val="17"/>
          <w:color w:val="auto"/>
        </w:rPr>
        <w:t>Unrecognized compensation expense for the year ended December 31, 2020 was $13,688,000, $9,797,000, and $10,422,000 for preferred incentive units, common incentive units, and participation units, respectively. The unrecognized compensation expense will be recognized over a weighted-average period of 6.75 years.</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F-86</w:t>
      </w:r>
    </w:p>
    <w:p>
      <w:pPr>
        <w:sectPr>
          <w:pgSz w:w="11900" w:h="16838" w:orient="portrait"/>
          <w:cols w:equalWidth="0" w:num="1">
            <w:col w:w="10880"/>
          </w:cols>
          <w:pgMar w:left="320" w:top="471" w:right="69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Unit Activity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tables summarize preferred incentive unit, common incentive unit, and participation unit activity under the Equity Plan for the year ended</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2020 and 2019 (in thousands):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jc w:val="center"/>
              <w:ind w:left="4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center"/>
              <w:ind w:left="140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jc w:val="center"/>
              <w:ind w:left="4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left="4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jc w:val="center"/>
              <w:ind w:left="1400"/>
              <w:spacing w:after="0" w:line="141" w:lineRule="exact"/>
              <w:rPr>
                <w:sz w:val="20"/>
                <w:szCs w:val="20"/>
                <w:color w:val="auto"/>
              </w:rPr>
            </w:pPr>
            <w:r>
              <w:rPr>
                <w:rFonts w:ascii="Arial" w:cs="Arial" w:eastAsia="Arial" w:hAnsi="Arial"/>
                <w:sz w:val="14"/>
                <w:szCs w:val="14"/>
                <w:b w:val="1"/>
                <w:bCs w:val="1"/>
                <w:color w:val="auto"/>
                <w:w w:val="89"/>
              </w:rPr>
              <w:t>Preferred</w:t>
            </w:r>
          </w:p>
        </w:tc>
        <w:tc>
          <w:tcPr>
            <w:tcW w:w="1160" w:type="dxa"/>
            <w:vAlign w:val="bottom"/>
          </w:tcPr>
          <w:p>
            <w:pPr>
              <w:jc w:val="center"/>
              <w:ind w:left="67"/>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140" w:type="dxa"/>
            <w:vAlign w:val="bottom"/>
            <w:gridSpan w:val="2"/>
          </w:tcPr>
          <w:p>
            <w:pPr>
              <w:ind w:left="360"/>
              <w:spacing w:after="0" w:line="141" w:lineRule="exact"/>
              <w:rPr>
                <w:sz w:val="20"/>
                <w:szCs w:val="20"/>
                <w:color w:val="auto"/>
              </w:rPr>
            </w:pPr>
            <w:r>
              <w:rPr>
                <w:rFonts w:ascii="Arial" w:cs="Arial" w:eastAsia="Arial" w:hAnsi="Arial"/>
                <w:sz w:val="14"/>
                <w:szCs w:val="14"/>
                <w:b w:val="1"/>
                <w:bCs w:val="1"/>
                <w:color w:val="auto"/>
              </w:rPr>
              <w:t>Average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Preferred Incentive Units</w:t>
            </w:r>
          </w:p>
        </w:tc>
        <w:tc>
          <w:tcPr>
            <w:tcW w:w="2480" w:type="dxa"/>
            <w:vAlign w:val="bottom"/>
          </w:tcPr>
          <w:p>
            <w:pPr>
              <w:jc w:val="right"/>
              <w:ind w:right="140"/>
              <w:spacing w:after="0" w:line="141"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left="67"/>
              <w:spacing w:after="0" w:line="141" w:lineRule="exact"/>
              <w:rPr>
                <w:sz w:val="20"/>
                <w:szCs w:val="20"/>
                <w:color w:val="auto"/>
              </w:rPr>
            </w:pPr>
            <w:r>
              <w:rPr>
                <w:rFonts w:ascii="Arial" w:cs="Arial" w:eastAsia="Arial" w:hAnsi="Arial"/>
                <w:sz w:val="14"/>
                <w:szCs w:val="14"/>
                <w:b w:val="1"/>
                <w:bCs w:val="1"/>
                <w:color w:val="auto"/>
                <w:w w:val="87"/>
              </w:rPr>
              <w:t>Term</w:t>
            </w:r>
          </w:p>
        </w:tc>
        <w:tc>
          <w:tcPr>
            <w:tcW w:w="1140" w:type="dxa"/>
            <w:vAlign w:val="bottom"/>
            <w:gridSpan w:val="2"/>
          </w:tcPr>
          <w:p>
            <w:pPr>
              <w:ind w:left="280"/>
              <w:spacing w:after="0" w:line="141" w:lineRule="exact"/>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center"/>
              <w:ind w:left="1400"/>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tcPr>
          <w:p>
            <w:pPr>
              <w:jc w:val="center"/>
              <w:ind w:left="4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100"/>
              <w:spacing w:after="0"/>
              <w:rPr>
                <w:sz w:val="20"/>
                <w:szCs w:val="20"/>
                <w:color w:val="auto"/>
              </w:rPr>
            </w:pPr>
            <w:r>
              <w:rPr>
                <w:rFonts w:ascii="Arial" w:cs="Arial" w:eastAsia="Arial" w:hAnsi="Arial"/>
                <w:sz w:val="17"/>
                <w:szCs w:val="17"/>
                <w:color w:val="auto"/>
              </w:rPr>
              <w:t>100,875</w:t>
            </w:r>
          </w:p>
        </w:tc>
        <w:tc>
          <w:tcPr>
            <w:tcW w:w="116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$ 42,368</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(18,750)</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100"/>
              <w:spacing w:after="0"/>
              <w:rPr>
                <w:sz w:val="20"/>
                <w:szCs w:val="20"/>
                <w:color w:val="auto"/>
              </w:rPr>
            </w:pPr>
            <w:r>
              <w:rPr>
                <w:rFonts w:ascii="Arial" w:cs="Arial" w:eastAsia="Arial" w:hAnsi="Arial"/>
                <w:sz w:val="17"/>
                <w:szCs w:val="17"/>
                <w:color w:val="auto"/>
              </w:rPr>
              <w:t>82,125</w:t>
            </w:r>
          </w:p>
        </w:tc>
        <w:tc>
          <w:tcPr>
            <w:tcW w:w="1160" w:type="dxa"/>
            <w:vAlign w:val="bottom"/>
          </w:tcPr>
          <w:p>
            <w:pPr>
              <w:jc w:val="right"/>
              <w:ind w:right="87"/>
              <w:spacing w:after="0"/>
              <w:rPr>
                <w:sz w:val="20"/>
                <w:szCs w:val="20"/>
                <w:color w:val="auto"/>
              </w:rPr>
            </w:pPr>
            <w:r>
              <w:rPr>
                <w:rFonts w:ascii="Arial" w:cs="Arial" w:eastAsia="Arial" w:hAnsi="Arial"/>
                <w:sz w:val="17"/>
                <w:szCs w:val="17"/>
                <w:color w:val="auto"/>
              </w:rPr>
              <w:t>7.73</w:t>
            </w: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$ 34,493</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3,350</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0.63</w:t>
            </w:r>
          </w:p>
        </w:tc>
        <w:tc>
          <w:tcPr>
            <w:tcW w:w="1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ind w:right="40"/>
              <w:spacing w:after="0"/>
              <w:rPr>
                <w:sz w:val="20"/>
                <w:szCs w:val="20"/>
                <w:color w:val="auto"/>
              </w:rPr>
            </w:pPr>
            <w:r>
              <w:rPr>
                <w:rFonts w:ascii="Arial" w:cs="Arial" w:eastAsia="Arial" w:hAnsi="Arial"/>
                <w:sz w:val="17"/>
                <w:szCs w:val="17"/>
                <w:color w:val="auto"/>
              </w:rPr>
              <w:t>(9,000)</w:t>
            </w:r>
          </w:p>
        </w:tc>
        <w:tc>
          <w:tcPr>
            <w:tcW w:w="116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0.41</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76,475</w:t>
            </w:r>
          </w:p>
        </w:tc>
        <w:tc>
          <w:tcPr>
            <w:tcW w:w="1160" w:type="dxa"/>
            <w:vAlign w:val="bottom"/>
            <w:shd w:val="clear" w:color="auto" w:fill="CCEEFF"/>
          </w:tcPr>
          <w:p>
            <w:pPr>
              <w:jc w:val="right"/>
              <w:ind w:right="87"/>
              <w:spacing w:after="0"/>
              <w:rPr>
                <w:sz w:val="20"/>
                <w:szCs w:val="20"/>
                <w:color w:val="auto"/>
              </w:rPr>
            </w:pPr>
            <w:r>
              <w:rPr>
                <w:rFonts w:ascii="Arial" w:cs="Arial" w:eastAsia="Arial" w:hAnsi="Arial"/>
                <w:sz w:val="17"/>
                <w:szCs w:val="17"/>
                <w:color w:val="auto"/>
              </w:rPr>
              <w:t>6.75</w:t>
            </w: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$ 88,711</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Pr>
          <w:p>
            <w:pPr>
              <w:jc w:val="center"/>
              <w:ind w:left="12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jc w:val="center"/>
              <w:ind w:left="64"/>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ind w:left="1760"/>
              <w:spacing w:after="0" w:line="141" w:lineRule="exact"/>
              <w:rPr>
                <w:sz w:val="20"/>
                <w:szCs w:val="20"/>
                <w:color w:val="auto"/>
              </w:rPr>
            </w:pPr>
            <w:r>
              <w:rPr>
                <w:rFonts w:ascii="Arial" w:cs="Arial" w:eastAsia="Arial" w:hAnsi="Arial"/>
                <w:sz w:val="14"/>
                <w:szCs w:val="14"/>
                <w:b w:val="1"/>
                <w:bCs w:val="1"/>
                <w:color w:val="auto"/>
              </w:rPr>
              <w:t>Common</w:t>
            </w:r>
          </w:p>
        </w:tc>
        <w:tc>
          <w:tcPr>
            <w:tcW w:w="1160" w:type="dxa"/>
            <w:vAlign w:val="bottom"/>
          </w:tcPr>
          <w:p>
            <w:pPr>
              <w:jc w:val="center"/>
              <w:ind w:left="147"/>
              <w:spacing w:after="0" w:line="141" w:lineRule="exact"/>
              <w:rPr>
                <w:sz w:val="20"/>
                <w:szCs w:val="20"/>
                <w:color w:val="auto"/>
              </w:rPr>
            </w:pPr>
            <w:r>
              <w:rPr>
                <w:rFonts w:ascii="Arial" w:cs="Arial" w:eastAsia="Arial" w:hAnsi="Arial"/>
                <w:sz w:val="14"/>
                <w:szCs w:val="14"/>
                <w:b w:val="1"/>
                <w:bCs w:val="1"/>
                <w:color w:val="auto"/>
                <w:w w:val="89"/>
              </w:rPr>
              <w:t>Contractual</w:t>
            </w:r>
          </w:p>
        </w:tc>
        <w:tc>
          <w:tcPr>
            <w:tcW w:w="380" w:type="dxa"/>
            <w:vAlign w:val="bottom"/>
          </w:tcPr>
          <w:p>
            <w:pPr>
              <w:spacing w:after="0"/>
              <w:rPr>
                <w:sz w:val="12"/>
                <w:szCs w:val="12"/>
                <w:color w:val="auto"/>
              </w:rPr>
            </w:pPr>
          </w:p>
        </w:tc>
        <w:tc>
          <w:tcPr>
            <w:tcW w:w="760" w:type="dxa"/>
            <w:vAlign w:val="bottom"/>
          </w:tcPr>
          <w:p>
            <w:pPr>
              <w:jc w:val="center"/>
              <w:ind w:right="155"/>
              <w:spacing w:after="0" w:line="141"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Common Incentive Units</w:t>
            </w:r>
          </w:p>
        </w:tc>
        <w:tc>
          <w:tcPr>
            <w:tcW w:w="2480" w:type="dxa"/>
            <w:vAlign w:val="bottom"/>
          </w:tcPr>
          <w:p>
            <w:pPr>
              <w:ind w:left="1760"/>
              <w:spacing w:after="0" w:line="141"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gridSpan w:val="2"/>
          </w:tcPr>
          <w:p>
            <w:pPr>
              <w:jc w:val="center"/>
              <w:ind w:left="44"/>
              <w:spacing w:after="0" w:line="141" w:lineRule="exact"/>
              <w:rPr>
                <w:sz w:val="20"/>
                <w:szCs w:val="20"/>
                <w:color w:val="auto"/>
              </w:rPr>
            </w:pPr>
            <w:r>
              <w:rPr>
                <w:rFonts w:ascii="Arial" w:cs="Arial" w:eastAsia="Arial" w:hAnsi="Arial"/>
                <w:sz w:val="14"/>
                <w:szCs w:val="14"/>
                <w:b w:val="1"/>
                <w:bCs w:val="1"/>
                <w:color w:val="auto"/>
                <w:w w:val="92"/>
              </w:rPr>
              <w:t>Grant Date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right"/>
              <w:ind w:right="220"/>
              <w:spacing w:after="0"/>
              <w:rPr>
                <w:sz w:val="20"/>
                <w:szCs w:val="20"/>
                <w:color w:val="auto"/>
              </w:rPr>
            </w:pPr>
            <w:r>
              <w:rPr>
                <w:rFonts w:ascii="Arial" w:cs="Arial" w:eastAsia="Arial" w:hAnsi="Arial"/>
                <w:sz w:val="14"/>
                <w:szCs w:val="14"/>
                <w:b w:val="1"/>
                <w:bCs w:val="1"/>
                <w:color w:val="auto"/>
              </w:rPr>
              <w:t>Units</w:t>
            </w:r>
          </w:p>
        </w:tc>
        <w:tc>
          <w:tcPr>
            <w:tcW w:w="1160" w:type="dxa"/>
            <w:vAlign w:val="bottom"/>
          </w:tcPr>
          <w:p>
            <w:pPr>
              <w:jc w:val="center"/>
              <w:ind w:left="12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jc w:val="center"/>
              <w:ind w:left="44"/>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60"/>
              <w:spacing w:after="0"/>
              <w:rPr>
                <w:sz w:val="20"/>
                <w:szCs w:val="20"/>
                <w:color w:val="auto"/>
              </w:rPr>
            </w:pPr>
            <w:r>
              <w:rPr>
                <w:rFonts w:ascii="Arial" w:cs="Arial" w:eastAsia="Arial" w:hAnsi="Arial"/>
                <w:sz w:val="17"/>
                <w:szCs w:val="17"/>
                <w:color w:val="auto"/>
              </w:rPr>
              <w:t>3,750</w:t>
            </w:r>
          </w:p>
        </w:tc>
        <w:tc>
          <w:tcPr>
            <w:tcW w:w="1160" w:type="dxa"/>
            <w:vAlign w:val="bottom"/>
          </w:tcPr>
          <w:p>
            <w:pPr>
              <w:spacing w:after="0"/>
              <w:rPr>
                <w:sz w:val="17"/>
                <w:szCs w:val="17"/>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0.34</w:t>
            </w:r>
          </w:p>
        </w:tc>
        <w:tc>
          <w:tcPr>
            <w:tcW w:w="1000" w:type="dxa"/>
            <w:vAlign w:val="bottom"/>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60"/>
              <w:spacing w:after="0"/>
              <w:rPr>
                <w:sz w:val="20"/>
                <w:szCs w:val="20"/>
                <w:color w:val="auto"/>
              </w:rPr>
            </w:pPr>
            <w:r>
              <w:rPr>
                <w:rFonts w:ascii="Arial" w:cs="Arial" w:eastAsia="Arial" w:hAnsi="Arial"/>
                <w:sz w:val="17"/>
                <w:szCs w:val="17"/>
                <w:color w:val="auto"/>
              </w:rPr>
              <w:t>3,750</w:t>
            </w:r>
          </w:p>
        </w:tc>
        <w:tc>
          <w:tcPr>
            <w:tcW w:w="1160" w:type="dxa"/>
            <w:vAlign w:val="bottom"/>
          </w:tcPr>
          <w:p>
            <w:pPr>
              <w:jc w:val="right"/>
              <w:ind w:right="47"/>
              <w:spacing w:after="0"/>
              <w:rPr>
                <w:sz w:val="20"/>
                <w:szCs w:val="20"/>
                <w:color w:val="auto"/>
              </w:rPr>
            </w:pPr>
            <w:r>
              <w:rPr>
                <w:rFonts w:ascii="Arial" w:cs="Arial" w:eastAsia="Arial" w:hAnsi="Arial"/>
                <w:sz w:val="17"/>
                <w:szCs w:val="17"/>
                <w:color w:val="auto"/>
              </w:rPr>
              <w:t>7.73</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0.34</w:t>
            </w:r>
          </w:p>
        </w:tc>
        <w:tc>
          <w:tcPr>
            <w:tcW w:w="100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31,333</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0.42</w:t>
            </w:r>
          </w:p>
        </w:tc>
        <w:tc>
          <w:tcPr>
            <w:tcW w:w="1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$ 13,065</w:t>
            </w: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spacing w:after="0"/>
              <w:rPr>
                <w:sz w:val="20"/>
                <w:szCs w:val="20"/>
                <w:color w:val="auto"/>
              </w:rPr>
            </w:pPr>
            <w:r>
              <w:rPr>
                <w:rFonts w:ascii="Arial" w:cs="Arial" w:eastAsia="Arial" w:hAnsi="Arial"/>
                <w:sz w:val="17"/>
                <w:szCs w:val="17"/>
                <w:color w:val="auto"/>
              </w:rPr>
              <w:t>(8,250)</w:t>
            </w:r>
          </w:p>
        </w:tc>
        <w:tc>
          <w:tcPr>
            <w:tcW w:w="1160" w:type="dxa"/>
            <w:vAlign w:val="bottom"/>
          </w:tcPr>
          <w:p>
            <w:pPr>
              <w:spacing w:after="0"/>
              <w:rPr>
                <w:sz w:val="17"/>
                <w:szCs w:val="17"/>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0.33</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26,833</w:t>
            </w: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6.75</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0.43</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$ 25,760</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Pr>
          <w:p>
            <w:pPr>
              <w:jc w:val="center"/>
              <w:ind w:right="20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jc w:val="center"/>
              <w:ind w:right="135"/>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center"/>
              <w:ind w:left="72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92"/>
              </w:rPr>
              <w:t>Contractual</w:t>
            </w:r>
          </w:p>
        </w:tc>
        <w:tc>
          <w:tcPr>
            <w:tcW w:w="1140" w:type="dxa"/>
            <w:vAlign w:val="bottom"/>
            <w:gridSpan w:val="2"/>
          </w:tcPr>
          <w:p>
            <w:pPr>
              <w:jc w:val="center"/>
              <w:ind w:right="135"/>
              <w:spacing w:after="0" w:line="141"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ind w:right="46"/>
              <w:spacing w:after="0" w:line="141"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Participation Units</w:t>
            </w:r>
          </w:p>
        </w:tc>
        <w:tc>
          <w:tcPr>
            <w:tcW w:w="2480" w:type="dxa"/>
            <w:vAlign w:val="bottom"/>
          </w:tcPr>
          <w:p>
            <w:pPr>
              <w:jc w:val="center"/>
              <w:ind w:left="720"/>
              <w:spacing w:after="0" w:line="141" w:lineRule="exact"/>
              <w:rPr>
                <w:sz w:val="20"/>
                <w:szCs w:val="20"/>
                <w:color w:val="auto"/>
              </w:rPr>
            </w:pPr>
            <w:r>
              <w:rPr>
                <w:rFonts w:ascii="Arial" w:cs="Arial" w:eastAsia="Arial" w:hAnsi="Arial"/>
                <w:sz w:val="14"/>
                <w:szCs w:val="14"/>
                <w:b w:val="1"/>
                <w:bCs w:val="1"/>
                <w:color w:val="auto"/>
                <w:w w:val="89"/>
              </w:rPr>
              <w:t>Participation</w:t>
            </w: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gridSpan w:val="2"/>
          </w:tcPr>
          <w:p>
            <w:pPr>
              <w:ind w:left="140"/>
              <w:spacing w:after="0" w:line="141" w:lineRule="exact"/>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center"/>
              <w:ind w:right="66"/>
              <w:spacing w:after="0" w:line="141"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center"/>
              <w:ind w:left="720"/>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tcPr>
          <w:p>
            <w:pPr>
              <w:jc w:val="center"/>
              <w:ind w:right="20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jc w:val="center"/>
              <w:ind w:right="115"/>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tcPr>
          <w:p>
            <w:pPr>
              <w:jc w:val="center"/>
              <w:ind w:right="66"/>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380"/>
              <w:spacing w:after="0"/>
              <w:rPr>
                <w:sz w:val="20"/>
                <w:szCs w:val="20"/>
                <w:color w:val="auto"/>
              </w:rPr>
            </w:pPr>
            <w:r>
              <w:rPr>
                <w:rFonts w:ascii="Arial" w:cs="Arial" w:eastAsia="Arial" w:hAnsi="Arial"/>
                <w:sz w:val="17"/>
                <w:szCs w:val="17"/>
                <w:color w:val="auto"/>
              </w:rPr>
              <w:t>8,716</w:t>
            </w:r>
          </w:p>
        </w:tc>
        <w:tc>
          <w:tcPr>
            <w:tcW w:w="116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0.34</w:t>
            </w:r>
          </w:p>
        </w:tc>
        <w:tc>
          <w:tcPr>
            <w:tcW w:w="1000" w:type="dxa"/>
            <w:vAlign w:val="bottom"/>
          </w:tcPr>
          <w:p>
            <w:pPr>
              <w:ind w:left="460"/>
              <w:spacing w:after="0"/>
              <w:rPr>
                <w:sz w:val="20"/>
                <w:szCs w:val="20"/>
                <w:color w:val="auto"/>
              </w:rPr>
            </w:pPr>
            <w:r>
              <w:rPr>
                <w:rFonts w:ascii="Arial" w:cs="Arial" w:eastAsia="Arial" w:hAnsi="Arial"/>
                <w:sz w:val="17"/>
                <w:szCs w:val="17"/>
                <w:color w:val="auto"/>
              </w:rPr>
              <w:t>—</w:t>
            </w: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2,963</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(65)</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380"/>
              <w:spacing w:after="0"/>
              <w:rPr>
                <w:sz w:val="20"/>
                <w:szCs w:val="20"/>
                <w:color w:val="auto"/>
              </w:rPr>
            </w:pPr>
            <w:r>
              <w:rPr>
                <w:rFonts w:ascii="Arial" w:cs="Arial" w:eastAsia="Arial" w:hAnsi="Arial"/>
                <w:sz w:val="17"/>
                <w:szCs w:val="17"/>
                <w:color w:val="auto"/>
              </w:rPr>
              <w:t>8,651</w:t>
            </w:r>
          </w:p>
        </w:tc>
        <w:tc>
          <w:tcPr>
            <w:tcW w:w="1160" w:type="dxa"/>
            <w:vAlign w:val="bottom"/>
          </w:tcPr>
          <w:p>
            <w:pPr>
              <w:jc w:val="center"/>
              <w:ind w:left="67"/>
              <w:spacing w:after="0"/>
              <w:rPr>
                <w:sz w:val="20"/>
                <w:szCs w:val="20"/>
                <w:color w:val="auto"/>
              </w:rPr>
            </w:pPr>
            <w:r>
              <w:rPr>
                <w:rFonts w:ascii="Arial" w:cs="Arial" w:eastAsia="Arial" w:hAnsi="Arial"/>
                <w:sz w:val="17"/>
                <w:szCs w:val="17"/>
                <w:color w:val="auto"/>
                <w:w w:val="90"/>
              </w:rPr>
              <w:t>7.73</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0.40</w:t>
            </w:r>
          </w:p>
        </w:tc>
        <w:tc>
          <w:tcPr>
            <w:tcW w:w="100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3,460</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10,721</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0"/>
              </w:rPr>
              <w:t>0.44</w:t>
            </w:r>
          </w:p>
        </w:tc>
        <w:tc>
          <w:tcPr>
            <w:tcW w:w="10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ind w:right="320"/>
              <w:spacing w:after="0"/>
              <w:rPr>
                <w:sz w:val="20"/>
                <w:szCs w:val="20"/>
                <w:color w:val="auto"/>
              </w:rPr>
            </w:pPr>
            <w:r>
              <w:rPr>
                <w:rFonts w:ascii="Arial" w:cs="Arial" w:eastAsia="Arial" w:hAnsi="Arial"/>
                <w:sz w:val="17"/>
                <w:szCs w:val="17"/>
                <w:color w:val="auto"/>
              </w:rPr>
              <w:t>(7,607)</w:t>
            </w:r>
          </w:p>
        </w:tc>
        <w:tc>
          <w:tcPr>
            <w:tcW w:w="116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0.33</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11,765</w:t>
            </w:r>
          </w:p>
        </w:tc>
        <w:tc>
          <w:tcPr>
            <w:tcW w:w="1160" w:type="dxa"/>
            <w:vAlign w:val="bottom"/>
            <w:shd w:val="clear" w:color="auto" w:fill="CCEEFF"/>
          </w:tcPr>
          <w:p>
            <w:pPr>
              <w:jc w:val="center"/>
              <w:ind w:left="67"/>
              <w:spacing w:after="0"/>
              <w:rPr>
                <w:sz w:val="20"/>
                <w:szCs w:val="20"/>
                <w:color w:val="auto"/>
              </w:rPr>
            </w:pPr>
            <w:r>
              <w:rPr>
                <w:rFonts w:ascii="Arial" w:cs="Arial" w:eastAsia="Arial" w:hAnsi="Arial"/>
                <w:sz w:val="17"/>
                <w:szCs w:val="17"/>
                <w:color w:val="auto"/>
                <w:w w:val="90"/>
              </w:rPr>
              <w:t>6.75</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0"/>
              </w:rPr>
              <w:t>0.43</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$ 11,294</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ind w:left="17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Determination of Fair Value</w:t>
      </w:r>
    </w:p>
    <w:p>
      <w:pPr>
        <w:spacing w:after="0" w:line="113" w:lineRule="exact"/>
        <w:rPr>
          <w:sz w:val="20"/>
          <w:szCs w:val="20"/>
          <w:color w:val="auto"/>
        </w:rPr>
      </w:pPr>
    </w:p>
    <w:p>
      <w:pPr>
        <w:ind w:left="380" w:right="100"/>
        <w:spacing w:after="0" w:line="317" w:lineRule="auto"/>
        <w:rPr>
          <w:sz w:val="20"/>
          <w:szCs w:val="20"/>
          <w:color w:val="auto"/>
        </w:rPr>
      </w:pPr>
      <w:r>
        <w:rPr>
          <w:rFonts w:ascii="Arial" w:cs="Arial" w:eastAsia="Arial" w:hAnsi="Arial"/>
          <w:sz w:val="15"/>
          <w:szCs w:val="15"/>
          <w:color w:val="auto"/>
        </w:rPr>
        <w:t>The fair value of incentive and participation units granted is calculated through a Monte Carlo simulation based on various outcomes. The Company determined that a Monte Carlo simulation was an appropriate estimation model because of the market condition associated with the vesting of the units. The determination of the fair value of the units is affected by the Company’s stock price and certain assumptions such as the Company’s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F-87</w:t>
      </w:r>
    </w:p>
    <w:p>
      <w:pPr>
        <w:sectPr>
          <w:pgSz w:w="11900" w:h="16838" w:orient="portrait"/>
          <w:cols w:equalWidth="0" w:num="1">
            <w:col w:w="10880"/>
          </w:cols>
          <w:pgMar w:left="320" w:top="471" w:right="69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expected stock price volatility over the term of the units, risk-free interest rates, and expected dividends, which are determined as follows:</w:t>
      </w:r>
    </w:p>
    <w:p>
      <w:pPr>
        <w:spacing w:after="0" w:line="126" w:lineRule="exact"/>
        <w:rPr>
          <w:sz w:val="20"/>
          <w:szCs w:val="20"/>
          <w:color w:val="auto"/>
        </w:rPr>
      </w:pPr>
    </w:p>
    <w:p>
      <w:pPr>
        <w:ind w:left="1300" w:hanging="512"/>
        <w:spacing w:after="0"/>
        <w:tabs>
          <w:tab w:leader="none" w:pos="13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Expected term – The expected term represents the period that a unit is expected to be outstanding.</w:t>
      </w:r>
    </w:p>
    <w:p>
      <w:pPr>
        <w:spacing w:after="0" w:line="126" w:lineRule="exact"/>
        <w:rPr>
          <w:rFonts w:ascii="Arial" w:cs="Arial" w:eastAsia="Arial" w:hAnsi="Arial"/>
          <w:sz w:val="17"/>
          <w:szCs w:val="17"/>
          <w:color w:val="auto"/>
        </w:rPr>
      </w:pPr>
    </w:p>
    <w:p>
      <w:pPr>
        <w:ind w:left="1300" w:right="360" w:hanging="512"/>
        <w:spacing w:after="0" w:line="278" w:lineRule="auto"/>
        <w:tabs>
          <w:tab w:leader="none" w:pos="13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Volatility – The Company has limited historical data available to derive its own stock price volatility. As such, the Company estimates stock price volatility based on the average historic price volatility of comparable public industry peers.</w:t>
      </w:r>
    </w:p>
    <w:p>
      <w:pPr>
        <w:spacing w:after="0" w:line="74" w:lineRule="exact"/>
        <w:rPr>
          <w:rFonts w:ascii="Arial" w:cs="Arial" w:eastAsia="Arial" w:hAnsi="Arial"/>
          <w:sz w:val="17"/>
          <w:szCs w:val="17"/>
          <w:color w:val="auto"/>
        </w:rPr>
      </w:pPr>
    </w:p>
    <w:p>
      <w:pPr>
        <w:ind w:left="1300" w:right="260" w:hanging="512"/>
        <w:spacing w:after="0" w:line="278" w:lineRule="auto"/>
        <w:tabs>
          <w:tab w:leader="none" w:pos="13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Risk-free interest rate – The risk-free rate is based on the U.S. Treasury yield curve in effect on the grant date for securities with similar expected terms to the term of the Company’s incentive units.</w:t>
      </w:r>
    </w:p>
    <w:p>
      <w:pPr>
        <w:spacing w:after="0" w:line="74" w:lineRule="exact"/>
        <w:rPr>
          <w:rFonts w:ascii="Arial" w:cs="Arial" w:eastAsia="Arial" w:hAnsi="Arial"/>
          <w:sz w:val="17"/>
          <w:szCs w:val="17"/>
          <w:color w:val="auto"/>
        </w:rPr>
      </w:pPr>
    </w:p>
    <w:p>
      <w:pPr>
        <w:ind w:left="1300" w:right="60" w:hanging="512"/>
        <w:spacing w:after="0" w:line="278" w:lineRule="auto"/>
        <w:tabs>
          <w:tab w:leader="none" w:pos="13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Expected dividends – Expected dividends is assumed to be zero as the Company has not paid and does not expect to pay cash dividends or non-liquidating distributions.</w:t>
      </w:r>
    </w:p>
    <w:p>
      <w:pPr>
        <w:spacing w:after="0" w:line="165" w:lineRule="exact"/>
        <w:rPr>
          <w:sz w:val="20"/>
          <w:szCs w:val="20"/>
          <w:color w:val="auto"/>
        </w:rPr>
      </w:pPr>
    </w:p>
    <w:p>
      <w:pPr>
        <w:ind w:left="380" w:right="60"/>
        <w:spacing w:after="0" w:line="311" w:lineRule="auto"/>
        <w:rPr>
          <w:sz w:val="20"/>
          <w:szCs w:val="20"/>
          <w:color w:val="auto"/>
        </w:rPr>
      </w:pPr>
      <w:r>
        <w:rPr>
          <w:rFonts w:ascii="Arial" w:cs="Arial" w:eastAsia="Arial" w:hAnsi="Arial"/>
          <w:sz w:val="16"/>
          <w:szCs w:val="16"/>
          <w:color w:val="auto"/>
        </w:rPr>
        <w:t>The inputs used in the models to estimate the fair value of the preferred incentive units, common incentive units, and participation units granted in 2019 and 2020, including the common incentive units granted in connection with the Unit Exchange, are summarized as follows:</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60" w:type="dxa"/>
            <w:vAlign w:val="bottom"/>
            <w:gridSpan w:val="2"/>
          </w:tcPr>
          <w:p>
            <w:pPr>
              <w:jc w:val="right"/>
              <w:ind w:right="1074"/>
              <w:spacing w:after="0"/>
              <w:rPr>
                <w:sz w:val="20"/>
                <w:szCs w:val="20"/>
                <w:color w:val="auto"/>
              </w:rPr>
            </w:pPr>
            <w:r>
              <w:rPr>
                <w:rFonts w:ascii="Arial" w:cs="Arial" w:eastAsia="Arial" w:hAnsi="Arial"/>
                <w:sz w:val="14"/>
                <w:szCs w:val="14"/>
                <w:b w:val="1"/>
                <w:bCs w:val="1"/>
                <w:color w:val="auto"/>
              </w:rPr>
              <w:t>Year Ended</w:t>
            </w:r>
          </w:p>
        </w:tc>
        <w:tc>
          <w:tcPr>
            <w:tcW w:w="130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4620" w:type="dxa"/>
            <w:vAlign w:val="bottom"/>
          </w:tcPr>
          <w:p>
            <w:pPr>
              <w:spacing w:after="0"/>
              <w:rPr>
                <w:sz w:val="14"/>
                <w:szCs w:val="14"/>
                <w:color w:val="auto"/>
              </w:rPr>
            </w:pPr>
          </w:p>
        </w:tc>
        <w:tc>
          <w:tcPr>
            <w:tcW w:w="2060" w:type="dxa"/>
            <w:vAlign w:val="bottom"/>
            <w:gridSpan w:val="2"/>
          </w:tcPr>
          <w:p>
            <w:pPr>
              <w:jc w:val="right"/>
              <w:ind w:right="854"/>
              <w:spacing w:after="0"/>
              <w:rPr>
                <w:sz w:val="20"/>
                <w:szCs w:val="20"/>
                <w:color w:val="auto"/>
              </w:rPr>
            </w:pPr>
            <w:r>
              <w:rPr>
                <w:rFonts w:ascii="Arial" w:cs="Arial" w:eastAsia="Arial" w:hAnsi="Arial"/>
                <w:sz w:val="14"/>
                <w:szCs w:val="14"/>
                <w:b w:val="1"/>
                <w:bCs w:val="1"/>
                <w:color w:val="auto"/>
                <w:w w:val="87"/>
              </w:rPr>
              <w:t>December 31, 2020</w:t>
            </w: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5"/>
              </w:rPr>
              <w:t>December 31, 2019</w:t>
            </w:r>
          </w:p>
        </w:tc>
      </w:tr>
      <w:tr>
        <w:trPr>
          <w:trHeight w:val="19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shd w:val="clear" w:color="auto" w:fill="CCEEFF"/>
          </w:tcPr>
          <w:p>
            <w:pPr>
              <w:jc w:val="right"/>
              <w:ind w:right="714"/>
              <w:spacing w:after="0"/>
              <w:rPr>
                <w:sz w:val="20"/>
                <w:szCs w:val="20"/>
                <w:color w:val="auto"/>
              </w:rPr>
            </w:pPr>
            <w:r>
              <w:rPr>
                <w:rFonts w:ascii="Arial" w:cs="Arial" w:eastAsia="Arial" w:hAnsi="Arial"/>
                <w:sz w:val="17"/>
                <w:szCs w:val="17"/>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060" w:type="dxa"/>
            <w:vAlign w:val="bottom"/>
            <w:gridSpan w:val="2"/>
          </w:tcPr>
          <w:p>
            <w:pPr>
              <w:jc w:val="right"/>
              <w:ind w:right="714"/>
              <w:spacing w:after="0"/>
              <w:rPr>
                <w:sz w:val="20"/>
                <w:szCs w:val="20"/>
                <w:color w:val="auto"/>
              </w:rPr>
            </w:pPr>
            <w:r>
              <w:rPr>
                <w:rFonts w:ascii="Arial" w:cs="Arial" w:eastAsia="Arial" w:hAnsi="Arial"/>
                <w:sz w:val="17"/>
                <w:szCs w:val="17"/>
                <w:color w:val="auto"/>
              </w:rPr>
              <w:t>1.85%</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3.07%</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06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45.00%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4620" w:type="dxa"/>
            <w:vAlign w:val="bottom"/>
          </w:tcPr>
          <w:p>
            <w:pPr>
              <w:spacing w:after="0"/>
              <w:rPr>
                <w:sz w:val="20"/>
                <w:szCs w:val="20"/>
                <w:color w:val="auto"/>
              </w:rPr>
            </w:pPr>
            <w:r>
              <w:rPr>
                <w:rFonts w:ascii="Arial" w:cs="Arial" w:eastAsia="Arial" w:hAnsi="Arial"/>
                <w:sz w:val="17"/>
                <w:szCs w:val="17"/>
                <w:color w:val="auto"/>
              </w:rPr>
              <w:t>Expected term (years)</w:t>
            </w:r>
          </w:p>
        </w:tc>
        <w:tc>
          <w:tcPr>
            <w:tcW w:w="2060" w:type="dxa"/>
            <w:vAlign w:val="bottom"/>
            <w:gridSpan w:val="2"/>
          </w:tcPr>
          <w:p>
            <w:pPr>
              <w:jc w:val="right"/>
              <w:ind w:right="854"/>
              <w:spacing w:after="0"/>
              <w:rPr>
                <w:sz w:val="20"/>
                <w:szCs w:val="20"/>
                <w:color w:val="auto"/>
              </w:rPr>
            </w:pPr>
            <w:r>
              <w:rPr>
                <w:rFonts w:ascii="Arial" w:cs="Arial" w:eastAsia="Arial" w:hAnsi="Arial"/>
                <w:sz w:val="17"/>
                <w:szCs w:val="17"/>
                <w:color w:val="auto"/>
              </w:rPr>
              <w:t>4.73 and 7.73</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5 and 8</w:t>
            </w:r>
          </w:p>
        </w:tc>
      </w:tr>
    </w:tbl>
    <w:p>
      <w:pPr>
        <w:spacing w:after="0" w:line="318" w:lineRule="exact"/>
        <w:rPr>
          <w:sz w:val="20"/>
          <w:szCs w:val="20"/>
          <w:color w:val="auto"/>
        </w:rPr>
      </w:pPr>
    </w:p>
    <w:p>
      <w:pPr>
        <w:ind w:left="780" w:hanging="404"/>
        <w:spacing w:after="0"/>
        <w:tabs>
          <w:tab w:leader="none" w:pos="78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Capital Requirements</w:t>
      </w:r>
    </w:p>
    <w:p>
      <w:pPr>
        <w:spacing w:after="0" w:line="119" w:lineRule="exact"/>
        <w:rPr>
          <w:sz w:val="20"/>
          <w:szCs w:val="20"/>
          <w:color w:val="auto"/>
        </w:rPr>
      </w:pPr>
    </w:p>
    <w:p>
      <w:pPr>
        <w:ind w:left="380" w:right="380"/>
        <w:spacing w:after="0" w:line="259" w:lineRule="auto"/>
        <w:rPr>
          <w:sz w:val="20"/>
          <w:szCs w:val="20"/>
          <w:color w:val="auto"/>
        </w:rPr>
      </w:pPr>
      <w:r>
        <w:rPr>
          <w:rFonts w:ascii="Arial" w:cs="Arial" w:eastAsia="Arial" w:hAnsi="Arial"/>
          <w:sz w:val="17"/>
          <w:szCs w:val="17"/>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December 31, 2020 and 2019, Bakkt Trust had determined that $16,500,000 should be set aside to satisfy its capital requirements, which is reflected as “Restricted cash” in the accompanying consolidated balance sheets.</w:t>
      </w:r>
    </w:p>
    <w:p>
      <w:pPr>
        <w:spacing w:after="0" w:line="180" w:lineRule="exact"/>
        <w:rPr>
          <w:sz w:val="20"/>
          <w:szCs w:val="20"/>
          <w:color w:val="auto"/>
        </w:rPr>
      </w:pPr>
    </w:p>
    <w:p>
      <w:pPr>
        <w:ind w:left="380" w:right="60"/>
        <w:spacing w:after="0" w:line="301" w:lineRule="auto"/>
        <w:rPr>
          <w:sz w:val="20"/>
          <w:szCs w:val="20"/>
          <w:color w:val="auto"/>
        </w:rPr>
      </w:pPr>
      <w:r>
        <w:rPr>
          <w:rFonts w:ascii="Arial" w:cs="Arial" w:eastAsia="Arial" w:hAnsi="Arial"/>
          <w:sz w:val="15"/>
          <w:szCs w:val="15"/>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December 31, 2020, Bakkt Clearing had adjusted net capital of $4,146,000, which was $3,146,000 in excess of its required net capital of $1,000,000. The minimum capital requirements may effectively restrict the withdrawal of member’s equity of Bakkt Clearing.</w:t>
      </w:r>
    </w:p>
    <w:p>
      <w:pPr>
        <w:spacing w:after="0" w:line="153"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As of December 31, 2020 and December 31, 2019,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$2,460,000 as of December 31, 2020. The minimum amount required varies by state.</w:t>
      </w:r>
    </w:p>
    <w:p>
      <w:pPr>
        <w:spacing w:after="0" w:line="179" w:lineRule="exact"/>
        <w:rPr>
          <w:sz w:val="20"/>
          <w:szCs w:val="20"/>
          <w:color w:val="auto"/>
        </w:rPr>
      </w:pPr>
    </w:p>
    <w:p>
      <w:pPr>
        <w:ind w:left="380" w:right="500"/>
        <w:spacing w:after="0" w:line="347" w:lineRule="auto"/>
        <w:rPr>
          <w:sz w:val="20"/>
          <w:szCs w:val="20"/>
          <w:color w:val="auto"/>
        </w:rPr>
      </w:pPr>
      <w:r>
        <w:rPr>
          <w:rFonts w:ascii="Arial" w:cs="Arial" w:eastAsia="Arial" w:hAnsi="Arial"/>
          <w:sz w:val="15"/>
          <w:szCs w:val="15"/>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F-88</w:t>
      </w:r>
    </w:p>
    <w:p>
      <w:pPr>
        <w:sectPr>
          <w:pgSz w:w="11900" w:h="16838" w:orient="portrait"/>
          <w:cols w:equalWidth="0" w:num="1">
            <w:col w:w="10860"/>
          </w:cols>
          <w:pgMar w:left="320" w:top="471" w:right="71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401(k) Plan</w:t>
      </w:r>
    </w:p>
    <w:p>
      <w:pPr>
        <w:spacing w:after="0" w:line="113" w:lineRule="exact"/>
        <w:rPr>
          <w:sz w:val="20"/>
          <w:szCs w:val="20"/>
          <w:color w:val="auto"/>
        </w:rPr>
      </w:pPr>
    </w:p>
    <w:p>
      <w:pPr>
        <w:ind w:left="380" w:right="280"/>
        <w:spacing w:after="0" w:line="265"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During the year ended December 31, 2020 and 2019, the Company recorded $1,309,000 and $365,000 respectively of expenses related to the 401(k) plan.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Software License</w:t>
      </w:r>
    </w:p>
    <w:p>
      <w:pPr>
        <w:spacing w:after="0" w:line="113"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Litigation</w:t>
      </w:r>
    </w:p>
    <w:p>
      <w:pPr>
        <w:spacing w:after="0" w:line="113" w:lineRule="exact"/>
        <w:rPr>
          <w:sz w:val="20"/>
          <w:szCs w:val="20"/>
          <w:color w:val="auto"/>
        </w:rPr>
      </w:pPr>
    </w:p>
    <w:p>
      <w:pPr>
        <w:ind w:left="380" w:right="220"/>
        <w:spacing w:after="0" w:line="261" w:lineRule="auto"/>
        <w:rPr>
          <w:sz w:val="20"/>
          <w:szCs w:val="20"/>
          <w:color w:val="auto"/>
        </w:rPr>
      </w:pPr>
      <w:r>
        <w:rPr>
          <w:rFonts w:ascii="Arial" w:cs="Arial" w:eastAsia="Arial" w:hAnsi="Arial"/>
          <w:sz w:val="17"/>
          <w:szCs w:val="17"/>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w:t>
      </w:r>
    </w:p>
    <w:p>
      <w:pPr>
        <w:spacing w:after="0" w:line="314" w:lineRule="exact"/>
        <w:rPr>
          <w:sz w:val="20"/>
          <w:szCs w:val="20"/>
          <w:color w:val="auto"/>
        </w:rPr>
      </w:pPr>
    </w:p>
    <w:p>
      <w:pPr>
        <w:ind w:left="780" w:hanging="404"/>
        <w:spacing w:after="0"/>
        <w:tabs>
          <w:tab w:leader="none" w:pos="78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right="320"/>
        <w:spacing w:after="0" w:line="311" w:lineRule="auto"/>
        <w:rPr>
          <w:sz w:val="20"/>
          <w:szCs w:val="20"/>
          <w:color w:val="auto"/>
        </w:rPr>
      </w:pPr>
      <w:r>
        <w:rPr>
          <w:rFonts w:ascii="Arial" w:cs="Arial" w:eastAsia="Arial" w:hAnsi="Arial"/>
          <w:sz w:val="16"/>
          <w:szCs w:val="16"/>
          <w:color w:val="auto"/>
        </w:rPr>
        <w:t>The Company is treated as a partnership for income tax purposes. As a partnership, it is not subject to income tax as its earnings flow through to the partners at the consolidated level. The Company is subject to unincorporated business taxes in certain jurisdictions in which it operates.</w:t>
      </w:r>
    </w:p>
    <w:p>
      <w:pPr>
        <w:spacing w:after="0" w:line="141" w:lineRule="exact"/>
        <w:rPr>
          <w:sz w:val="20"/>
          <w:szCs w:val="20"/>
          <w:color w:val="auto"/>
        </w:rPr>
      </w:pPr>
    </w:p>
    <w:p>
      <w:pPr>
        <w:ind w:left="380"/>
        <w:spacing w:after="0" w:line="277" w:lineRule="auto"/>
        <w:rPr>
          <w:sz w:val="20"/>
          <w:szCs w:val="20"/>
          <w:color w:val="auto"/>
        </w:rPr>
      </w:pPr>
      <w:r>
        <w:rPr>
          <w:rFonts w:ascii="Arial" w:cs="Arial" w:eastAsia="Arial" w:hAnsi="Arial"/>
          <w:sz w:val="16"/>
          <w:szCs w:val="16"/>
          <w:color w:val="auto"/>
        </w:rPr>
        <w:t>The Bakkt entities not discussed below, as well as the United States domiciled Bridge2 Solutions entities owned by the Company, are all single member LLCs treated as disregarded entities for income tax purposes. As such, all their income, expense, gain and loss are included in the Company’s consolidated partnership tax returns. DACC, a United States corporation and the Bridge2 Solutions foreign entities are subject to federal, state, and local and foreign income taxes and file income tax returns in the jurisdictions in which they operate. DACC is included in certain unitary state and local income tax returns filed by certain affiliates. Income taxes reflected in the accompanying consolidated financial statements are calculated as if DACC filed separate income tax returns and are accounted for under the liability method.</w:t>
      </w:r>
    </w:p>
    <w:p>
      <w:pPr>
        <w:spacing w:after="0" w:line="167" w:lineRule="exact"/>
        <w:rPr>
          <w:sz w:val="20"/>
          <w:szCs w:val="20"/>
          <w:color w:val="auto"/>
        </w:rPr>
      </w:pPr>
    </w:p>
    <w:p>
      <w:pPr>
        <w:ind w:left="380" w:right="560"/>
        <w:spacing w:after="0" w:line="278" w:lineRule="auto"/>
        <w:rPr>
          <w:sz w:val="20"/>
          <w:szCs w:val="20"/>
          <w:color w:val="auto"/>
        </w:rPr>
      </w:pPr>
      <w:r>
        <w:rPr>
          <w:rFonts w:ascii="Arial" w:cs="Arial" w:eastAsia="Arial" w:hAnsi="Arial"/>
          <w:sz w:val="17"/>
          <w:szCs w:val="17"/>
          <w:color w:val="auto"/>
        </w:rPr>
        <w:t>The domestic and foreign components of income (loss) before income taxes for the year ended December 31, 2020 and 2019 were as follows (in thousands):</w:t>
      </w:r>
    </w:p>
    <w:p>
      <w:pPr>
        <w:spacing w:after="0" w:line="193"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7"/>
        </w:trPr>
        <w:tc>
          <w:tcPr>
            <w:tcW w:w="34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3"/>
              <w:spacing w:after="0" w:line="147"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7"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9"/>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 (82,339)</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 (33,175)</w:t>
            </w:r>
          </w:p>
        </w:tc>
        <w:tc>
          <w:tcPr>
            <w:tcW w:w="100" w:type="dxa"/>
            <w:vAlign w:val="bottom"/>
            <w:shd w:val="clear" w:color="auto" w:fill="CCEEFF"/>
          </w:tcPr>
          <w:p>
            <w:pPr>
              <w:spacing w:after="0"/>
              <w:rPr>
                <w:sz w:val="17"/>
                <w:szCs w:val="17"/>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7"/>
                <w:szCs w:val="17"/>
                <w:color w:val="auto"/>
              </w:rPr>
              <w:t>Foreign</w:t>
            </w:r>
          </w:p>
        </w:tc>
        <w:tc>
          <w:tcPr>
            <w:tcW w:w="17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3,125</w:t>
            </w:r>
          </w:p>
        </w:tc>
        <w:tc>
          <w:tcPr>
            <w:tcW w:w="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6"/>
        </w:trPr>
        <w:tc>
          <w:tcPr>
            <w:tcW w:w="34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Total loss before provision for income taxes</w:t>
            </w:r>
          </w:p>
        </w:tc>
        <w:tc>
          <w:tcPr>
            <w:tcW w:w="29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 (79,214)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(33,175)</w:t>
            </w:r>
          </w:p>
        </w:tc>
      </w:tr>
      <w:tr>
        <w:trPr>
          <w:trHeight w:val="20"/>
        </w:trPr>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7"/>
        </w:trPr>
        <w:tc>
          <w:tcPr>
            <w:tcW w:w="3440" w:type="dxa"/>
            <w:vAlign w:val="bottom"/>
          </w:tcPr>
          <w:p>
            <w:pPr>
              <w:spacing w:after="0"/>
              <w:rPr>
                <w:sz w:val="24"/>
                <w:szCs w:val="24"/>
                <w:color w:val="auto"/>
              </w:rPr>
            </w:pPr>
          </w:p>
        </w:tc>
        <w:tc>
          <w:tcPr>
            <w:tcW w:w="2900" w:type="dxa"/>
            <w:vAlign w:val="bottom"/>
            <w:gridSpan w:val="3"/>
          </w:tcPr>
          <w:p>
            <w:pPr>
              <w:jc w:val="right"/>
              <w:ind w:right="2500"/>
              <w:spacing w:after="0"/>
              <w:rPr>
                <w:sz w:val="20"/>
                <w:szCs w:val="20"/>
                <w:color w:val="auto"/>
              </w:rPr>
            </w:pPr>
            <w:r>
              <w:rPr>
                <w:rFonts w:ascii="Arial" w:cs="Arial" w:eastAsia="Arial" w:hAnsi="Arial"/>
                <w:sz w:val="17"/>
                <w:szCs w:val="17"/>
                <w:color w:val="auto"/>
              </w:rPr>
              <w:t>F-89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40"/>
          </w:cols>
          <w:pgMar w:left="320" w:top="471" w:right="73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Details of the income tax benefit in the accompanying consolidated statements of operations and comprehensive loss are as follows (in thousands):</w:t>
      </w:r>
    </w:p>
    <w:p>
      <w:pPr>
        <w:spacing w:after="0" w:line="268"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8"/>
              <w:spacing w:after="0" w:line="147"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Current:</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Foreign</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830</w:t>
            </w: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State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Total current income tax expense (benefit)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745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51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Federal</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Total deferred income tax benefit</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(354)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income tax expense (benefit)</w:t>
            </w:r>
          </w:p>
        </w:tc>
        <w:tc>
          <w:tcPr>
            <w:tcW w:w="8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391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8"/>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Tax provision at federal statutory rate</w:t>
            </w:r>
          </w:p>
        </w:tc>
        <w:tc>
          <w:tcPr>
            <w:tcW w:w="7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2"/>
              </w:rPr>
              <w:t>$ (16,635)</w:t>
            </w:r>
          </w:p>
        </w:tc>
        <w:tc>
          <w:tcPr>
            <w:tcW w:w="4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(6,927)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Increase (decrease) in income tax resulting from:</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Tax on income not subject to entity level federal income tax</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17,716</w:t>
            </w:r>
          </w:p>
        </w:tc>
        <w:tc>
          <w:tcPr>
            <w:tcW w:w="4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6,920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Tax rate differences on income in other jurisdictions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 income taxes, net of federal tax effect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(423)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Changes in valuation allowance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Compensation</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(851)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Other permanent adjustments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400" w:type="dxa"/>
            <w:vAlign w:val="bottom"/>
            <w:tcBorders>
              <w:left w:val="single" w:sz="8" w:color="CCEEFF"/>
            </w:tcBorders>
            <w:shd w:val="clear" w:color="auto" w:fill="CCEEFF"/>
          </w:tcPr>
          <w:p>
            <w:pPr>
              <w:spacing w:after="0"/>
              <w:rPr>
                <w:sz w:val="17"/>
                <w:szCs w:val="17"/>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Effective tax rate</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3920"/>
              <w:spacing w:after="0"/>
              <w:rPr>
                <w:sz w:val="20"/>
                <w:szCs w:val="20"/>
                <w:color w:val="auto"/>
              </w:rPr>
            </w:pPr>
            <w:r>
              <w:rPr>
                <w:rFonts w:ascii="Arial" w:cs="Arial" w:eastAsia="Arial" w:hAnsi="Arial"/>
                <w:sz w:val="17"/>
                <w:szCs w:val="17"/>
                <w:color w:val="auto"/>
              </w:rPr>
              <w:t>F-90</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71" w:right="111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The effective tax rate is lower than the federal statutory rate primarily because the substantial majority of the earnings are from the Bakkt Holdings partnership and the single member LLCs held by the partnership, where earnings flow through to the partners at the consolidated level. The following summarizes the significant components of our deferred tax liabilities and assets (in thousands):</w:t>
      </w:r>
    </w:p>
    <w:p>
      <w:pPr>
        <w:spacing w:after="0" w:line="204"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7" w:lineRule="exact"/>
              <w:rPr>
                <w:sz w:val="20"/>
                <w:szCs w:val="20"/>
                <w:color w:val="auto"/>
              </w:rPr>
            </w:pPr>
            <w:r>
              <w:rPr>
                <w:rFonts w:ascii="Arial" w:cs="Arial" w:eastAsia="Arial" w:hAnsi="Arial"/>
                <w:sz w:val="14"/>
                <w:szCs w:val="14"/>
                <w:b w:val="1"/>
                <w:bCs w:val="1"/>
                <w:color w:val="auto"/>
                <w:w w:val="96"/>
              </w:rPr>
              <w:t>2020</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7"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Deferred tax assets: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Deferred and stock-based compensation</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132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 costs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operating loss carryforwards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3,226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2,899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Property, equipment and software</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spacing w:after="0"/>
              <w:rPr>
                <w:sz w:val="20"/>
                <w:szCs w:val="20"/>
                <w:color w:val="auto"/>
              </w:rPr>
            </w:pPr>
            <w:r>
              <w:rPr>
                <w:rFonts w:ascii="Arial" w:cs="Arial" w:eastAsia="Arial" w:hAnsi="Arial"/>
                <w:sz w:val="17"/>
                <w:szCs w:val="17"/>
                <w:color w:val="auto"/>
              </w:rPr>
              <w:t>Total deferred tax assets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3,576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3,225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valuation allowance</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89"/>
              </w:rPr>
              <w:t>(2,901)</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(2,899)</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675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Acquired Technology</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Other Acquired Intangibles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spacing w:after="0"/>
              <w:rPr>
                <w:sz w:val="20"/>
                <w:szCs w:val="20"/>
                <w:color w:val="auto"/>
              </w:rPr>
            </w:pPr>
            <w:r>
              <w:rPr>
                <w:rFonts w:ascii="Arial" w:cs="Arial" w:eastAsia="Arial" w:hAnsi="Arial"/>
                <w:sz w:val="17"/>
                <w:szCs w:val="17"/>
                <w:color w:val="auto"/>
              </w:rPr>
              <w:t>Total deferred tax liabilities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 (liabilities)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w:t>
      </w:r>
    </w:p>
    <w:p>
      <w:pPr>
        <w:spacing w:after="0" w:line="165"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Deferred tax assets are reduced by a valuation allowance if, based on the weight of available evidence, it is more likely than not that some portion or all of the deferred tax assets will not be realized. The Company’s realizability of its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The Company has a valuation allowance of $2.9 million and $2.9 million as of December 31, 2020 and December 31, 2019, respectively.</w:t>
      </w:r>
    </w:p>
    <w:p>
      <w:pPr>
        <w:spacing w:after="0" w:line="180" w:lineRule="exact"/>
        <w:rPr>
          <w:sz w:val="20"/>
          <w:szCs w:val="20"/>
          <w:color w:val="auto"/>
        </w:rPr>
      </w:pPr>
    </w:p>
    <w:p>
      <w:pPr>
        <w:jc w:val="both"/>
        <w:ind w:left="380" w:right="140"/>
        <w:spacing w:after="0" w:line="347" w:lineRule="auto"/>
        <w:rPr>
          <w:sz w:val="20"/>
          <w:szCs w:val="20"/>
          <w:color w:val="auto"/>
        </w:rPr>
      </w:pPr>
      <w:r>
        <w:rPr>
          <w:rFonts w:ascii="Arial" w:cs="Arial" w:eastAsia="Arial" w:hAnsi="Arial"/>
          <w:sz w:val="15"/>
          <w:szCs w:val="15"/>
          <w:color w:val="auto"/>
        </w:rPr>
        <w:t>As of December 31, 2020, the Company had gross federal net operating loss carryforwards (“NOLs”) of $8,574,000, of which $416,000 will begin to expire in 2037 and $8,158,000 can be carried forward indefinitely. The Company also had state NOLs of $16,662,000 which begin to expire in 2037.</w:t>
      </w:r>
    </w:p>
    <w:p>
      <w:pPr>
        <w:spacing w:after="0" w:line="119" w:lineRule="exact"/>
        <w:rPr>
          <w:sz w:val="20"/>
          <w:szCs w:val="20"/>
          <w:color w:val="auto"/>
        </w:rPr>
      </w:pPr>
    </w:p>
    <w:p>
      <w:pPr>
        <w:ind w:left="380" w:right="600"/>
        <w:spacing w:after="0" w:line="278" w:lineRule="auto"/>
        <w:rPr>
          <w:sz w:val="20"/>
          <w:szCs w:val="20"/>
          <w:color w:val="auto"/>
        </w:rPr>
      </w:pPr>
      <w:r>
        <w:rPr>
          <w:rFonts w:ascii="Arial" w:cs="Arial" w:eastAsia="Arial" w:hAnsi="Arial"/>
          <w:sz w:val="17"/>
          <w:szCs w:val="17"/>
          <w:color w:val="auto"/>
        </w:rPr>
        <w:t>The Company and its affiliates files income tax returns in the U.S. federal jurisdiction, various state jurisdictions and foreign jurisdictions. The Company is no longer subject to income tax examinations by tax authorities for years prior to 2017.</w:t>
      </w:r>
    </w:p>
    <w:p>
      <w:pPr>
        <w:spacing w:after="0" w:line="165"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for the years ended December 31, 2020 and 2019, respectively.</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F-91</w:t>
      </w:r>
    </w:p>
    <w:p>
      <w:pPr>
        <w:sectPr>
          <w:pgSz w:w="11900" w:h="16838" w:orient="portrait"/>
          <w:cols w:equalWidth="0" w:num="1">
            <w:col w:w="10780"/>
          </w:cols>
          <w:pgMar w:left="320" w:top="471" w:right="79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classified as follows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As of December 31, 2020</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48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2"/>
                <w:szCs w:val="12"/>
                <w:color w:val="auto"/>
              </w:rPr>
            </w:pPr>
          </w:p>
        </w:tc>
        <w:tc>
          <w:tcPr>
            <w:tcW w:w="7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line="147" w:lineRule="exact"/>
              <w:rPr>
                <w:sz w:val="20"/>
                <w:szCs w:val="20"/>
                <w:color w:val="auto"/>
              </w:rPr>
            </w:pPr>
            <w:r>
              <w:rPr>
                <w:rFonts w:ascii="Arial" w:cs="Arial" w:eastAsia="Arial" w:hAnsi="Arial"/>
                <w:sz w:val="14"/>
                <w:szCs w:val="14"/>
                <w:b w:val="1"/>
                <w:bCs w:val="1"/>
                <w:color w:val="auto"/>
                <w:w w:val="84"/>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2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lef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spacing w:after="0"/>
              <w:rPr>
                <w:sz w:val="20"/>
                <w:szCs w:val="20"/>
                <w:color w:val="auto"/>
              </w:rPr>
            </w:pPr>
            <w:r>
              <w:rPr>
                <w:rFonts w:ascii="Arial" w:cs="Arial" w:eastAsia="Arial" w:hAnsi="Arial"/>
                <w:sz w:val="17"/>
                <w:szCs w:val="17"/>
                <w:color w:val="auto"/>
              </w:rPr>
              <w:t>Investment in shares of affiliate stock</w:t>
            </w:r>
          </w:p>
        </w:tc>
        <w:tc>
          <w:tcPr>
            <w:tcW w:w="780" w:type="dxa"/>
            <w:vAlign w:val="bottom"/>
            <w:gridSpan w:val="3"/>
          </w:tcPr>
          <w:p>
            <w:pPr>
              <w:jc w:val="center"/>
              <w:ind w:left="217"/>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1240" w:type="dxa"/>
            <w:vAlign w:val="bottom"/>
            <w:gridSpan w:val="4"/>
          </w:tcPr>
          <w:p>
            <w:pPr>
              <w:jc w:val="center"/>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300" w:type="dxa"/>
            <w:vAlign w:val="bottom"/>
          </w:tcPr>
          <w:p>
            <w:pPr>
              <w:spacing w:after="0"/>
              <w:rPr>
                <w:sz w:val="20"/>
                <w:szCs w:val="20"/>
                <w:color w:val="auto"/>
              </w:rPr>
            </w:pPr>
            <w:r>
              <w:rPr>
                <w:rFonts w:ascii="Arial" w:cs="Arial" w:eastAsia="Arial" w:hAnsi="Arial"/>
                <w:sz w:val="17"/>
                <w:szCs w:val="17"/>
                <w:color w:val="auto"/>
                <w:w w:val="89"/>
              </w:rPr>
              <w:t>$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measured at fair value</w:t>
            </w:r>
          </w:p>
        </w:tc>
        <w:tc>
          <w:tcPr>
            <w:tcW w:w="780" w:type="dxa"/>
            <w:vAlign w:val="bottom"/>
            <w:gridSpan w:val="3"/>
            <w:shd w:val="clear" w:color="auto" w:fill="CCEEFF"/>
          </w:tcPr>
          <w:p>
            <w:pPr>
              <w:jc w:val="center"/>
              <w:ind w:left="217"/>
              <w:spacing w:after="0"/>
              <w:rPr>
                <w:sz w:val="20"/>
                <w:szCs w:val="20"/>
                <w:color w:val="auto"/>
              </w:rPr>
            </w:pPr>
            <w:r>
              <w:rPr>
                <w:rFonts w:ascii="Arial" w:cs="Arial" w:eastAsia="Arial" w:hAnsi="Arial"/>
                <w:sz w:val="17"/>
                <w:szCs w:val="17"/>
                <w:color w:val="auto"/>
                <w:w w:val="92"/>
              </w:rPr>
              <w:t>$1,823</w:t>
            </w:r>
          </w:p>
        </w:tc>
        <w:tc>
          <w:tcPr>
            <w:tcW w:w="1240" w:type="dxa"/>
            <w:vAlign w:val="bottom"/>
            <w:tcBorders>
              <w:right w:val="single" w:sz="8" w:color="CCEEFF"/>
            </w:tcBorders>
            <w:gridSpan w:val="4"/>
            <w:shd w:val="clear" w:color="auto" w:fill="CCEEFF"/>
          </w:tcPr>
          <w:p>
            <w:pPr>
              <w:jc w:val="center"/>
              <w:spacing w:after="0"/>
              <w:rPr>
                <w:sz w:val="20"/>
                <w:szCs w:val="20"/>
                <w:color w:val="auto"/>
              </w:rPr>
            </w:pPr>
            <w:r>
              <w:rPr>
                <w:rFonts w:ascii="Arial" w:cs="Arial" w:eastAsia="Arial" w:hAnsi="Arial"/>
                <w:sz w:val="17"/>
                <w:szCs w:val="17"/>
                <w:color w:val="auto"/>
                <w:w w:val="92"/>
              </w:rPr>
              <w:t>$1,823</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89"/>
              </w:rPr>
              <w:t>$ —</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386"/>
        </w:trPr>
        <w:tc>
          <w:tcPr>
            <w:tcW w:w="4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As of December 31, 2019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8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right"/>
              <w:ind w:right="380"/>
              <w:spacing w:after="0" w:line="147" w:lineRule="exact"/>
              <w:rPr>
                <w:sz w:val="20"/>
                <w:szCs w:val="20"/>
                <w:color w:val="auto"/>
              </w:rPr>
            </w:pPr>
            <w:r>
              <w:rPr>
                <w:rFonts w:ascii="Arial" w:cs="Arial" w:eastAsia="Arial" w:hAnsi="Arial"/>
                <w:sz w:val="14"/>
                <w:szCs w:val="14"/>
                <w:b w:val="1"/>
                <w:bCs w:val="1"/>
                <w:color w:val="auto"/>
                <w:w w:val="92"/>
              </w:rPr>
              <w:t>Level 1</w:t>
            </w:r>
          </w:p>
        </w:tc>
        <w:tc>
          <w:tcPr>
            <w:tcW w:w="7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360" w:type="dxa"/>
            <w:vAlign w:val="bottom"/>
          </w:tcPr>
          <w:p>
            <w:pPr>
              <w:spacing w:after="0" w:line="148" w:lineRule="exact"/>
              <w:rPr>
                <w:sz w:val="20"/>
                <w:szCs w:val="20"/>
                <w:color w:val="auto"/>
              </w:rPr>
            </w:pPr>
            <w:r>
              <w:rPr>
                <w:rFonts w:ascii="Arial" w:cs="Arial" w:eastAsia="Arial" w:hAnsi="Arial"/>
                <w:sz w:val="13"/>
                <w:szCs w:val="13"/>
                <w:b w:val="1"/>
                <w:bCs w:val="1"/>
                <w:color w:val="auto"/>
                <w:w w:val="72"/>
              </w:rPr>
              <w:t>Level 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CCEEFF"/>
            </w:tcBorders>
            <w:shd w:val="clear" w:color="auto" w:fill="CCEEFF"/>
          </w:tcPr>
          <w:p>
            <w:pPr>
              <w:spacing w:after="0"/>
              <w:rPr>
                <w:sz w:val="16"/>
                <w:szCs w:val="16"/>
                <w:color w:val="auto"/>
              </w:rPr>
            </w:pPr>
          </w:p>
        </w:tc>
        <w:tc>
          <w:tcPr>
            <w:tcW w:w="40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left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Deposits with clearinghouse affiliate, noncurrent: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  994</w:t>
            </w:r>
          </w:p>
        </w:tc>
        <w:tc>
          <w:tcPr>
            <w:tcW w:w="3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w w:val="97"/>
              </w:rPr>
              <w:t>$  994</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420" w:type="dxa"/>
            <w:vAlign w:val="bottom"/>
            <w:tcBorders>
              <w:left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Short-term investments: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3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1,988</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2"/>
              </w:rPr>
              <w:t>—</w:t>
            </w:r>
          </w:p>
        </w:tc>
        <w:tc>
          <w:tcPr>
            <w:tcW w:w="420" w:type="dxa"/>
            <w:vAlign w:val="bottom"/>
            <w:tcBorders>
              <w:left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assets measured at fair value</w:t>
            </w:r>
          </w:p>
        </w:tc>
        <w:tc>
          <w:tcPr>
            <w:tcW w:w="4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gridSpan w:val="2"/>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2,982</w:t>
            </w:r>
          </w:p>
        </w:tc>
        <w:tc>
          <w:tcPr>
            <w:tcW w:w="3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2,982</w:t>
            </w:r>
          </w:p>
        </w:tc>
        <w:tc>
          <w:tcPr>
            <w:tcW w:w="400" w:type="dxa"/>
            <w:vAlign w:val="bottom"/>
          </w:tcPr>
          <w:p>
            <w:pPr>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60"/>
        <w:spacing w:after="0" w:line="265" w:lineRule="auto"/>
        <w:rPr>
          <w:sz w:val="20"/>
          <w:szCs w:val="20"/>
          <w:color w:val="auto"/>
        </w:rPr>
      </w:pPr>
      <w:r>
        <w:rPr>
          <w:rFonts w:ascii="Arial" w:cs="Arial" w:eastAsia="Arial" w:hAnsi="Arial"/>
          <w:sz w:val="17"/>
          <w:szCs w:val="17"/>
          <w:color w:val="auto"/>
        </w:rPr>
        <w:t>U.S. government securities are valued based on the quoted market yield and are classified within Level 1. Our investment in shares of affiliate stock is valued based on quoted prices in active markets and are classified within Level 1. There are no Level 2 or Level 3 instruments during the years ended or as of December 31, 2020 and 2019.</w:t>
      </w:r>
    </w:p>
    <w:p>
      <w:pPr>
        <w:spacing w:after="0" w:line="176" w:lineRule="exact"/>
        <w:rPr>
          <w:sz w:val="20"/>
          <w:szCs w:val="20"/>
          <w:color w:val="auto"/>
        </w:rPr>
      </w:pPr>
    </w:p>
    <w:p>
      <w:pPr>
        <w:ind w:left="380" w:right="20"/>
        <w:spacing w:after="0" w:line="277" w:lineRule="auto"/>
        <w:rPr>
          <w:sz w:val="20"/>
          <w:szCs w:val="20"/>
          <w:color w:val="auto"/>
        </w:rPr>
      </w:pPr>
      <w:r>
        <w:rPr>
          <w:rFonts w:ascii="Arial" w:cs="Arial" w:eastAsia="Arial" w:hAnsi="Arial"/>
          <w:sz w:val="16"/>
          <w:szCs w:val="16"/>
          <w:color w:val="auto"/>
        </w:rPr>
        <w:t>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balance of deposits with clearinghouse affiliate not invested in U.S. government securities are in the form of cash, and therefore approximate fair value. During the year ended December 31, 2020, the Company also adjusted internal-use software and software licenses to fair value when impairment charges were recognized, which were on a non-recurring basis and based on Level 3 inputs. As of December 31, 2019, the Company did not measure any assets or liabilities at fair value on a non-recurring basis.</w:t>
      </w:r>
    </w:p>
    <w:p>
      <w:pPr>
        <w:spacing w:after="0" w:line="302" w:lineRule="exact"/>
        <w:rPr>
          <w:sz w:val="20"/>
          <w:szCs w:val="20"/>
          <w:color w:val="auto"/>
        </w:rPr>
      </w:pPr>
    </w:p>
    <w:p>
      <w:pPr>
        <w:ind w:left="780" w:hanging="404"/>
        <w:spacing w:after="0"/>
        <w:tabs>
          <w:tab w:leader="none" w:pos="7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19" w:lineRule="exact"/>
        <w:rPr>
          <w:sz w:val="20"/>
          <w:szCs w:val="20"/>
          <w:color w:val="auto"/>
        </w:rPr>
      </w:pPr>
    </w:p>
    <w:p>
      <w:pPr>
        <w:ind w:left="380" w:right="420"/>
        <w:spacing w:after="0" w:line="261" w:lineRule="auto"/>
        <w:rPr>
          <w:sz w:val="20"/>
          <w:szCs w:val="20"/>
          <w:color w:val="auto"/>
        </w:rPr>
      </w:pPr>
      <w:r>
        <w:rPr>
          <w:rFonts w:ascii="Arial" w:cs="Arial" w:eastAsia="Arial" w:hAnsi="Arial"/>
          <w:sz w:val="17"/>
          <w:szCs w:val="17"/>
          <w:color w:val="auto"/>
        </w:rPr>
        <w:t>The Company was not party to any leasing arrangements as of January 1, 2019. As a result of the Company’s acquisition of Bakkt Clearing on February 8, 2019, the Company assumed an operating lease for office facilities previously held by the former owners of Bakkt Clearing. This lease agreement was subsequently cancelled, and the rental expense related to the cancellation of this operating lease was $525,000 for the year ended December 31, 2019.</w:t>
      </w:r>
    </w:p>
    <w:p>
      <w:pPr>
        <w:spacing w:after="0" w:line="179" w:lineRule="exact"/>
        <w:rPr>
          <w:sz w:val="20"/>
          <w:szCs w:val="20"/>
          <w:color w:val="auto"/>
        </w:rPr>
      </w:pPr>
    </w:p>
    <w:p>
      <w:pPr>
        <w:jc w:val="both"/>
        <w:ind w:left="380" w:right="80"/>
        <w:spacing w:after="0" w:line="289" w:lineRule="auto"/>
        <w:rPr>
          <w:sz w:val="20"/>
          <w:szCs w:val="20"/>
          <w:color w:val="auto"/>
        </w:rPr>
      </w:pPr>
      <w:r>
        <w:rPr>
          <w:rFonts w:ascii="Arial" w:cs="Arial" w:eastAsia="Arial" w:hAnsi="Arial"/>
          <w:sz w:val="16"/>
          <w:szCs w:val="16"/>
          <w:color w:val="auto"/>
        </w:rPr>
        <w:t>The Company also assumed operating and finance leases as a result of its acquisition of Bridge2 Solutions on February 21, 2020. These leases relate to leased office facilities under the terms of various operating leases expiring through 2023. Several of these leases include escalation clauses for adjusting rentals. The Company leases real estate for office space under operating leases, and office equipment under finance leases.</w:t>
      </w:r>
    </w:p>
    <w:p>
      <w:pPr>
        <w:spacing w:after="0" w:line="159" w:lineRule="exact"/>
        <w:rPr>
          <w:sz w:val="20"/>
          <w:szCs w:val="20"/>
          <w:color w:val="auto"/>
        </w:rPr>
      </w:pPr>
    </w:p>
    <w:p>
      <w:pPr>
        <w:jc w:val="both"/>
        <w:ind w:left="380" w:right="120"/>
        <w:spacing w:after="0" w:line="265" w:lineRule="auto"/>
        <w:rPr>
          <w:sz w:val="20"/>
          <w:szCs w:val="20"/>
          <w:color w:val="auto"/>
        </w:rPr>
      </w:pPr>
      <w:r>
        <w:rPr>
          <w:rFonts w:ascii="Arial" w:cs="Arial" w:eastAsia="Arial" w:hAnsi="Arial"/>
          <w:sz w:val="17"/>
          <w:szCs w:val="17"/>
          <w:color w:val="auto"/>
        </w:rPr>
        <w:t>The Company’s real estate leases have remaining lease terms as at December 31, 2020 ranging from 10 months to 28 months, with no option to extend or terminate the lease without cause at the option of either party during the lease term. Certain equipment leases contain options to purchase the asset at the fair market value, available with the Company.</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F-92</w:t>
      </w:r>
    </w:p>
    <w:p>
      <w:pPr>
        <w:sectPr>
          <w:pgSz w:w="11900" w:h="16838" w:orient="portrait"/>
          <w:cols w:equalWidth="0" w:num="1">
            <w:col w:w="10880"/>
          </w:cols>
          <w:pgMar w:left="320" w:top="471" w:right="69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Certain of 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spacing w:after="0" w:line="164" w:lineRule="exact"/>
        <w:rPr>
          <w:sz w:val="20"/>
          <w:szCs w:val="20"/>
          <w:color w:val="auto"/>
        </w:rPr>
      </w:pPr>
    </w:p>
    <w:p>
      <w:pPr>
        <w:jc w:val="both"/>
        <w:ind w:left="380" w:right="60"/>
        <w:spacing w:after="0" w:line="317" w:lineRule="auto"/>
        <w:rPr>
          <w:sz w:val="20"/>
          <w:szCs w:val="20"/>
          <w:color w:val="auto"/>
        </w:rPr>
      </w:pPr>
      <w:r>
        <w:rPr>
          <w:rFonts w:ascii="Arial" w:cs="Arial" w:eastAsia="Arial" w:hAnsi="Arial"/>
          <w:sz w:val="15"/>
          <w:szCs w:val="15"/>
          <w:color w:val="auto"/>
        </w:rPr>
        <w:t>The weighted-average discount rate for all of the Company’s leases is based on the Company’s incremental borrowing rate since the rates implicit in the leases were not determinable. The Company’s incremental borrowing rate is based on management’s estimate of the rate of interest the Company would have to pay to borrow on a fully collateralized basis over a similar term an amount equal to the lease payments in a similar economic environment.</w:t>
      </w:r>
    </w:p>
    <w:p>
      <w:pPr>
        <w:spacing w:after="0" w:line="140" w:lineRule="exact"/>
        <w:rPr>
          <w:sz w:val="20"/>
          <w:szCs w:val="20"/>
          <w:color w:val="auto"/>
        </w:rPr>
      </w:pPr>
    </w:p>
    <w:p>
      <w:pPr>
        <w:ind w:left="380" w:right="300"/>
        <w:spacing w:after="0" w:line="257" w:lineRule="auto"/>
        <w:rPr>
          <w:sz w:val="20"/>
          <w:szCs w:val="20"/>
          <w:color w:val="auto"/>
        </w:rPr>
      </w:pPr>
      <w:r>
        <w:rPr>
          <w:rFonts w:ascii="Arial" w:cs="Arial" w:eastAsia="Arial" w:hAnsi="Arial"/>
          <w:sz w:val="17"/>
          <w:szCs w:val="17"/>
          <w:color w:val="auto"/>
        </w:rPr>
        <w:t>The Company has elected the practical expedient under which lease components would not be separated from the non-lease components for all its classes of underlying assets. Accordingly, each lease component and the non-lease components related to the lease component are accounted for as a single lease component.</w:t>
      </w:r>
    </w:p>
    <w:p>
      <w:pPr>
        <w:ind w:left="380"/>
        <w:spacing w:after="0"/>
        <w:rPr>
          <w:sz w:val="20"/>
          <w:szCs w:val="20"/>
          <w:color w:val="auto"/>
        </w:rPr>
      </w:pPr>
      <w:r>
        <w:rPr>
          <w:rFonts w:ascii="Arial" w:cs="Arial" w:eastAsia="Arial" w:hAnsi="Arial"/>
          <w:sz w:val="17"/>
          <w:szCs w:val="17"/>
          <w:color w:val="auto"/>
        </w:rPr>
        <w:t>The components of total lease expense are as follows (in thousands):</w:t>
      </w:r>
    </w:p>
    <w:p>
      <w:pPr>
        <w:spacing w:after="0" w:line="234"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7"/>
        </w:trPr>
        <w:tc>
          <w:tcPr>
            <w:tcW w:w="6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7"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86"/>
        </w:trPr>
        <w:tc>
          <w:tcPr>
            <w:tcW w:w="60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Finance lease cost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Amortization of right-of-use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185</w:t>
            </w:r>
          </w:p>
        </w:tc>
        <w:tc>
          <w:tcPr>
            <w:tcW w:w="5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on lease liabilities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tcPr>
          <w:p>
            <w:pPr>
              <w:spacing w:after="0"/>
              <w:rPr>
                <w:sz w:val="20"/>
                <w:szCs w:val="20"/>
                <w:color w:val="auto"/>
              </w:rPr>
            </w:pPr>
            <w:r>
              <w:rPr>
                <w:rFonts w:ascii="Arial" w:cs="Arial" w:eastAsia="Arial" w:hAnsi="Arial"/>
                <w:sz w:val="17"/>
                <w:szCs w:val="17"/>
                <w:color w:val="auto"/>
              </w:rPr>
              <w:t>Operating lease cost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984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525</w:t>
            </w:r>
          </w:p>
        </w:tc>
      </w:tr>
      <w:tr>
        <w:trPr>
          <w:trHeight w:val="20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Variable lease cost</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11"/>
        </w:trPr>
        <w:tc>
          <w:tcPr>
            <w:tcW w:w="6060" w:type="dxa"/>
            <w:vAlign w:val="bottom"/>
          </w:tcPr>
          <w:p>
            <w:pPr>
              <w:ind w:left="340"/>
              <w:spacing w:after="0"/>
              <w:rPr>
                <w:sz w:val="20"/>
                <w:szCs w:val="20"/>
                <w:color w:val="auto"/>
              </w:rPr>
            </w:pPr>
            <w:r>
              <w:rPr>
                <w:rFonts w:ascii="Arial" w:cs="Arial" w:eastAsia="Arial" w:hAnsi="Arial"/>
                <w:sz w:val="17"/>
                <w:szCs w:val="17"/>
                <w:color w:val="auto"/>
              </w:rPr>
              <w:t>Total lease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1,276</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525</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short-term lease cost disclosed above reasonably reflects the Company’s ongoing short-term lease commitments.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6"/>
              </w:rPr>
              <w:t>Year ended December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r>
      <w:tr>
        <w:trPr>
          <w:trHeight w:val="164"/>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2"/>
        </w:trPr>
        <w:tc>
          <w:tcPr>
            <w:tcW w:w="4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3"/>
          </w:tcPr>
          <w:p>
            <w:pPr>
              <w:jc w:val="right"/>
              <w:ind w:right="200"/>
              <w:spacing w:after="0" w:line="112" w:lineRule="exact"/>
              <w:rPr>
                <w:sz w:val="20"/>
                <w:szCs w:val="20"/>
                <w:color w:val="auto"/>
              </w:rPr>
            </w:pPr>
            <w:r>
              <w:rPr>
                <w:rFonts w:ascii="Arial" w:cs="Arial" w:eastAsia="Arial" w:hAnsi="Arial"/>
                <w:sz w:val="11"/>
                <w:szCs w:val="11"/>
                <w:b w:val="1"/>
                <w:bCs w:val="1"/>
                <w:color w:val="auto"/>
              </w:rPr>
              <w:t>Operating</w:t>
            </w:r>
          </w:p>
        </w:tc>
        <w:tc>
          <w:tcPr>
            <w:tcW w:w="640" w:type="dxa"/>
            <w:vAlign w:val="bottom"/>
          </w:tcPr>
          <w:p>
            <w:pPr>
              <w:spacing w:after="0"/>
              <w:rPr>
                <w:sz w:val="9"/>
                <w:szCs w:val="9"/>
                <w:color w:val="auto"/>
              </w:rPr>
            </w:pPr>
          </w:p>
        </w:tc>
        <w:tc>
          <w:tcPr>
            <w:tcW w:w="540" w:type="dxa"/>
            <w:vAlign w:val="bottom"/>
            <w:gridSpan w:val="2"/>
          </w:tcPr>
          <w:p>
            <w:pPr>
              <w:jc w:val="right"/>
              <w:spacing w:after="0" w:line="112" w:lineRule="exact"/>
              <w:rPr>
                <w:sz w:val="20"/>
                <w:szCs w:val="20"/>
                <w:color w:val="auto"/>
              </w:rPr>
            </w:pPr>
            <w:r>
              <w:rPr>
                <w:rFonts w:ascii="Arial" w:cs="Arial" w:eastAsia="Arial" w:hAnsi="Arial"/>
                <w:sz w:val="11"/>
                <w:szCs w:val="11"/>
                <w:b w:val="1"/>
                <w:bCs w:val="1"/>
                <w:color w:val="auto"/>
              </w:rPr>
              <w:t>Finance</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gridSpan w:val="3"/>
          </w:tcPr>
          <w:p>
            <w:pPr>
              <w:ind w:left="40"/>
              <w:spacing w:after="0" w:line="112" w:lineRule="exact"/>
              <w:rPr>
                <w:sz w:val="20"/>
                <w:szCs w:val="20"/>
                <w:color w:val="auto"/>
              </w:rPr>
            </w:pPr>
            <w:r>
              <w:rPr>
                <w:rFonts w:ascii="Arial" w:cs="Arial" w:eastAsia="Arial" w:hAnsi="Arial"/>
                <w:sz w:val="11"/>
                <w:szCs w:val="11"/>
                <w:b w:val="1"/>
                <w:bCs w:val="1"/>
                <w:color w:val="auto"/>
              </w:rPr>
              <w:t>Operating</w:t>
            </w:r>
          </w:p>
        </w:tc>
        <w:tc>
          <w:tcPr>
            <w:tcW w:w="620" w:type="dxa"/>
            <w:vAlign w:val="bottom"/>
          </w:tcPr>
          <w:p>
            <w:pPr>
              <w:spacing w:after="0"/>
              <w:rPr>
                <w:sz w:val="9"/>
                <w:szCs w:val="9"/>
                <w:color w:val="auto"/>
              </w:rPr>
            </w:pPr>
          </w:p>
        </w:tc>
        <w:tc>
          <w:tcPr>
            <w:tcW w:w="560" w:type="dxa"/>
            <w:vAlign w:val="bottom"/>
            <w:gridSpan w:val="2"/>
          </w:tcPr>
          <w:p>
            <w:pPr>
              <w:ind w:left="40"/>
              <w:spacing w:after="0" w:line="112" w:lineRule="exact"/>
              <w:rPr>
                <w:sz w:val="20"/>
                <w:szCs w:val="20"/>
                <w:color w:val="auto"/>
              </w:rPr>
            </w:pPr>
            <w:r>
              <w:rPr>
                <w:rFonts w:ascii="Arial" w:cs="Arial" w:eastAsia="Arial" w:hAnsi="Arial"/>
                <w:sz w:val="11"/>
                <w:szCs w:val="11"/>
                <w:b w:val="1"/>
                <w:bCs w:val="1"/>
                <w:color w:val="auto"/>
              </w:rPr>
              <w:t>Finance</w:t>
            </w:r>
          </w:p>
        </w:tc>
        <w:tc>
          <w:tcPr>
            <w:tcW w:w="40" w:type="dxa"/>
            <w:vAlign w:val="bottom"/>
          </w:tcPr>
          <w:p>
            <w:pPr>
              <w:spacing w:after="0"/>
              <w:rPr>
                <w:sz w:val="9"/>
                <w:szCs w:val="9"/>
                <w:color w:val="auto"/>
              </w:rPr>
            </w:pPr>
          </w:p>
        </w:tc>
      </w:tr>
      <w:tr>
        <w:trPr>
          <w:trHeight w:val="164"/>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9"/>
              </w:rPr>
              <w:t>leases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leases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r>
      <w:tr>
        <w:trPr>
          <w:trHeight w:val="173"/>
        </w:trPr>
        <w:tc>
          <w:tcPr>
            <w:tcW w:w="4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Cash paid for amounts included in the measurement of</w:t>
            </w:r>
          </w:p>
        </w:tc>
        <w:tc>
          <w:tcPr>
            <w:tcW w:w="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18"/>
        </w:trPr>
        <w:tc>
          <w:tcPr>
            <w:tcW w:w="4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6"/>
        </w:trPr>
        <w:tc>
          <w:tcPr>
            <w:tcW w:w="4260" w:type="dxa"/>
            <w:vAlign w:val="bottom"/>
          </w:tcPr>
          <w:p>
            <w:pPr>
              <w:ind w:left="340"/>
              <w:spacing w:after="0"/>
              <w:rPr>
                <w:sz w:val="20"/>
                <w:szCs w:val="20"/>
                <w:color w:val="auto"/>
              </w:rPr>
            </w:pPr>
            <w:r>
              <w:rPr>
                <w:rFonts w:ascii="Arial" w:cs="Arial" w:eastAsia="Arial" w:hAnsi="Arial"/>
                <w:sz w:val="17"/>
                <w:szCs w:val="17"/>
                <w:color w:val="auto"/>
              </w:rPr>
              <w:t>Cash flow from financing activities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313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r>
        <w:trPr>
          <w:trHeight w:val="206"/>
        </w:trPr>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flow from operating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525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r>
      <w:tr>
        <w:trPr>
          <w:trHeight w:val="193"/>
        </w:trPr>
        <w:tc>
          <w:tcPr>
            <w:tcW w:w="4260" w:type="dxa"/>
            <w:vAlign w:val="bottom"/>
          </w:tcPr>
          <w:p>
            <w:pPr>
              <w:spacing w:after="0" w:line="194" w:lineRule="exact"/>
              <w:rPr>
                <w:sz w:val="20"/>
                <w:szCs w:val="20"/>
                <w:color w:val="auto"/>
              </w:rPr>
            </w:pPr>
            <w:r>
              <w:rPr>
                <w:rFonts w:ascii="Arial" w:cs="Arial" w:eastAsia="Arial" w:hAnsi="Arial"/>
                <w:sz w:val="17"/>
                <w:szCs w:val="17"/>
                <w:color w:val="auto"/>
              </w:rPr>
              <w:t>Supplemental non-cash information on lease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4260" w:type="dxa"/>
            <w:vAlign w:val="bottom"/>
          </w:tcPr>
          <w:p>
            <w:pPr>
              <w:ind w:left="180"/>
              <w:spacing w:after="0"/>
              <w:rPr>
                <w:sz w:val="20"/>
                <w:szCs w:val="20"/>
                <w:color w:val="auto"/>
              </w:rPr>
            </w:pPr>
            <w:r>
              <w:rPr>
                <w:rFonts w:ascii="Arial" w:cs="Arial" w:eastAsia="Arial" w:hAnsi="Arial"/>
                <w:sz w:val="17"/>
                <w:szCs w:val="17"/>
                <w:color w:val="auto"/>
              </w:rPr>
              <w:t>arising from obtaining right-of-use assets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2,991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786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(in months)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r>
      <w:tr>
        <w:trPr>
          <w:trHeight w:val="217"/>
        </w:trPr>
        <w:tc>
          <w:tcPr>
            <w:tcW w:w="426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 %</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was not party to any short-term leases during the periods presented.</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F-93</w:t>
      </w:r>
    </w:p>
    <w:p>
      <w:pPr>
        <w:sectPr>
          <w:pgSz w:w="11900" w:h="16838" w:orient="portrait"/>
          <w:cols w:equalWidth="0" w:num="1">
            <w:col w:w="10860"/>
          </w:cols>
          <w:pgMar w:left="320" w:top="471" w:right="71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minimum lease payments under non-cancellable leases as of December 31, 2020 were as follows:</w:t>
      </w:r>
    </w:p>
    <w:p>
      <w:pPr>
        <w:spacing w:after="0" w:line="21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For the year ended December 31,</w:t>
            </w:r>
          </w:p>
        </w:tc>
        <w:tc>
          <w:tcPr>
            <w:tcW w:w="17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Operating</w:t>
            </w:r>
          </w:p>
        </w:tc>
        <w:tc>
          <w:tcPr>
            <w:tcW w:w="28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64"/>
        </w:trPr>
        <w:tc>
          <w:tcPr>
            <w:tcW w:w="446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9"/>
              </w:rPr>
              <w:t>leases</w:t>
            </w:r>
          </w:p>
        </w:tc>
        <w:tc>
          <w:tcPr>
            <w:tcW w:w="28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7"/>
              </w:rPr>
              <w:t>163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2022</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642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2024</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7"/>
                <w:szCs w:val="17"/>
                <w:color w:val="auto"/>
                <w:w w:val="73"/>
              </w:rPr>
              <w:t>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Thereafter</w:t>
            </w: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undiscounted lease payments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Less: Imputed interest</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lease liability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320"/>
              <w:spacing w:after="0"/>
              <w:rPr>
                <w:sz w:val="20"/>
                <w:szCs w:val="20"/>
                <w:color w:val="auto"/>
              </w:rPr>
            </w:pPr>
            <w:r>
              <w:rPr>
                <w:rFonts w:ascii="Arial" w:cs="Arial" w:eastAsia="Arial" w:hAnsi="Arial"/>
                <w:sz w:val="17"/>
                <w:szCs w:val="17"/>
                <w:color w:val="auto"/>
              </w:rPr>
              <w:t>Current</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953</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Noncurrent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780" w:hanging="404"/>
        <w:spacing w:after="0"/>
        <w:tabs>
          <w:tab w:leader="none" w:pos="78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19"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The Company has evaluated subsequent events and transactions and determined that no other events or transactions, except as noted below, met the definition of a subsequent event for purpose of recognition or disclosure in these financial statements.</w:t>
      </w:r>
    </w:p>
    <w:p>
      <w:pPr>
        <w:spacing w:after="0" w:line="165"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business combination between Bakkt and VIH values the combined company at an enterprise value of approximately $2.1 billion and is expected to result in at least $425 million of cash (net of transaction expenses) on the combined company’s balance sheet, reflecting a contribution of up to $207 million of cash held in VIH’s trust account, net of redemptions, and a $325 million concurrent private placement of Class A common stock of the combined company, priced at $10.00 per share, including a $50 million commitment from ICE. The newly combined company will be renamed Bakkt Holdings, Inc. and will be listed on the New York Stock Exchange under the ticker symbol “BKKT.”</w:t>
      </w:r>
    </w:p>
    <w:p>
      <w:pPr>
        <w:spacing w:after="0" w:line="181"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On January 19, 2021, ICE self-certified a rule change with the CFTC, reducing Bakkt Trust’s “skin-in-the-game” contribution to the ICUS guaranty fund to $15.2 million from $35.4 million. Following the two-week self-certification period, in which no comments were received from the CFTC, ICE proceeded with the reduction. On February 3, 2021, ICE returned $20.2 million to Bakkt Trust.</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F-94</w:t>
      </w:r>
    </w:p>
    <w:p>
      <w:pPr>
        <w:sectPr>
          <w:pgSz w:w="11900" w:h="16838" w:orient="portrait"/>
          <w:cols w:equalWidth="0" w:num="1">
            <w:col w:w="10840"/>
          </w:cols>
          <w:pgMar w:left="320" w:top="471" w:right="73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Bakkt Holdings, LLC</w:t>
      </w:r>
    </w:p>
    <w:p>
      <w:pPr>
        <w:spacing w:after="0" w:line="216"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Index to Unaudited Consolidated Financial Statements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9960" w:type="dxa"/>
            <w:vAlign w:val="bottom"/>
            <w:gridSpan w:val="6"/>
            <w:vMerge w:val="restart"/>
          </w:tcPr>
          <w:p>
            <w:pPr>
              <w:spacing w:after="0"/>
              <w:rPr>
                <w:rFonts w:ascii="Arial" w:cs="Arial" w:eastAsia="Arial" w:hAnsi="Arial"/>
                <w:sz w:val="17"/>
                <w:szCs w:val="17"/>
                <w:color w:val="0000EE"/>
              </w:rPr>
            </w:pPr>
            <w:hyperlink w:anchor="page276">
              <w:r>
                <w:rPr>
                  <w:rFonts w:ascii="Arial" w:cs="Arial" w:eastAsia="Arial" w:hAnsi="Arial"/>
                  <w:sz w:val="17"/>
                  <w:szCs w:val="17"/>
                  <w:color w:val="0000EE"/>
                </w:rPr>
                <w:t>Consolidated Balance Sheets</w:t>
              </w:r>
            </w:hyperlink>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7"/>
        </w:trPr>
        <w:tc>
          <w:tcPr>
            <w:tcW w:w="9960" w:type="dxa"/>
            <w:vAlign w:val="bottom"/>
            <w:gridSpan w:val="6"/>
            <w:vMerge w:val="continue"/>
          </w:tcPr>
          <w:p>
            <w:pPr>
              <w:spacing w:after="0"/>
              <w:rPr>
                <w:sz w:val="12"/>
                <w:szCs w:val="12"/>
                <w:color w:val="auto"/>
              </w:rPr>
            </w:pPr>
          </w:p>
        </w:tc>
        <w:tc>
          <w:tcPr>
            <w:tcW w:w="4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F-96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277">
              <w:r>
                <w:rPr>
                  <w:rFonts w:ascii="Arial" w:cs="Arial" w:eastAsia="Arial" w:hAnsi="Arial"/>
                  <w:sz w:val="17"/>
                  <w:szCs w:val="17"/>
                  <w:color w:val="0000EE"/>
                  <w:w w:val="89"/>
                </w:rPr>
                <w:t>Consolidated Statements of Operations and Comprehensive Loss</w:t>
              </w:r>
            </w:hyperlink>
          </w:p>
        </w:tc>
        <w:tc>
          <w:tcPr>
            <w:tcW w:w="5500" w:type="dxa"/>
            <w:vAlign w:val="bottom"/>
            <w:gridSpan w:val="2"/>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F-97</w:t>
            </w:r>
          </w:p>
        </w:tc>
        <w:tc>
          <w:tcPr>
            <w:tcW w:w="0" w:type="dxa"/>
            <w:vAlign w:val="bottom"/>
          </w:tcPr>
          <w:p>
            <w:pPr>
              <w:spacing w:after="0"/>
              <w:rPr>
                <w:sz w:val="1"/>
                <w:szCs w:val="1"/>
                <w:color w:val="auto"/>
              </w:rPr>
            </w:pPr>
          </w:p>
        </w:tc>
      </w:tr>
      <w:tr>
        <w:trPr>
          <w:trHeight w:val="186"/>
        </w:trPr>
        <w:tc>
          <w:tcPr>
            <w:tcW w:w="9960" w:type="dxa"/>
            <w:vAlign w:val="bottom"/>
            <w:gridSpan w:val="6"/>
          </w:tcPr>
          <w:p>
            <w:pPr>
              <w:spacing w:after="0" w:line="186" w:lineRule="exact"/>
              <w:rPr>
                <w:rFonts w:ascii="Arial" w:cs="Arial" w:eastAsia="Arial" w:hAnsi="Arial"/>
                <w:sz w:val="17"/>
                <w:szCs w:val="17"/>
                <w:color w:val="0000EE"/>
              </w:rPr>
            </w:pPr>
            <w:hyperlink w:anchor="page278">
              <w:r>
                <w:rPr>
                  <w:rFonts w:ascii="Arial" w:cs="Arial" w:eastAsia="Arial" w:hAnsi="Arial"/>
                  <w:sz w:val="17"/>
                  <w:szCs w:val="17"/>
                  <w:color w:val="0000EE"/>
                </w:rPr>
                <w:t>Consolidated Statements of Changes in Members’ Equity and Mezzanine Equity</w:t>
              </w:r>
            </w:hyperlink>
          </w:p>
        </w:tc>
        <w:tc>
          <w:tcPr>
            <w:tcW w:w="4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F-98</w:t>
            </w:r>
          </w:p>
        </w:tc>
        <w:tc>
          <w:tcPr>
            <w:tcW w:w="0" w:type="dxa"/>
            <w:vAlign w:val="bottom"/>
          </w:tcPr>
          <w:p>
            <w:pPr>
              <w:spacing w:after="0"/>
              <w:rPr>
                <w:sz w:val="1"/>
                <w:szCs w:val="1"/>
                <w:color w:val="auto"/>
              </w:rPr>
            </w:pPr>
          </w:p>
        </w:tc>
      </w:tr>
      <w:tr>
        <w:trPr>
          <w:trHeight w:val="186"/>
        </w:trPr>
        <w:tc>
          <w:tcPr>
            <w:tcW w:w="5520" w:type="dxa"/>
            <w:vAlign w:val="bottom"/>
            <w:tcBorders>
              <w:top w:val="single" w:sz="8" w:color="0000EE"/>
            </w:tcBorders>
            <w:gridSpan w:val="5"/>
          </w:tcPr>
          <w:p>
            <w:pPr>
              <w:spacing w:after="0" w:line="186" w:lineRule="exact"/>
              <w:rPr>
                <w:rFonts w:ascii="Arial" w:cs="Arial" w:eastAsia="Arial" w:hAnsi="Arial"/>
                <w:sz w:val="17"/>
                <w:szCs w:val="17"/>
                <w:color w:val="0000EE"/>
              </w:rPr>
            </w:pPr>
            <w:hyperlink w:anchor="page281">
              <w:r>
                <w:rPr>
                  <w:rFonts w:ascii="Arial" w:cs="Arial" w:eastAsia="Arial" w:hAnsi="Arial"/>
                  <w:sz w:val="17"/>
                  <w:szCs w:val="17"/>
                  <w:color w:val="0000EE"/>
                </w:rPr>
                <w:t>Consolidated Statements of Cash Flows</w:t>
              </w:r>
            </w:hyperlink>
          </w:p>
        </w:tc>
        <w:tc>
          <w:tcPr>
            <w:tcW w:w="4440" w:type="dxa"/>
            <w:vAlign w:val="bottom"/>
          </w:tcPr>
          <w:p>
            <w:pPr>
              <w:spacing w:after="0"/>
              <w:rPr>
                <w:sz w:val="16"/>
                <w:szCs w:val="16"/>
                <w:color w:val="auto"/>
              </w:rPr>
            </w:pPr>
          </w:p>
        </w:tc>
        <w:tc>
          <w:tcPr>
            <w:tcW w:w="4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F-101</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6"/>
          </w:tcPr>
          <w:p>
            <w:pPr>
              <w:spacing w:after="0" w:line="186" w:lineRule="exact"/>
              <w:rPr>
                <w:rFonts w:ascii="Arial" w:cs="Arial" w:eastAsia="Arial" w:hAnsi="Arial"/>
                <w:sz w:val="17"/>
                <w:szCs w:val="17"/>
                <w:color w:val="0000EE"/>
              </w:rPr>
            </w:pPr>
            <w:hyperlink w:anchor="page282">
              <w:r>
                <w:rPr>
                  <w:rFonts w:ascii="Arial" w:cs="Arial" w:eastAsia="Arial" w:hAnsi="Arial"/>
                  <w:sz w:val="17"/>
                  <w:szCs w:val="17"/>
                  <w:color w:val="0000EE"/>
                </w:rPr>
                <w:t>Notes to Consolidated Financial Statements</w:t>
              </w:r>
            </w:hyperlink>
          </w:p>
        </w:tc>
        <w:tc>
          <w:tcPr>
            <w:tcW w:w="4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F-102</w:t>
            </w:r>
          </w:p>
        </w:tc>
        <w:tc>
          <w:tcPr>
            <w:tcW w:w="0" w:type="dxa"/>
            <w:vAlign w:val="bottom"/>
          </w:tcPr>
          <w:p>
            <w:pPr>
              <w:spacing w:after="0"/>
              <w:rPr>
                <w:sz w:val="1"/>
                <w:szCs w:val="1"/>
                <w:color w:val="auto"/>
              </w:rPr>
            </w:pPr>
          </w:p>
        </w:tc>
      </w:tr>
      <w:tr>
        <w:trPr>
          <w:trHeight w:val="364"/>
        </w:trPr>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5500" w:type="dxa"/>
            <w:vAlign w:val="bottom"/>
            <w:gridSpan w:val="2"/>
          </w:tcPr>
          <w:p>
            <w:pPr>
              <w:ind w:left="620"/>
              <w:spacing w:after="0"/>
              <w:rPr>
                <w:sz w:val="20"/>
                <w:szCs w:val="20"/>
                <w:color w:val="auto"/>
              </w:rPr>
            </w:pPr>
            <w:r>
              <w:rPr>
                <w:rFonts w:ascii="Arial" w:cs="Arial" w:eastAsia="Arial" w:hAnsi="Arial"/>
                <w:sz w:val="17"/>
                <w:szCs w:val="17"/>
                <w:color w:val="auto"/>
              </w:rPr>
              <w:t>F-95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83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4"/>
        </w:trPr>
        <w:tc>
          <w:tcPr>
            <w:tcW w:w="83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5"/>
              <w:spacing w:after="0" w:line="13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2"/>
              </w:rPr>
              <w:t>(Unaudited)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22,106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75,361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16,500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16,500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funds</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13,280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10,408</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 shares of affiliate stock, current</w:t>
            </w: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1,823</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Deposits with clearinghouse affiliate, current</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20,200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132,063</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28,067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19,957</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233,429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233,429</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57,336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62,199</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Deposits with clearinghouse affiliate, noncurrent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15,151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15,150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57,286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42,915</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Customer funds payable</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4,282</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Due to affiliates</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1,943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66,590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51,077</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4,103</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73,975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58,594</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Mezzanine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w w:val="94"/>
              </w:rPr>
              <w:t>Incentive units (156,000,000 authorized, 100,192,510 unvested units and 85,875,000 unvested units issued and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tcPr>
          <w:p>
            <w:pPr>
              <w:ind w:left="520"/>
              <w:spacing w:after="0"/>
              <w:rPr>
                <w:sz w:val="20"/>
                <w:szCs w:val="20"/>
                <w:color w:val="auto"/>
              </w:rPr>
            </w:pPr>
            <w:r>
              <w:rPr>
                <w:rFonts w:ascii="Arial" w:cs="Arial" w:eastAsia="Arial" w:hAnsi="Arial"/>
                <w:sz w:val="17"/>
                <w:szCs w:val="17"/>
                <w:color w:val="auto"/>
              </w:rPr>
              <w:t>outstanding as of September 30, 2021 and December 31, 2020, respectively)</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21,452</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rPr>
              <w:t>Class A voting units (413,000,000 units authorized, 400,000,000 units issued and outstanding as of</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3,071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2,613</w:t>
            </w: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5"/>
              </w:rPr>
              <w:t>Class B voting units (212,500,000 units authorized, 192,453,454 and 182,500,000 units issued and outstanding</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as of September 30, 2021 and December 31, 2020, respectively)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187,926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182,500</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B warrant (see Note 8)</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5,426</w:t>
            </w: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Class C voting units (284,000,000 units authorized, 270,270,270 units issued and outstanding as of</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310,104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310,104</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C warrant (see Note 8)</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(202,062)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(112,504)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300,181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388,330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Total liabilities and members’ equity</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F-96</w:t>
      </w:r>
    </w:p>
    <w:p>
      <w:pPr>
        <w:sectPr>
          <w:pgSz w:w="11900" w:h="16838" w:orient="portrait"/>
          <w:cols w:equalWidth="0" w:num="1">
            <w:col w:w="10880"/>
          </w:cols>
          <w:pgMar w:left="320" w:top="471" w:right="69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i w:val="1"/>
          <w:iCs w:val="1"/>
          <w:color w:val="auto"/>
        </w:rPr>
        <w:t>(Unaudited)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7"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7"/>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9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w w:val="97"/>
              </w:rPr>
              <w:t>Net revenues (net revenues from affiliate of $111, $1,149, $154 and $2,153,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9,142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6,629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25,773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$ 19,067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22,225</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12,637</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57,375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30,508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3,334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2,392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4,657</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3,148</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2,311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9,851</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6,958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4,449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1,664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19,514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3,472</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1,766</w:t>
            </w:r>
          </w:p>
        </w:tc>
        <w:tc>
          <w:tcPr>
            <w:tcW w:w="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12,075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11,477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3,270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2,232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5,536</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1,413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2,611</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2,450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3,843</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1,038</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39,004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9"/>
              </w:rPr>
              <w:t>24,337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115,370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69,448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(29,862)</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(17,708)</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(89,597)</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(50,381)</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1,123</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(28,835)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(17,960)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(89,363)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(49,980)</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(89,558)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(50,016)</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Currency translation adjustment, net of tax</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(29,038)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(17,884)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(89,576)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(50,096)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F-97</w:t>
      </w:r>
    </w:p>
    <w:p>
      <w:pPr>
        <w:sectPr>
          <w:pgSz w:w="11900" w:h="16838" w:orient="portrait"/>
          <w:cols w:equalWidth="0" w:num="1">
            <w:col w:w="10880"/>
          </w:cols>
          <w:pgMar w:left="320" w:top="471" w:right="69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B</w:t>
            </w:r>
          </w:p>
        </w:tc>
        <w:tc>
          <w:tcPr>
            <w:tcW w:w="60" w:type="dxa"/>
            <w:vAlign w:val="bottom"/>
          </w:tcPr>
          <w:p>
            <w:pPr>
              <w:spacing w:after="0"/>
              <w:rPr>
                <w:sz w:val="13"/>
                <w:szCs w:val="13"/>
                <w:color w:val="auto"/>
              </w:rPr>
            </w:pPr>
          </w:p>
        </w:tc>
        <w:tc>
          <w:tcPr>
            <w:tcW w:w="142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9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6"/>
                <w:szCs w:val="6"/>
                <w:color w:val="auto"/>
              </w:rPr>
            </w:pP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6"/>
                <w:szCs w:val="6"/>
                <w:color w:val="auto"/>
              </w:rPr>
            </w:pPr>
          </w:p>
        </w:tc>
        <w:tc>
          <w:tcPr>
            <w:tcW w:w="980" w:type="dxa"/>
            <w:vAlign w:val="bottom"/>
            <w:gridSpan w:val="3"/>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6"/>
              </w:rPr>
              <w:t>Comprehensive</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900" w:type="dxa"/>
            <w:vAlign w:val="bottom"/>
            <w:gridSpan w:val="4"/>
            <w:vMerge w:val="continue"/>
          </w:tcPr>
          <w:p>
            <w:pPr>
              <w:spacing w:after="0"/>
              <w:rPr>
                <w:sz w:val="6"/>
                <w:szCs w:val="6"/>
                <w:color w:val="auto"/>
              </w:rPr>
            </w:pPr>
          </w:p>
        </w:tc>
        <w:tc>
          <w:tcPr>
            <w:tcW w:w="580" w:type="dxa"/>
            <w:vAlign w:val="bottom"/>
            <w:gridSpan w:val="2"/>
            <w:vMerge w:val="restart"/>
          </w:tcPr>
          <w:p>
            <w:pPr>
              <w:ind w:left="20"/>
              <w:spacing w:after="0" w:line="142" w:lineRule="exact"/>
              <w:rPr>
                <w:sz w:val="20"/>
                <w:szCs w:val="20"/>
                <w:color w:val="auto"/>
              </w:rPr>
            </w:pPr>
            <w:r>
              <w:rPr>
                <w:rFonts w:ascii="Arial" w:cs="Arial" w:eastAsia="Arial" w:hAnsi="Arial"/>
                <w:sz w:val="13"/>
                <w:szCs w:val="13"/>
                <w:b w:val="1"/>
                <w:bCs w:val="1"/>
                <w:color w:val="auto"/>
                <w:w w:val="82"/>
              </w:rPr>
              <w:t>Mezzanine</w:t>
            </w: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92"/>
              </w:rPr>
              <w:t>June 30, 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$2,897</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(173,215)</w:t>
            </w:r>
          </w:p>
        </w:tc>
        <w:tc>
          <w:tcPr>
            <w:tcW w:w="12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364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$ 328,076</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$ 23,192</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23,192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174</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174</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ind w:left="320"/>
              <w:spacing w:after="0" w:line="160" w:lineRule="exact"/>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73"/>
              </w:rPr>
              <w:t>382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969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969</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(191)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9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(28,847)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(28,847)</w:t>
            </w: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4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spacing w:after="0" w:line="160" w:lineRule="exact"/>
              <w:rPr>
                <w:sz w:val="20"/>
                <w:szCs w:val="20"/>
                <w:color w:val="auto"/>
              </w:rPr>
            </w:pPr>
            <w:r>
              <w:rPr>
                <w:rFonts w:ascii="Arial" w:cs="Arial" w:eastAsia="Arial" w:hAnsi="Arial"/>
                <w:sz w:val="14"/>
                <w:szCs w:val="14"/>
                <w:color w:val="auto"/>
              </w:rPr>
              <w:t>(202,062) $</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173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$ 300,181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23,574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23,574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F-98</w:t>
      </w:r>
    </w:p>
    <w:p>
      <w:pPr>
        <w:sectPr>
          <w:pgSz w:w="11900" w:h="16838" w:orient="portrait"/>
          <w:cols w:equalWidth="0" w:num="1">
            <w:col w:w="11340"/>
          </w:cols>
          <w:pgMar w:left="320" w:top="471" w:right="23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Class B</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Accumulated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7"/>
              </w:rPr>
              <w:t>Other</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Total</w:t>
            </w:r>
          </w:p>
        </w:tc>
        <w:tc>
          <w:tcPr>
            <w:tcW w:w="9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restart"/>
          </w:tcPr>
          <w:p>
            <w:pPr>
              <w:jc w:val="right"/>
              <w:spacing w:after="0" w:line="142" w:lineRule="exact"/>
              <w:rPr>
                <w:sz w:val="20"/>
                <w:szCs w:val="20"/>
                <w:color w:val="auto"/>
              </w:rPr>
            </w:pPr>
            <w:r>
              <w:rPr>
                <w:rFonts w:ascii="Arial" w:cs="Arial" w:eastAsia="Arial" w:hAnsi="Arial"/>
                <w:sz w:val="13"/>
                <w:szCs w:val="13"/>
                <w:b w:val="1"/>
                <w:bCs w:val="1"/>
                <w:color w:val="auto"/>
              </w:rPr>
              <w:t>Tot</w:t>
            </w: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Voting Units</w:t>
            </w:r>
          </w:p>
        </w:tc>
        <w:tc>
          <w:tcPr>
            <w:tcW w:w="11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Class B Warrant</w:t>
            </w:r>
          </w:p>
        </w:tc>
        <w:tc>
          <w:tcPr>
            <w:tcW w:w="140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11"/>
              <w:spacing w:after="0"/>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6"/>
                <w:szCs w:val="6"/>
                <w:color w:val="auto"/>
              </w:rPr>
            </w:pPr>
          </w:p>
        </w:tc>
        <w:tc>
          <w:tcPr>
            <w:tcW w:w="98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88"/>
              </w:rPr>
              <w:t>Comprehensive</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Members’</w:t>
            </w:r>
          </w:p>
        </w:tc>
        <w:tc>
          <w:tcPr>
            <w:tcW w:w="920" w:type="dxa"/>
            <w:vAlign w:val="bottom"/>
            <w:gridSpan w:val="4"/>
            <w:vMerge w:val="continue"/>
          </w:tcPr>
          <w:p>
            <w:pPr>
              <w:spacing w:after="0"/>
              <w:rPr>
                <w:sz w:val="6"/>
                <w:szCs w:val="6"/>
                <w:color w:val="auto"/>
              </w:rPr>
            </w:pPr>
          </w:p>
        </w:tc>
        <w:tc>
          <w:tcPr>
            <w:tcW w:w="360" w:type="dxa"/>
            <w:vAlign w:val="bottom"/>
            <w:gridSpan w:val="2"/>
            <w:vMerge w:val="restart"/>
          </w:tcPr>
          <w:p>
            <w:pPr>
              <w:spacing w:after="0" w:line="142" w:lineRule="exact"/>
              <w:rPr>
                <w:sz w:val="20"/>
                <w:szCs w:val="20"/>
                <w:color w:val="auto"/>
              </w:rPr>
            </w:pPr>
            <w:r>
              <w:rPr>
                <w:rFonts w:ascii="Arial" w:cs="Arial" w:eastAsia="Arial" w:hAnsi="Arial"/>
                <w:sz w:val="13"/>
                <w:szCs w:val="13"/>
                <w:b w:val="1"/>
                <w:bCs w:val="1"/>
                <w:color w:val="auto"/>
                <w:w w:val="88"/>
              </w:rPr>
              <w:t>Mezza</w:t>
            </w: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right"/>
              <w:ind w:right="15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50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right"/>
              <w:ind w:right="13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92"/>
              </w:rPr>
              <w:t>Equi</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3"/>
              </w:rPr>
              <w:t>December 31,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72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$2,613</w:t>
            </w:r>
          </w:p>
        </w:tc>
        <w:tc>
          <w:tcPr>
            <w:tcW w:w="82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2"/>
              </w:rPr>
              <w:t>182,500,000</w:t>
            </w:r>
          </w:p>
        </w:tc>
        <w:tc>
          <w:tcPr>
            <w:tcW w:w="6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5"/>
              </w:rPr>
              <w:t>$182,500</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$ 5,426</w:t>
            </w:r>
          </w:p>
        </w:tc>
        <w:tc>
          <w:tcPr>
            <w:tcW w:w="80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shd w:val="clear" w:color="auto" w:fill="CCEEFF"/>
          </w:tcPr>
          <w:p>
            <w:pPr>
              <w:jc w:val="center"/>
              <w:ind w:right="60"/>
              <w:spacing w:after="0" w:line="160" w:lineRule="exact"/>
              <w:rPr>
                <w:sz w:val="20"/>
                <w:szCs w:val="20"/>
                <w:color w:val="auto"/>
              </w:rPr>
            </w:pPr>
            <w:r>
              <w:rPr>
                <w:rFonts w:ascii="Arial" w:cs="Arial" w:eastAsia="Arial" w:hAnsi="Arial"/>
                <w:sz w:val="14"/>
                <w:szCs w:val="14"/>
                <w:color w:val="auto"/>
                <w:w w:val="92"/>
              </w:rPr>
              <w:t>$310,104</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(112,504)</w:t>
            </w:r>
          </w:p>
        </w:tc>
        <w:tc>
          <w:tcPr>
            <w:tcW w:w="1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w w:val="89"/>
              </w:rPr>
              <w:t>$ 388,330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5"/>
              </w:rPr>
              <w:t>$ 21,452</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458</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458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2,122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Exercise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voting units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9,953,454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969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969</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20"/>
              <w:spacing w:after="0" w:line="160" w:lineRule="exact"/>
              <w:rPr>
                <w:sz w:val="20"/>
                <w:szCs w:val="20"/>
                <w:color w:val="auto"/>
              </w:rPr>
            </w:pPr>
            <w:r>
              <w:rPr>
                <w:rFonts w:ascii="Arial" w:cs="Arial" w:eastAsia="Arial" w:hAnsi="Arial"/>
                <w:sz w:val="14"/>
                <w:szCs w:val="14"/>
                <w:color w:val="auto"/>
              </w:rPr>
              <w:t>(18)</w:t>
            </w:r>
          </w:p>
        </w:tc>
        <w:tc>
          <w:tcPr>
            <w:tcW w:w="7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(18)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(89,558)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(89,558)</w:t>
            </w:r>
          </w:p>
        </w:tc>
        <w:tc>
          <w:tcPr>
            <w:tcW w:w="3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line="129"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2021</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tcPr>
          <w:p>
            <w:pPr>
              <w:spacing w:after="0"/>
              <w:rPr>
                <w:sz w:val="13"/>
                <w:szCs w:val="13"/>
                <w:color w:val="auto"/>
              </w:rPr>
            </w:pPr>
          </w:p>
        </w:tc>
        <w:tc>
          <w:tcPr>
            <w:tcW w:w="460" w:type="dxa"/>
            <w:vAlign w:val="bottom"/>
            <w:gridSpan w:val="2"/>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w w:val="92"/>
              </w:rPr>
              <w:t>192,453,454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187,926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0"/>
              <w:spacing w:after="0" w:line="160" w:lineRule="exact"/>
              <w:rPr>
                <w:sz w:val="20"/>
                <w:szCs w:val="20"/>
                <w:color w:val="auto"/>
              </w:rPr>
            </w:pPr>
            <w:r>
              <w:rPr>
                <w:rFonts w:ascii="Arial" w:cs="Arial" w:eastAsia="Arial" w:hAnsi="Arial"/>
                <w:sz w:val="14"/>
                <w:szCs w:val="14"/>
                <w:color w:val="auto"/>
              </w:rPr>
              <w:t>$   —</w:t>
            </w:r>
          </w:p>
        </w:tc>
        <w:tc>
          <w:tcPr>
            <w:tcW w:w="800" w:type="dxa"/>
            <w:vAlign w:val="bottom"/>
            <w:gridSpan w:val="2"/>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tcPr>
          <w:p>
            <w:pPr>
              <w:jc w:val="center"/>
              <w:ind w:right="60"/>
              <w:spacing w:after="0" w:line="160"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310,104</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tcPr>
          <w:p>
            <w:pPr>
              <w:ind w:left="8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line="160" w:lineRule="exact"/>
              <w:rPr>
                <w:sz w:val="20"/>
                <w:szCs w:val="20"/>
                <w:color w:val="auto"/>
              </w:rPr>
            </w:pPr>
            <w:r>
              <w:rPr>
                <w:rFonts w:ascii="Arial" w:cs="Arial" w:eastAsia="Arial" w:hAnsi="Arial"/>
                <w:sz w:val="14"/>
                <w:szCs w:val="14"/>
                <w:color w:val="auto"/>
              </w:rPr>
              <w:t>(202,062) $</w:t>
            </w: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173</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w w:val="89"/>
              </w:rPr>
              <w:t>$ 300,181</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tcPr>
          <w:p>
            <w:pPr>
              <w:jc w:val="right"/>
              <w:ind w:right="80"/>
              <w:spacing w:after="0" w:line="160"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23,574</w:t>
            </w:r>
          </w:p>
        </w:tc>
        <w:tc>
          <w:tcPr>
            <w:tcW w:w="80" w:type="dxa"/>
            <w:vAlign w:val="bottom"/>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60"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F-99</w:t>
      </w:r>
    </w:p>
    <w:p>
      <w:pPr>
        <w:sectPr>
          <w:pgSz w:w="11900" w:h="16838" w:orient="portrait"/>
          <w:cols w:equalWidth="0" w:num="1">
            <w:col w:w="11340"/>
          </w:cols>
          <w:pgMar w:left="320" w:top="471" w:right="23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84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10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Class B</w:t>
            </w:r>
          </w:p>
        </w:tc>
        <w:tc>
          <w:tcPr>
            <w:tcW w:w="140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C</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0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restart"/>
          </w:tcPr>
          <w:p>
            <w:pPr>
              <w:jc w:val="center"/>
              <w:ind w:right="260"/>
              <w:spacing w:after="0" w:line="142"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5"/>
                <w:szCs w:val="5"/>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7"/>
        </w:trPr>
        <w:tc>
          <w:tcPr>
            <w:tcW w:w="1080" w:type="dxa"/>
            <w:vAlign w:val="bottom"/>
          </w:tcPr>
          <w:p>
            <w:pPr>
              <w:spacing w:after="0"/>
              <w:rPr>
                <w:sz w:val="6"/>
                <w:szCs w:val="6"/>
                <w:color w:val="auto"/>
              </w:rPr>
            </w:pPr>
          </w:p>
        </w:tc>
        <w:tc>
          <w:tcPr>
            <w:tcW w:w="1220" w:type="dxa"/>
            <w:vAlign w:val="bottom"/>
            <w:gridSpan w:val="3"/>
            <w:vMerge w:val="restart"/>
          </w:tcPr>
          <w:p>
            <w:pPr>
              <w:jc w:val="center"/>
              <w:spacing w:after="0" w:line="134" w:lineRule="exact"/>
              <w:rPr>
                <w:sz w:val="20"/>
                <w:szCs w:val="20"/>
                <w:color w:val="auto"/>
              </w:rPr>
            </w:pPr>
            <w:r>
              <w:rPr>
                <w:rFonts w:ascii="Arial" w:cs="Arial" w:eastAsia="Arial" w:hAnsi="Arial"/>
                <w:sz w:val="13"/>
                <w:szCs w:val="13"/>
                <w:b w:val="1"/>
                <w:bCs w:val="1"/>
                <w:color w:val="auto"/>
                <w:w w:val="88"/>
              </w:rPr>
              <w:t>Voting Units</w:t>
            </w:r>
          </w:p>
        </w:tc>
        <w:tc>
          <w:tcPr>
            <w:tcW w:w="80" w:type="dxa"/>
            <w:vAlign w:val="bottom"/>
          </w:tcPr>
          <w:p>
            <w:pPr>
              <w:spacing w:after="0"/>
              <w:rPr>
                <w:sz w:val="6"/>
                <w:szCs w:val="6"/>
                <w:color w:val="auto"/>
              </w:rPr>
            </w:pPr>
          </w:p>
        </w:tc>
        <w:tc>
          <w:tcPr>
            <w:tcW w:w="1360" w:type="dxa"/>
            <w:vAlign w:val="bottom"/>
            <w:gridSpan w:val="3"/>
            <w:vMerge w:val="restart"/>
          </w:tcPr>
          <w:p>
            <w:pPr>
              <w:ind w:left="340"/>
              <w:spacing w:after="0" w:line="134" w:lineRule="exact"/>
              <w:rPr>
                <w:sz w:val="20"/>
                <w:szCs w:val="20"/>
                <w:color w:val="auto"/>
              </w:rPr>
            </w:pPr>
            <w:r>
              <w:rPr>
                <w:rFonts w:ascii="Arial" w:cs="Arial" w:eastAsia="Arial" w:hAnsi="Arial"/>
                <w:sz w:val="13"/>
                <w:szCs w:val="13"/>
                <w:b w:val="1"/>
                <w:bCs w:val="1"/>
                <w:color w:val="auto"/>
              </w:rPr>
              <w:t>Voting Units</w:t>
            </w:r>
          </w:p>
        </w:tc>
        <w:tc>
          <w:tcPr>
            <w:tcW w:w="80" w:type="dxa"/>
            <w:vAlign w:val="bottom"/>
          </w:tcPr>
          <w:p>
            <w:pPr>
              <w:spacing w:after="0"/>
              <w:rPr>
                <w:sz w:val="6"/>
                <w:szCs w:val="6"/>
                <w:color w:val="auto"/>
              </w:rPr>
            </w:pPr>
          </w:p>
        </w:tc>
        <w:tc>
          <w:tcPr>
            <w:tcW w:w="980" w:type="dxa"/>
            <w:vAlign w:val="bottom"/>
            <w:gridSpan w:val="3"/>
            <w:vMerge w:val="restart"/>
          </w:tcPr>
          <w:p>
            <w:pPr>
              <w:ind w:left="260"/>
              <w:spacing w:after="0" w:line="134" w:lineRule="exact"/>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6"/>
                <w:szCs w:val="6"/>
                <w:color w:val="auto"/>
              </w:rPr>
            </w:pPr>
          </w:p>
        </w:tc>
        <w:tc>
          <w:tcPr>
            <w:tcW w:w="1360" w:type="dxa"/>
            <w:vAlign w:val="bottom"/>
            <w:gridSpan w:val="3"/>
            <w:vMerge w:val="restart"/>
          </w:tcPr>
          <w:p>
            <w:pPr>
              <w:jc w:val="right"/>
              <w:ind w:right="271"/>
              <w:spacing w:after="0" w:line="134" w:lineRule="exact"/>
              <w:rPr>
                <w:sz w:val="20"/>
                <w:szCs w:val="20"/>
                <w:color w:val="auto"/>
              </w:rPr>
            </w:pPr>
            <w:r>
              <w:rPr>
                <w:rFonts w:ascii="Arial" w:cs="Arial" w:eastAsia="Arial" w:hAnsi="Arial"/>
                <w:sz w:val="13"/>
                <w:szCs w:val="13"/>
                <w:b w:val="1"/>
                <w:bCs w:val="1"/>
                <w:color w:val="auto"/>
              </w:rPr>
              <w:t>Voting Units</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3"/>
            <w:vMerge w:val="restart"/>
          </w:tcPr>
          <w:p>
            <w:pPr>
              <w:jc w:val="right"/>
              <w:spacing w:after="0" w:line="134" w:lineRule="exact"/>
              <w:rPr>
                <w:sz w:val="20"/>
                <w:szCs w:val="20"/>
                <w:color w:val="auto"/>
              </w:rPr>
            </w:pPr>
            <w:r>
              <w:rPr>
                <w:rFonts w:ascii="Arial" w:cs="Arial" w:eastAsia="Arial" w:hAnsi="Arial"/>
                <w:sz w:val="13"/>
                <w:szCs w:val="13"/>
                <w:b w:val="1"/>
                <w:bCs w:val="1"/>
                <w:color w:val="auto"/>
                <w:w w:val="90"/>
              </w:rPr>
              <w:t>Incentive Units</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080" w:type="dxa"/>
            <w:vAlign w:val="bottom"/>
          </w:tcPr>
          <w:p>
            <w:pPr>
              <w:spacing w:after="0"/>
              <w:rPr>
                <w:sz w:val="6"/>
                <w:szCs w:val="6"/>
                <w:color w:val="auto"/>
              </w:rPr>
            </w:pPr>
          </w:p>
        </w:tc>
        <w:tc>
          <w:tcPr>
            <w:tcW w:w="122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88"/>
              </w:rPr>
              <w:t>Comprehensive</w:t>
            </w:r>
          </w:p>
        </w:tc>
        <w:tc>
          <w:tcPr>
            <w:tcW w:w="40" w:type="dxa"/>
            <w:vAlign w:val="bottom"/>
          </w:tcPr>
          <w:p>
            <w:pPr>
              <w:spacing w:after="0"/>
              <w:rPr>
                <w:sz w:val="6"/>
                <w:szCs w:val="6"/>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86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Mezzanine</w:t>
            </w:r>
          </w:p>
        </w:tc>
        <w:tc>
          <w:tcPr>
            <w:tcW w:w="0" w:type="dxa"/>
            <w:vAlign w:val="bottom"/>
          </w:tcPr>
          <w:p>
            <w:pPr>
              <w:spacing w:after="0"/>
              <w:rPr>
                <w:sz w:val="1"/>
                <w:szCs w:val="1"/>
                <w:color w:val="auto"/>
              </w:rPr>
            </w:pPr>
          </w:p>
        </w:tc>
      </w:tr>
      <w:tr>
        <w:trPr>
          <w:trHeight w:val="44"/>
        </w:trPr>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380" w:type="dxa"/>
            <w:vAlign w:val="bottom"/>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480" w:type="dxa"/>
            <w:vAlign w:val="bottom"/>
            <w:gridSpan w:val="2"/>
          </w:tcPr>
          <w:p>
            <w:pPr>
              <w:jc w:val="right"/>
              <w:ind w:right="9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right"/>
              <w:ind w:right="171"/>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4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86"/>
              </w:rPr>
              <w:t>Units</w:t>
            </w:r>
          </w:p>
        </w:tc>
        <w:tc>
          <w:tcPr>
            <w:tcW w:w="560" w:type="dxa"/>
            <w:vAlign w:val="bottom"/>
            <w:gridSpan w:val="2"/>
          </w:tcPr>
          <w:p>
            <w:pPr>
              <w:jc w:val="right"/>
              <w:ind w:right="13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10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December 31,</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2019</w:t>
            </w:r>
          </w:p>
        </w:tc>
        <w:tc>
          <w:tcPr>
            <w:tcW w:w="74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$1,916</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$182,500</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(32,899)</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3"/>
              </w:rPr>
              <w:t>$ 151,517</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9"/>
              </w:rPr>
              <w:t>$ 10,515</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10,515</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Class A voting</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units in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517</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160" w:lineRule="exact"/>
              <w:rPr>
                <w:sz w:val="20"/>
                <w:szCs w:val="20"/>
                <w:color w:val="auto"/>
              </w:rPr>
            </w:pPr>
            <w:r>
              <w:rPr>
                <w:rFonts w:ascii="Arial" w:cs="Arial" w:eastAsia="Arial" w:hAnsi="Arial"/>
                <w:sz w:val="14"/>
                <w:szCs w:val="14"/>
                <w:color w:val="auto"/>
                <w:w w:val="76"/>
              </w:rPr>
              <w:t>517</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 units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(see Note 9)</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6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9,799</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9,799</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3"/>
              </w:rPr>
              <w:t>Class B warrant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(see Note 8)</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60" w:lineRule="exact"/>
              <w:rPr>
                <w:sz w:val="20"/>
                <w:szCs w:val="20"/>
                <w:color w:val="auto"/>
              </w:rPr>
            </w:pPr>
            <w:r>
              <w:rPr>
                <w:rFonts w:ascii="Arial" w:cs="Arial" w:eastAsia="Arial" w:hAnsi="Arial"/>
                <w:sz w:val="14"/>
                <w:szCs w:val="14"/>
                <w:color w:val="auto"/>
              </w:rPr>
              <w:t>5,426</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 voting</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8)</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300,000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300,000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Pushdown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accounting 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0"/>
              </w:rPr>
              <w:t>deferred income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tax liabilities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resulting from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Bridge2</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Solutions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2"/>
              </w:rPr>
              <w:t>acquisition (See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Note 4)</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line="160" w:lineRule="exact"/>
              <w:rPr>
                <w:sz w:val="20"/>
                <w:szCs w:val="20"/>
                <w:color w:val="auto"/>
              </w:rPr>
            </w:pPr>
            <w:r>
              <w:rPr>
                <w:rFonts w:ascii="Arial" w:cs="Arial" w:eastAsia="Arial" w:hAnsi="Arial"/>
                <w:sz w:val="14"/>
                <w:szCs w:val="14"/>
                <w:color w:val="auto"/>
              </w:rPr>
              <w:t>10,104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60" w:lineRule="exact"/>
              <w:rPr>
                <w:sz w:val="20"/>
                <w:szCs w:val="20"/>
                <w:color w:val="auto"/>
              </w:rPr>
            </w:pPr>
            <w:r>
              <w:rPr>
                <w:rFonts w:ascii="Arial" w:cs="Arial" w:eastAsia="Arial" w:hAnsi="Arial"/>
                <w:sz w:val="14"/>
                <w:szCs w:val="14"/>
                <w:color w:val="auto"/>
              </w:rPr>
              <w:t>10,104</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6"/>
              </w:rPr>
              <w:t>adjustment, net</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of tax</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(80)</w:t>
            </w:r>
          </w:p>
        </w:tc>
        <w:tc>
          <w:tcPr>
            <w:tcW w:w="7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(50,016)</w:t>
            </w:r>
          </w:p>
        </w:tc>
        <w:tc>
          <w:tcPr>
            <w:tcW w:w="160" w:type="dxa"/>
            <w:vAlign w:val="bottom"/>
          </w:tcPr>
          <w:p>
            <w:pPr>
              <w:spacing w:after="0"/>
              <w:rPr>
                <w:sz w:val="12"/>
                <w:szCs w:val="12"/>
                <w:color w:val="auto"/>
              </w:rPr>
            </w:pPr>
          </w:p>
        </w:tc>
        <w:tc>
          <w:tcPr>
            <w:tcW w:w="800" w:type="dxa"/>
            <w:vAlign w:val="bottom"/>
            <w:gridSpan w:val="2"/>
          </w:tcPr>
          <w:p>
            <w:pPr>
              <w:ind w:left="5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1" w:lineRule="exact"/>
              <w:rPr>
                <w:sz w:val="20"/>
                <w:szCs w:val="20"/>
                <w:color w:val="auto"/>
              </w:rPr>
            </w:pPr>
            <w:r>
              <w:rPr>
                <w:rFonts w:ascii="Arial" w:cs="Arial" w:eastAsia="Arial" w:hAnsi="Arial"/>
                <w:sz w:val="14"/>
                <w:szCs w:val="14"/>
                <w:color w:val="auto"/>
              </w:rPr>
              <w:t>(50,016)</w:t>
            </w: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54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September 30,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74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2,433</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182,500</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5,426</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shd w:val="clear" w:color="auto" w:fill="CCEEFF"/>
          </w:tcPr>
          <w:p>
            <w:pPr>
              <w:jc w:val="right"/>
              <w:ind w:right="4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310,104</w:t>
            </w:r>
          </w:p>
        </w:tc>
        <w:tc>
          <w:tcPr>
            <w:tcW w:w="18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(82,915)</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(80)</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3"/>
              </w:rPr>
              <w:t>$ 417,468</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20,314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20,314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F-100</w:t>
      </w:r>
    </w:p>
    <w:p>
      <w:pPr>
        <w:sectPr>
          <w:pgSz w:w="11900" w:h="16838" w:orient="portrait"/>
          <w:cols w:equalWidth="0" w:num="1">
            <w:col w:w="10880"/>
          </w:cols>
          <w:pgMar w:left="320" w:top="471" w:right="69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i w:val="1"/>
          <w:iCs w:val="1"/>
          <w:color w:val="auto"/>
        </w:rPr>
        <w:t>(Unaudited)</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7"/>
        </w:trPr>
        <w:tc>
          <w:tcPr>
            <w:tcW w:w="7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21"/>
        </w:trPr>
        <w:tc>
          <w:tcPr>
            <w:tcW w:w="772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(89,558)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(50,016)</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8,995</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5,385</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1,027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Unit-based compensation expense (see Note 9)</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3,116</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9,937</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Recognition of affiliate capital contribution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Amortization of Class B warrant asset (see Note 8)</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1,743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Impairment of long-lived assets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3,843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Acquisition-related expenses paid by affiliate</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1,378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Unrealized loss (gain) on investment in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(387)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Loss on sale of shares of affiliate stock</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Vesting of Class C warrant for professional services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969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347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(2,872)</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345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Other receivables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115</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Deposits with clearinghouse affiliate</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20,199</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11,002</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Accounts payable and accrued liabilities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12,956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Due to affiliates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456</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(8,372)</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Deferred revenues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(3,703)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(799)</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(873)</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Customer funds payable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 assets and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(1,025)</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(730)</w:t>
            </w: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(43,777)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(29,545)</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Capitalized internal-use software development costs and other capital expenditures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(10,874)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(16,868)</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10,652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sale of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1,759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Short-term investments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1,988</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(9,087)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(4,228)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Payment of finance lease liability</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(282)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issuance of Class C voting units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37,800</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37,518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(80)</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Net increase (decrease) in cash, cash equivalents, restricted cash and customer funds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(52,980)</w:t>
            </w: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3,665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Cash, cash equivalents, restricted cash and customer funds at the beginning of the year</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91,943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93,134</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Cash, cash equivalents, restricted cash and customer funds at the end of the quarter</w:t>
            </w:r>
          </w:p>
        </w:tc>
        <w:tc>
          <w:tcPr>
            <w:tcW w:w="200" w:type="dxa"/>
            <w:vAlign w:val="bottom"/>
            <w:tcBorders>
              <w:top w:val="single" w:sz="8" w:color="auto"/>
              <w:bottom w:val="single" w:sz="8" w:color="auto"/>
            </w:tcBorders>
          </w:tcPr>
          <w:p>
            <w:pPr>
              <w:jc w:val="right"/>
              <w:ind w:right="51"/>
              <w:spacing w:after="0" w:line="147"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38,963</w:t>
            </w:r>
          </w:p>
        </w:tc>
        <w:tc>
          <w:tcPr>
            <w:tcW w:w="7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96,799</w:t>
            </w:r>
          </w:p>
        </w:tc>
        <w:tc>
          <w:tcPr>
            <w:tcW w:w="100" w:type="dxa"/>
            <w:vAlign w:val="bottom"/>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77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A voting units in exchange of capital contribution</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tcPr>
          <w:p>
            <w:pPr>
              <w:spacing w:after="0"/>
              <w:rPr>
                <w:sz w:val="12"/>
                <w:szCs w:val="12"/>
                <w:color w:val="auto"/>
              </w:rPr>
            </w:pPr>
          </w:p>
        </w:tc>
      </w:tr>
      <w:tr>
        <w:trPr>
          <w:trHeight w:val="123"/>
        </w:trPr>
        <w:tc>
          <w:tcPr>
            <w:tcW w:w="7720" w:type="dxa"/>
            <w:vAlign w:val="bottom"/>
            <w:shd w:val="clear" w:color="auto" w:fill="CCEEFF"/>
          </w:tcPr>
          <w:p>
            <w:pPr>
              <w:ind w:left="280"/>
              <w:spacing w:after="0" w:line="123" w:lineRule="exact"/>
              <w:rPr>
                <w:sz w:val="20"/>
                <w:szCs w:val="20"/>
                <w:color w:val="auto"/>
              </w:rPr>
            </w:pPr>
            <w:r>
              <w:rPr>
                <w:rFonts w:ascii="Arial" w:cs="Arial" w:eastAsia="Arial" w:hAnsi="Arial"/>
                <w:sz w:val="14"/>
                <w:szCs w:val="14"/>
                <w:color w:val="auto"/>
              </w:rPr>
              <w:t>Capitalized internal-use software development costs and other capital expenditures included in accounts payable and</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0"/>
        </w:trPr>
        <w:tc>
          <w:tcPr>
            <w:tcW w:w="7720" w:type="dxa"/>
            <w:vAlign w:val="bottom"/>
            <w:shd w:val="clear" w:color="auto" w:fill="CCEEFF"/>
          </w:tcPr>
          <w:p>
            <w:pPr>
              <w:ind w:left="400"/>
              <w:spacing w:after="0" w:line="160"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jc w:val="right"/>
              <w:ind w:right="51"/>
              <w:spacing w:after="0" w:line="160"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60" w:lineRule="exact"/>
              <w:rPr>
                <w:sz w:val="20"/>
                <w:szCs w:val="20"/>
                <w:color w:val="auto"/>
              </w:rPr>
            </w:pPr>
            <w:r>
              <w:rPr>
                <w:rFonts w:ascii="Arial" w:cs="Arial" w:eastAsia="Arial" w:hAnsi="Arial"/>
                <w:sz w:val="14"/>
                <w:szCs w:val="14"/>
                <w:color w:val="auto"/>
              </w:rPr>
              <w:t>2,980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1,733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B warrant</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5,426</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Exercise of Class B warrant for Class B voting units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5,426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Non-cash contribution of Bridge2 Holdings by affiliate</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260,811</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Reconciliation of cash, cash equivalents, restricted cash and customer funds to consolidated balance sheets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22,106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80,298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16,500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16,500</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Customer funds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357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Total cash, cash equivalents, restricted cash and customer funds</w:t>
            </w:r>
          </w:p>
        </w:tc>
        <w:tc>
          <w:tcPr>
            <w:tcW w:w="200" w:type="dxa"/>
            <w:vAlign w:val="bottom"/>
            <w:shd w:val="clear" w:color="auto" w:fill="CCEEFF"/>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38,963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96,799</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F-101</w:t>
      </w:r>
    </w:p>
    <w:p>
      <w:pPr>
        <w:sectPr>
          <w:pgSz w:w="11900" w:h="16838" w:orient="portrait"/>
          <w:cols w:equalWidth="0" w:num="1">
            <w:col w:w="10880"/>
          </w:cols>
          <w:pgMar w:left="320" w:top="471" w:right="69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4"/>
          <w:szCs w:val="14"/>
          <w:b w:val="1"/>
          <w:bCs w:val="1"/>
          <w:color w:val="auto"/>
        </w:rPr>
        <w:t>Description of Business</w:t>
      </w:r>
    </w:p>
    <w:p>
      <w:pPr>
        <w:spacing w:after="0" w:line="119" w:lineRule="exact"/>
        <w:rPr>
          <w:sz w:val="20"/>
          <w:szCs w:val="20"/>
          <w:color w:val="auto"/>
        </w:rPr>
      </w:pPr>
    </w:p>
    <w:p>
      <w:pPr>
        <w:ind w:left="380" w:right="80"/>
        <w:spacing w:after="0" w:line="257" w:lineRule="auto"/>
        <w:rPr>
          <w:sz w:val="20"/>
          <w:szCs w:val="20"/>
          <w:color w:val="auto"/>
        </w:rPr>
      </w:pPr>
      <w:r>
        <w:rPr>
          <w:rFonts w:ascii="Arial" w:cs="Arial" w:eastAsia="Arial" w:hAnsi="Arial"/>
          <w:sz w:val="17"/>
          <w:szCs w:val="17"/>
          <w:color w:val="auto"/>
        </w:rPr>
        <w:t>Bakkt Holdings, LLC (“Bakkt” or “the Company”) and Bakkt, LLC, a wholly owned subsidiary of Bakkt, were formed on July 31, 2018 and each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Until October 15, 2021, the date of closing of the business combination described below, Bakkt was a majority-owned subsidiary of Intercontinental Exchange Holdings, Inc. (“ICEH”), which itself is a wholly-owned subsidiary of Intercontinental Exchange, Inc. (“ICE”). All of Bakkt’s Class A voting units were held by ICE and its Class B and Class C voting units were held by ICE and minority investors.</w:t>
      </w:r>
    </w:p>
    <w:p>
      <w:pPr>
        <w:spacing w:after="0" w:line="181" w:lineRule="exact"/>
        <w:rPr>
          <w:sz w:val="20"/>
          <w:szCs w:val="20"/>
          <w:color w:val="auto"/>
        </w:rPr>
      </w:pPr>
    </w:p>
    <w:p>
      <w:pPr>
        <w:ind w:left="380" w:right="40"/>
        <w:spacing w:after="0" w:line="259" w:lineRule="auto"/>
        <w:rPr>
          <w:sz w:val="20"/>
          <w:szCs w:val="20"/>
          <w:color w:val="auto"/>
        </w:rPr>
      </w:pPr>
      <w:r>
        <w:rPr>
          <w:rFonts w:ascii="Arial" w:cs="Arial" w:eastAsia="Arial" w:hAnsi="Arial"/>
          <w:sz w:val="17"/>
          <w:szCs w:val="17"/>
          <w:color w:val="auto"/>
        </w:rPr>
        <w:t>Bakkt owns the following entities: Bakkt Trust Company LLC (“Bakkt Trust”), Bakkt Marketplace, LLC (“Bakkt Marketplace”), DACC Technologies, Inc. and Digital Asset Custody Company, Inc. (collectively with DACC Technologies, Inc., “DACC”), and Bakkt Clearing, LLC (“Bakkt Clearing”). Bakkt also acquired Bridge2 Solutions, LLC and certain of its affiliated companies (collectively, “Bridge2 Solutions”) during the three months ended March 31, 2020 (see Note 4). All subsidiaries of the Company, other than DACC and two foreign legal entities acquired as part of the Bridge2 Solutions acquisition, are structured as limited liability companies.</w:t>
      </w:r>
    </w:p>
    <w:p>
      <w:pPr>
        <w:spacing w:after="0" w:line="180"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NYSDFS to, and does, offer non-trading-related, standalone custody of Bitcoin to institutional customers and certain high net worth individuals in cryptoassets, subject to NYSDFS regulatory oversight. On November 2, 2021, Bakkt Trust, in accordance with its internal coin listing policy (as approved by the NYSDFS), self-certified the addition of ether (ETH) to its non-trading-related, standalone custody service.</w:t>
      </w:r>
    </w:p>
    <w:p>
      <w:pPr>
        <w:spacing w:after="0" w:line="172" w:lineRule="exact"/>
        <w:rPr>
          <w:sz w:val="20"/>
          <w:szCs w:val="20"/>
          <w:color w:val="auto"/>
        </w:rPr>
      </w:pPr>
    </w:p>
    <w:p>
      <w:pPr>
        <w:ind w:left="380" w:right="80"/>
        <w:spacing w:after="0" w:line="277"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cryptocurrency functionality within the consumer app.</w:t>
      </w:r>
    </w:p>
    <w:p>
      <w:pPr>
        <w:spacing w:after="0" w:line="167"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w:t>
      </w:r>
    </w:p>
    <w:p>
      <w:pPr>
        <w:spacing w:after="0" w:line="176" w:lineRule="exact"/>
        <w:rPr>
          <w:sz w:val="20"/>
          <w:szCs w:val="20"/>
          <w:color w:val="auto"/>
        </w:rPr>
      </w:pPr>
    </w:p>
    <w:p>
      <w:pPr>
        <w:ind w:left="380" w:right="180"/>
        <w:spacing w:after="0" w:line="278"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transaction</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F-102</w:t>
      </w:r>
    </w:p>
    <w:p>
      <w:pPr>
        <w:sectPr>
          <w:pgSz w:w="11900" w:h="16838" w:orient="portrait"/>
          <w:cols w:equalWidth="0" w:num="1">
            <w:col w:w="10860"/>
          </w:cols>
          <w:pgMar w:left="320" w:top="471" w:right="71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40"/>
        <w:spacing w:after="0" w:line="296" w:lineRule="auto"/>
        <w:rPr>
          <w:sz w:val="20"/>
          <w:szCs w:val="20"/>
          <w:color w:val="auto"/>
        </w:rPr>
      </w:pPr>
      <w:r>
        <w:rPr>
          <w:rFonts w:ascii="Arial" w:cs="Arial" w:eastAsia="Arial" w:hAnsi="Arial"/>
          <w:sz w:val="15"/>
          <w:szCs w:val="15"/>
          <w:color w:val="auto"/>
        </w:rPr>
        <w:t>closed on October 15, 2021. The business combination between Bakkt and VIH resulted in approximately $479 million of cash (net of transaction expenses) on the combined company’s balance sheet, reflecting a contribution of $123 million of cash held in VIH’s trust account, net of redemptions and transaction expenses, and a $325 million concurrent private placement of Class A common stock of the combined company, priced at $10.00 per share, including a $47 million commitment from ICE, and $31 million cash held in Bakkt accounts as of the transaction date. As a result of the business combination, the Company also incurred a $12,143,000 success fee for an investment bank advising Bakkt. The newly combined company has been renamed Bakkt Holdings, Inc. and has its Class A common stock and warrants listed on the New York Stock Exchange under the ticker symbols “BKKT” and “BKKT WS,” respectively. Following the transaction closing, the Company is no longer a consolidated subsidiary of ICE.</w:t>
      </w:r>
    </w:p>
    <w:p>
      <w:pPr>
        <w:spacing w:after="0" w:line="254" w:lineRule="exact"/>
        <w:rPr>
          <w:sz w:val="20"/>
          <w:szCs w:val="20"/>
          <w:color w:val="auto"/>
        </w:rPr>
      </w:pPr>
    </w:p>
    <w:p>
      <w:pPr>
        <w:ind w:left="380" w:right="6920" w:hanging="4"/>
        <w:spacing w:after="0" w:line="433" w:lineRule="auto"/>
        <w:tabs>
          <w:tab w:leader="none" w:pos="680"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left="380" w:right="200"/>
        <w:spacing w:after="0" w:line="289" w:lineRule="auto"/>
        <w:rPr>
          <w:sz w:val="20"/>
          <w:szCs w:val="20"/>
          <w:color w:val="auto"/>
        </w:rPr>
      </w:pPr>
      <w:r>
        <w:rPr>
          <w:rFonts w:ascii="Arial" w:cs="Arial" w:eastAsia="Arial" w:hAnsi="Arial"/>
          <w:sz w:val="16"/>
          <w:szCs w:val="16"/>
          <w:color w:val="auto"/>
        </w:rPr>
        <w:t>The accompanying unaudited interim consolidated financial statements (“interim consolidated financial statements”) are prepared in accordance with United States generally accepted accounting principles (“U.S. GAAP”) assuming the Company will continue as a going concern and include the accounts of Bakkt Holdings, LLC and its subsidiaries. All intercompany balances and transactions have been eliminated in consolidation.</w:t>
      </w:r>
    </w:p>
    <w:p>
      <w:pPr>
        <w:spacing w:after="0" w:line="159" w:lineRule="exact"/>
        <w:rPr>
          <w:sz w:val="20"/>
          <w:szCs w:val="20"/>
          <w:color w:val="auto"/>
        </w:rPr>
      </w:pPr>
    </w:p>
    <w:p>
      <w:pPr>
        <w:ind w:left="380" w:right="20"/>
        <w:spacing w:after="0" w:line="301" w:lineRule="auto"/>
        <w:rPr>
          <w:sz w:val="20"/>
          <w:szCs w:val="20"/>
          <w:color w:val="auto"/>
        </w:rPr>
      </w:pPr>
      <w:r>
        <w:rPr>
          <w:rFonts w:ascii="Arial" w:cs="Arial" w:eastAsia="Arial" w:hAnsi="Arial"/>
          <w:sz w:val="15"/>
          <w:szCs w:val="15"/>
          <w:color w:val="auto"/>
        </w:rPr>
        <w:t>The accompanying interim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All intercompany transactions and balances have been eliminated in consolidation. The interim results for the three and nine months ended September 30, 2021 are not necessarily indicative of the results that may be expected for the year ending December 31, 2021, or for any other future annual or interim period.</w:t>
      </w:r>
    </w:p>
    <w:p>
      <w:pPr>
        <w:spacing w:after="0" w:line="153"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going concern assumption contemplates the realization of assets and satisfaction of liabilities in the normal course of business. As of September 30, 2021, the Company’s liquidity position raised substantial doubt about its ability to continue as a going concern for the 12 months following the issuance of the September 30, 2021 unaudited interim consolidated financial statements without additional capital investment. The closing of the business combination with VIH on October 15, 2021, which resulted in approximately $479 million of cash on the combined company’s balance sheet, alleviated the concern about the ability of the Company to continue as a going concern.</w:t>
      </w:r>
    </w:p>
    <w:p>
      <w:pPr>
        <w:spacing w:after="0" w:line="180"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The information included in these interim consolidated financial statements should be read in conjunction with the Company’s audited consolidated financial statements and related notes for the year ended December 31, 2020, which financial statements were included within VIH’s definitive proxy statement filed with the Securities and Exchange Commission on September 17, 2021.</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right="160"/>
        <w:spacing w:after="0" w:line="282" w:lineRule="auto"/>
        <w:rPr>
          <w:sz w:val="20"/>
          <w:szCs w:val="20"/>
          <w:color w:val="auto"/>
        </w:rPr>
      </w:pPr>
      <w:r>
        <w:rPr>
          <w:rFonts w:ascii="Arial" w:cs="Arial" w:eastAsia="Arial" w:hAnsi="Arial"/>
          <w:sz w:val="16"/>
          <w:szCs w:val="16"/>
          <w:color w:val="auto"/>
        </w:rPr>
        <w:t>The preparation of interim consolidated financial statements in conformity with U.S. GAAP requires management to make estimates and assumptions that affect the amounts reported in the interim consolidated financial statements and accompanying notes. The Company bases its estimates and assumptions on various judgments that it believes to be reasonable under the circumstances. The significant estimates and assumptions that affect the Company’s interim consolidated financial statements may include, but are not limited to, estimates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F-103</w:t>
      </w:r>
    </w:p>
    <w:p>
      <w:pPr>
        <w:sectPr>
          <w:pgSz w:w="11900" w:h="16838" w:orient="portrait"/>
          <w:cols w:equalWidth="0" w:num="1">
            <w:col w:w="10820"/>
          </w:cols>
          <w:pgMar w:left="320" w:top="471" w:right="75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0"/>
        <w:spacing w:after="0" w:line="306" w:lineRule="auto"/>
        <w:rPr>
          <w:sz w:val="20"/>
          <w:szCs w:val="20"/>
          <w:color w:val="auto"/>
        </w:rPr>
      </w:pPr>
      <w:r>
        <w:rPr>
          <w:rFonts w:ascii="Arial" w:cs="Arial" w:eastAsia="Arial" w:hAnsi="Arial"/>
          <w:sz w:val="15"/>
          <w:szCs w:val="15"/>
          <w:color w:val="auto"/>
        </w:rPr>
        <w:t>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interim consolidated financial statements.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380" w:right="20"/>
        <w:spacing w:after="0" w:line="291" w:lineRule="auto"/>
        <w:rPr>
          <w:sz w:val="20"/>
          <w:szCs w:val="20"/>
          <w:color w:val="auto"/>
        </w:rPr>
      </w:pPr>
      <w:r>
        <w:rPr>
          <w:rFonts w:ascii="Arial" w:cs="Arial" w:eastAsia="Arial" w:hAnsi="Arial"/>
          <w:sz w:val="15"/>
          <w:szCs w:val="15"/>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Bakkt’s business during the year ended December 31, 2020, primarily in that it (i) decreased revenue from our loyalty and travel businesses, and</w:t>
      </w:r>
    </w:p>
    <w:p>
      <w:pPr>
        <w:spacing w:after="0" w:line="1" w:lineRule="exact"/>
        <w:rPr>
          <w:sz w:val="20"/>
          <w:szCs w:val="20"/>
          <w:color w:val="auto"/>
        </w:rPr>
      </w:pPr>
    </w:p>
    <w:p>
      <w:pPr>
        <w:ind w:left="380" w:right="500" w:hanging="4"/>
        <w:spacing w:after="0" w:line="309" w:lineRule="auto"/>
        <w:tabs>
          <w:tab w:leader="none" w:pos="63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impacted our ability to expand our relationships with existing loyalty partners, and to conclude relationships with new loyalty partners, whose businesses similarly have been adversely affected by the pandemic. For the three and nine months ended September 30, 2021, Bakkt’s business operations have started to recover from the impacts of the pandemic, and revenue from the loyalty and travel business has started to recover.</w:t>
      </w:r>
    </w:p>
    <w:p>
      <w:pPr>
        <w:spacing w:after="0" w:line="146" w:lineRule="exact"/>
        <w:rPr>
          <w:sz w:val="20"/>
          <w:szCs w:val="20"/>
          <w:color w:val="auto"/>
        </w:rPr>
      </w:pPr>
    </w:p>
    <w:p>
      <w:pPr>
        <w:ind w:left="380" w:right="160"/>
        <w:spacing w:after="0" w:line="289" w:lineRule="auto"/>
        <w:rPr>
          <w:sz w:val="20"/>
          <w:szCs w:val="20"/>
          <w:color w:val="auto"/>
        </w:rPr>
      </w:pPr>
      <w:r>
        <w:rPr>
          <w:rFonts w:ascii="Arial" w:cs="Arial" w:eastAsia="Arial" w:hAnsi="Arial"/>
          <w:sz w:val="16"/>
          <w:szCs w:val="16"/>
          <w:color w:val="auto"/>
        </w:rPr>
        <w:t>As of the date of issuance of these interim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left="380" w:right="180"/>
        <w:spacing w:after="0" w:line="306" w:lineRule="auto"/>
        <w:rPr>
          <w:sz w:val="20"/>
          <w:szCs w:val="20"/>
          <w:color w:val="auto"/>
        </w:rPr>
      </w:pPr>
      <w:r>
        <w:rPr>
          <w:rFonts w:ascii="Arial" w:cs="Arial" w:eastAsia="Arial" w:hAnsi="Arial"/>
          <w:sz w:val="15"/>
          <w:szCs w:val="15"/>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380"/>
        <w:spacing w:after="0" w:line="277" w:lineRule="auto"/>
        <w:rPr>
          <w:sz w:val="20"/>
          <w:szCs w:val="20"/>
          <w:color w:val="auto"/>
        </w:rPr>
      </w:pPr>
      <w:r>
        <w:rPr>
          <w:rFonts w:ascii="Arial" w:cs="Arial" w:eastAsia="Arial" w:hAnsi="Arial"/>
          <w:sz w:val="16"/>
          <w:szCs w:val="16"/>
          <w:color w:val="auto"/>
        </w:rPr>
        <w:t>The Digital Currency Trading, Clearing, and Warehouse Services Agreement with IFUS and ICUS (the “Triparty Agreement”) governs the trading, clearing and custody services for physically-delivered futures contracts and options contracts (collectively,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Parties that trade PDF Contracts (“PDF Contract Traders”) are generally institutional investors and market makers that enter into agreements separately with each of IFUS, ICUS and Bakkt for trading, clearing and custody related services, respectively.</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F-104</w:t>
      </w:r>
    </w:p>
    <w:p>
      <w:pPr>
        <w:sectPr>
          <w:pgSz w:w="11900" w:h="16838" w:orient="portrait"/>
          <w:cols w:equalWidth="0" w:num="1">
            <w:col w:w="10860"/>
          </w:cols>
          <w:pgMar w:left="320" w:top="471" w:right="71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60"/>
        <w:spacing w:after="0" w:line="272" w:lineRule="auto"/>
        <w:rPr>
          <w:sz w:val="20"/>
          <w:szCs w:val="20"/>
          <w:color w:val="auto"/>
        </w:rPr>
      </w:pPr>
      <w:r>
        <w:rPr>
          <w:rFonts w:ascii="Arial" w:cs="Arial" w:eastAsia="Arial" w:hAnsi="Arial"/>
          <w:sz w:val="16"/>
          <w:szCs w:val="16"/>
          <w:color w:val="auto"/>
        </w:rPr>
        <w:t>With respect to Bakkt’s provision of custody services that are necessary to support the trading and clearing services provided by IFUS and ICUS for the PDF Contracts, Bakkt’s customers are IFUS and ICUS, who are related parties. In this regard, Bakkt’s obligation is to provide a stand-ready custody function that supports the trading and clearing services for the PDF Contracts. Bakkt’s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Bakkt has incurred significant time and expense to build, establish and maintain a fully licensed, institutional-grade bitcoin custodian.</w:t>
      </w:r>
    </w:p>
    <w:p>
      <w:pPr>
        <w:spacing w:after="0" w:line="176" w:lineRule="exact"/>
        <w:rPr>
          <w:sz w:val="20"/>
          <w:szCs w:val="20"/>
          <w:color w:val="auto"/>
        </w:rPr>
      </w:pPr>
    </w:p>
    <w:p>
      <w:pPr>
        <w:ind w:left="380"/>
        <w:spacing w:after="0" w:line="272" w:lineRule="auto"/>
        <w:rPr>
          <w:sz w:val="20"/>
          <w:szCs w:val="20"/>
          <w:color w:val="auto"/>
        </w:rPr>
      </w:pPr>
      <w:r>
        <w:rPr>
          <w:rFonts w:ascii="Arial" w:cs="Arial" w:eastAsia="Arial" w:hAnsi="Arial"/>
          <w:sz w:val="16"/>
          <w:szCs w:val="16"/>
          <w:color w:val="auto"/>
        </w:rPr>
        <w:t>While Bakkt’s performance obligation to IFUS and ICUS is comprised of several related promises as described above,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The maximum duration of Bakkt’s performance obligation would extend from trade execution through the later of settlement of a PDF Contract or the ultimate withdrawal of physically-delivered bitcoin underlying the PDF Contract. However, in Bakkt’s experience, less than 1% of PDF Contracts go to physical settlement. Bakkt determines the obligation period associated with Triparty Agreement revenue under the portfolio method based on its historical transaction experience, as the PDF contracts have similar characteristics. The average performance obligation period is less than one month based on the application of the portfolio method. Therefore, Bakkt recognizes revenue for the stand-ready custody services that it provides to IFUS and ICUS on a straight-line basis over the average performance obligation period, which is less than one month.</w:t>
      </w:r>
    </w:p>
    <w:p>
      <w:pPr>
        <w:spacing w:after="0" w:line="176"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PDF Contract Traders pay a transaction fee for trading and clearing which is collected by ICUS. Per the terms of the Triparty Agreement, IFUS and ICUS pass to Bakkt all trading and clearing transaction fees net of rebates and liquidity payments issued to PDF Contract Traders. Bakkt considers the transaction price to be the net transaction fee received from IFUS and ICUS or paid to IFUS and ICUS.</w:t>
      </w:r>
    </w:p>
    <w:p>
      <w:pPr>
        <w:spacing w:after="0" w:line="176" w:lineRule="exact"/>
        <w:rPr>
          <w:sz w:val="20"/>
          <w:szCs w:val="20"/>
          <w:color w:val="auto"/>
        </w:rPr>
      </w:pPr>
    </w:p>
    <w:p>
      <w:pPr>
        <w:ind w:left="380" w:right="4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customers with a discount to the applicable transaction fee. Under the terms of the Triparty Agreement, these rebates reduce the amount of the trading and clearing revenue that IFUS and ICUS pay to Bakkt. To the extent the rebates issued to PDF Contract Traders exceed the transaction fees collected by IFUS and ICUS, Bakkt pays IFUS and ICUS for the difference between the rebate amounts and the collected transaction fees. Bakkt does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Bakkt to estimate these at a given reporting period date.</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F-105</w:t>
      </w:r>
    </w:p>
    <w:p>
      <w:pPr>
        <w:sectPr>
          <w:pgSz w:w="11900" w:h="16838" w:orient="portrait"/>
          <w:cols w:equalWidth="0" w:num="1">
            <w:col w:w="10860"/>
          </w:cols>
          <w:pgMar w:left="320" w:top="471" w:right="71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40"/>
        <w:spacing w:after="0" w:line="278" w:lineRule="auto"/>
        <w:rPr>
          <w:sz w:val="20"/>
          <w:szCs w:val="20"/>
          <w:color w:val="auto"/>
        </w:rPr>
      </w:pPr>
      <w:r>
        <w:rPr>
          <w:rFonts w:ascii="Arial" w:cs="Arial" w:eastAsia="Arial" w:hAnsi="Arial"/>
          <w:sz w:val="17"/>
          <w:szCs w:val="17"/>
          <w:color w:val="auto"/>
        </w:rPr>
        <w:t>Bakkt also recognizes a capital contribution for the cost of the trading and clearing services provided by IFUS and ICUS pursuant to the Contribution Agreement (see Note 7), which reduces the revenue recognized as part of the net transaction fee.</w:t>
      </w:r>
    </w:p>
    <w:p>
      <w:pPr>
        <w:spacing w:after="0" w:line="165" w:lineRule="exact"/>
        <w:rPr>
          <w:sz w:val="20"/>
          <w:szCs w:val="20"/>
          <w:color w:val="auto"/>
        </w:rPr>
      </w:pPr>
    </w:p>
    <w:p>
      <w:pPr>
        <w:ind w:left="380" w:right="100"/>
        <w:spacing w:after="0" w:line="257" w:lineRule="auto"/>
        <w:rPr>
          <w:sz w:val="20"/>
          <w:szCs w:val="20"/>
          <w:color w:val="auto"/>
        </w:rPr>
      </w:pPr>
      <w:r>
        <w:rPr>
          <w:rFonts w:ascii="Arial" w:cs="Arial" w:eastAsia="Arial" w:hAnsi="Arial"/>
          <w:sz w:val="17"/>
          <w:szCs w:val="17"/>
          <w:color w:val="auto"/>
        </w:rPr>
        <w:t>Bakkt recognized net revenues of $(111,000) and $(154,000) for the three and nine months ended September 30, 2021, respectively. These amounts are net of $2,000 and $151,000 for rebates and incentive payments (contra-revenue) for the three and nine months ended September 30, 2021, respectively, and reduced by the capital contribution by related parties of $174,000 and $458,000 for the three and nine months ended September 30, 2021, respectively. Bakkt recognized net revenues of $(1,149,000) and $(2,153,000) for the three and nine months ended September 30, 2020, respectively. These amounts are net of $1,809,000 and $3,178,000 for rebates and incentive payments (contra-revenue) for the three and nine months ended September 30, 2020, respectively, and reduced by the capital contribution by related parties of $334,000 and $517,000 for the three and nine months ended September 30, 2020, respectively.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Custody</w:t>
      </w:r>
    </w:p>
    <w:p>
      <w:pPr>
        <w:spacing w:after="0" w:line="113"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The Company provides a bitcoin custody solution to institutions and certain high net worth individuals. For PDF Contract Traders with custody accounts related to PDF Contracts, the Company does not charge a fee specifically for the custody service. For customers using custody services on a standalone basis, the Company charges a fee, which is generally based on a fixed fee and represents fixed consideration. The Company invoices customers on a quarterly basis. Our performance obligation related to the storage and custody of a customer’s bitcoin represents a stand-ready obligation to provide custody services for digital assets. Bitcoin held in a custodial capacity on behalf of our customers is not included in the Company’s consolidated balance sheet, as the Company does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5"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Bakkt’s performance obligation to provide custodial services meets the criterion to be satisfied over time. Revenue from our custodial services is included in “Net revenues” in the accompanying consolidated statements of operations and comprehensive loss.</w:t>
      </w:r>
    </w:p>
    <w:p>
      <w:pPr>
        <w:spacing w:after="0" w:line="159" w:lineRule="exact"/>
        <w:rPr>
          <w:sz w:val="20"/>
          <w:szCs w:val="20"/>
          <w:color w:val="auto"/>
        </w:rPr>
      </w:pPr>
    </w:p>
    <w:p>
      <w:pPr>
        <w:ind w:left="380" w:right="380"/>
        <w:spacing w:after="0" w:line="278" w:lineRule="auto"/>
        <w:rPr>
          <w:sz w:val="20"/>
          <w:szCs w:val="20"/>
          <w:color w:val="auto"/>
        </w:rPr>
      </w:pPr>
      <w:r>
        <w:rPr>
          <w:rFonts w:ascii="Arial" w:cs="Arial" w:eastAsia="Arial" w:hAnsi="Arial"/>
          <w:sz w:val="17"/>
          <w:szCs w:val="17"/>
          <w:color w:val="auto"/>
        </w:rPr>
        <w:t>Bakkt recognized net revenues of $121,000 and $367,000 for the three and nine months ended September 30, 2021, respectively, and $145,000 and $195,000 for the three and nine months ended September 30, 2020.</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F-106</w:t>
      </w:r>
    </w:p>
    <w:p>
      <w:pPr>
        <w:sectPr>
          <w:pgSz w:w="11900" w:h="16838" w:orient="portrait"/>
          <w:cols w:equalWidth="0" w:num="1">
            <w:col w:w="10860"/>
          </w:cols>
          <w:pgMar w:left="320" w:top="471" w:right="71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
        <w:spacing w:after="0" w:line="282" w:lineRule="auto"/>
        <w:rPr>
          <w:sz w:val="20"/>
          <w:szCs w:val="20"/>
          <w:color w:val="auto"/>
        </w:rPr>
      </w:pPr>
      <w:r>
        <w:rPr>
          <w:rFonts w:ascii="Arial" w:cs="Arial" w:eastAsia="Arial" w:hAnsi="Arial"/>
          <w:sz w:val="16"/>
          <w:szCs w:val="16"/>
          <w:color w:val="auto"/>
        </w:rPr>
        <w:t>related to our loyalty redemption platform consist of two performance obligations: (1) access to the Company’s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“Net revenues” in the accompanying consolidated statements of operations and comprehensive loss and include the following:</w:t>
      </w:r>
    </w:p>
    <w:p>
      <w:pPr>
        <w:spacing w:after="0" w:line="74" w:lineRule="exact"/>
        <w:rPr>
          <w:sz w:val="20"/>
          <w:szCs w:val="20"/>
          <w:color w:val="auto"/>
        </w:rPr>
      </w:pPr>
    </w:p>
    <w:p>
      <w:pPr>
        <w:ind w:left="1300" w:right="60" w:hanging="410"/>
        <w:spacing w:after="0" w:line="261" w:lineRule="auto"/>
        <w:tabs>
          <w:tab w:leader="none" w:pos="1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88" w:lineRule="exact"/>
        <w:rPr>
          <w:rFonts w:ascii="Arial" w:cs="Arial" w:eastAsia="Arial" w:hAnsi="Arial"/>
          <w:sz w:val="17"/>
          <w:szCs w:val="17"/>
          <w:color w:val="auto"/>
        </w:rPr>
      </w:pPr>
    </w:p>
    <w:p>
      <w:pPr>
        <w:ind w:left="1300" w:right="40" w:hanging="410"/>
        <w:spacing w:after="0" w:line="289" w:lineRule="auto"/>
        <w:tabs>
          <w:tab w:leader="none" w:pos="13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1300" w:right="160" w:hanging="410"/>
        <w:spacing w:after="0" w:line="265" w:lineRule="auto"/>
        <w:tabs>
          <w:tab w:leader="none" w:pos="1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fulfillment. We allocate revenue share fees to the period in which the related transaction occurs.</w:t>
      </w:r>
    </w:p>
    <w:p>
      <w:pPr>
        <w:spacing w:after="0" w:line="85" w:lineRule="exact"/>
        <w:rPr>
          <w:rFonts w:ascii="Arial" w:cs="Arial" w:eastAsia="Arial" w:hAnsi="Arial"/>
          <w:sz w:val="17"/>
          <w:szCs w:val="17"/>
          <w:color w:val="auto"/>
        </w:rPr>
      </w:pPr>
    </w:p>
    <w:p>
      <w:pPr>
        <w:ind w:left="1300" w:hanging="410"/>
        <w:spacing w:after="0" w:line="298" w:lineRule="auto"/>
        <w:tabs>
          <w:tab w:leader="none" w:pos="13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w:t>
      </w:r>
    </w:p>
    <w:p>
      <w:pPr>
        <w:spacing w:after="0" w:line="156" w:lineRule="exact"/>
        <w:rPr>
          <w:sz w:val="20"/>
          <w:szCs w:val="20"/>
          <w:color w:val="auto"/>
        </w:rPr>
      </w:pPr>
    </w:p>
    <w:p>
      <w:pPr>
        <w:jc w:val="both"/>
        <w:ind w:left="380" w:right="180"/>
        <w:spacing w:after="0" w:line="289" w:lineRule="auto"/>
        <w:rPr>
          <w:sz w:val="20"/>
          <w:szCs w:val="20"/>
          <w:color w:val="auto"/>
        </w:rPr>
      </w:pPr>
      <w:r>
        <w:rPr>
          <w:rFonts w:ascii="Arial" w:cs="Arial" w:eastAsia="Arial" w:hAnsi="Arial"/>
          <w:sz w:val="16"/>
          <w:szCs w:val="16"/>
          <w:color w:val="auto"/>
        </w:rPr>
        <w:t>Bakkt recognized net revenues of $9,713,000 and $27,303,000 for the three and nine months ended September 30, 2021, respectively, and $7,633,000 and $21,025,000 for the three and nine months ended September 30, 2020, respectively. Revenue from our loyalty redemption platform is included in “Transaction revenue, net” and “Subscription and services revenue” in the disaggregation of revenue table within Note 3.</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left="380" w:right="240"/>
        <w:spacing w:after="0" w:line="347" w:lineRule="auto"/>
        <w:rPr>
          <w:sz w:val="20"/>
          <w:szCs w:val="20"/>
          <w:color w:val="auto"/>
        </w:rPr>
      </w:pPr>
      <w:r>
        <w:rPr>
          <w:rFonts w:ascii="Arial" w:cs="Arial" w:eastAsia="Arial" w:hAnsi="Arial"/>
          <w:sz w:val="15"/>
          <w:szCs w:val="15"/>
          <w:color w:val="auto"/>
        </w:rPr>
        <w:t>In February 2020, the Company entered into a Strategic Alliance Agreement (the “Strategic Alliance Agreement”) with a strategic partner to develop and operate a mechanism whereby a customer can purchase food and beverage items from the strategic partner using their Bakkt digital wallet.</w:t>
      </w:r>
    </w:p>
    <w:p>
      <w:pPr>
        <w:spacing w:after="0" w:line="119"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 xml:space="preserve">In conjunction with this agreement, Bakkt issued the strategic partner a warrant to purchase 15 million Class B voting units. The Company accounts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F-107</w:t>
      </w:r>
    </w:p>
    <w:p>
      <w:pPr>
        <w:sectPr>
          <w:pgSz w:w="11900" w:h="16838" w:orient="portrait"/>
          <w:cols w:equalWidth="0" w:num="1">
            <w:col w:w="10840"/>
          </w:cols>
          <w:pgMar w:left="320" w:top="471" w:right="73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Sale of cryptocurrency</w:t>
      </w:r>
    </w:p>
    <w:p>
      <w:pPr>
        <w:spacing w:after="0" w:line="113"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As part of the Company’s operation of the Bakkt Marketplace platform, the Company transacts in bitcoin with consumers. Consumer bitcoin transactions are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left="380" w:right="20"/>
        <w:spacing w:after="0" w:line="306" w:lineRule="auto"/>
        <w:rPr>
          <w:sz w:val="20"/>
          <w:szCs w:val="20"/>
          <w:color w:val="auto"/>
        </w:rPr>
      </w:pPr>
      <w:r>
        <w:rPr>
          <w:rFonts w:ascii="Arial" w:cs="Arial" w:eastAsia="Arial" w:hAnsi="Arial"/>
          <w:sz w:val="15"/>
          <w:szCs w:val="15"/>
          <w:color w:val="auto"/>
        </w:rPr>
        <w:t>Additionally, as part of the Company’s operation of the Bakkt Marketplace platform, the Company transacts in bitcoin with its trading partners in order to adjust its bitcoin inventory based on actual consumer activity to maintain an inventory based on the Company’s inventory policy. Transactions in bitcoin with our trading partners in the normal course of business is not material for the three and nine months ended September 30, 2021. There were no transactions in bitcoin with our trading partners in the normal course of business for the three and nine months ended September 30, 2020.</w:t>
      </w:r>
    </w:p>
    <w:p>
      <w:pPr>
        <w:spacing w:after="0" w:line="149" w:lineRule="exact"/>
        <w:rPr>
          <w:sz w:val="20"/>
          <w:szCs w:val="20"/>
          <w:color w:val="auto"/>
        </w:rPr>
      </w:pPr>
    </w:p>
    <w:p>
      <w:pPr>
        <w:ind w:left="380" w:right="60"/>
        <w:spacing w:after="0" w:line="277" w:lineRule="auto"/>
        <w:rPr>
          <w:sz w:val="20"/>
          <w:szCs w:val="20"/>
          <w:color w:val="auto"/>
        </w:rPr>
      </w:pPr>
      <w:r>
        <w:rPr>
          <w:rFonts w:ascii="Arial" w:cs="Arial" w:eastAsia="Arial" w:hAnsi="Arial"/>
          <w:sz w:val="16"/>
          <w:szCs w:val="16"/>
          <w:color w:val="auto"/>
        </w:rPr>
        <w:t>The Company maintains an inventory reserve of bitcoin to facilitate consumer transactions if needed. The Company may adjust its inventory reserve levels under its inventory policy. Sales of bitcoin resulting from inventory reserve adjustments is not part of the Company’s normal course of business. Accordingly, proceeds from the sale of bitcoin outside of the normal course of business is included in “other income (expense), net,” net of the cost of bitcoin sold, in the consolidated statements of operation and comprehensive loss. Bakkt recognized income from the sale of bitcoin, net of the cost of bitcoin sold, of $1,024,000 for both the three months and nine months ended September 30, 2021. There were no sales of bitcoin outside of the normal course of business for the three and nine months ended September 30, 2020.</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Practical expedients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1300" w:hanging="410"/>
        <w:spacing w:after="0"/>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1300" w:right="420" w:hanging="410"/>
        <w:spacing w:after="0" w:line="278" w:lineRule="auto"/>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1300" w:right="180" w:hanging="410"/>
        <w:spacing w:after="0" w:line="289" w:lineRule="auto"/>
        <w:tabs>
          <w:tab w:leader="none" w:pos="13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left="380" w:right="14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460"/>
        <w:spacing w:after="0" w:line="278" w:lineRule="auto"/>
        <w:rPr>
          <w:sz w:val="20"/>
          <w:szCs w:val="20"/>
          <w:color w:val="auto"/>
        </w:rPr>
      </w:pPr>
      <w:r>
        <w:rPr>
          <w:rFonts w:ascii="Arial" w:cs="Arial" w:eastAsia="Arial" w:hAnsi="Arial"/>
          <w:sz w:val="17"/>
          <w:szCs w:val="17"/>
          <w:color w:val="auto"/>
        </w:rPr>
        <w:t>Deferred revenue includes amounts invoiced prior to the Company meeting the criteria for revenue recognition. The Company typically invoices customers for subscription fees in arrears on a monthly basis.</w:t>
      </w:r>
    </w:p>
    <w:p>
      <w:pPr>
        <w:spacing w:after="0" w:line="165"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F-108</w:t>
      </w:r>
    </w:p>
    <w:p>
      <w:pPr>
        <w:sectPr>
          <w:pgSz w:w="11900" w:h="16838" w:orient="portrait"/>
          <w:cols w:equalWidth="0" w:num="1">
            <w:col w:w="10760"/>
          </w:cols>
          <w:pgMar w:left="320" w:top="471" w:right="81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jc w:val="both"/>
        <w:ind w:left="380" w:right="46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and Benefits</w:t>
      </w:r>
    </w:p>
    <w:p>
      <w:pPr>
        <w:spacing w:after="0" w:line="119" w:lineRule="exact"/>
        <w:rPr>
          <w:sz w:val="20"/>
          <w:szCs w:val="20"/>
          <w:color w:val="auto"/>
        </w:rPr>
      </w:pPr>
    </w:p>
    <w:p>
      <w:pPr>
        <w:ind w:left="380" w:right="200"/>
        <w:spacing w:after="0" w:line="289" w:lineRule="auto"/>
        <w:rPr>
          <w:sz w:val="20"/>
          <w:szCs w:val="20"/>
          <w:color w:val="auto"/>
        </w:rPr>
      </w:pPr>
      <w:r>
        <w:rPr>
          <w:rFonts w:ascii="Arial" w:cs="Arial" w:eastAsia="Arial" w:hAnsi="Arial"/>
          <w:sz w:val="16"/>
          <w:szCs w:val="16"/>
          <w:color w:val="auto"/>
        </w:rPr>
        <w:t>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Professional Services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Professional services expenses consist of costs associated with audit, tax, legal and other professional services.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Technology and Communication</w:t>
      </w:r>
    </w:p>
    <w:p>
      <w:pPr>
        <w:spacing w:after="0" w:line="119"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Technology and communication expenses include costs incurred in operating and maintaining the Company’s platform, including software licenses, software maintenance and support, hosting and infrastructure costs.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Selling, General and Administrative</w:t>
      </w:r>
    </w:p>
    <w:p>
      <w:pPr>
        <w:spacing w:after="0" w:line="119" w:lineRule="exact"/>
        <w:rPr>
          <w:sz w:val="20"/>
          <w:szCs w:val="20"/>
          <w:color w:val="auto"/>
        </w:rPr>
      </w:pPr>
    </w:p>
    <w:p>
      <w:pPr>
        <w:ind w:left="380" w:right="100"/>
        <w:spacing w:after="0" w:line="31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marketing costs for the three and nine months ended September 30, 2021 were $3,072,000 and $15,717,000, respectively. Total advertising costs for the three and nine months ended September 30, 2020 were $772,000 and $1,016,000, respectively.</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Acquisition-Related Expenses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incur incremental costs relating to our completed and potential acquisitions and other strategic opportunities. This includes fees for investment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banking advisors, lawyers, accountants, tax advisors and public relations firms, as well as costs associated with other external costs directly related to</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proposed or closed transactions. Acquisition-related expenses for the three and nine months ended September 30, 2021 were $1,766,000 and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$12,075,000, respectively. Acquisition-related expenses for the three and nine months ended September 30, 2020 were $0 and $11,477,000, respectively.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Acquisition-related expenses for both the three and nine months ended September 30, 2020 included approximately $9,567,000 of accelerated expense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Company’s incentive and participation units resulting from the issuance of Class C voting units in connection with the acquisition of Bridge2</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Solutions (see Note 9).</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F-109</w:t>
      </w:r>
    </w:p>
    <w:p>
      <w:pPr>
        <w:sectPr>
          <w:pgSz w:w="11900" w:h="16838" w:orient="portrait"/>
          <w:cols w:equalWidth="0" w:num="1">
            <w:col w:w="10860"/>
          </w:cols>
          <w:pgMar w:left="320" w:top="471" w:right="71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w:t>
      </w:r>
    </w:p>
    <w:p>
      <w:pPr>
        <w:spacing w:after="0" w:line="185" w:lineRule="exact"/>
        <w:rPr>
          <w:sz w:val="20"/>
          <w:szCs w:val="20"/>
          <w:color w:val="auto"/>
        </w:rPr>
      </w:pPr>
    </w:p>
    <w:p>
      <w:pPr>
        <w:ind w:left="380" w:right="200"/>
        <w:spacing w:after="0" w:line="282" w:lineRule="auto"/>
        <w:rPr>
          <w:sz w:val="20"/>
          <w:szCs w:val="20"/>
          <w:color w:val="auto"/>
        </w:rPr>
      </w:pPr>
      <w:r>
        <w:rPr>
          <w:rFonts w:ascii="Arial" w:cs="Arial" w:eastAsia="Arial" w:hAnsi="Arial"/>
          <w:sz w:val="16"/>
          <w:szCs w:val="16"/>
          <w:color w:val="auto"/>
        </w:rPr>
        <w:t>The Company’s effective tax rate for the three and nine months ended September 30, 2021 was 0.04% and 0.22%, respectively. The Company’s effective tax rate for the three and nine months ended September 30, 2020 was 0.06% and 0.07%, respectively. The effective tax rate is lower than the federal statutory rate primarily because the substantial majority of the earnings are from the Bakkt Holdings, LLC partnership and the single member LLCs held by the partnership, where earnings flow through to the partners at the consolidated level.</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Customer and Credit Risk Concentration</w:t>
      </w:r>
    </w:p>
    <w:p>
      <w:pPr>
        <w:spacing w:after="0" w:line="119" w:lineRule="exact"/>
        <w:rPr>
          <w:sz w:val="20"/>
          <w:szCs w:val="20"/>
          <w:color w:val="auto"/>
        </w:rPr>
      </w:pPr>
    </w:p>
    <w:p>
      <w:pPr>
        <w:ind w:left="380" w:right="40"/>
        <w:spacing w:after="0" w:line="27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w:t>
      </w:r>
    </w:p>
    <w:p>
      <w:pPr>
        <w:spacing w:after="0" w:line="165"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As of September 30, 2021, three customers represented approximately 54% of total accounts receivable. As of December 31, 2020, three customers represented approximately 57% of total accounts receivable.</w:t>
      </w:r>
    </w:p>
    <w:p>
      <w:pPr>
        <w:spacing w:after="0" w:line="165" w:lineRule="exact"/>
        <w:rPr>
          <w:sz w:val="20"/>
          <w:szCs w:val="20"/>
          <w:color w:val="auto"/>
        </w:rPr>
      </w:pPr>
    </w:p>
    <w:p>
      <w:pPr>
        <w:ind w:left="380" w:right="20"/>
        <w:spacing w:after="0" w:line="347" w:lineRule="auto"/>
        <w:rPr>
          <w:sz w:val="20"/>
          <w:szCs w:val="20"/>
          <w:color w:val="auto"/>
        </w:rPr>
      </w:pPr>
      <w:r>
        <w:rPr>
          <w:rFonts w:ascii="Arial" w:cs="Arial" w:eastAsia="Arial" w:hAnsi="Arial"/>
          <w:sz w:val="15"/>
          <w:szCs w:val="15"/>
          <w:color w:val="auto"/>
        </w:rPr>
        <w:t>For the three and nine months ended September 30, 2021 four customers represented approximately 71% and 62% of total revenue, respectively. For the three and nine months ended September 30, 2020, three customers represented approximately 72% and 73% of total revenue, respectively.</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9"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 xml:space="preserve">On January 1, 2020, the Company adopted ASU 2016-13, </w:t>
      </w:r>
      <w:r>
        <w:rPr>
          <w:rFonts w:ascii="Arial" w:cs="Arial" w:eastAsia="Arial" w:hAnsi="Arial"/>
          <w:sz w:val="16"/>
          <w:szCs w:val="16"/>
          <w:i w:val="1"/>
          <w:iCs w:val="1"/>
          <w:color w:val="auto"/>
        </w:rPr>
        <w:t>Financial Instruments - Measurement of Credit Losses on Financial Instruments</w:t>
      </w:r>
      <w:r>
        <w:rPr>
          <w:rFonts w:ascii="Arial" w:cs="Arial" w:eastAsia="Arial" w:hAnsi="Arial"/>
          <w:sz w:val="16"/>
          <w:szCs w:val="16"/>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w:t>
      </w:r>
    </w:p>
    <w:p>
      <w:pPr>
        <w:spacing w:after="0" w:line="172" w:lineRule="exact"/>
        <w:rPr>
          <w:sz w:val="20"/>
          <w:szCs w:val="20"/>
          <w:color w:val="auto"/>
        </w:rPr>
      </w:pPr>
    </w:p>
    <w:p>
      <w:pPr>
        <w:jc w:val="both"/>
        <w:ind w:left="380" w:right="240"/>
        <w:spacing w:after="0" w:line="265"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F-110</w:t>
      </w:r>
    </w:p>
    <w:p>
      <w:pPr>
        <w:sectPr>
          <w:pgSz w:w="11900" w:h="16838" w:orient="portrait"/>
          <w:cols w:equalWidth="0" w:num="1">
            <w:col w:w="10860"/>
          </w:cols>
          <w:pgMar w:left="320" w:top="471" w:right="71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85" w:lineRule="exact"/>
        <w:rPr>
          <w:sz w:val="20"/>
          <w:szCs w:val="20"/>
          <w:color w:val="auto"/>
        </w:rPr>
      </w:pPr>
    </w:p>
    <w:p>
      <w:pPr>
        <w:ind w:left="380" w:right="180"/>
        <w:spacing w:after="0" w:line="257" w:lineRule="auto"/>
        <w:rPr>
          <w:sz w:val="20"/>
          <w:szCs w:val="20"/>
          <w:color w:val="auto"/>
        </w:rPr>
      </w:pPr>
      <w:r>
        <w:rPr>
          <w:rFonts w:ascii="Arial" w:cs="Arial" w:eastAsia="Arial" w:hAnsi="Arial"/>
          <w:sz w:val="17"/>
          <w:szCs w:val="17"/>
          <w:color w:val="auto"/>
        </w:rPr>
        <w:t xml:space="preserve">On January 1, 2020, the Company adopted ASU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or ASU 2018-15. This standard helps entities evaluate the accounting for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81" w:lineRule="exact"/>
        <w:rPr>
          <w:sz w:val="20"/>
          <w:szCs w:val="20"/>
          <w:color w:val="auto"/>
        </w:rPr>
      </w:pPr>
    </w:p>
    <w:p>
      <w:pPr>
        <w:ind w:left="380" w:right="20"/>
        <w:spacing w:after="0" w:line="298" w:lineRule="auto"/>
        <w:rPr>
          <w:sz w:val="20"/>
          <w:szCs w:val="20"/>
          <w:color w:val="auto"/>
        </w:rPr>
      </w:pPr>
      <w:r>
        <w:rPr>
          <w:rFonts w:ascii="Arial" w:cs="Arial" w:eastAsia="Arial" w:hAnsi="Arial"/>
          <w:sz w:val="15"/>
          <w:szCs w:val="15"/>
          <w:color w:val="auto"/>
        </w:rPr>
        <w:t xml:space="preserve">On January 1, 2020, the Company adopted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will evaluate the impact of the new guidance on our consolidated financial statements for the combined entity after the business combination with VIH.</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F-111</w:t>
      </w:r>
    </w:p>
    <w:p>
      <w:pPr>
        <w:sectPr>
          <w:pgSz w:w="11900" w:h="16838" w:orient="portrait"/>
          <w:cols w:equalWidth="0" w:num="1">
            <w:col w:w="10860"/>
          </w:cols>
          <w:pgMar w:left="320" w:top="471" w:right="71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380" w:right="4560"/>
        <w:spacing w:after="0" w:line="382" w:lineRule="auto"/>
        <w:rPr>
          <w:sz w:val="20"/>
          <w:szCs w:val="20"/>
          <w:color w:val="auto"/>
        </w:rPr>
      </w:pPr>
      <w:r>
        <w:rPr>
          <w:rFonts w:ascii="Arial" w:cs="Arial" w:eastAsia="Arial" w:hAnsi="Arial"/>
          <w:sz w:val="17"/>
          <w:szCs w:val="17"/>
          <w:b w:val="1"/>
          <w:bCs w:val="1"/>
          <w:color w:val="auto"/>
        </w:rPr>
        <w:t xml:space="preserve">3. Revenue from Contracts with Customers and Under the Triparty Agreement </w:t>
      </w:r>
      <w:r>
        <w:rPr>
          <w:rFonts w:ascii="Arial" w:cs="Arial" w:eastAsia="Arial" w:hAnsi="Arial"/>
          <w:sz w:val="17"/>
          <w:szCs w:val="17"/>
          <w:b w:val="1"/>
          <w:bCs w:val="1"/>
          <w:i w:val="1"/>
          <w:iCs w:val="1"/>
          <w:color w:val="auto"/>
        </w:rPr>
        <w:t>Disaggregation of Revenue</w:t>
      </w:r>
    </w:p>
    <w:p>
      <w:pPr>
        <w:spacing w:after="0" w:line="1"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6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64"/>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7"/>
        </w:trPr>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4"/>
              <w:spacing w:after="0" w:line="147"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3"/>
              <w:spacing w:after="0" w:line="147" w:lineRule="exact"/>
              <w:rPr>
                <w:sz w:val="20"/>
                <w:szCs w:val="20"/>
                <w:color w:val="auto"/>
              </w:rPr>
            </w:pPr>
            <w:r>
              <w:rPr>
                <w:rFonts w:ascii="Arial" w:cs="Arial" w:eastAsia="Arial" w:hAnsi="Arial"/>
                <w:sz w:val="14"/>
                <w:szCs w:val="14"/>
                <w:b w:val="1"/>
                <w:bCs w:val="1"/>
                <w:color w:val="auto"/>
                <w:w w:val="96"/>
              </w:rPr>
              <w:t>2021</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7"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99"/>
        </w:trPr>
        <w:tc>
          <w:tcPr>
            <w:tcW w:w="604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7"/>
                <w:szCs w:val="17"/>
                <w:color w:val="auto"/>
              </w:rPr>
              <w:t>Transaction revenue, net</w:t>
            </w:r>
            <w:r>
              <w:rPr>
                <w:rFonts w:ascii="Arial" w:cs="Arial" w:eastAsia="Arial" w:hAnsi="Arial"/>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$ 1,162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9,542</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Subscription and service revenue</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6,437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5,466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w w:val="88"/>
              </w:rPr>
              <w:t>16,231</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15,844</w:t>
            </w:r>
          </w:p>
        </w:tc>
      </w:tr>
      <w:tr>
        <w:trPr>
          <w:trHeight w:val="26"/>
        </w:trPr>
        <w:tc>
          <w:tcPr>
            <w:tcW w:w="6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6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$ 6,629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25,773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19,067</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8" w:lineRule="exact"/>
        <w:rPr>
          <w:sz w:val="20"/>
          <w:szCs w:val="20"/>
          <w:color w:val="auto"/>
        </w:rPr>
      </w:pPr>
    </w:p>
    <w:p>
      <w:pPr>
        <w:ind w:left="780" w:hanging="404"/>
        <w:spacing w:after="0" w:line="256" w:lineRule="auto"/>
        <w:tabs>
          <w:tab w:leader="none" w:pos="78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Amounts presented are net of rebates and liquidity payments under the Triparty Agreement, reductions in connection with the Contribution Agreement, and consideration payable to a customer pursuant to the Strategic Alliance Agreement of $757,000 and $2,353,000 for the three and nine months ended September 30, 2021, respectively. Included in these amounts are related party amounts (contra-revenue) of $111,000 and $154,000 for the three and nine months ended September 30, 2021, respectively (see Note 7). Amounts presented are net of rebates and liquidity payments under the Triparty Agreement, reductions in connection with the Contribution Agreement, and consideration payable to a customer pursuant to the Strategic Alliance Agreement of $2,142,000 and $3,964,000 for the three and nine months ended September 30, 2020, respectively. Amounts also include related party amounts (contra-revenue) of $1,149,000 and $2,153,000 for the three and nine months ended September 30, 2020, respectively (see Note 7).</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one reportable segment to which its revenues relate (see Note 2).</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As of September 30, 2021, the aggregate amount of the transaction price allocated to the remaining performance obligations related to partially completed contracts is $24,500,000, $16,100,000 of which relates to subscription fees and $8,400,000 of which relates to service fees that are deferred. The Company will recognize its subscription fees as revenue over a weighted-average period of 17 months (ranges from 3 months – 57 months) and its service fees as revenue over approximately three years.</w:t>
      </w:r>
    </w:p>
    <w:p>
      <w:pPr>
        <w:spacing w:after="0" w:line="179"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As of September 30, 2020, the aggregate amount of the transaction price allocated to the remaining performance obligations related to partially completed contracts is $17,800,000, $8,800,000 of which relates to subscription fees and $9,000,000 of which relates to service fees that are deferred. The Company will recognize its subscription fees as revenue over a weighted-average period of 14 months (ranges from 3 months – 45 months) and its service fees as revenue over approximately three years.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Contract Costs</w:t>
      </w:r>
    </w:p>
    <w:p>
      <w:pPr>
        <w:spacing w:after="0" w:line="113" w:lineRule="exact"/>
        <w:rPr>
          <w:sz w:val="20"/>
          <w:szCs w:val="20"/>
          <w:color w:val="auto"/>
        </w:rPr>
      </w:pPr>
    </w:p>
    <w:p>
      <w:pPr>
        <w:ind w:left="380" w:right="60"/>
        <w:spacing w:after="0" w:line="265" w:lineRule="auto"/>
        <w:rPr>
          <w:sz w:val="20"/>
          <w:szCs w:val="20"/>
          <w:color w:val="auto"/>
        </w:rPr>
      </w:pPr>
      <w:r>
        <w:rPr>
          <w:rFonts w:ascii="Arial" w:cs="Arial" w:eastAsia="Arial" w:hAnsi="Arial"/>
          <w:sz w:val="17"/>
          <w:szCs w:val="17"/>
          <w:color w:val="auto"/>
        </w:rPr>
        <w:t>For the three and nine months ended September 30, 2021, the Company incurred $276,000 and $666,000 in incremental costs to obtain and/or costs to fulfill contracts with customers, respectively. The Company did not incur any costs to obtain or costs to fulfill contracts with customers during the three and nine months ended September 30, 2020.</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F-112</w:t>
      </w:r>
    </w:p>
    <w:p>
      <w:pPr>
        <w:sectPr>
          <w:pgSz w:w="11900" w:h="16838" w:orient="portrait"/>
          <w:cols w:equalWidth="0" w:num="1">
            <w:col w:w="10840"/>
          </w:cols>
          <w:pgMar w:left="320" w:top="471" w:right="73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380"/>
        <w:spacing w:after="0"/>
        <w:tabs>
          <w:tab w:leader="none" w:pos="64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Bridge2 Solutions, LLC business</w:t>
      </w:r>
    </w:p>
    <w:p>
      <w:pPr>
        <w:spacing w:after="0" w:line="113"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ICEH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values of the net assets acquired as of the acquisition date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67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February 21, 2020</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53,620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Technology</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216,575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340"/>
              <w:spacing w:after="0"/>
              <w:rPr>
                <w:sz w:val="20"/>
                <w:szCs w:val="20"/>
                <w:color w:val="auto"/>
              </w:rPr>
            </w:pPr>
            <w:r>
              <w:rPr>
                <w:rFonts w:ascii="Arial" w:cs="Arial" w:eastAsia="Arial" w:hAnsi="Arial"/>
                <w:sz w:val="17"/>
                <w:szCs w:val="17"/>
                <w:color w:val="auto"/>
              </w:rPr>
              <w:t>Total assets acquired</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(12,703)</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assumed</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(40,560)</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680"/>
              <w:spacing w:after="0"/>
              <w:rPr>
                <w:sz w:val="20"/>
                <w:szCs w:val="20"/>
                <w:color w:val="auto"/>
              </w:rPr>
            </w:pPr>
            <w:r>
              <w:rPr>
                <w:rFonts w:ascii="Arial" w:cs="Arial" w:eastAsia="Arial" w:hAnsi="Arial"/>
                <w:sz w:val="17"/>
                <w:szCs w:val="17"/>
                <w:color w:val="auto"/>
              </w:rPr>
              <w:t>Total purchase consideration</w:t>
            </w: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(271,463)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40"/>
        <w:spacing w:after="0" w:line="257"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F-113</w:t>
      </w:r>
    </w:p>
    <w:p>
      <w:pPr>
        <w:sectPr>
          <w:pgSz w:w="11900" w:h="16838" w:orient="portrait"/>
          <w:cols w:equalWidth="0" w:num="1">
            <w:col w:w="10880"/>
          </w:cols>
          <w:pgMar w:left="320" w:top="471" w:right="69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317" w:lineRule="auto"/>
        <w:rPr>
          <w:sz w:val="20"/>
          <w:szCs w:val="20"/>
          <w:color w:val="auto"/>
        </w:rPr>
      </w:pPr>
      <w:r>
        <w:rPr>
          <w:rFonts w:ascii="Arial" w:cs="Arial" w:eastAsia="Arial" w:hAnsi="Arial"/>
          <w:sz w:val="15"/>
          <w:szCs w:val="15"/>
          <w:color w:val="auto"/>
        </w:rPr>
        <w:t>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September 30, 2020 (in thousands):</w:t>
      </w:r>
    </w:p>
    <w:p>
      <w:pPr>
        <w:spacing w:after="0" w:line="13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February 22, 2020 –</w:t>
            </w:r>
          </w:p>
        </w:tc>
      </w:tr>
      <w:tr>
        <w:trPr>
          <w:trHeight w:val="164"/>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2020</w:t>
            </w:r>
          </w:p>
        </w:tc>
      </w:tr>
      <w:tr>
        <w:trPr>
          <w:trHeight w:val="19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7"/>
                <w:szCs w:val="17"/>
                <w:color w:val="auto"/>
              </w:rPr>
              <w:t>Net income / (loss)</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(7,338)</w:t>
            </w:r>
          </w:p>
        </w:tc>
      </w:tr>
    </w:tbl>
    <w:p>
      <w:pPr>
        <w:spacing w:after="0" w:line="182"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Bridge2 Solutions as if the companies were combined as of January 1, 2020.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7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 2020</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24,726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Pro forma net loss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7"/>
                <w:szCs w:val="17"/>
                <w:color w:val="auto"/>
              </w:rPr>
              <w:t>(50,482)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4680" w:type="dxa"/>
            <w:vAlign w:val="bottom"/>
            <w:gridSpan w:val="3"/>
          </w:tcPr>
          <w:p>
            <w:pPr>
              <w:spacing w:after="0"/>
              <w:rPr>
                <w:sz w:val="20"/>
                <w:szCs w:val="20"/>
                <w:color w:val="auto"/>
              </w:rPr>
            </w:pPr>
            <w:r>
              <w:rPr>
                <w:rFonts w:ascii="Arial" w:cs="Arial" w:eastAsia="Arial" w:hAnsi="Arial"/>
                <w:sz w:val="17"/>
                <w:szCs w:val="17"/>
                <w:b w:val="1"/>
                <w:bCs w:val="1"/>
                <w:color w:val="auto"/>
              </w:rPr>
              <w:t>5.  Goodwill and Intangible Assets, Net</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80" w:type="dxa"/>
            <w:vAlign w:val="bottom"/>
            <w:gridSpan w:val="3"/>
          </w:tcPr>
          <w:p>
            <w:pPr>
              <w:spacing w:after="0"/>
              <w:rPr>
                <w:sz w:val="20"/>
                <w:szCs w:val="20"/>
                <w:color w:val="auto"/>
              </w:rPr>
            </w:pPr>
            <w:r>
              <w:rPr>
                <w:rFonts w:ascii="Arial" w:cs="Arial" w:eastAsia="Arial" w:hAnsi="Arial"/>
                <w:sz w:val="17"/>
                <w:szCs w:val="17"/>
                <w:color w:val="auto"/>
              </w:rPr>
              <w:t>Changes in goodwill consisted of the following (in thousands):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 2020</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78"/>
              </w:rPr>
              <w:t>$233,429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7"/>
                <w:szCs w:val="17"/>
                <w:color w:val="auto"/>
              </w:rPr>
              <w:t>Foreign currency translation</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September 30, 2021</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6"/>
            <w:shd w:val="clear" w:color="auto" w:fill="CCEEFF"/>
          </w:tcPr>
          <w:p>
            <w:pPr>
              <w:jc w:val="center"/>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233,429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6"/>
            <w:vMerge w:val="restart"/>
          </w:tcPr>
          <w:p>
            <w:pPr>
              <w:spacing w:after="0"/>
              <w:rPr>
                <w:sz w:val="20"/>
                <w:szCs w:val="20"/>
                <w:color w:val="auto"/>
              </w:rPr>
            </w:pPr>
            <w:r>
              <w:rPr>
                <w:rFonts w:ascii="Arial" w:cs="Arial" w:eastAsia="Arial" w:hAnsi="Arial"/>
                <w:sz w:val="17"/>
                <w:szCs w:val="17"/>
                <w:color w:val="auto"/>
              </w:rPr>
              <w:t>No goodwill impairment charges have been recognized in the periods presented.</w:t>
            </w: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66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80" w:type="dxa"/>
            <w:vAlign w:val="bottom"/>
            <w:gridSpan w:val="3"/>
          </w:tcPr>
          <w:p>
            <w:pPr>
              <w:spacing w:after="0"/>
              <w:rPr>
                <w:sz w:val="20"/>
                <w:szCs w:val="20"/>
                <w:color w:val="auto"/>
              </w:rPr>
            </w:pPr>
            <w:r>
              <w:rPr>
                <w:rFonts w:ascii="Arial" w:cs="Arial" w:eastAsia="Arial" w:hAnsi="Arial"/>
                <w:sz w:val="17"/>
                <w:szCs w:val="17"/>
                <w:color w:val="auto"/>
              </w:rPr>
              <w:t>Intangible assets consisted of the following (in thousands):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03"/>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60" w:type="dxa"/>
            <w:vAlign w:val="bottom"/>
            <w:gridSpan w:val="2"/>
          </w:tcPr>
          <w:p>
            <w:pPr>
              <w:jc w:val="center"/>
              <w:ind w:right="580"/>
              <w:spacing w:after="0" w:line="112" w:lineRule="exact"/>
              <w:rPr>
                <w:sz w:val="20"/>
                <w:szCs w:val="20"/>
                <w:color w:val="auto"/>
              </w:rPr>
            </w:pPr>
            <w:r>
              <w:rPr>
                <w:rFonts w:ascii="Arial" w:cs="Arial" w:eastAsia="Arial" w:hAnsi="Arial"/>
                <w:sz w:val="11"/>
                <w:szCs w:val="11"/>
                <w:b w:val="1"/>
                <w:bCs w:val="1"/>
                <w:color w:val="auto"/>
              </w:rPr>
              <w:t>Weighted</w:t>
            </w:r>
          </w:p>
        </w:tc>
        <w:tc>
          <w:tcPr>
            <w:tcW w:w="1140" w:type="dxa"/>
            <w:vAlign w:val="bottom"/>
            <w:gridSpan w:val="2"/>
          </w:tcPr>
          <w:p>
            <w:pPr>
              <w:jc w:val="center"/>
              <w:ind w:right="560"/>
              <w:spacing w:after="0" w:line="112" w:lineRule="exact"/>
              <w:rPr>
                <w:sz w:val="20"/>
                <w:szCs w:val="20"/>
                <w:color w:val="auto"/>
              </w:rPr>
            </w:pPr>
            <w:r>
              <w:rPr>
                <w:rFonts w:ascii="Arial" w:cs="Arial" w:eastAsia="Arial" w:hAnsi="Arial"/>
                <w:sz w:val="11"/>
                <w:szCs w:val="11"/>
                <w:b w:val="1"/>
                <w:bCs w:val="1"/>
                <w:color w:val="auto"/>
              </w:rPr>
              <w:t>Gross</w:t>
            </w: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w w:val="86"/>
              </w:rPr>
              <w:t>Average Useful</w:t>
            </w:r>
          </w:p>
        </w:tc>
        <w:tc>
          <w:tcPr>
            <w:tcW w:w="1140" w:type="dxa"/>
            <w:vAlign w:val="bottom"/>
            <w:gridSpan w:val="2"/>
          </w:tcPr>
          <w:p>
            <w:pPr>
              <w:jc w:val="center"/>
              <w:ind w:right="560"/>
              <w:spacing w:after="0" w:line="141" w:lineRule="exact"/>
              <w:rPr>
                <w:sz w:val="20"/>
                <w:szCs w:val="20"/>
                <w:color w:val="auto"/>
              </w:rPr>
            </w:pPr>
            <w:r>
              <w:rPr>
                <w:rFonts w:ascii="Arial" w:cs="Arial" w:eastAsia="Arial" w:hAnsi="Arial"/>
                <w:sz w:val="14"/>
                <w:szCs w:val="14"/>
                <w:b w:val="1"/>
                <w:bCs w:val="1"/>
                <w:color w:val="auto"/>
                <w:w w:val="93"/>
              </w:rPr>
              <w:t>Carrying</w:t>
            </w:r>
          </w:p>
        </w:tc>
        <w:tc>
          <w:tcPr>
            <w:tcW w:w="86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Life (years)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8"/>
              </w:rPr>
              <w:t>Amortization</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554</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3"/>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Acquired technology</w:t>
            </w:r>
          </w:p>
        </w:tc>
        <w:tc>
          <w:tcPr>
            <w:tcW w:w="1400" w:type="dxa"/>
            <w:vAlign w:val="bottom"/>
            <w:gridSpan w:val="2"/>
          </w:tcPr>
          <w:p>
            <w:pPr>
              <w:jc w:val="center"/>
              <w:ind w:left="474"/>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13,690</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(3,342)</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40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w w:val="84"/>
              </w:rPr>
              <w:t>12</w:t>
            </w: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53,620</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(7,186)</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46,434</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1400" w:type="dxa"/>
            <w:vAlign w:val="bottom"/>
            <w:gridSpan w:val="2"/>
          </w:tcPr>
          <w:p>
            <w:pPr>
              <w:jc w:val="center"/>
              <w:ind w:left="474"/>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(415)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68,279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(10,943)</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80" w:type="dxa"/>
            <w:vAlign w:val="bottom"/>
            <w:gridSpan w:val="3"/>
            <w:vMerge w:val="restart"/>
          </w:tcPr>
          <w:p>
            <w:pPr>
              <w:ind w:left="360"/>
              <w:spacing w:after="0"/>
              <w:rPr>
                <w:sz w:val="20"/>
                <w:szCs w:val="20"/>
                <w:color w:val="auto"/>
              </w:rPr>
            </w:pPr>
            <w:r>
              <w:rPr>
                <w:rFonts w:ascii="Arial" w:cs="Arial" w:eastAsia="Arial" w:hAnsi="Arial"/>
                <w:sz w:val="17"/>
                <w:szCs w:val="17"/>
                <w:color w:val="auto"/>
              </w:rPr>
              <w:t>F-114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16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Weighted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Useful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Life</w:t>
            </w:r>
          </w:p>
        </w:tc>
        <w:tc>
          <w:tcPr>
            <w:tcW w:w="580" w:type="dxa"/>
            <w:vAlign w:val="bottom"/>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6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4"/>
        </w:trPr>
        <w:tc>
          <w:tcPr>
            <w:tcW w:w="5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58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Acquired technology</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13,690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(1,879)</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11,811</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53,620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(3,844)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49,776</w:t>
            </w: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Trade name</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415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68,279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(6,080)</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62,199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2021 was $1,619,000 and $4,863,000, respectively.</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2020 was $1,724,000 and $4,195,000, respectively.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These amounts are included in “Depreciation and amortization” in the accompanying consolidated statements of operations and comprehensive loss.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shows estimated future amortization expense for definite-lived intangible assets as of September 30, 2021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2022</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2024</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6,442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Thereafter</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29,449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$ 56,782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6.  Consolidated Balance Sheet Components</w:t>
            </w: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64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40" w:type="dxa"/>
            <w:vAlign w:val="bottom"/>
            <w:gridSpan w:val="3"/>
          </w:tcPr>
          <w:p>
            <w:pPr>
              <w:spacing w:after="0"/>
              <w:rPr>
                <w:sz w:val="20"/>
                <w:szCs w:val="20"/>
                <w:color w:val="auto"/>
              </w:rPr>
            </w:pPr>
            <w:r>
              <w:rPr>
                <w:rFonts w:ascii="Arial" w:cs="Arial" w:eastAsia="Arial" w:hAnsi="Arial"/>
                <w:sz w:val="17"/>
                <w:szCs w:val="17"/>
                <w:color w:val="auto"/>
                <w:w w:val="99"/>
              </w:rPr>
              <w:t>Other current assets consisted of the following (in thousands):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7"/>
              </w:rPr>
              <w:t>September 30, 2021</w:t>
            </w:r>
          </w:p>
        </w:tc>
        <w:tc>
          <w:tcPr>
            <w:tcW w:w="560" w:type="dxa"/>
            <w:vAlign w:val="bottom"/>
          </w:tcPr>
          <w:p>
            <w:pPr>
              <w:spacing w:after="0"/>
              <w:rPr>
                <w:sz w:val="24"/>
                <w:szCs w:val="2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5"/>
              </w:rPr>
              <w:t>December 31, 2020</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5,365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380" w:type="dxa"/>
            <w:vAlign w:val="bottom"/>
            <w:gridSpan w:val="2"/>
          </w:tcPr>
          <w:p>
            <w:pPr>
              <w:spacing w:after="0" w:line="194" w:lineRule="exact"/>
              <w:rPr>
                <w:sz w:val="20"/>
                <w:szCs w:val="20"/>
                <w:color w:val="auto"/>
              </w:rPr>
            </w:pPr>
            <w:r>
              <w:rPr>
                <w:rFonts w:ascii="Arial" w:cs="Arial" w:eastAsia="Arial" w:hAnsi="Arial"/>
                <w:sz w:val="17"/>
                <w:szCs w:val="17"/>
                <w:color w:val="auto"/>
              </w:rPr>
              <w:t>Class B warrant asset, current</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7"/>
                <w:szCs w:val="17"/>
                <w:color w:val="auto"/>
              </w:rPr>
              <w:t>(see Note 8)</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2,325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5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7"/>
                <w:szCs w:val="17"/>
                <w:color w:val="auto"/>
              </w:rPr>
              <w:t>F-115</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1" w:right="73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equipment and software, net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Internal-use software</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30,724</w:t>
            </w:r>
          </w:p>
        </w:tc>
        <w:tc>
          <w:tcPr>
            <w:tcW w:w="10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Purchased software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116</w:t>
            </w: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609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2,802</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717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Property, equipment and software, gross</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34,968</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22,740</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 and depreciation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(6,901)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(2,783)</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vMerge w:val="continue"/>
          </w:tcPr>
          <w:p>
            <w:pPr>
              <w:spacing w:after="0"/>
              <w:rPr>
                <w:sz w:val="18"/>
                <w:szCs w:val="18"/>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28,067</w:t>
            </w:r>
          </w:p>
        </w:tc>
        <w:tc>
          <w:tcPr>
            <w:tcW w:w="10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0"/>
        <w:spacing w:after="0" w:line="279" w:lineRule="auto"/>
        <w:rPr>
          <w:sz w:val="20"/>
          <w:szCs w:val="20"/>
          <w:color w:val="auto"/>
        </w:rPr>
      </w:pPr>
      <w:r>
        <w:rPr>
          <w:rFonts w:ascii="Arial" w:cs="Arial" w:eastAsia="Arial" w:hAnsi="Arial"/>
          <w:sz w:val="16"/>
          <w:szCs w:val="16"/>
          <w:color w:val="auto"/>
        </w:rPr>
        <w:t>For the three and nine months ended September 30, 2021, the Company recorded depreciation and amortization expense related to property, equipment and software amounting to $1,616,000 and $4,132,000, respectively, of which $1,323,000 and $3,400,000, respectively, related to amortization expense of capitalized internal-use software placed in service. For the three and nine months ended September 30, 2020, the Company recorded depreciation and amortization expense related to property, equipment and software amounting to $474,000 and $1,190,000, respectively, of which $269,000 and $760,000, respectively, related to amortization expense of capitalized internal-use software placed in service.</w:t>
      </w:r>
    </w:p>
    <w:p>
      <w:pPr>
        <w:spacing w:after="0" w:line="165" w:lineRule="exact"/>
        <w:rPr>
          <w:sz w:val="20"/>
          <w:szCs w:val="20"/>
          <w:color w:val="auto"/>
        </w:rPr>
      </w:pPr>
    </w:p>
    <w:p>
      <w:pPr>
        <w:ind w:left="380"/>
        <w:spacing w:after="0" w:line="306" w:lineRule="auto"/>
        <w:rPr>
          <w:sz w:val="20"/>
          <w:szCs w:val="20"/>
          <w:color w:val="auto"/>
        </w:rPr>
      </w:pPr>
      <w:r>
        <w:rPr>
          <w:rFonts w:ascii="Arial" w:cs="Arial" w:eastAsia="Arial" w:hAnsi="Arial"/>
          <w:sz w:val="15"/>
          <w:szCs w:val="15"/>
          <w:color w:val="auto"/>
        </w:rPr>
        <w:t>During the three months ended September 30,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w:t>
      </w:r>
    </w:p>
    <w:p>
      <w:pPr>
        <w:spacing w:after="0" w:line="149"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During the nine months ended September 30,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Deposits with Clearinghouse Affiliate</w:t>
      </w:r>
    </w:p>
    <w:p>
      <w:pPr>
        <w:spacing w:after="0" w:line="113" w:lineRule="exact"/>
        <w:rPr>
          <w:sz w:val="20"/>
          <w:szCs w:val="20"/>
          <w:color w:val="auto"/>
        </w:rPr>
      </w:pPr>
    </w:p>
    <w:p>
      <w:pPr>
        <w:jc w:val="both"/>
        <w:ind w:left="380" w:right="740"/>
        <w:spacing w:after="0" w:line="265" w:lineRule="auto"/>
        <w:rPr>
          <w:sz w:val="20"/>
          <w:szCs w:val="20"/>
          <w:color w:val="auto"/>
        </w:rPr>
      </w:pPr>
      <w:r>
        <w:rPr>
          <w:rFonts w:ascii="Arial" w:cs="Arial" w:eastAsia="Arial" w:hAnsi="Arial"/>
          <w:sz w:val="17"/>
          <w:szCs w:val="17"/>
          <w:color w:val="auto"/>
        </w:rPr>
        <w:t>Deposits with clearinghouse affiliate, current and noncurrent, consisted of the default resource contribution (see Note 7). The default resource contribution amounted to $15,151,000 and $35,350,000 as of September 30, 2021 and December 31, 2020, respectively. The default resource contribution includes $1,000 of cash margins held with ICUS.</w:t>
      </w:r>
    </w:p>
    <w:p>
      <w:pPr>
        <w:spacing w:after="0" w:line="176" w:lineRule="exact"/>
        <w:rPr>
          <w:sz w:val="20"/>
          <w:szCs w:val="20"/>
          <w:color w:val="auto"/>
        </w:rPr>
      </w:pPr>
    </w:p>
    <w:p>
      <w:pPr>
        <w:jc w:val="both"/>
        <w:ind w:left="380" w:right="160"/>
        <w:spacing w:after="0" w:line="265" w:lineRule="auto"/>
        <w:rPr>
          <w:sz w:val="20"/>
          <w:szCs w:val="20"/>
          <w:color w:val="auto"/>
        </w:rPr>
      </w:pPr>
      <w:r>
        <w:rPr>
          <w:rFonts w:ascii="Arial" w:cs="Arial" w:eastAsia="Arial" w:hAnsi="Arial"/>
          <w:sz w:val="17"/>
          <w:szCs w:val="17"/>
          <w:color w:val="auto"/>
        </w:rPr>
        <w:t>On January 19, 2021, ICUS self-certified a rule change with the CFTC, reducing Bakkt Trust’s “skin-in-the-game” contribution to the ICUS guaranty fund to $15,150,000 from $35,350,000. Following the two-week self-certification period, in which no comments were received from the CFTC, ICUS proceeded with the reduction. On February 3, 2021, ICUS returned $20,200,000 to Bakkt Trust.</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F-116</w:t>
      </w:r>
    </w:p>
    <w:p>
      <w:pPr>
        <w:sectPr>
          <w:pgSz w:w="11900" w:h="16838" w:orient="portrait"/>
          <w:cols w:equalWidth="0" w:num="1">
            <w:col w:w="10840"/>
          </w:cols>
          <w:pgMar w:left="320" w:top="471" w:right="73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Accounts Payable and Accrued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Accounts payable and accrued liabilities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46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2021</w:t>
            </w:r>
          </w:p>
        </w:tc>
        <w:tc>
          <w:tcPr>
            <w:tcW w:w="10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r>
      <w:tr>
        <w:trPr>
          <w:trHeight w:val="19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13,890</w:t>
            </w:r>
          </w:p>
        </w:tc>
        <w:tc>
          <w:tcPr>
            <w:tcW w:w="104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7,165</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Accrued expenses</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12,142</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14,808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Purchasing card payable</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16,195</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12,683</w:t>
            </w: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Salaries and benefits payable</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11,559</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6,018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2,241</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6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57,286</w:t>
            </w:r>
          </w:p>
        </w:tc>
        <w:tc>
          <w:tcPr>
            <w:tcW w:w="140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42,915</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3"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Related Parties</w:t>
      </w:r>
    </w:p>
    <w:p>
      <w:pPr>
        <w:spacing w:after="0" w:line="119" w:lineRule="exact"/>
        <w:rPr>
          <w:sz w:val="20"/>
          <w:szCs w:val="20"/>
          <w:color w:val="auto"/>
        </w:rPr>
      </w:pPr>
    </w:p>
    <w:p>
      <w:pPr>
        <w:ind w:left="380" w:right="100"/>
        <w:spacing w:after="0" w:line="259" w:lineRule="auto"/>
        <w:rPr>
          <w:sz w:val="20"/>
          <w:szCs w:val="20"/>
          <w:color w:val="auto"/>
        </w:rPr>
      </w:pPr>
      <w:r>
        <w:rPr>
          <w:rFonts w:ascii="Arial" w:cs="Arial" w:eastAsia="Arial" w:hAnsi="Arial"/>
          <w:sz w:val="17"/>
          <w:szCs w:val="17"/>
          <w:color w:val="auto"/>
        </w:rPr>
        <w:t>On December 19, 2018, Bakkt entered into an intercompany services agreement with ICE to provide management and technical support services. For the three and nine months ended September 30, 2021, expenses of $471,000 and $1,413,000, respectively, have been recorded by Bakkt in connection with this agreement. For the three and nine months ended September 30, 2020, expenses of $471,000 and $2,611,000, respectively, have been recorded by Bakkt in connection with this agreement. These amounts are reflected as “Affiliate expenses” in the accompanying consolidated statements of operations and comprehensive loss.</w:t>
      </w:r>
    </w:p>
    <w:p>
      <w:pPr>
        <w:spacing w:after="0" w:line="180" w:lineRule="exact"/>
        <w:rPr>
          <w:sz w:val="20"/>
          <w:szCs w:val="20"/>
          <w:color w:val="auto"/>
        </w:rPr>
      </w:pPr>
    </w:p>
    <w:p>
      <w:pPr>
        <w:ind w:left="380"/>
        <w:spacing w:after="0" w:line="289" w:lineRule="auto"/>
        <w:rPr>
          <w:sz w:val="20"/>
          <w:szCs w:val="20"/>
          <w:color w:val="auto"/>
        </w:rPr>
      </w:pPr>
      <w:r>
        <w:rPr>
          <w:rFonts w:ascii="Arial" w:cs="Arial" w:eastAsia="Arial" w:hAnsi="Arial"/>
          <w:sz w:val="15"/>
          <w:szCs w:val="15"/>
          <w:color w:val="auto"/>
        </w:rPr>
        <w:t>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custody, settlement and ancillary services relating to digital currencies. The Triparty Agreement required Bakkt Trust to make, and, subject to certain limits, to replenish as needed a default resource contribution to ICUS, to be used by ICUS in accordance with the ICUS rules and is included in the “Deposits with clearinghouse affiliate” current and noncurrent balances on the accompanying consolidated balance sheets. That default resource contribution was reduced in January 2021 from $35,350,000 to $15,150,000 (see Note 6). Interest earned on the contribution, net of certain fees and costs, is paid to Bakkt Trust from ICUS. The Company did not earn any interest for the three and nine months ended September 30, 2021. Total interest of $3,000 and $124,000 was earned for the three and nine months ended September 30, 2020, respectively. This interest is included in “Interest income, net” in the accompanying consolidated statements of operations and comprehensive loss. All interest earned was collected as of September 30, 2021 and December 31, 2020, respectively. The Triparty Agreement further requires all revenues of IFUS and ICUS with respect to the trading and clearing of digital currency contracts, after deduction of any applicable rebates and liquidity or incentive payments, to be remitted to Bakkt. Bakkt recognized revenues related to the Triparty Agreement of $(111,000) and $(154,000) for the three and nine months ended September 30, 2021, respectively. These amounts are net of $2,000 and $151,000 for rebates and incentive payments (contra-revenue) for the three and nine months ended September 30, 2021, respectively. Bakkt also recognized a capital contribution for the cost of the trading and clearing services provided by IFUS and ICUS pursuant to the Contribution Agreement, which reduced the revenue attributable to the Triparty Agreement by $174,000 and $458,000 for the three and nine months ended September 30, 2021, respectively. Bakkt recognized revenues related to the Triparty Agreement of $(1,149,000) and $(2,153,000) for the three and nine months ended September 30, 2020, respectively, net of $1,809,000 and $3,178,000 for rebates and incentive payments (contra-revenue) for the three and nine months ended September 30, 2020, respectively, and reduced by the capital contribution pursuant to the Contribution Agreement of $334,000 and $517,000 for the three and nine months ended September 30, 2020, respectively.</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F-117</w:t>
      </w:r>
    </w:p>
    <w:p>
      <w:pPr>
        <w:sectPr>
          <w:pgSz w:w="11900" w:h="16838" w:orient="portrait"/>
          <w:cols w:equalWidth="0" w:num="1">
            <w:col w:w="10840"/>
          </w:cols>
          <w:pgMar w:left="320" w:top="471" w:right="73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Pursuant to a separate triparty agreement among ICE Futures Singapore IFS, ICS and Bakkt Holdings, IFS and ICS provide trade execution and clearing services to customers that trade the cash-settled futures. Bakkt provides to IFS and ICS pricing data from its PDF Contracts and also licenses its name to IFS and ICS for use in marketing the cash-settled futures. ICS and IFS pay to Bakkt 35% of the net trading and clearing revenue that they earn with respect to these contracts. Bakkt is not a party to the contracts with customers that trade the cash-settled futures. To date, the cash-settled contracts have resulted in no net revenue payable to Bakkt.</w:t>
      </w:r>
    </w:p>
    <w:p>
      <w:pPr>
        <w:spacing w:after="0" w:line="180" w:lineRule="exact"/>
        <w:rPr>
          <w:sz w:val="20"/>
          <w:szCs w:val="20"/>
          <w:color w:val="auto"/>
        </w:rPr>
      </w:pPr>
    </w:p>
    <w:p>
      <w:pPr>
        <w:ind w:left="380" w:right="780"/>
        <w:spacing w:after="0" w:line="311" w:lineRule="auto"/>
        <w:rPr>
          <w:sz w:val="20"/>
          <w:szCs w:val="20"/>
          <w:color w:val="auto"/>
        </w:rPr>
      </w:pPr>
      <w:r>
        <w:rPr>
          <w:rFonts w:ascii="Arial" w:cs="Arial" w:eastAsia="Arial" w:hAnsi="Arial"/>
          <w:sz w:val="16"/>
          <w:szCs w:val="16"/>
          <w:color w:val="auto"/>
        </w:rPr>
        <w:t>As of September 30, 2021 and December 31, 2020, Bakkt had $2,312,000 and $1,856,000, respectively, reflected as “Due to affiliates” in the accompanying consolidated balance sheets related to the intercompany services agreement and Triparty Agreement.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Prior to the withdrawal of Bakkt Clearing’s ICUS membership on May 20, 2020, Bakkt Clearing was required to hold shares of ICE stock for ICUS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membership privileges. These shares were carried at cost basis and evaluated periodically for impairment. In connection with the withdrawal of Bakkt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Clearing’s ICUS membership, these shares were remeasured at fair value, with unrealized gains and losses being reflected as “Other income (expense),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in the accompanying consolidated statements of operations and comprehensive loss. In June 2021, the Company sold all of its shares of ICE stock.</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nine months ended September 30, 2021, the Company recorded a realized loss on the sale of shares of affiliate stock of $0 and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$63,000, respectively. For the three and nine months ended September 30, 2020, the Company recorded an unrealized gain of $134,000 and $387,000</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change in fair value of the shares. These realized and unrealized gains and losses are included in “Other income (expense), net” in the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accompanying consolidated statements of operations and comprehensive loss.</w:t>
      </w:r>
    </w:p>
    <w:p>
      <w:pPr>
        <w:spacing w:after="0" w:line="205"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On February 21, 2020, ICE acquired 100% of the issued and outstanding ownership interests in Bridge2 Solutions (see Note 4). On March 12, 2020, the Company completed Series B round of funding in the amount of $300 million and issued 270 million Class C voting units to ICE and certain minority investors. As part of this funding, ICE contributed the Bridge2 Solutions business to Bakkt at an enterprise value of approximately $261,400,000, with approximately $10,100,000 of additional goodwill, as discussed in Note 4, and made a $2,612,000 cash contribution, $1,378,000 of which was used to pay acquisition-related expenses incurred by the Company. Additionally, the Company received $36,567,000 of cash contributions from ICE and certain minority investors.</w:t>
      </w:r>
    </w:p>
    <w:p>
      <w:pPr>
        <w:spacing w:after="0" w:line="185"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On August 31, 2021, the Company amended the Class C Warrant to change the service conditions for 781,515 warrant units. The service conditions for the remaining 2,818,485 units were unchanged. As of September 30, 2021, 781,515 warrant units vested, and the Company recognized $969,000 of selling, general and administrative expense and members’ equity associated with the vested warrant units. As of December 31, 2020, no vesting of the warrant had occurred, and Bakkt had not recognized any cost or any amount within members’ equity associated with the warrant (see Note 8).</w:t>
      </w:r>
    </w:p>
    <w:p>
      <w:pPr>
        <w:spacing w:after="0" w:line="278"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Members’ Equity</w:t>
      </w:r>
    </w:p>
    <w:p>
      <w:pPr>
        <w:spacing w:after="0" w:line="119"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F-118</w:t>
      </w:r>
    </w:p>
    <w:p>
      <w:pPr>
        <w:sectPr>
          <w:pgSz w:w="11900" w:h="16838" w:orient="portrait"/>
          <w:cols w:equalWidth="0" w:num="1">
            <w:col w:w="10840"/>
          </w:cols>
          <w:pgMar w:left="320" w:top="471" w:right="739" w:bottom="1440" w:gutter="0" w:footer="0" w:header="0"/>
        </w:sectPr>
      </w:pPr>
    </w:p>
    <w:bookmarkStart w:id="298" w:name="page299"/>
    <w:bookmarkEnd w:id="2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B Warrant</w:t>
      </w:r>
    </w:p>
    <w:p>
      <w:pPr>
        <w:spacing w:after="0" w:line="113" w:lineRule="exact"/>
        <w:rPr>
          <w:sz w:val="20"/>
          <w:szCs w:val="20"/>
          <w:color w:val="auto"/>
        </w:rPr>
      </w:pPr>
    </w:p>
    <w:p>
      <w:pPr>
        <w:ind w:left="380" w:right="320"/>
        <w:spacing w:after="0" w:line="265" w:lineRule="auto"/>
        <w:rPr>
          <w:sz w:val="20"/>
          <w:szCs w:val="20"/>
          <w:color w:val="auto"/>
        </w:rPr>
      </w:pPr>
      <w:r>
        <w:rPr>
          <w:rFonts w:ascii="Arial" w:cs="Arial" w:eastAsia="Arial" w:hAnsi="Arial"/>
          <w:sz w:val="17"/>
          <w:szCs w:val="17"/>
          <w:color w:val="auto"/>
        </w:rPr>
        <w:t>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w:t>
      </w:r>
    </w:p>
    <w:p>
      <w:pPr>
        <w:spacing w:after="0" w:line="176" w:lineRule="exact"/>
        <w:rPr>
          <w:sz w:val="20"/>
          <w:szCs w:val="20"/>
          <w:color w:val="auto"/>
        </w:rPr>
      </w:pPr>
    </w:p>
    <w:p>
      <w:pPr>
        <w:ind w:left="380"/>
        <w:spacing w:after="0" w:line="306" w:lineRule="auto"/>
        <w:rPr>
          <w:sz w:val="20"/>
          <w:szCs w:val="20"/>
          <w:color w:val="auto"/>
        </w:rPr>
      </w:pPr>
      <w:r>
        <w:rPr>
          <w:rFonts w:ascii="Arial" w:cs="Arial" w:eastAsia="Arial" w:hAnsi="Arial"/>
          <w:sz w:val="15"/>
          <w:szCs w:val="15"/>
          <w:color w:val="auto"/>
        </w:rPr>
        <w:t>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w:t>
      </w:r>
    </w:p>
    <w:p>
      <w:pPr>
        <w:spacing w:after="0" w:line="149"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The Company measured the fair value of its Class B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8"/>
              </w:rPr>
              <w:t>As of February 19,</w:t>
            </w:r>
          </w:p>
        </w:tc>
      </w:tr>
      <w:tr>
        <w:trPr>
          <w:trHeight w:val="164"/>
        </w:trPr>
        <w:tc>
          <w:tcPr>
            <w:tcW w:w="58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199"/>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3.00</w:t>
            </w:r>
          </w:p>
        </w:tc>
      </w:tr>
    </w:tbl>
    <w:p>
      <w:pPr>
        <w:spacing w:after="0" w:line="182"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does not presently plan to pay cash dividends in the foreseeable future. As a result, an expected dividend yield of zero percent was used.</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April 6, 2021, the strategic partner elected to net exercise its Class B Warrant in exchange for 9,953,454 of Class B voting units.</w:t>
      </w:r>
    </w:p>
    <w:p>
      <w:pPr>
        <w:spacing w:after="0" w:line="216" w:lineRule="exact"/>
        <w:rPr>
          <w:sz w:val="20"/>
          <w:szCs w:val="20"/>
          <w:color w:val="auto"/>
        </w:rPr>
      </w:pPr>
    </w:p>
    <w:p>
      <w:pPr>
        <w:jc w:val="both"/>
        <w:ind w:left="380" w:right="160"/>
        <w:spacing w:after="0" w:line="261" w:lineRule="auto"/>
        <w:rPr>
          <w:sz w:val="20"/>
          <w:szCs w:val="20"/>
          <w:color w:val="auto"/>
        </w:rPr>
      </w:pPr>
      <w:r>
        <w:rPr>
          <w:rFonts w:ascii="Arial" w:cs="Arial" w:eastAsia="Arial" w:hAnsi="Arial"/>
          <w:sz w:val="17"/>
          <w:szCs w:val="17"/>
          <w:color w:val="auto"/>
        </w:rPr>
        <w:t>For the three and nine months ended September 30, 2021, the Company recognized reductions to revenue of approximately $581,000 and $1,743,000, respectively, related to the Class B Warrant (see Note 3). For the three and nine months ended September 30, 2020, the Company did not recognize a reduction to revenue related to the Class B Warrant as the Company’s performance obligation to provide services under the customer contract did not commence until November 2020.</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C Warrant</w:t>
      </w:r>
    </w:p>
    <w:p>
      <w:pPr>
        <w:spacing w:after="0" w:line="113" w:lineRule="exact"/>
        <w:rPr>
          <w:sz w:val="20"/>
          <w:szCs w:val="20"/>
          <w:color w:val="auto"/>
        </w:rPr>
      </w:pPr>
    </w:p>
    <w:p>
      <w:pPr>
        <w:ind w:left="380" w:right="60"/>
        <w:spacing w:after="0" w:line="289" w:lineRule="auto"/>
        <w:rPr>
          <w:sz w:val="20"/>
          <w:szCs w:val="20"/>
          <w:color w:val="auto"/>
        </w:rPr>
      </w:pPr>
      <w:r>
        <w:rPr>
          <w:rFonts w:ascii="Arial" w:cs="Arial" w:eastAsia="Arial" w:hAnsi="Arial"/>
          <w:sz w:val="16"/>
          <w:szCs w:val="16"/>
          <w:color w:val="auto"/>
        </w:rPr>
        <w:t>On May 19, 2020, the Company issued a warrant to a minority investor to purchase 3,603,600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w:t>
      </w:r>
    </w:p>
    <w:p>
      <w:pPr>
        <w:spacing w:after="0" w:line="9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F-119</w:t>
      </w:r>
    </w:p>
    <w:p>
      <w:pPr>
        <w:sectPr>
          <w:pgSz w:w="11900" w:h="16838" w:orient="portrait"/>
          <w:cols w:equalWidth="0" w:num="1">
            <w:col w:w="10820"/>
          </w:cols>
          <w:pgMar w:left="320" w:top="471" w:right="759" w:bottom="1440" w:gutter="0" w:footer="0" w:header="0"/>
        </w:sectPr>
      </w:pPr>
    </w:p>
    <w:bookmarkStart w:id="299" w:name="page300"/>
    <w:bookmarkEnd w:id="2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89535</wp:posOffset>
            </wp:positionV>
            <wp:extent cx="7180580" cy="533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The Company measured the fair value of its Class C Warrant at the issuance date using the Black-Scholes option pricing model. The key inputs used in the valuation were as follows:</w:t>
      </w:r>
    </w:p>
    <w:p>
      <w:pPr>
        <w:spacing w:after="0" w:line="193"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3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8"/>
              </w:rPr>
              <w:t>As of May 19, 2020</w:t>
            </w:r>
          </w:p>
        </w:tc>
      </w:tr>
      <w:tr>
        <w:trPr>
          <w:trHeight w:val="19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4.35</w:t>
            </w:r>
          </w:p>
        </w:tc>
      </w:tr>
    </w:tbl>
    <w:p>
      <w:pPr>
        <w:spacing w:after="0" w:line="182"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On August 31, 2021, the Company amended the Class C Warrant to change the service conditions for 781,515 warrant units. The service conditions for the remaining 2,818,485 units were unchanged.</w:t>
      </w:r>
    </w:p>
    <w:p>
      <w:pPr>
        <w:spacing w:after="0" w:line="165" w:lineRule="exact"/>
        <w:rPr>
          <w:sz w:val="20"/>
          <w:szCs w:val="20"/>
          <w:color w:val="auto"/>
        </w:rPr>
      </w:pPr>
    </w:p>
    <w:p>
      <w:pPr>
        <w:jc w:val="both"/>
        <w:ind w:left="380" w:right="360"/>
        <w:spacing w:after="0" w:line="265" w:lineRule="auto"/>
        <w:rPr>
          <w:sz w:val="20"/>
          <w:szCs w:val="20"/>
          <w:color w:val="auto"/>
        </w:rPr>
      </w:pPr>
      <w:r>
        <w:rPr>
          <w:rFonts w:ascii="Arial" w:cs="Arial" w:eastAsia="Arial" w:hAnsi="Arial"/>
          <w:sz w:val="17"/>
          <w:szCs w:val="17"/>
          <w:color w:val="auto"/>
        </w:rPr>
        <w:t>The Company accounted for the amendment as a modification and remeasured the fair value of the modified warrant units on the modification date using the Black-Scholes option pricing model. The fair value of the amended warrant units on modification date was estimated to be approximately $969,000. The key inputs used in the valuation were as follows:</w:t>
      </w:r>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144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5"/>
              </w:rPr>
              <w:t>As of August 31, 2021</w:t>
            </w:r>
          </w:p>
        </w:tc>
      </w:tr>
      <w:tr>
        <w:trPr>
          <w:trHeight w:val="19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2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0.41%</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w:t>
            </w:r>
          </w:p>
        </w:tc>
      </w:tr>
      <w:tr>
        <w:trPr>
          <w:trHeight w:val="217"/>
        </w:trPr>
        <w:tc>
          <w:tcPr>
            <w:tcW w:w="5680" w:type="dxa"/>
            <w:vAlign w:val="bottom"/>
          </w:tcPr>
          <w:p>
            <w:pPr>
              <w:spacing w:after="0"/>
              <w:rPr>
                <w:sz w:val="20"/>
                <w:szCs w:val="20"/>
                <w:color w:val="auto"/>
              </w:rPr>
            </w:pPr>
            <w:r>
              <w:rPr>
                <w:rFonts w:ascii="Arial" w:cs="Arial" w:eastAsia="Arial" w:hAnsi="Arial"/>
                <w:sz w:val="17"/>
                <w:szCs w:val="17"/>
                <w:color w:val="auto"/>
              </w:rPr>
              <w:t>Expected term (years)</w:t>
            </w:r>
          </w:p>
        </w:tc>
        <w:tc>
          <w:tcPr>
            <w:tcW w:w="1440" w:type="dxa"/>
            <w:vAlign w:val="bottom"/>
            <w:gridSpan w:val="2"/>
          </w:tcPr>
          <w:p>
            <w:pPr>
              <w:jc w:val="right"/>
              <w:ind w:right="94"/>
              <w:spacing w:after="0"/>
              <w:rPr>
                <w:sz w:val="20"/>
                <w:szCs w:val="20"/>
                <w:color w:val="auto"/>
              </w:rPr>
            </w:pPr>
            <w:r>
              <w:rPr>
                <w:rFonts w:ascii="Arial" w:cs="Arial" w:eastAsia="Arial" w:hAnsi="Arial"/>
                <w:sz w:val="17"/>
                <w:szCs w:val="17"/>
                <w:color w:val="auto"/>
              </w:rPr>
              <w:t>3.06</w:t>
            </w:r>
          </w:p>
        </w:tc>
      </w:tr>
    </w:tbl>
    <w:p>
      <w:pPr>
        <w:spacing w:after="0" w:line="182"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As of September 30, 2021, the 781,515 amended warrant units have vested but have not been exercised, and the remaining 2,822,085 warrant units have not vested or been exercised. As of December 31, 2020, the Class C Warrant had not vested or been exercised. The Company recorded $969,000 of selling, general and administrative expense in both the three and nine months ended September 30, 2021 upon the vesting of the amended warrant units. No expenses were recorded in the three and nine months ended September 30, 2020 since the service conditions were not probable of being met in those periods.</w:t>
      </w:r>
    </w:p>
    <w:p>
      <w:pPr>
        <w:spacing w:after="0" w:line="277"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Unit-Based Compensation</w:t>
      </w:r>
    </w:p>
    <w:p>
      <w:pPr>
        <w:spacing w:after="0" w:line="119" w:lineRule="exact"/>
        <w:rPr>
          <w:sz w:val="20"/>
          <w:szCs w:val="20"/>
          <w:color w:val="auto"/>
        </w:rPr>
      </w:pPr>
    </w:p>
    <w:p>
      <w:pPr>
        <w:ind w:left="380" w:right="80"/>
        <w:spacing w:after="0" w:line="282" w:lineRule="auto"/>
        <w:rPr>
          <w:sz w:val="20"/>
          <w:szCs w:val="20"/>
          <w:color w:val="auto"/>
        </w:rPr>
      </w:pPr>
      <w:r>
        <w:rPr>
          <w:rFonts w:ascii="Arial" w:cs="Arial" w:eastAsia="Arial" w:hAnsi="Arial"/>
          <w:sz w:val="16"/>
          <w:szCs w:val="16"/>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F-120</w:t>
      </w:r>
    </w:p>
    <w:p>
      <w:pPr>
        <w:sectPr>
          <w:pgSz w:w="11900" w:h="16838" w:orient="portrait"/>
          <w:cols w:equalWidth="0" w:num="1">
            <w:col w:w="10840"/>
          </w:cols>
          <w:pgMar w:left="320" w:top="471" w:right="739" w:bottom="1440" w:gutter="0" w:footer="0" w:header="0"/>
        </w:sectPr>
      </w:pPr>
    </w:p>
    <w:bookmarkStart w:id="300" w:name="page301"/>
    <w:bookmarkEnd w:id="3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296" w:lineRule="auto"/>
        <w:rPr>
          <w:sz w:val="20"/>
          <w:szCs w:val="20"/>
          <w:color w:val="auto"/>
        </w:rPr>
      </w:pPr>
      <w:r>
        <w:rPr>
          <w:rFonts w:ascii="Arial" w:cs="Arial" w:eastAsia="Arial" w:hAnsi="Arial"/>
          <w:sz w:val="15"/>
          <w:szCs w:val="15"/>
          <w:color w:val="auto"/>
        </w:rPr>
        <w:t>(“Management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September 30, 2021 and December 31, 2020, we do not believe it is probable that the put option will be exercised and have not remeasured these incentive units.</w:t>
      </w:r>
    </w:p>
    <w:p>
      <w:pPr>
        <w:spacing w:after="0" w:line="157" w:lineRule="exact"/>
        <w:rPr>
          <w:sz w:val="20"/>
          <w:szCs w:val="20"/>
          <w:color w:val="auto"/>
        </w:rPr>
      </w:pPr>
    </w:p>
    <w:p>
      <w:pPr>
        <w:ind w:left="380" w:right="80"/>
        <w:spacing w:after="0" w:line="279" w:lineRule="auto"/>
        <w:rPr>
          <w:sz w:val="20"/>
          <w:szCs w:val="20"/>
          <w:color w:val="auto"/>
        </w:rPr>
      </w:pPr>
      <w:r>
        <w:rPr>
          <w:rFonts w:ascii="Arial" w:cs="Arial" w:eastAsia="Arial" w:hAnsi="Arial"/>
          <w:sz w:val="16"/>
          <w:szCs w:val="16"/>
          <w:color w:val="auto"/>
        </w:rPr>
        <w:t>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left="380" w:right="120"/>
        <w:spacing w:after="0" w:line="259" w:lineRule="auto"/>
        <w:rPr>
          <w:sz w:val="20"/>
          <w:szCs w:val="20"/>
          <w:color w:val="auto"/>
        </w:rPr>
      </w:pPr>
      <w:r>
        <w:rPr>
          <w:rFonts w:ascii="Arial" w:cs="Arial" w:eastAsia="Arial" w:hAnsi="Arial"/>
          <w:sz w:val="17"/>
          <w:szCs w:val="17"/>
          <w:color w:val="auto"/>
        </w:rPr>
        <w:t>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w:t>
      </w:r>
    </w:p>
    <w:p>
      <w:pPr>
        <w:spacing w:after="0" w:line="180" w:lineRule="exact"/>
        <w:rPr>
          <w:sz w:val="20"/>
          <w:szCs w:val="20"/>
          <w:color w:val="auto"/>
        </w:rPr>
      </w:pPr>
    </w:p>
    <w:p>
      <w:pPr>
        <w:ind w:left="380" w:right="380"/>
        <w:spacing w:after="0" w:line="259" w:lineRule="auto"/>
        <w:rPr>
          <w:sz w:val="20"/>
          <w:szCs w:val="20"/>
          <w:color w:val="auto"/>
        </w:rPr>
      </w:pPr>
      <w:r>
        <w:rPr>
          <w:rFonts w:ascii="Arial" w:cs="Arial" w:eastAsia="Arial" w:hAnsi="Arial"/>
          <w:sz w:val="17"/>
          <w:szCs w:val="17"/>
          <w:color w:val="auto"/>
        </w:rPr>
        <w:t>In anticipation of the business combination discussed in Note 1, certain awards granted under the Equity Plan in late 2020 were modified. The modification was approved in April 2021. The modification requires the Company to redeem 40% of the first one-third of certain employee awards which are scheduled to vest upon consummation of the business combination. As this obligation is contingent upon consummation of the business combination, the Company did not recognize any additional unit-based compensation expense as a result of the modification for the three and nine months ended September 30, 2021.</w:t>
      </w:r>
    </w:p>
    <w:p>
      <w:pPr>
        <w:spacing w:after="0" w:line="180"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Upon consummation of the business combination on October 15, 2021, one-third of the awards in the Equity Plan vested. The second and third one-third tranches will generally vest on the one-year and two-year anniversary date of the transaction close, respectively, although under the terms of the Equity Plan, employees who are terminated without cause after October 15, 2021 will vest in the unvested portion of their awards immediately upon their termination date. The vesting of Equity Plan awards upon consummation of the business combination resulted in approximately $28,000,000 of unit-based compensation expense recorded on October 15, 2021 in the Company’s pre-combination financial statements.</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Unit-Based Compensation Expense and Unit Activity</w:t>
      </w:r>
    </w:p>
    <w:p>
      <w:pPr>
        <w:spacing w:after="0" w:line="113" w:lineRule="exact"/>
        <w:rPr>
          <w:sz w:val="20"/>
          <w:szCs w:val="20"/>
          <w:color w:val="auto"/>
        </w:rPr>
      </w:pPr>
    </w:p>
    <w:p>
      <w:pPr>
        <w:ind w:left="380" w:right="300"/>
        <w:spacing w:after="0" w:line="317" w:lineRule="auto"/>
        <w:rPr>
          <w:sz w:val="20"/>
          <w:szCs w:val="20"/>
          <w:color w:val="auto"/>
        </w:rPr>
      </w:pPr>
      <w:r>
        <w:rPr>
          <w:rFonts w:ascii="Arial" w:cs="Arial" w:eastAsia="Arial" w:hAnsi="Arial"/>
          <w:sz w:val="15"/>
          <w:szCs w:val="15"/>
          <w:color w:val="auto"/>
        </w:rPr>
        <w:t>For the three and nine months ended September 30, 2021, the Company has not granted any preferred incentive units, common units or participation units. For the three and nine months ended September 30, 2020, the Company granted 0 and 9,375,000 preferred incentive units, 1,949,000 and 19,886,000 common units and 480,000 and 8,895,000 participation units, respectively. Total unit-based compensation expense for the three and</w:t>
      </w:r>
    </w:p>
    <w:p>
      <w:pPr>
        <w:spacing w:after="0" w:line="7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F-121</w:t>
      </w:r>
    </w:p>
    <w:p>
      <w:pPr>
        <w:sectPr>
          <w:pgSz w:w="11900" w:h="16838" w:orient="portrait"/>
          <w:cols w:equalWidth="0" w:num="1">
            <w:col w:w="10860"/>
          </w:cols>
          <w:pgMar w:left="320" w:top="471" w:right="719" w:bottom="1440" w:gutter="0" w:footer="0" w:header="0"/>
        </w:sectPr>
      </w:pPr>
    </w:p>
    <w:bookmarkStart w:id="301" w:name="page302"/>
    <w:bookmarkEnd w:id="3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
        <w:spacing w:after="0" w:line="272" w:lineRule="auto"/>
        <w:rPr>
          <w:sz w:val="20"/>
          <w:szCs w:val="20"/>
          <w:color w:val="auto"/>
        </w:rPr>
      </w:pPr>
      <w:r>
        <w:rPr>
          <w:rFonts w:ascii="Arial" w:cs="Arial" w:eastAsia="Arial" w:hAnsi="Arial"/>
          <w:sz w:val="16"/>
          <w:szCs w:val="16"/>
          <w:color w:val="auto"/>
        </w:rPr>
        <w:t>nine months ended September 30, 2021 was $604,000 and $3,116,000, respectively. The $3,116,000 of unit-based compensation expense recorded for the nine months ended September 30, 2021 is comprised of $3,768,000 in expense recognized for the vesting of Company preferred incentive units, common units and participation units, which was offset by $652,000 in forfeitures and the effect of certain modifications during the period. Total unit-based compensation expense for the three and nine months ended September 30, 2020 was $829,000 and $9,937,000, respectively. The $9,937,000 of unit-based compensation expense recorded for the nine months ended September 30, 2020 is comprised of $11,631,000 in expense recognized for the vesting of Company preferred incentive units, common units and participation units, which was offset by $1,694,000 in forfeitures. Also included in the unit-based compensation expense for the nine months ended September 30,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w:t>
      </w:r>
    </w:p>
    <w:p>
      <w:pPr>
        <w:spacing w:after="0" w:line="27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Capital Requirements</w:t>
      </w:r>
    </w:p>
    <w:p>
      <w:pPr>
        <w:spacing w:after="0" w:line="119" w:lineRule="exact"/>
        <w:rPr>
          <w:sz w:val="20"/>
          <w:szCs w:val="20"/>
          <w:color w:val="auto"/>
        </w:rPr>
      </w:pPr>
    </w:p>
    <w:p>
      <w:pPr>
        <w:ind w:left="380" w:right="60"/>
        <w:spacing w:after="0" w:line="259" w:lineRule="auto"/>
        <w:rPr>
          <w:sz w:val="20"/>
          <w:szCs w:val="20"/>
          <w:color w:val="auto"/>
        </w:rPr>
      </w:pPr>
      <w:r>
        <w:rPr>
          <w:rFonts w:ascii="Arial" w:cs="Arial" w:eastAsia="Arial" w:hAnsi="Arial"/>
          <w:sz w:val="17"/>
          <w:szCs w:val="17"/>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September 30, 2021 and December 31, 2020 and 2019, Bakkt Trust had determined that $16,500,000 should be set aside to satisfy its capital requirements, which is reflected as “Restricted cash” in the accompanying consolidated balance sheets.</w:t>
      </w:r>
    </w:p>
    <w:p>
      <w:pPr>
        <w:spacing w:after="0" w:line="180" w:lineRule="exact"/>
        <w:rPr>
          <w:sz w:val="20"/>
          <w:szCs w:val="20"/>
          <w:color w:val="auto"/>
        </w:rPr>
      </w:pPr>
    </w:p>
    <w:p>
      <w:pPr>
        <w:ind w:left="380"/>
        <w:spacing w:after="0" w:line="298" w:lineRule="auto"/>
        <w:rPr>
          <w:sz w:val="20"/>
          <w:szCs w:val="20"/>
          <w:color w:val="auto"/>
        </w:rPr>
      </w:pPr>
      <w:r>
        <w:rPr>
          <w:rFonts w:ascii="Arial" w:cs="Arial" w:eastAsia="Arial" w:hAnsi="Arial"/>
          <w:sz w:val="15"/>
          <w:szCs w:val="15"/>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September 30, 2021, Bakkt Clearing had adjusted net capital of $2,060,000, which was $1,060,000 in excess of its required net capital of $1,000,000. As of December 31, 2020, Bakkt Clearing had adjusted net capital of $4,146,000, which was $3,146,000 in excess of its required net capital of $1,000,000. The minimum capital requirements may effectively restrict the withdrawal of member’s equity of Bakkt Clearing.</w:t>
      </w:r>
    </w:p>
    <w:p>
      <w:pPr>
        <w:spacing w:after="0" w:line="156" w:lineRule="exact"/>
        <w:rPr>
          <w:sz w:val="20"/>
          <w:szCs w:val="20"/>
          <w:color w:val="auto"/>
        </w:rPr>
      </w:pPr>
    </w:p>
    <w:p>
      <w:pPr>
        <w:ind w:left="380" w:right="260"/>
        <w:spacing w:after="0" w:line="282" w:lineRule="auto"/>
        <w:rPr>
          <w:sz w:val="20"/>
          <w:szCs w:val="20"/>
          <w:color w:val="auto"/>
        </w:rPr>
      </w:pPr>
      <w:r>
        <w:rPr>
          <w:rFonts w:ascii="Arial" w:cs="Arial" w:eastAsia="Arial" w:hAnsi="Arial"/>
          <w:sz w:val="16"/>
          <w:szCs w:val="16"/>
          <w:color w:val="auto"/>
        </w:rPr>
        <w:t>As of September 30, 2021 and December 31, 2020,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$5,549,000 as of September 30, 2021 and $2,460,000 as of December 31, 2020. The minimum amount required varies by state.</w:t>
      </w:r>
    </w:p>
    <w:p>
      <w:pPr>
        <w:spacing w:after="0" w:line="164" w:lineRule="exact"/>
        <w:rPr>
          <w:sz w:val="20"/>
          <w:szCs w:val="20"/>
          <w:color w:val="auto"/>
        </w:rPr>
      </w:pPr>
    </w:p>
    <w:p>
      <w:pPr>
        <w:ind w:left="380" w:right="460"/>
        <w:spacing w:after="0" w:line="347" w:lineRule="auto"/>
        <w:rPr>
          <w:sz w:val="20"/>
          <w:szCs w:val="20"/>
          <w:color w:val="auto"/>
        </w:rPr>
      </w:pPr>
      <w:r>
        <w:rPr>
          <w:rFonts w:ascii="Arial" w:cs="Arial" w:eastAsia="Arial" w:hAnsi="Arial"/>
          <w:sz w:val="15"/>
          <w:szCs w:val="15"/>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F-122</w:t>
      </w:r>
    </w:p>
    <w:p>
      <w:pPr>
        <w:sectPr>
          <w:pgSz w:w="11900" w:h="16838" w:orient="portrait"/>
          <w:cols w:equalWidth="0" w:num="1">
            <w:col w:w="10820"/>
          </w:cols>
          <w:pgMar w:left="320" w:top="471" w:right="759" w:bottom="1440" w:gutter="0" w:footer="0" w:header="0"/>
        </w:sectPr>
      </w:pPr>
    </w:p>
    <w:bookmarkStart w:id="302" w:name="page303"/>
    <w:bookmarkEnd w:id="3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401(k) Plan</w:t>
      </w:r>
    </w:p>
    <w:p>
      <w:pPr>
        <w:spacing w:after="0" w:line="113"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During the three and nine months ended September 30, 2021, the Company recorded $576,000 and $1,555,000, respectively, of expenses related to the 401(k) plan. During the three and nine months ended September 30, 2020, the Company recorded $371,000 and $967,000, respectively, of expenses related to the 401(k) plan.</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Software License</w:t>
      </w:r>
    </w:p>
    <w:p>
      <w:pPr>
        <w:spacing w:after="0" w:line="113"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Litigation</w:t>
      </w:r>
    </w:p>
    <w:p>
      <w:pPr>
        <w:spacing w:after="0" w:line="113" w:lineRule="exact"/>
        <w:rPr>
          <w:sz w:val="20"/>
          <w:szCs w:val="20"/>
          <w:color w:val="auto"/>
        </w:rPr>
      </w:pPr>
    </w:p>
    <w:p>
      <w:pPr>
        <w:ind w:left="380" w:right="240"/>
        <w:spacing w:after="0" w:line="261" w:lineRule="auto"/>
        <w:rPr>
          <w:sz w:val="20"/>
          <w:szCs w:val="20"/>
          <w:color w:val="auto"/>
        </w:rPr>
      </w:pPr>
      <w:r>
        <w:rPr>
          <w:rFonts w:ascii="Arial" w:cs="Arial" w:eastAsia="Arial" w:hAnsi="Arial"/>
          <w:sz w:val="17"/>
          <w:szCs w:val="17"/>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Commercial Purchasing Card Facility</w:t>
      </w:r>
    </w:p>
    <w:p>
      <w:pPr>
        <w:spacing w:after="0" w:line="113" w:lineRule="exact"/>
        <w:rPr>
          <w:sz w:val="20"/>
          <w:szCs w:val="20"/>
          <w:color w:val="auto"/>
        </w:rPr>
      </w:pPr>
    </w:p>
    <w:p>
      <w:pPr>
        <w:ind w:left="380"/>
        <w:spacing w:after="0" w:line="256" w:lineRule="auto"/>
        <w:rPr>
          <w:sz w:val="20"/>
          <w:szCs w:val="20"/>
          <w:color w:val="auto"/>
        </w:rPr>
      </w:pPr>
      <w:r>
        <w:rPr>
          <w:rFonts w:ascii="Arial" w:cs="Arial" w:eastAsia="Arial" w:hAnsi="Arial"/>
          <w:sz w:val="17"/>
          <w:szCs w:val="17"/>
          <w:color w:val="auto"/>
        </w:rPr>
        <w:t>Bridge2 Solutions has a purchasing card facility with a bank that it utilizes for redemption purchases made from merchant partners as part of its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Bridge2 Solutions to maintain a month-end cash balance of $40,000,000. In September 2021, Bridge2 Solutions notified the facility provider that it anticipated a breach of the month-end cash balance requirement. The facility provider agreed to forbear on exercising its rights and remedies under the terms of the facility until October 31, 2021 to allow time for the closing of the VIH business combination. Bridge2 Solutions cured the cash balance requirement breach on October 15, 2021 with the closing of the VIH business combination. On November 5, 2021, the purchasing card facility was extended to January 31, 2022.</w:t>
      </w:r>
    </w:p>
    <w:p>
      <w:pPr>
        <w:spacing w:after="0" w:line="28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Fair Value Measurements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classified as follows (in thousands):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96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Level 2</w:t>
            </w:r>
          </w:p>
        </w:tc>
        <w:tc>
          <w:tcPr>
            <w:tcW w:w="5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w w:val="96"/>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26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Investment in shares of affiliate stock</w:t>
            </w:r>
          </w:p>
        </w:tc>
        <w:tc>
          <w:tcPr>
            <w:tcW w:w="3600" w:type="dxa"/>
            <w:vAlign w:val="bottom"/>
            <w:gridSpan w:val="3"/>
          </w:tcPr>
          <w:p>
            <w:pPr>
              <w:jc w:val="center"/>
              <w:ind w:left="215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680" w:type="dxa"/>
            <w:vAlign w:val="bottom"/>
            <w:gridSpan w:val="2"/>
          </w:tcPr>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1,823</w:t>
            </w:r>
          </w:p>
        </w:tc>
        <w:tc>
          <w:tcPr>
            <w:tcW w:w="40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Total assets measured at fair value</w:t>
            </w:r>
          </w:p>
        </w:tc>
        <w:tc>
          <w:tcPr>
            <w:tcW w:w="3600" w:type="dxa"/>
            <w:vAlign w:val="bottom"/>
            <w:gridSpan w:val="3"/>
            <w:shd w:val="clear" w:color="auto" w:fill="CCEEFF"/>
          </w:tcPr>
          <w:p>
            <w:pPr>
              <w:jc w:val="center"/>
              <w:ind w:left="2154"/>
              <w:spacing w:after="0"/>
              <w:rPr>
                <w:sz w:val="20"/>
                <w:szCs w:val="20"/>
                <w:color w:val="auto"/>
              </w:rPr>
            </w:pPr>
            <w:r>
              <w:rPr>
                <w:rFonts w:ascii="Arial" w:cs="Arial" w:eastAsia="Arial" w:hAnsi="Arial"/>
                <w:sz w:val="17"/>
                <w:szCs w:val="17"/>
                <w:color w:val="auto"/>
                <w:w w:val="92"/>
              </w:rPr>
              <w:t>$1,823</w:t>
            </w:r>
          </w:p>
        </w:tc>
        <w:tc>
          <w:tcPr>
            <w:tcW w:w="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$1,823</w:t>
            </w: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0" w:type="dxa"/>
            <w:vAlign w:val="bottom"/>
            <w:gridSpan w:val="3"/>
          </w:tcPr>
          <w:p>
            <w:pPr>
              <w:ind w:left="1020"/>
              <w:spacing w:after="0"/>
              <w:rPr>
                <w:sz w:val="20"/>
                <w:szCs w:val="20"/>
                <w:color w:val="auto"/>
              </w:rPr>
            </w:pPr>
            <w:r>
              <w:rPr>
                <w:rFonts w:ascii="Arial" w:cs="Arial" w:eastAsia="Arial" w:hAnsi="Arial"/>
                <w:sz w:val="17"/>
                <w:szCs w:val="17"/>
                <w:color w:val="auto"/>
              </w:rPr>
              <w:t>F-123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303" w:name="page304"/>
    <w:bookmarkEnd w:id="3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There were no financial assets and liabilities measured at fair value on a recurring basis as of September 30, 2021. Our investment in shares of affiliate stock was valued based on quoted prices in active markets and was classified within Level 1. There are no Level 2 or Level 3 instruments during the quarters ended September 30, 2021 and December 31, 2020, respectively.</w:t>
      </w:r>
    </w:p>
    <w:p>
      <w:pPr>
        <w:spacing w:after="0" w:line="176"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deposits with clearinghouse affiliate are in the form of cash, and therefore approximate fair value. During the nine months ended September 30, 2020, the Company adjusted software licenses to fair value when an impairment charge was recognized, which was on a non-recurring basis and based on Level 3 inputs.</w:t>
      </w:r>
    </w:p>
    <w:p>
      <w:pPr>
        <w:spacing w:after="0" w:line="277"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4"/>
          <w:szCs w:val="14"/>
          <w:b w:val="1"/>
          <w:bCs w:val="1"/>
          <w:color w:val="auto"/>
        </w:rPr>
        <w:t>Subsequent Events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disclosed in Note 1, the Company closed its business combination with VIH on October 15, 2021.</w:t>
      </w:r>
    </w:p>
    <w:p>
      <w:pPr>
        <w:spacing w:after="0" w:line="216" w:lineRule="exact"/>
        <w:rPr>
          <w:sz w:val="20"/>
          <w:szCs w:val="20"/>
          <w:color w:val="auto"/>
        </w:rPr>
      </w:pPr>
    </w:p>
    <w:p>
      <w:pPr>
        <w:ind w:left="380" w:right="20"/>
        <w:spacing w:after="0" w:line="319" w:lineRule="auto"/>
        <w:rPr>
          <w:sz w:val="20"/>
          <w:szCs w:val="20"/>
          <w:color w:val="auto"/>
        </w:rPr>
      </w:pPr>
      <w:r>
        <w:rPr>
          <w:rFonts w:ascii="Arial" w:cs="Arial" w:eastAsia="Arial" w:hAnsi="Arial"/>
          <w:sz w:val="15"/>
          <w:szCs w:val="15"/>
          <w:color w:val="auto"/>
        </w:rPr>
        <w:t>On October 18, 2021, the Company signed a lease agreement for 50,756 square feet of office space in Alpharetta, Georgia. The lease will commence the earlier of substantial completion of tenant’s work to ready the space for occupancy or March 1, 2022, and has a term of 127 months with a tenant termination option after the 7</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year of the lease. The total fixed lease payments over the 127-month term of the lease are $20,419,000.</w:t>
      </w:r>
    </w:p>
    <w:p>
      <w:pPr>
        <w:spacing w:after="0" w:line="44" w:lineRule="exact"/>
        <w:rPr>
          <w:sz w:val="20"/>
          <w:szCs w:val="20"/>
          <w:color w:val="auto"/>
        </w:rPr>
      </w:pPr>
    </w:p>
    <w:p>
      <w:pPr>
        <w:ind w:left="380" w:right="180"/>
        <w:spacing w:after="0" w:line="278" w:lineRule="auto"/>
        <w:rPr>
          <w:sz w:val="20"/>
          <w:szCs w:val="20"/>
          <w:color w:val="auto"/>
        </w:rPr>
      </w:pPr>
      <w:r>
        <w:rPr>
          <w:rFonts w:ascii="Arial" w:cs="Arial" w:eastAsia="Arial" w:hAnsi="Arial"/>
          <w:sz w:val="17"/>
          <w:szCs w:val="17"/>
          <w:color w:val="auto"/>
        </w:rPr>
        <w:t>The Company has evaluated subsequent events and transactions and determined that no other events or transactions met the definition of a subsequent event for purpose of recognition or disclosure in these financial statements.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F-124</w:t>
      </w:r>
    </w:p>
    <w:p>
      <w:pPr>
        <w:sectPr>
          <w:pgSz w:w="11900" w:h="16838" w:orient="portrait"/>
          <w:cols w:equalWidth="0" w:num="1">
            <w:col w:w="10860"/>
          </w:cols>
          <w:pgMar w:left="320" w:top="471" w:right="719" w:bottom="1440" w:gutter="0" w:footer="0" w:header="0"/>
        </w:sectPr>
      </w:pPr>
    </w:p>
    <w:bookmarkStart w:id="304" w:name="page305"/>
    <w:bookmarkEnd w:id="3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196215</wp:posOffset>
            </wp:positionV>
            <wp:extent cx="1266190" cy="5962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66190"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Independent Auditor’s Report</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Board of Directors of</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B2S Holdings, Inc. and Subsidiaries</w:t>
      </w:r>
    </w:p>
    <w:p>
      <w:pPr>
        <w:spacing w:after="0" w:line="205" w:lineRule="exact"/>
        <w:rPr>
          <w:sz w:val="20"/>
          <w:szCs w:val="20"/>
          <w:color w:val="auto"/>
        </w:rPr>
      </w:pPr>
    </w:p>
    <w:p>
      <w:pPr>
        <w:ind w:left="380" w:right="60"/>
        <w:spacing w:after="0" w:line="289" w:lineRule="auto"/>
        <w:rPr>
          <w:sz w:val="20"/>
          <w:szCs w:val="20"/>
          <w:color w:val="auto"/>
        </w:rPr>
      </w:pPr>
      <w:r>
        <w:rPr>
          <w:rFonts w:ascii="Arial" w:cs="Arial" w:eastAsia="Arial" w:hAnsi="Arial"/>
          <w:sz w:val="16"/>
          <w:szCs w:val="16"/>
          <w:color w:val="auto"/>
        </w:rPr>
        <w:t>We have audited the accompanying consolidated financial statements of B2S Holdings, Inc. and its subsidiaries (the Company), which comprise the consolidated balance sheets as of December 31, 2019 and 2018, and the related consolidated statements of operations and comprehensive income (loss), shareholders’ deficit, and cash flows for the years then ended, and the related notes to the consolidated financial statements.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Management’s Responsibility for the Financial Statements</w:t>
      </w:r>
    </w:p>
    <w:p>
      <w:pPr>
        <w:spacing w:after="0" w:line="113" w:lineRule="exact"/>
        <w:rPr>
          <w:sz w:val="20"/>
          <w:szCs w:val="20"/>
          <w:color w:val="auto"/>
        </w:rPr>
      </w:pPr>
    </w:p>
    <w:p>
      <w:pPr>
        <w:ind w:left="380" w:right="160"/>
        <w:spacing w:after="0" w:line="289"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Auditor’s Responsibility</w:t>
      </w:r>
    </w:p>
    <w:p>
      <w:pPr>
        <w:spacing w:after="0" w:line="113"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76" w:lineRule="exact"/>
        <w:rPr>
          <w:sz w:val="20"/>
          <w:szCs w:val="20"/>
          <w:color w:val="auto"/>
        </w:rPr>
      </w:pPr>
    </w:p>
    <w:p>
      <w:pPr>
        <w:ind w:left="380"/>
        <w:spacing w:after="0" w:line="296"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the audit evidence we have obtained is sufficient and appropriate to provide a basis for our audit opinion.</w:t>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Opinion</w:t>
      </w:r>
    </w:p>
    <w:p>
      <w:pPr>
        <w:spacing w:after="0" w:line="113" w:lineRule="exact"/>
        <w:rPr>
          <w:sz w:val="20"/>
          <w:szCs w:val="20"/>
          <w:color w:val="auto"/>
        </w:rPr>
      </w:pPr>
    </w:p>
    <w:p>
      <w:pPr>
        <w:jc w:val="both"/>
        <w:ind w:left="380" w:right="420"/>
        <w:spacing w:after="0" w:line="265"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B2S Holdings, Inc. and its subsidiaries as of December 31, 2019 and 2018, and the results of their operations and their cash flows for the years then ended in accordance with accounting principles generally accepted in the United States of America.</w:t>
      </w:r>
    </w:p>
    <w:p>
      <w:pPr>
        <w:spacing w:after="0" w:line="17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BETTER TOGETHER</w:t>
      </w:r>
    </w:p>
    <w:p>
      <w:pPr>
        <w:jc w:val="center"/>
        <w:ind w:right="-379"/>
        <w:spacing w:after="0" w:line="235" w:lineRule="auto"/>
        <w:rPr>
          <w:sz w:val="20"/>
          <w:szCs w:val="20"/>
          <w:color w:val="auto"/>
        </w:rPr>
      </w:pPr>
      <w:r>
        <w:rPr>
          <w:rFonts w:ascii="Arial" w:cs="Arial" w:eastAsia="Arial" w:hAnsi="Arial"/>
          <w:sz w:val="14"/>
          <w:szCs w:val="14"/>
          <w:color w:val="auto"/>
        </w:rPr>
        <w:t>A Limited Liability Partnership of Certified Public Accountants &amp; Consultants</w:t>
      </w:r>
    </w:p>
    <w:p>
      <w:pPr>
        <w:jc w:val="center"/>
        <w:ind w:right="-379"/>
        <w:spacing w:after="0"/>
        <w:tabs>
          <w:tab w:leader="none" w:pos="100" w:val="left"/>
          <w:tab w:leader="none" w:pos="120" w:val="left"/>
          <w:tab w:leader="none" w:pos="100" w:val="left"/>
          <w:tab w:leader="none" w:pos="120" w:val="left"/>
          <w:tab w:leader="none" w:pos="120" w:val="left"/>
        </w:tabs>
        <w:rPr>
          <w:sz w:val="20"/>
          <w:szCs w:val="20"/>
          <w:color w:val="auto"/>
        </w:rPr>
      </w:pPr>
      <w:r>
        <w:rPr>
          <w:rFonts w:ascii="Arial" w:cs="Arial" w:eastAsia="Arial" w:hAnsi="Arial"/>
          <w:sz w:val="14"/>
          <w:szCs w:val="14"/>
          <w:color w:val="auto"/>
        </w:rPr>
        <w:t>Riverwood 200</w:t>
        <w:tab/>
        <w:t>3300 Riverwood Parkway</w:t>
        <w:tab/>
        <w:t>Suite 700</w:t>
        <w:tab/>
        <w:t>Atlanta, GA 30339</w:t>
      </w:r>
      <w:r>
        <w:rPr>
          <w:sz w:val="20"/>
          <w:szCs w:val="20"/>
          <w:color w:val="auto"/>
        </w:rPr>
        <w:tab/>
      </w:r>
      <w:r>
        <w:rPr>
          <w:rFonts w:ascii="Arial" w:cs="Arial" w:eastAsia="Arial" w:hAnsi="Arial"/>
          <w:sz w:val="14"/>
          <w:szCs w:val="14"/>
          <w:b w:val="1"/>
          <w:bCs w:val="1"/>
          <w:color w:val="auto"/>
        </w:rPr>
        <w:t xml:space="preserve">phone </w:t>
      </w:r>
      <w:r>
        <w:rPr>
          <w:rFonts w:ascii="Arial" w:cs="Arial" w:eastAsia="Arial" w:hAnsi="Arial"/>
          <w:sz w:val="14"/>
          <w:szCs w:val="14"/>
          <w:color w:val="auto"/>
        </w:rPr>
        <w:t>770.396.2200</w:t>
      </w:r>
      <w:r>
        <w:rPr>
          <w:sz w:val="20"/>
          <w:szCs w:val="20"/>
          <w:color w:val="auto"/>
        </w:rPr>
        <w:tab/>
      </w:r>
      <w:r>
        <w:rPr>
          <w:rFonts w:ascii="Arial" w:cs="Arial" w:eastAsia="Arial" w:hAnsi="Arial"/>
          <w:sz w:val="11"/>
          <w:szCs w:val="11"/>
          <w:b w:val="1"/>
          <w:bCs w:val="1"/>
          <w:color w:val="auto"/>
        </w:rPr>
        <w:t xml:space="preserve">fax </w:t>
      </w:r>
      <w:r>
        <w:rPr>
          <w:rFonts w:ascii="Arial" w:cs="Arial" w:eastAsia="Arial" w:hAnsi="Arial"/>
          <w:sz w:val="11"/>
          <w:szCs w:val="11"/>
          <w:color w:val="auto"/>
        </w:rPr>
        <w:t>770.390.0394</w:t>
      </w:r>
    </w:p>
    <w:p>
      <w:pPr>
        <w:jc w:val="center"/>
        <w:ind w:right="-379"/>
        <w:spacing w:after="0"/>
        <w:rPr>
          <w:sz w:val="20"/>
          <w:szCs w:val="20"/>
          <w:color w:val="auto"/>
        </w:rPr>
      </w:pPr>
      <w:r>
        <w:rPr>
          <w:rFonts w:ascii="Arial" w:cs="Arial" w:eastAsia="Arial" w:hAnsi="Arial"/>
          <w:sz w:val="17"/>
          <w:szCs w:val="17"/>
          <w:color w:val="auto"/>
        </w:rPr>
        <w:t>www.btcpa.net</w:t>
      </w:r>
    </w:p>
    <w:p>
      <w:pPr>
        <w:spacing w:after="0" w:line="13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F-125</w:t>
      </w:r>
    </w:p>
    <w:p>
      <w:pPr>
        <w:sectPr>
          <w:pgSz w:w="11900" w:h="16838" w:orient="portrait"/>
          <w:cols w:equalWidth="0" w:num="1">
            <w:col w:w="10860"/>
          </w:cols>
          <w:pgMar w:left="320" w:top="471" w:right="719" w:bottom="1440" w:gutter="0" w:footer="0" w:header="0"/>
        </w:sectPr>
      </w:pPr>
    </w:p>
    <w:bookmarkStart w:id="305" w:name="page306"/>
    <w:bookmarkEnd w:id="3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196215</wp:posOffset>
            </wp:positionV>
            <wp:extent cx="514350" cy="6286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Change in Accounting Principle</w:t>
      </w:r>
    </w:p>
    <w:p>
      <w:pPr>
        <w:spacing w:after="0" w:line="113" w:lineRule="exact"/>
        <w:rPr>
          <w:sz w:val="20"/>
          <w:szCs w:val="20"/>
          <w:color w:val="auto"/>
        </w:rPr>
      </w:pPr>
    </w:p>
    <w:p>
      <w:pPr>
        <w:ind w:left="380"/>
        <w:spacing w:after="0" w:line="347" w:lineRule="auto"/>
        <w:rPr>
          <w:sz w:val="20"/>
          <w:szCs w:val="20"/>
          <w:color w:val="auto"/>
        </w:rPr>
      </w:pPr>
      <w:r>
        <w:rPr>
          <w:rFonts w:ascii="Arial" w:cs="Arial" w:eastAsia="Arial" w:hAnsi="Arial"/>
          <w:sz w:val="15"/>
          <w:szCs w:val="15"/>
          <w:color w:val="auto"/>
        </w:rPr>
        <w:t xml:space="preserve">As discussed in Note 1 and Note 2 to the financial statements, the Company has changed its method of accounting for revenue from contracts with customers in 2019 due to the adoption of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Our opinion is not modified with respect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99695</wp:posOffset>
            </wp:positionV>
            <wp:extent cx="2948940" cy="3917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4894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July 22, 2020</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F-126</w:t>
      </w:r>
    </w:p>
    <w:p>
      <w:pPr>
        <w:sectPr>
          <w:pgSz w:w="11900" w:h="16838" w:orient="portrait"/>
          <w:cols w:equalWidth="0" w:num="1">
            <w:col w:w="10580"/>
          </w:cols>
          <w:pgMar w:left="320" w:top="471" w:right="999" w:bottom="1440" w:gutter="0" w:footer="0" w:header="0"/>
        </w:sectPr>
      </w:pPr>
    </w:p>
    <w:bookmarkStart w:id="306" w:name="page307"/>
    <w:bookmarkEnd w:id="3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Balance Sheets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December 31, 2019 and 2018</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57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2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2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Current assets: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14,797,056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11,661,106</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14,450,236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25,612,891</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865,429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825,881</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Other current assets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873,176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1,174,649</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30,985,897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39,274,527</w:t>
            </w:r>
          </w:p>
        </w:tc>
        <w:tc>
          <w:tcPr>
            <w:tcW w:w="0" w:type="dxa"/>
            <w:vAlign w:val="bottom"/>
          </w:tcPr>
          <w:p>
            <w:pPr>
              <w:spacing w:after="0"/>
              <w:rPr>
                <w:sz w:val="1"/>
                <w:szCs w:val="1"/>
                <w:color w:val="auto"/>
              </w:rPr>
            </w:pPr>
          </w:p>
        </w:tc>
      </w:tr>
      <w:tr>
        <w:trPr>
          <w:trHeight w:val="314"/>
        </w:trPr>
        <w:tc>
          <w:tcPr>
            <w:tcW w:w="5720" w:type="dxa"/>
            <w:vAlign w:val="bottom"/>
          </w:tcPr>
          <w:p>
            <w:pPr>
              <w:spacing w:after="0"/>
              <w:rPr>
                <w:sz w:val="20"/>
                <w:szCs w:val="20"/>
                <w:color w:val="auto"/>
              </w:rPr>
            </w:pPr>
            <w:r>
              <w:rPr>
                <w:rFonts w:ascii="Arial" w:cs="Arial" w:eastAsia="Arial" w:hAnsi="Arial"/>
                <w:sz w:val="17"/>
                <w:szCs w:val="17"/>
                <w:color w:val="auto"/>
              </w:rPr>
              <w:t>Noncurrent assets: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equipment, net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1,432,097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1,870,128</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Internally developed software,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9,559,880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11,418,470</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costs, less current portion</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3,028,740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2,820,013</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Other noncurrent assets,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232,520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299,786</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noncurrent assets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14,253,237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16,408,397</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assets</w:t>
            </w: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6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45,239,134</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55,682,924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Deficit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Current liabilities: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12,847,190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19,285,181</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Purchasing card payable</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16,627,159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21,616,026</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7,700,159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10,907,753</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Borrowings under revolving line of credit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6,876,207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7,500,000</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Current portion of subordinated notes payable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2,666,667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2,666,667</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Current portion of capital lease obligations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356,280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1,169,451</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47,073,662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63,145,078</w:t>
            </w:r>
          </w:p>
        </w:tc>
        <w:tc>
          <w:tcPr>
            <w:tcW w:w="0" w:type="dxa"/>
            <w:vAlign w:val="bottom"/>
          </w:tcPr>
          <w:p>
            <w:pPr>
              <w:spacing w:after="0"/>
              <w:rPr>
                <w:sz w:val="1"/>
                <w:szCs w:val="1"/>
                <w:color w:val="auto"/>
              </w:rPr>
            </w:pPr>
          </w:p>
        </w:tc>
      </w:tr>
      <w:tr>
        <w:trPr>
          <w:trHeight w:val="314"/>
        </w:trPr>
        <w:tc>
          <w:tcPr>
            <w:tcW w:w="5720" w:type="dxa"/>
            <w:vAlign w:val="bottom"/>
          </w:tcPr>
          <w:p>
            <w:pPr>
              <w:spacing w:after="0"/>
              <w:rPr>
                <w:sz w:val="20"/>
                <w:szCs w:val="20"/>
                <w:color w:val="auto"/>
              </w:rPr>
            </w:pPr>
            <w:r>
              <w:rPr>
                <w:rFonts w:ascii="Arial" w:cs="Arial" w:eastAsia="Arial" w:hAnsi="Arial"/>
                <w:sz w:val="17"/>
                <w:szCs w:val="17"/>
                <w:color w:val="auto"/>
              </w:rPr>
              <w:t>Long-term liabilities: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5,917,398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8,447,717</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Deferred rent expense</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799,413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1,115,261</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lease obligations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498,849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230,375</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Subordinated notes payable,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12,202,825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7,278,337</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long-term liabilities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19,418,485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17,071,690</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liabilities</w:t>
            </w: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66,492,147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80,216,768</w:t>
            </w:r>
          </w:p>
        </w:tc>
        <w:tc>
          <w:tcPr>
            <w:tcW w:w="0" w:type="dxa"/>
            <w:vAlign w:val="bottom"/>
          </w:tcPr>
          <w:p>
            <w:pPr>
              <w:spacing w:after="0"/>
              <w:rPr>
                <w:sz w:val="1"/>
                <w:szCs w:val="1"/>
                <w:color w:val="auto"/>
              </w:rPr>
            </w:pPr>
          </w:p>
        </w:tc>
      </w:tr>
      <w:tr>
        <w:trPr>
          <w:trHeight w:val="109"/>
        </w:trPr>
        <w:tc>
          <w:tcPr>
            <w:tcW w:w="5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Shareholders’ deficit: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Series A redeemable preferred stock</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77,893,303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36,815,087</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5,108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5,104</w:t>
            </w: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2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 in capital</w:t>
            </w:r>
          </w:p>
        </w:tc>
        <w:tc>
          <w:tcPr>
            <w:tcW w:w="34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(8,529,011)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(8,942,357)</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3440" w:type="dxa"/>
            <w:vAlign w:val="bottom"/>
            <w:gridSpan w:val="5"/>
          </w:tcPr>
          <w:p>
            <w:pPr>
              <w:jc w:val="right"/>
              <w:ind w:right="120"/>
              <w:spacing w:after="0"/>
              <w:rPr>
                <w:sz w:val="20"/>
                <w:szCs w:val="20"/>
                <w:color w:val="auto"/>
              </w:rPr>
            </w:pPr>
            <w:r>
              <w:rPr>
                <w:rFonts w:ascii="Arial" w:cs="Arial" w:eastAsia="Arial" w:hAnsi="Arial"/>
                <w:sz w:val="17"/>
                <w:szCs w:val="17"/>
                <w:color w:val="auto"/>
              </w:rPr>
              <w:t>(90,446,029)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(52,111,907)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(176,384)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(299,771)</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shareholders’ deficit</w:t>
            </w:r>
          </w:p>
        </w:tc>
        <w:tc>
          <w:tcPr>
            <w:tcW w:w="22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7"/>
                <w:szCs w:val="17"/>
                <w:color w:val="auto"/>
              </w:rPr>
              <w:t>(21,253,013)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(24,533,844)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 and shareholders’ deficit</w:t>
            </w:r>
          </w:p>
        </w:tc>
        <w:tc>
          <w:tcPr>
            <w:tcW w:w="34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  45,239,134</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55,682,924</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F-127</w:t>
      </w:r>
    </w:p>
    <w:p>
      <w:pPr>
        <w:sectPr>
          <w:pgSz w:w="11900" w:h="16838" w:orient="portrait"/>
          <w:cols w:equalWidth="0" w:num="1">
            <w:col w:w="10880"/>
          </w:cols>
          <w:pgMar w:left="320" w:top="471" w:right="699" w:bottom="1440" w:gutter="0" w:footer="0" w:header="0"/>
        </w:sectPr>
      </w:pPr>
    </w:p>
    <w:bookmarkStart w:id="307" w:name="page308"/>
    <w:bookmarkEnd w:id="3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604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Transaction</w:t>
            </w:r>
          </w:p>
        </w:tc>
        <w:tc>
          <w:tcPr>
            <w:tcW w:w="2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9,692,307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12,468,911</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Subscription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12,822,951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12,183,477</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Services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21,782,190</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18,487,504</w:t>
            </w:r>
          </w:p>
        </w:tc>
        <w:tc>
          <w:tcPr>
            <w:tcW w:w="0" w:type="dxa"/>
            <w:vAlign w:val="bottom"/>
          </w:tcPr>
          <w:p>
            <w:pPr>
              <w:spacing w:after="0"/>
              <w:rPr>
                <w:sz w:val="1"/>
                <w:szCs w:val="1"/>
                <w:color w:val="auto"/>
              </w:rPr>
            </w:pPr>
          </w:p>
        </w:tc>
      </w:tr>
      <w:tr>
        <w:trPr>
          <w:trHeight w:val="26"/>
        </w:trPr>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revenues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44,297,448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43,139,892</w:t>
            </w:r>
          </w:p>
        </w:tc>
        <w:tc>
          <w:tcPr>
            <w:tcW w:w="0" w:type="dxa"/>
            <w:vAlign w:val="bottom"/>
          </w:tcPr>
          <w:p>
            <w:pPr>
              <w:spacing w:after="0"/>
              <w:rPr>
                <w:sz w:val="1"/>
                <w:szCs w:val="1"/>
                <w:color w:val="auto"/>
              </w:rPr>
            </w:pPr>
          </w:p>
        </w:tc>
      </w:tr>
      <w:tr>
        <w:trPr>
          <w:trHeight w:val="211"/>
        </w:trPr>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2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Salary and compensation expense</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24,306,975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27,586,040</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Other selling, general and administrative expenses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6,950,155</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5,863,390</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6,807,284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8,274,727</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38,064,414</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41,724,157</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6,233,034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1,415,735</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Other income (expense):</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(2,730,720)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(4,438,345)</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Settlement</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(648,403)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(500,733)</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Other</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(109,817)</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(19,756)</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2,744,094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(543,099)</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2,744,094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(543,099)</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Currency translation adjustment</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123,387</w:t>
            </w: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(271,514)</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2,867,481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(814,613)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F-128</w:t>
      </w:r>
    </w:p>
    <w:p>
      <w:pPr>
        <w:sectPr>
          <w:pgSz w:w="11900" w:h="16838" w:orient="portrait"/>
          <w:cols w:equalWidth="0" w:num="1">
            <w:col w:w="10880"/>
          </w:cols>
          <w:pgMar w:left="320" w:top="471" w:right="699" w:bottom="1440" w:gutter="0" w:footer="0" w:header="0"/>
        </w:sectPr>
      </w:pPr>
    </w:p>
    <w:bookmarkStart w:id="308" w:name="page309"/>
    <w:bookmarkEnd w:id="3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Statements of Changes in Shareholders’ Deficit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Series A Redeemable</w:t>
            </w:r>
          </w:p>
        </w:tc>
        <w:tc>
          <w:tcPr>
            <w:tcW w:w="14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7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1"/>
              </w:rPr>
              <w:t>Paid in</w:t>
            </w: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87"/>
              </w:rPr>
              <w:t>Comprehensive</w:t>
            </w:r>
          </w:p>
        </w:tc>
        <w:tc>
          <w:tcPr>
            <w:tcW w:w="10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3,371,345</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$ 31,975,782</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5,103,434</w:t>
            </w: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$ 5,104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 (8,963,821)</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 (46,729,503)</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(28,257)</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 (23,740,695)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Stock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21,464</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21,464</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Cumulative translation adjustment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(271,514)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(271,514)</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Preferred stock accretion</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4,839,305</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(4,839,305)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(543,099)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(543,099)</w:t>
            </w:r>
          </w:p>
        </w:tc>
        <w:tc>
          <w:tcPr>
            <w:tcW w:w="0" w:type="dxa"/>
            <w:vAlign w:val="bottom"/>
          </w:tcPr>
          <w:p>
            <w:pPr>
              <w:spacing w:after="0"/>
              <w:rPr>
                <w:sz w:val="1"/>
                <w:szCs w:val="1"/>
                <w:color w:val="auto"/>
              </w:rPr>
            </w:pPr>
          </w:p>
        </w:tc>
      </w:tr>
      <w:tr>
        <w:trPr>
          <w:trHeight w:val="199"/>
        </w:trPr>
        <w:tc>
          <w:tcPr>
            <w:tcW w:w="272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3,371,345</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36,815,087</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5,103,434</w:t>
            </w:r>
          </w:p>
        </w:tc>
        <w:tc>
          <w:tcPr>
            <w:tcW w:w="1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(8,942,357)</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(52,111,907)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(299,771)</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(24,533,844)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Options exercised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3,958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6,764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6,768</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Capital contributions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390,125</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390,125</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16,457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16,457</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w w:val="98"/>
              </w:rPr>
              <w:t>Cumulative translation adjustment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123,387</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123,387</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accretion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41,078,216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(41,078,216)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2,744,094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2,744,094</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3,371,345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$ 77,893,303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5,107,392</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$ 5,108</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8"/>
              </w:rPr>
              <w:t>$ (8,529,011)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 (90,446,029)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(176,384)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 (21,253,013)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F-129</w:t>
      </w:r>
    </w:p>
    <w:p>
      <w:pPr>
        <w:sectPr>
          <w:pgSz w:w="11900" w:h="16838" w:orient="portrait"/>
          <w:cols w:equalWidth="0" w:num="1">
            <w:col w:w="10880"/>
          </w:cols>
          <w:pgMar w:left="320" w:top="470" w:right="699" w:bottom="1440" w:gutter="0" w:footer="0" w:header="0"/>
        </w:sectPr>
      </w:pPr>
    </w:p>
    <w:bookmarkStart w:id="309" w:name="page310"/>
    <w:bookmarkEnd w:id="3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64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r>
      <w:tr>
        <w:trPr>
          <w:trHeight w:val="186"/>
        </w:trPr>
        <w:tc>
          <w:tcPr>
            <w:tcW w:w="64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Cash flows from operating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2,744,094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(543,099)</w:t>
            </w:r>
          </w:p>
        </w:tc>
      </w:tr>
      <w:tr>
        <w:trPr>
          <w:trHeight w:val="193"/>
        </w:trPr>
        <w:tc>
          <w:tcPr>
            <w:tcW w:w="64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Adjustments to reconcile net income (loss) to net cash</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1"/>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provided by (used in) operating activities:</w:t>
            </w: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Depreciation and amortization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6,807,284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8,274,727</w:t>
            </w: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Non-cash interest expense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145,605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171,139</w:t>
            </w: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Net loss on asset disposition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129,913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20,485</w:t>
            </w:r>
          </w:p>
        </w:tc>
      </w:tr>
      <w:tr>
        <w:trPr>
          <w:trHeight w:val="206"/>
        </w:trPr>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Stock compensation expense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16,457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21,464</w:t>
            </w: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Changes in operating assets and liabilities: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Accounts receivable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11,356,598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517,671</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Deferred costs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(248,275)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(1,222,504)</w:t>
            </w: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Accounts payable and accrued liabilities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(6,515,900)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(9,676,562)</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Purchasing card payable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(4,988,867)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(3,699,610)</w:t>
            </w: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Deferred revenue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(5,754,425)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(3,625,010)</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Other assets and liabilities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56,976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(145,227)</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cash provided by (used in) operating activities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3,749,460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(9,906,526)</w:t>
            </w: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(333,128)</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Investment in internally developed software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(3,769,518)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(5,219,045)</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cash used in investing activities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(3,946,211)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(5,552,173)</w:t>
            </w: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contributions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390,125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Exercise of options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6,768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subordinated notes payable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15,000,000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Repayments of subordinated notes payable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(10,623,793)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deferred financing costs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(221,117)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(66,167)</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Proceeds from line of credit</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1,500,000</w:t>
            </w: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 for capital lease obligations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(1,233,372)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(996,134)</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4"/>
        </w:trPr>
        <w:tc>
          <w:tcPr>
            <w:tcW w:w="6400" w:type="dxa"/>
            <w:vAlign w:val="bottom"/>
          </w:tcPr>
          <w:p>
            <w:pPr>
              <w:ind w:left="1360"/>
              <w:spacing w:after="0"/>
              <w:rPr>
                <w:sz w:val="20"/>
                <w:szCs w:val="20"/>
                <w:color w:val="auto"/>
              </w:rPr>
            </w:pPr>
            <w:r>
              <w:rPr>
                <w:rFonts w:ascii="Arial" w:cs="Arial" w:eastAsia="Arial" w:hAnsi="Arial"/>
                <w:sz w:val="17"/>
                <w:szCs w:val="17"/>
                <w:color w:val="auto"/>
              </w:rPr>
              <w:t>Net cash provided by financing activities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3,318,611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437,699</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14,090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(33,460)</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3"/>
        </w:trPr>
        <w:tc>
          <w:tcPr>
            <w:tcW w:w="6400" w:type="dxa"/>
            <w:vAlign w:val="bottom"/>
          </w:tcPr>
          <w:p>
            <w:pPr>
              <w:spacing w:after="0"/>
              <w:rPr>
                <w:sz w:val="20"/>
                <w:szCs w:val="20"/>
                <w:color w:val="auto"/>
              </w:rPr>
            </w:pPr>
            <w:r>
              <w:rPr>
                <w:rFonts w:ascii="Arial" w:cs="Arial" w:eastAsia="Arial" w:hAnsi="Arial"/>
                <w:sz w:val="17"/>
                <w:szCs w:val="17"/>
                <w:color w:val="auto"/>
              </w:rPr>
              <w:t>Increase (decrease) in cash and cash equivalents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3,135,950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(15,054,460)</w:t>
            </w:r>
          </w:p>
        </w:tc>
      </w:tr>
      <w:tr>
        <w:trPr>
          <w:trHeight w:val="104"/>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equivalents—beginning of year</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11,661,106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26,715,566</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and cash equivalents—end of year</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14,797,056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11,661,106</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9"/>
        </w:trPr>
        <w:tc>
          <w:tcPr>
            <w:tcW w:w="6400" w:type="dxa"/>
            <w:vAlign w:val="bottom"/>
          </w:tcPr>
          <w:p>
            <w:pPr>
              <w:spacing w:after="0"/>
              <w:rPr>
                <w:sz w:val="20"/>
                <w:szCs w:val="20"/>
                <w:color w:val="auto"/>
              </w:rPr>
            </w:pPr>
            <w:r>
              <w:rPr>
                <w:rFonts w:ascii="Arial" w:cs="Arial" w:eastAsia="Arial" w:hAnsi="Arial"/>
                <w:sz w:val="17"/>
                <w:szCs w:val="17"/>
                <w:color w:val="auto"/>
              </w:rPr>
              <w:t>Cash paid during the year for interest</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2,743,826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4,108,495</w:t>
            </w:r>
          </w:p>
        </w:tc>
        <w:tc>
          <w:tcPr>
            <w:tcW w:w="140" w:type="dxa"/>
            <w:vAlign w:val="bottom"/>
          </w:tcPr>
          <w:p>
            <w:pPr>
              <w:spacing w:after="0"/>
              <w:rPr>
                <w:sz w:val="23"/>
                <w:szCs w:val="23"/>
                <w:color w:val="auto"/>
              </w:rPr>
            </w:pPr>
          </w:p>
        </w:tc>
      </w:tr>
      <w:tr>
        <w:trPr>
          <w:trHeight w:val="66"/>
        </w:trPr>
        <w:tc>
          <w:tcPr>
            <w:tcW w:w="64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income taxes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69"/>
        </w:trPr>
        <w:tc>
          <w:tcPr>
            <w:tcW w:w="6400" w:type="dxa"/>
            <w:vAlign w:val="bottom"/>
          </w:tcPr>
          <w:p>
            <w:pPr>
              <w:spacing w:after="0"/>
              <w:rPr>
                <w:sz w:val="20"/>
                <w:szCs w:val="20"/>
                <w:color w:val="auto"/>
              </w:rPr>
            </w:pPr>
            <w:r>
              <w:rPr>
                <w:rFonts w:ascii="Arial" w:cs="Arial" w:eastAsia="Arial" w:hAnsi="Arial"/>
                <w:sz w:val="17"/>
                <w:szCs w:val="17"/>
                <w:color w:val="auto"/>
              </w:rPr>
              <w:t>Fixed assets acquired through capital leases</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688,675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F-130</w:t>
      </w:r>
    </w:p>
    <w:p>
      <w:pPr>
        <w:sectPr>
          <w:pgSz w:w="11900" w:h="16838" w:orient="portrait"/>
          <w:cols w:equalWidth="0" w:num="1">
            <w:col w:w="10880"/>
          </w:cols>
          <w:pgMar w:left="320" w:top="471" w:right="699" w:bottom="1440" w:gutter="0" w:footer="0" w:header="0"/>
        </w:sectPr>
      </w:pPr>
    </w:p>
    <w:bookmarkStart w:id="310" w:name="page311"/>
    <w:bookmarkEnd w:id="3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B2S Holdings, Inc. and Subsidiaries</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34290</wp:posOffset>
            </wp:positionV>
            <wp:extent cx="66649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spacing w:after="0" w:line="170" w:lineRule="exact"/>
        <w:rPr>
          <w:sz w:val="20"/>
          <w:szCs w:val="20"/>
          <w:color w:val="auto"/>
        </w:rPr>
      </w:pPr>
    </w:p>
    <w:p>
      <w:pPr>
        <w:ind w:left="380" w:right="4680"/>
        <w:spacing w:after="0" w:line="382" w:lineRule="auto"/>
        <w:rPr>
          <w:sz w:val="20"/>
          <w:szCs w:val="20"/>
          <w:color w:val="auto"/>
        </w:rPr>
      </w:pPr>
      <w:r>
        <w:rPr>
          <w:rFonts w:ascii="Arial" w:cs="Arial" w:eastAsia="Arial" w:hAnsi="Arial"/>
          <w:sz w:val="17"/>
          <w:szCs w:val="17"/>
          <w:b w:val="1"/>
          <w:bCs w:val="1"/>
          <w:color w:val="auto"/>
        </w:rPr>
        <w:t>Note 1: Natureof Operations and Summary of Significant Accounting Policies Nature of Operations</w:t>
      </w:r>
    </w:p>
    <w:p>
      <w:pPr>
        <w:spacing w:after="0" w:line="1" w:lineRule="exact"/>
        <w:rPr>
          <w:sz w:val="20"/>
          <w:szCs w:val="20"/>
          <w:color w:val="auto"/>
        </w:rPr>
      </w:pPr>
    </w:p>
    <w:p>
      <w:pPr>
        <w:ind w:left="380" w:right="120"/>
        <w:spacing w:after="0" w:line="261" w:lineRule="auto"/>
        <w:rPr>
          <w:sz w:val="20"/>
          <w:szCs w:val="20"/>
          <w:color w:val="auto"/>
        </w:rPr>
      </w:pPr>
      <w:r>
        <w:rPr>
          <w:rFonts w:ascii="Arial" w:cs="Arial" w:eastAsia="Arial" w:hAnsi="Arial"/>
          <w:sz w:val="17"/>
          <w:szCs w:val="17"/>
          <w:color w:val="auto"/>
        </w:rPr>
        <w:t>Founded in 2006, Bridge2 Solutions (defined below) is a leading software as a service provider, which connects loyalty programs to leading commerce partners allowing consumers to redeem a spectrum of loyalty currencies anytime, anywhere. Bridge2 Solutions’ service offerings are cloud-based and are delivered through major web browsers and mobile devices. Bridge2 Solutions markets and sells its services principally on a subscription basis to large enterprises through direct selling efforts and partners.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Principles of Consolidation</w:t>
      </w:r>
    </w:p>
    <w:p>
      <w:pPr>
        <w:spacing w:after="0" w:line="113" w:lineRule="exact"/>
        <w:rPr>
          <w:sz w:val="20"/>
          <w:szCs w:val="20"/>
          <w:color w:val="auto"/>
        </w:rPr>
      </w:pPr>
    </w:p>
    <w:p>
      <w:pPr>
        <w:ind w:left="380" w:right="40"/>
        <w:spacing w:after="0" w:line="296" w:lineRule="auto"/>
        <w:rPr>
          <w:sz w:val="20"/>
          <w:szCs w:val="20"/>
          <w:color w:val="auto"/>
        </w:rPr>
      </w:pPr>
      <w:r>
        <w:rPr>
          <w:rFonts w:ascii="Arial" w:cs="Arial" w:eastAsia="Arial" w:hAnsi="Arial"/>
          <w:sz w:val="15"/>
          <w:szCs w:val="15"/>
          <w:color w:val="auto"/>
        </w:rPr>
        <w:t>These consolidated financial statements present the accounts of B2S Holdings, Inc. and its wholly-owned subsidiaries (collectively, the “</w:t>
      </w:r>
      <w:r>
        <w:rPr>
          <w:rFonts w:ascii="Arial" w:cs="Arial" w:eastAsia="Arial" w:hAnsi="Arial"/>
          <w:sz w:val="15"/>
          <w:szCs w:val="15"/>
          <w:b w:val="1"/>
          <w:bCs w:val="1"/>
          <w:color w:val="auto"/>
        </w:rPr>
        <w:t>Company</w:t>
      </w:r>
      <w:r>
        <w:rPr>
          <w:rFonts w:ascii="Arial" w:cs="Arial" w:eastAsia="Arial" w:hAnsi="Arial"/>
          <w:sz w:val="15"/>
          <w:szCs w:val="15"/>
          <w:color w:val="auto"/>
        </w:rPr>
        <w:t>” or “</w:t>
      </w:r>
      <w:r>
        <w:rPr>
          <w:rFonts w:ascii="Arial" w:cs="Arial" w:eastAsia="Arial" w:hAnsi="Arial"/>
          <w:sz w:val="15"/>
          <w:szCs w:val="15"/>
          <w:b w:val="1"/>
          <w:bCs w:val="1"/>
          <w:color w:val="auto"/>
        </w:rPr>
        <w:t>Bridge2 Solutions</w:t>
      </w:r>
      <w:r>
        <w:rPr>
          <w:rFonts w:ascii="Arial" w:cs="Arial" w:eastAsia="Arial" w:hAnsi="Arial"/>
          <w:sz w:val="15"/>
          <w:szCs w:val="15"/>
          <w:color w:val="auto"/>
        </w:rPr>
        <w:t>”). In April 2016, in connection with its Series A redeemable preferred equity financing, the Company reorganized its legal entity structure by contributing all ownership interests in its operating companies, Bridge2 Solutions, Inc., B2S Direct, LLC, and B2S Canada, LLC, and subsidiaries, into a newly created holding company, B2S Holdings, Inc. The Company accounted for the transfer of interests in its operating subsidiaries as a transfer of business interests between entities under common control. The method of accounting for common control transactions is similar to the pooling of interests method of accounting in that the carrying amount of net assets recognized in the balance sheets of each combining entity are carried forward to the balance sheet of the combined entity at historical values and the resulting change in reporting entity is applied retrospectively for all periods presented. Additionally, all material intercompany transactions between the entities have been eliminated in consolidation.</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Translation of Foreign Currencies and Foreign Currency Transactions</w:t>
      </w:r>
    </w:p>
    <w:p>
      <w:pPr>
        <w:spacing w:after="0" w:line="119"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The functional currency of the Company’s foreign operating entities is generally the local currency. Adjustments resulting from translating foreign functional currency financial statements into U.S. dollars are recorded as a separate component on the consolidated statements of operations and comprehensive income (loss). Foreign currency transaction gains and losses are included in net income or loss for the period.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right="220"/>
        <w:spacing w:after="0" w:line="27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(U.S. GAAP) requires management to make estimates and assumptions in the Company’s consolidated financial statements and notes thereto.</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Significant estimates and assumptions made by management include the determination of:</w:t>
      </w:r>
    </w:p>
    <w:p>
      <w:pPr>
        <w:spacing w:after="0" w:line="126" w:lineRule="exact"/>
        <w:rPr>
          <w:sz w:val="20"/>
          <w:szCs w:val="20"/>
          <w:color w:val="auto"/>
        </w:rPr>
      </w:pPr>
    </w:p>
    <w:p>
      <w:pPr>
        <w:ind w:left="1300" w:hanging="410"/>
        <w:spacing w:after="0"/>
        <w:tabs>
          <w:tab w:leader="none" w:pos="13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best estimates of stand-alone selling price of performance obligations included in contracts with multiple performance obligations;</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recognition, measurement and valuation of current and deferred income taxes;</w:t>
      </w:r>
    </w:p>
    <w:p>
      <w:pPr>
        <w:spacing w:after="0" w:line="126" w:lineRule="exact"/>
        <w:rPr>
          <w:rFonts w:ascii="Arial" w:cs="Arial" w:eastAsia="Arial" w:hAnsi="Arial"/>
          <w:sz w:val="17"/>
          <w:szCs w:val="17"/>
          <w:color w:val="auto"/>
        </w:rPr>
      </w:pPr>
    </w:p>
    <w:p>
      <w:pPr>
        <w:ind w:left="1300" w:right="100" w:hanging="410"/>
        <w:spacing w:after="0" w:line="278" w:lineRule="auto"/>
        <w:tabs>
          <w:tab w:leader="none" w:pos="13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useful lives of internally developed software and other intangible assets, property and equipment, and the determination of other-than-temporary impairments; and</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determining provisions for doubtful accounts.</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F-131</w:t>
      </w:r>
    </w:p>
    <w:p>
      <w:pPr>
        <w:sectPr>
          <w:pgSz w:w="11900" w:h="16838" w:orient="portrait"/>
          <w:cols w:equalWidth="0" w:num="1">
            <w:col w:w="10860"/>
          </w:cols>
          <w:pgMar w:left="320" w:top="471" w:right="719" w:bottom="1440" w:gutter="0" w:footer="0" w:header="0"/>
        </w:sectPr>
      </w:pPr>
    </w:p>
    <w:bookmarkStart w:id="311" w:name="page312"/>
    <w:bookmarkEnd w:id="3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347" w:lineRule="auto"/>
        <w:rPr>
          <w:sz w:val="20"/>
          <w:szCs w:val="20"/>
          <w:color w:val="auto"/>
        </w:rPr>
      </w:pPr>
      <w:r>
        <w:rPr>
          <w:rFonts w:ascii="Arial" w:cs="Arial" w:eastAsia="Arial" w:hAnsi="Arial"/>
          <w:sz w:val="15"/>
          <w:szCs w:val="15"/>
          <w:color w:val="auto"/>
        </w:rPr>
        <w:t>Actual results could differ materially from those estimates. The Company bases its estimates on historical experience and on various other assumptions that are believed to be reasonable, the result of which forms the basis for making judgments about the carrying values of the assets and liabilities.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Cash and Cash Equivalents</w:t>
      </w:r>
    </w:p>
    <w:p>
      <w:pPr>
        <w:spacing w:after="0" w:line="119"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Cash and cash equivalents include cash and highly liquid instruments that are readily convertible into cash and have a maturity date of ninety days or less when purchased. At times, cash and cash equivalent balances may exceed federally insured amounts. The Company believes it mitigates any risk by depositing cash and investing in cash equivalents with major financial institutions.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Accounts Receivable</w:t>
      </w:r>
    </w:p>
    <w:p>
      <w:pPr>
        <w:spacing w:after="0" w:line="119"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The Company maintains an allowance for doubtful accounts receivable balances. This allowance is based upon historical loss patterns, the number of days that billings are past due and an evaluation of the potential risk of loss associated with delinquent accounts. Receivables are written-off and charged against its recorded allowance when the Company has exhausted collection efforts without success. The Company estimated the allowance for doubtful accounts to be $100,000 and $260,000 at December 31, 2019 and 2018, respectively.</w:t>
      </w:r>
    </w:p>
    <w:p>
      <w:pPr>
        <w:spacing w:after="0" w:line="179" w:lineRule="exact"/>
        <w:rPr>
          <w:sz w:val="20"/>
          <w:szCs w:val="20"/>
          <w:color w:val="auto"/>
        </w:rPr>
      </w:pPr>
    </w:p>
    <w:p>
      <w:pPr>
        <w:ind w:left="380" w:right="2860"/>
        <w:spacing w:after="0" w:line="278" w:lineRule="auto"/>
        <w:rPr>
          <w:sz w:val="20"/>
          <w:szCs w:val="20"/>
          <w:color w:val="auto"/>
        </w:rPr>
      </w:pPr>
      <w:r>
        <w:rPr>
          <w:rFonts w:ascii="Arial" w:cs="Arial" w:eastAsia="Arial" w:hAnsi="Arial"/>
          <w:sz w:val="17"/>
          <w:szCs w:val="17"/>
          <w:color w:val="auto"/>
        </w:rPr>
        <w:t>Included in accounts receivable is unbilled revenue totaling $1,076,039 and $796,949 as of December 31, 2019 and 2018, respectively.</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Costs</w:t>
      </w:r>
    </w:p>
    <w:p>
      <w:pPr>
        <w:spacing w:after="0" w:line="119" w:lineRule="exact"/>
        <w:rPr>
          <w:sz w:val="20"/>
          <w:szCs w:val="20"/>
          <w:color w:val="auto"/>
        </w:rPr>
      </w:pPr>
    </w:p>
    <w:p>
      <w:pPr>
        <w:ind w:left="380" w:right="240"/>
        <w:spacing w:after="0" w:line="301" w:lineRule="auto"/>
        <w:rPr>
          <w:sz w:val="20"/>
          <w:szCs w:val="20"/>
          <w:color w:val="auto"/>
        </w:rPr>
      </w:pPr>
      <w:r>
        <w:rPr>
          <w:rFonts w:ascii="Arial" w:cs="Arial" w:eastAsia="Arial" w:hAnsi="Arial"/>
          <w:sz w:val="15"/>
          <w:szCs w:val="15"/>
          <w:color w:val="auto"/>
        </w:rPr>
        <w:t>Costs associated with implementation and customization of the Company’s software applications are considered incremental and recoverable costs of obtaining and implementing a contract with a customer. Costs incurred are deferred and then amortized on a straight-line basis over the estimated customer relationship, which the Company has determined to be between six and eight years. The Company determined the estimated customer relationship by taking into consideration standard contract terms and conditions, contract renewals, rate of technological change and other factors. Amortization expense is included in other selling, general and administrative expenses in the accompanying consolidated statements of operations.</w:t>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spacing w:after="0" w:line="254" w:lineRule="auto"/>
        <w:rPr>
          <w:sz w:val="20"/>
          <w:szCs w:val="20"/>
          <w:color w:val="auto"/>
        </w:rPr>
      </w:pPr>
      <w:r>
        <w:rPr>
          <w:rFonts w:ascii="Arial" w:cs="Arial" w:eastAsia="Arial" w:hAnsi="Arial"/>
          <w:sz w:val="17"/>
          <w:szCs w:val="17"/>
          <w:color w:val="auto"/>
        </w:rPr>
        <w:t xml:space="preserve">On January 1, 2019, the Company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which is the new comprehensive revenue recognition standard that supersedes the revenue recognition requirements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most industry specific guidance. The standard’s core principle is that a company will recognize revenue when the customer obtains control of the promised goods or service in an amount that reflects the consideration to which the company expects to be entitled in exchange for those goods or services. The new guidance was effective for annual periods beginning after December 15, 2018. The Company elected to adopt the new guidance using the full retrospective transition method (Note 2).</w:t>
      </w:r>
    </w:p>
    <w:p>
      <w:pPr>
        <w:spacing w:after="0" w:line="5" w:lineRule="exact"/>
        <w:rPr>
          <w:sz w:val="20"/>
          <w:szCs w:val="20"/>
          <w:color w:val="auto"/>
        </w:rPr>
      </w:pPr>
    </w:p>
    <w:p>
      <w:pPr>
        <w:ind w:left="380" w:right="80"/>
        <w:spacing w:after="0" w:line="259" w:lineRule="auto"/>
        <w:rPr>
          <w:sz w:val="20"/>
          <w:szCs w:val="20"/>
          <w:color w:val="auto"/>
        </w:rPr>
      </w:pPr>
      <w:r>
        <w:rPr>
          <w:rFonts w:ascii="Arial" w:cs="Arial" w:eastAsia="Arial" w:hAnsi="Arial"/>
          <w:sz w:val="17"/>
          <w:szCs w:val="17"/>
          <w:color w:val="auto"/>
        </w:rPr>
        <w:t>In accordance with ASC 606, revenue is recognized when the customer obtains control of promised goods or services in an amount that reflects the consideration to which the Company expects to be entitled in exchange for those goods or services. To achieve this core principle, the Company applies the following five steps:</w:t>
      </w:r>
    </w:p>
    <w:p>
      <w:pPr>
        <w:spacing w:after="0" w:line="89" w:lineRule="exact"/>
        <w:rPr>
          <w:sz w:val="20"/>
          <w:szCs w:val="20"/>
          <w:color w:val="auto"/>
        </w:rPr>
      </w:pPr>
    </w:p>
    <w:p>
      <w:pPr>
        <w:ind w:left="1300" w:hanging="410"/>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Recognition of revenue when, or as, it satisfies a performance obligation</w:t>
      </w:r>
    </w:p>
    <w:p>
      <w:pPr>
        <w:spacing w:after="0" w:line="216" w:lineRule="exact"/>
        <w:rPr>
          <w:sz w:val="20"/>
          <w:szCs w:val="20"/>
          <w:color w:val="auto"/>
        </w:rPr>
      </w:pPr>
    </w:p>
    <w:p>
      <w:pPr>
        <w:ind w:left="380" w:right="20"/>
        <w:spacing w:after="0" w:line="278" w:lineRule="auto"/>
        <w:rPr>
          <w:sz w:val="20"/>
          <w:szCs w:val="20"/>
          <w:color w:val="auto"/>
        </w:rPr>
      </w:pPr>
      <w:r>
        <w:rPr>
          <w:rFonts w:ascii="Arial" w:cs="Arial" w:eastAsia="Arial" w:hAnsi="Arial"/>
          <w:sz w:val="17"/>
          <w:szCs w:val="17"/>
          <w:color w:val="auto"/>
        </w:rPr>
        <w:t>The Company derives its revenues from three principal sources: (a) transaction fees; (b) subscription fees; and (c) related software development services associated with project management, implementation and</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F-132</w:t>
      </w:r>
    </w:p>
    <w:p>
      <w:pPr>
        <w:sectPr>
          <w:pgSz w:w="11900" w:h="16838" w:orient="portrait"/>
          <w:cols w:equalWidth="0" w:num="1">
            <w:col w:w="10860"/>
          </w:cols>
          <w:pgMar w:left="320" w:top="471" w:right="719" w:bottom="1440" w:gutter="0" w:footer="0" w:header="0"/>
        </w:sectPr>
      </w:pPr>
    </w:p>
    <w:bookmarkStart w:id="312" w:name="page313"/>
    <w:bookmarkEnd w:id="3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customization of the Company’s cloud-based software platform, which are optional services elected by its customers.</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Transaction Revenue</w:t>
      </w:r>
    </w:p>
    <w:p>
      <w:pPr>
        <w:spacing w:after="0" w:line="113" w:lineRule="exact"/>
        <w:rPr>
          <w:sz w:val="20"/>
          <w:szCs w:val="20"/>
          <w:color w:val="auto"/>
        </w:rPr>
      </w:pPr>
    </w:p>
    <w:p>
      <w:pPr>
        <w:ind w:left="380" w:right="180"/>
        <w:spacing w:after="0" w:line="275" w:lineRule="auto"/>
        <w:rPr>
          <w:sz w:val="20"/>
          <w:szCs w:val="20"/>
          <w:color w:val="auto"/>
        </w:rPr>
      </w:pPr>
      <w:r>
        <w:rPr>
          <w:rFonts w:ascii="Arial" w:cs="Arial" w:eastAsia="Arial" w:hAnsi="Arial"/>
          <w:sz w:val="16"/>
          <w:szCs w:val="16"/>
          <w:color w:val="auto"/>
        </w:rPr>
        <w:t>Transaction fees are based upon fixed and variable rates for the Company’s transaction processing services. Transaction fees are generally recognized when services are delivered, and the Company records the associated revenues on a net basis in accordance with ASC 606, as its primary role in the transaction is as an agent, not a principal. Judgment is required in determining whether the Company is the principal or agent in transactions with customers and end-users. The Company evaluates the presentation of revenue on a gross vs. net basis based on whether it acts as a principal by controlling the service provided to the end-user or whether it acts as an agent by arranging for third parties to provide the service to the end-user. The Company’s role is facilitating the ability for a customer to provide a service to the end-user. Accordingly, the Company reports revenue on a net basis, reflecting the fee owed to the Company from the customer as revenue.</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Subscription Revenue</w:t>
      </w:r>
    </w:p>
    <w:p>
      <w:pPr>
        <w:spacing w:after="0" w:line="113"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Subscription arrangements provide the customer with a right to access the Company’s hosted solution. The Company recognizes subscription revenue on a ratable basis over the contract term beginning on the date that the service is made available to the customer and the customer has a legal right to use the software. The Company’s subscription contracts are generally 12 to 36 months in duration and are billed monthly in advance. The Company considers access to its platform and related support services in a customer contract to be a series of distinct services which comprise a single performance obligation because they are substantially the same and have the same pattern of transfer.</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Professional Services Revenue</w:t>
      </w:r>
    </w:p>
    <w:p>
      <w:pPr>
        <w:spacing w:after="0" w:line="113" w:lineRule="exact"/>
        <w:rPr>
          <w:sz w:val="20"/>
          <w:szCs w:val="20"/>
          <w:color w:val="auto"/>
        </w:rPr>
      </w:pPr>
    </w:p>
    <w:p>
      <w:pPr>
        <w:ind w:left="380" w:right="40"/>
        <w:spacing w:after="0" w:line="301" w:lineRule="auto"/>
        <w:rPr>
          <w:sz w:val="20"/>
          <w:szCs w:val="20"/>
          <w:color w:val="auto"/>
        </w:rPr>
      </w:pPr>
      <w:r>
        <w:rPr>
          <w:rFonts w:ascii="Arial" w:cs="Arial" w:eastAsia="Arial" w:hAnsi="Arial"/>
          <w:sz w:val="15"/>
          <w:szCs w:val="15"/>
          <w:color w:val="auto"/>
        </w:rPr>
        <w:t>Professional services revenues primarily consist of fees for software development services associated with implementation, and customization of the Company’s cloud-based software platform sold on the initial arrangement or throughout the contract term. The Company has an ongoing performance obligation to maintain the functionality of these features throughout the customer relationship. Revenues are recognized over the longer of the estimated customer relationship period, which the Company has been determined to be between six and eight years or three years in the case such software development services are completed at the end of or subsequent to the initially estimated customer relationship period of benefit.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113"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Some contracts with customers contain multiple performance obligations. These individual performance obligations are accounted for separately when they are both capable of being distinct. A performance obligation is distinct if the customer can benefit from the service either on its own or together with other resources that are readily available from third parties or from the Company and are distinct in the context of the contract, whereby the transfer of the services is separately identifiable from other promises in the contract. If these criteria are not met, the promised services are accounted for as a combined performance obligation.</w:t>
      </w:r>
    </w:p>
    <w:p>
      <w:pPr>
        <w:spacing w:after="0" w:line="180"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transaction price is allocated to the separate performance obligations on a relative standalone selling price basis. The Company determines the standalone selling prices based on overall pricing objectives, taking into consideration market conditions and entity-specific factors, including the size of arrangements, length of term, customer demographics and the numbers and types of users within the arrangements.</w:t>
      </w:r>
    </w:p>
    <w:p>
      <w:pPr>
        <w:spacing w:after="0" w:line="159"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Customers have the option to purchase additional subscription and support services at a stated price. These options generally do not provide a material right as they are priced at the Company’s standalone selling price.</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220"/>
        <w:spacing w:after="0" w:line="278" w:lineRule="auto"/>
        <w:rPr>
          <w:sz w:val="20"/>
          <w:szCs w:val="20"/>
          <w:color w:val="auto"/>
        </w:rPr>
      </w:pPr>
      <w:r>
        <w:rPr>
          <w:rFonts w:ascii="Arial" w:cs="Arial" w:eastAsia="Arial" w:hAnsi="Arial"/>
          <w:sz w:val="17"/>
          <w:szCs w:val="17"/>
          <w:color w:val="auto"/>
        </w:rPr>
        <w:t>Deferred revenues include amounts invoiced and collected prior to the Company meeting the criteria for revenue recognition. The Company typically invoices customers for subscription fees in advance on a monthly basis.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F-133</w:t>
      </w:r>
    </w:p>
    <w:p>
      <w:pPr>
        <w:sectPr>
          <w:pgSz w:w="11900" w:h="16838" w:orient="portrait"/>
          <w:cols w:equalWidth="0" w:num="1">
            <w:col w:w="10860"/>
          </w:cols>
          <w:pgMar w:left="320" w:top="471" w:right="719" w:bottom="1440" w:gutter="0" w:footer="0" w:header="0"/>
        </w:sectPr>
      </w:pPr>
    </w:p>
    <w:bookmarkStart w:id="313" w:name="page314"/>
    <w:bookmarkEnd w:id="3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Unpaid invoice amounts for noncancelable services starting in future periods are included in accounts receivable and deferred revenue.</w:t>
      </w:r>
    </w:p>
    <w:p>
      <w:pPr>
        <w:spacing w:after="0" w:line="216" w:lineRule="exact"/>
        <w:rPr>
          <w:sz w:val="20"/>
          <w:szCs w:val="20"/>
          <w:color w:val="auto"/>
        </w:rPr>
      </w:pPr>
    </w:p>
    <w:p>
      <w:pPr>
        <w:ind w:left="380" w:right="240"/>
        <w:spacing w:after="0" w:line="265" w:lineRule="auto"/>
        <w:rPr>
          <w:sz w:val="20"/>
          <w:szCs w:val="20"/>
          <w:color w:val="auto"/>
        </w:rPr>
      </w:pPr>
      <w:r>
        <w:rPr>
          <w:rFonts w:ascii="Arial" w:cs="Arial" w:eastAsia="Arial" w:hAnsi="Arial"/>
          <w:sz w:val="17"/>
          <w:szCs w:val="17"/>
          <w:color w:val="auto"/>
        </w:rPr>
        <w:t>The Company invoices customers for service fees at the time the service is performed, and such fees are recognized as revenue over the period of benefit. The portion of deferred revenue to be recognized in the succeeding twelve-month period is recorded as non-current deferred revenue, and the remaining portion is recorded as current deferred revenue.</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Property and Equipment</w:t>
      </w:r>
    </w:p>
    <w:p>
      <w:pPr>
        <w:spacing w:after="0" w:line="119"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Property and equipment are stated at cost, net of accumulated depreciation and amortization. Depreciation of property and equipment is computed using the straight-line method over the estimated useful lives of the respective assets, which range from three to eight years. Leasehold improvements are amortized over the shorter of the associated lease term or estimated useful life.</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Internally Developed Software</w:t>
      </w:r>
    </w:p>
    <w:p>
      <w:pPr>
        <w:spacing w:after="0" w:line="119"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Company capitalizes software development costs associated with its cloud-based software services during the application development stage. Costs related to preliminary project activities and post implementation activities are expensed as incurred. Capitalized costs are amortized on a straight-line basis over the estimated useful life of the associated software. Management evaluates the useful lives of these assets continually and tests for impairment whenever events or changes in circumstances occur that could impact the recoverability of these assets. The estimated useful life for internally developed software is generally three years.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Impairment Assessment</w:t>
      </w:r>
    </w:p>
    <w:p>
      <w:pPr>
        <w:spacing w:after="0" w:line="119" w:lineRule="exact"/>
        <w:rPr>
          <w:sz w:val="20"/>
          <w:szCs w:val="20"/>
          <w:color w:val="auto"/>
        </w:rPr>
      </w:pPr>
    </w:p>
    <w:p>
      <w:pPr>
        <w:ind w:left="380" w:right="80"/>
        <w:spacing w:after="0" w:line="298" w:lineRule="auto"/>
        <w:rPr>
          <w:sz w:val="20"/>
          <w:szCs w:val="20"/>
          <w:color w:val="auto"/>
        </w:rPr>
      </w:pPr>
      <w:r>
        <w:rPr>
          <w:rFonts w:ascii="Arial" w:cs="Arial" w:eastAsia="Arial" w:hAnsi="Arial"/>
          <w:sz w:val="15"/>
          <w:szCs w:val="15"/>
          <w:color w:val="auto"/>
        </w:rPr>
        <w:t>The Company evaluates costs capitalized as internally developed software and other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comparison of the carrying amount of each asset to the future undiscounted cash flows the asset is expected to generate. If the undiscounted cash flows used in the test for recoverability are less than the carrying amount of these assets, then the carrying amount of such assets is reduced to fair value. There was no impairment of intangible assets or long-lived assets during the years ending December 31, 2019 and 2018.</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Financing Costs</w:t>
      </w:r>
    </w:p>
    <w:p>
      <w:pPr>
        <w:spacing w:after="0" w:line="119" w:lineRule="exact"/>
        <w:rPr>
          <w:sz w:val="20"/>
          <w:szCs w:val="20"/>
          <w:color w:val="auto"/>
        </w:rPr>
      </w:pPr>
    </w:p>
    <w:p>
      <w:pPr>
        <w:ind w:left="380" w:right="20"/>
        <w:spacing w:after="0" w:line="277" w:lineRule="auto"/>
        <w:rPr>
          <w:sz w:val="20"/>
          <w:szCs w:val="20"/>
          <w:color w:val="auto"/>
        </w:rPr>
      </w:pPr>
      <w:r>
        <w:rPr>
          <w:rFonts w:ascii="Arial" w:cs="Arial" w:eastAsia="Arial" w:hAnsi="Arial"/>
          <w:sz w:val="16"/>
          <w:szCs w:val="16"/>
          <w:color w:val="auto"/>
        </w:rPr>
        <w:t>Costs incurred by the Company in the issuance of its subordinated notes payable have been deferred and are being amortized over the term of the associated notes and are presented as a direct reduction of the principle balance of the notes. During 2019, the Company incurred an additional $221,117 in deferred financing costs related to the modification of the Venture Loan and Security agreement in Note 4 (the Venture Loan). For the years ended December 31, 2019 and 2018, amortization expense of deferred financing costs was $144,828 and $99,875, respectively, and is included in interest expense in the accompanying consolidated statements of operations and comprehensive income (loss). Unamortized deferred financing costs as of December 31, 2019 and 2018, were $133,920 and $57,630, respectively.</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Concentrations of Credit Risk</w:t>
      </w:r>
    </w:p>
    <w:p>
      <w:pPr>
        <w:spacing w:after="0" w:line="119"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Revenue is earned principally from customers based in the United States and Canada. As of December 31, 2019 and 2018, there were three and four customers that represented approximately 55% and 64% of accounts receivable, respectively. Two customers accounted for approximately 60% and 65% of total net revenues in 2019 and 2018, respectively.</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F-134</w:t>
      </w:r>
    </w:p>
    <w:p>
      <w:pPr>
        <w:sectPr>
          <w:pgSz w:w="11900" w:h="16838" w:orient="portrait"/>
          <w:cols w:equalWidth="0" w:num="1">
            <w:col w:w="10860"/>
          </w:cols>
          <w:pgMar w:left="320" w:top="470" w:right="719" w:bottom="1440" w:gutter="0" w:footer="0" w:header="0"/>
        </w:sectPr>
      </w:pPr>
    </w:p>
    <w:bookmarkStart w:id="314" w:name="page315"/>
    <w:bookmarkEnd w:id="3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determined based on temporary differences between their financial statement and tax basis using enacted tax rates in effect for the year in which the differences are expected to reverse. The effect on deferred tax assets and liabilities of a change in tax laws is recognized in the consolidated statement of operations and comprehensive income (loss) in the period that includes the enactment date.</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The Company’s tax positions are subject to income tax audits by multiple tax jurisdictions throughout North America. The Company recognizes the tax benefit of an uncertain tax position only if it is more likely than not that the position is sustainable upon examination by the taxing authority, solely based on its technical merits.</w:t>
      </w:r>
    </w:p>
    <w:p>
      <w:pPr>
        <w:spacing w:after="0" w:line="176"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Valuation allowances are recorded to reduce deferred tax assets to amounts that are more likely than not expected to be realized based on the weighting of positive and negative evidence. Future realization of deferred tax assets ultimately depends on the existence of sufficient taxable income of the appropriate character within the carryback or carryforward periods available under the applicable tax law. The Company assesses deferred tax assets for recoverability based on historical taxable income, projected future taxable income, the expected timing of the reversals of existing temporary differences and tax planning strategies. The Company’s judgments regarding future profitability may change due to many factors, including future market conditions and the ability to successfully execute its business plans and tax planning strategies. Should there be a change in the ability to recover deferred tax assets, the tax provision would increase or decrease in the period in which the assessment is changed.</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New Accounting Pronouncements</w:t>
      </w:r>
    </w:p>
    <w:p>
      <w:pPr>
        <w:spacing w:after="0" w:line="119" w:lineRule="exact"/>
        <w:rPr>
          <w:sz w:val="20"/>
          <w:szCs w:val="20"/>
          <w:color w:val="auto"/>
        </w:rPr>
      </w:pPr>
    </w:p>
    <w:p>
      <w:pPr>
        <w:ind w:left="380" w:right="100"/>
        <w:spacing w:after="0" w:line="25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an entity to recognize a right-of-use asset and a lease liability for virtually all of its leases. The liability will be equal to the present value of lease payments. The asset will generally be based on the liability. The guidance also requires additional disclosures to enable users of financial statements to understand the amount, timing and uncertainty of cash flows arising from leases. The guidance will be effective for fiscal years beginning after December 15, 2021, with early adoption permitted. The Company is currently evaluating the potential impact of ASU 2016-02 on the consolidated financial statements.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Subsequent Events</w:t>
      </w:r>
    </w:p>
    <w:p>
      <w:pPr>
        <w:spacing w:after="0" w:line="119" w:lineRule="exact"/>
        <w:rPr>
          <w:sz w:val="20"/>
          <w:szCs w:val="20"/>
          <w:color w:val="auto"/>
        </w:rPr>
      </w:pPr>
    </w:p>
    <w:p>
      <w:pPr>
        <w:ind w:left="380" w:right="700"/>
        <w:spacing w:after="0" w:line="347" w:lineRule="auto"/>
        <w:rPr>
          <w:sz w:val="20"/>
          <w:szCs w:val="20"/>
          <w:color w:val="auto"/>
        </w:rPr>
      </w:pPr>
      <w:r>
        <w:rPr>
          <w:rFonts w:ascii="Arial" w:cs="Arial" w:eastAsia="Arial" w:hAnsi="Arial"/>
          <w:sz w:val="15"/>
          <w:szCs w:val="15"/>
          <w:color w:val="auto"/>
        </w:rPr>
        <w:t>The Company has evaluated subsequent events through the report date, the date these financial statements were available for issuance, and has concluded there were no subsequent events requiring recognition or disclosure in the financial statements except as stated below.</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Acquisition</w:t>
      </w:r>
    </w:p>
    <w:p>
      <w:pPr>
        <w:spacing w:after="0" w:line="113" w:lineRule="exact"/>
        <w:rPr>
          <w:sz w:val="20"/>
          <w:szCs w:val="20"/>
          <w:color w:val="auto"/>
        </w:rPr>
      </w:pPr>
    </w:p>
    <w:p>
      <w:pPr>
        <w:ind w:left="380" w:right="220"/>
        <w:spacing w:after="0" w:line="306" w:lineRule="auto"/>
        <w:rPr>
          <w:sz w:val="20"/>
          <w:szCs w:val="20"/>
          <w:color w:val="auto"/>
        </w:rPr>
      </w:pPr>
      <w:r>
        <w:rPr>
          <w:rFonts w:ascii="Arial" w:cs="Arial" w:eastAsia="Arial" w:hAnsi="Arial"/>
          <w:sz w:val="15"/>
          <w:szCs w:val="15"/>
          <w:color w:val="auto"/>
        </w:rPr>
        <w:t>In February 2020, the Company was acquired by Intercontinental Exchange, Inc. (ICE), which owns the New York Stock Exchange (NYSE) and is a leading operator of global securities and commodities exchanges and clearing houses and provider of data and listings services. Following this transaction, the Company was merged with Bakkt Holdings, LLC (Bakkt), a majority-owned subsidiary of ICE. Bakkt was established in 2018 with a mission to unlock the value of, and bring trust and transparency to, digital assets such as loyalty and reward points, miles, crypto and gaming assets.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COVID-19 Disruption</w:t>
      </w:r>
    </w:p>
    <w:p>
      <w:pPr>
        <w:spacing w:after="0" w:line="113"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In March 2020, the World Health Organization officially designated COVID-19 as a pandemic, and as a result, businesses across the country and the world have had to take steps to protect their employees, and employees of companies with whom they do business. The associated business disruption has ranged from limited to</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F-135</w:t>
      </w:r>
    </w:p>
    <w:p>
      <w:pPr>
        <w:sectPr>
          <w:pgSz w:w="11900" w:h="16838" w:orient="portrait"/>
          <w:cols w:equalWidth="0" w:num="1">
            <w:col w:w="10860"/>
          </w:cols>
          <w:pgMar w:left="320" w:top="471" w:right="719" w:bottom="1440" w:gutter="0" w:footer="0" w:header="0"/>
        </w:sectPr>
      </w:pPr>
    </w:p>
    <w:bookmarkStart w:id="315" w:name="page316"/>
    <w:bookmarkEnd w:id="3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significant, depending on the nature of the business being impacted. Management is presently unable to predict what short-term and long-term impact this level of disruption will have on the Company, and there can be no assurances that a significant impact to the business will not take place. There have been no adjustments to these financial statements as a result of this uncertainty.</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Reclassifications</w:t>
      </w:r>
    </w:p>
    <w:p>
      <w:pPr>
        <w:spacing w:after="0" w:line="119" w:lineRule="exact"/>
        <w:rPr>
          <w:sz w:val="20"/>
          <w:szCs w:val="20"/>
          <w:color w:val="auto"/>
        </w:rPr>
      </w:pPr>
    </w:p>
    <w:p>
      <w:pPr>
        <w:ind w:left="380" w:right="580"/>
        <w:spacing w:after="0" w:line="278" w:lineRule="auto"/>
        <w:rPr>
          <w:sz w:val="20"/>
          <w:szCs w:val="20"/>
          <w:color w:val="auto"/>
        </w:rPr>
      </w:pPr>
      <w:r>
        <w:rPr>
          <w:rFonts w:ascii="Arial" w:cs="Arial" w:eastAsia="Arial" w:hAnsi="Arial"/>
          <w:sz w:val="17"/>
          <w:szCs w:val="17"/>
          <w:color w:val="auto"/>
        </w:rPr>
        <w:t>Certain prior year amounts have been reclassified to conform to the current year presentation. These reclassifications had no effect on previously reported revenues and expenses or shareholders’ deficit.</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2: Recently Adopted Accounting Pronouncements</w:t>
      </w:r>
    </w:p>
    <w:p>
      <w:pPr>
        <w:spacing w:after="0" w:line="119" w:lineRule="exact"/>
        <w:rPr>
          <w:sz w:val="20"/>
          <w:szCs w:val="20"/>
          <w:color w:val="auto"/>
        </w:rPr>
      </w:pPr>
    </w:p>
    <w:p>
      <w:pPr>
        <w:ind w:left="380" w:right="140"/>
        <w:spacing w:after="0" w:line="277" w:lineRule="auto"/>
        <w:rPr>
          <w:sz w:val="20"/>
          <w:szCs w:val="20"/>
          <w:color w:val="auto"/>
        </w:rPr>
      </w:pPr>
      <w:r>
        <w:rPr>
          <w:rFonts w:ascii="Arial" w:cs="Arial" w:eastAsia="Arial" w:hAnsi="Arial"/>
          <w:sz w:val="16"/>
          <w:szCs w:val="16"/>
          <w:color w:val="auto"/>
        </w:rPr>
        <w:t xml:space="preserve">In May 2014, the Financial Accounting Standards Boards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606), which supersedes the prior revenue recognition standard (ASC 605). Under ASC 606, revenue is recognized when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obtains control of promised goods or services and is recognized in an amount that reflects the consideration which the entity expects to be entitled to in exchange for those goods or services. In addition, this standard requires disclosure of the nature, amount, timing, and uncertainty of revenue and cash flows arising from contracts with customers.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and fulfilling a contract with a customer.</w:t>
      </w:r>
    </w:p>
    <w:p>
      <w:pPr>
        <w:spacing w:after="0" w:line="167" w:lineRule="exact"/>
        <w:rPr>
          <w:sz w:val="20"/>
          <w:szCs w:val="20"/>
          <w:color w:val="auto"/>
        </w:rPr>
      </w:pPr>
    </w:p>
    <w:p>
      <w:pPr>
        <w:ind w:left="380" w:right="200"/>
        <w:spacing w:after="0" w:line="261" w:lineRule="auto"/>
        <w:rPr>
          <w:sz w:val="20"/>
          <w:szCs w:val="20"/>
          <w:color w:val="auto"/>
        </w:rPr>
      </w:pPr>
      <w:r>
        <w:rPr>
          <w:rFonts w:ascii="Arial" w:cs="Arial" w:eastAsia="Arial" w:hAnsi="Arial"/>
          <w:sz w:val="17"/>
          <w:szCs w:val="17"/>
          <w:color w:val="auto"/>
        </w:rPr>
        <w:t>Effective January 1, 2019, the Company adopted the provision and expanded disclosure requirements described in Topic 606 utilizing the full retrospective method of transition, which requires a restatement of each period presented. In adopting ASC 606, the Company used the practical expedient where the transaction price allocated to the remaining performance obligations before the date of the initial application is not disclosed. The impact of adopting ASC 606 on the Company’s fiscal 2019 and 2018 revenues was material.</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primary impact of adopting the standard related to the following:</w:t>
      </w:r>
    </w:p>
    <w:p>
      <w:pPr>
        <w:spacing w:after="0" w:line="216"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i w:val="1"/>
          <w:iCs w:val="1"/>
          <w:color w:val="auto"/>
        </w:rPr>
        <w:t>Perpetual licenses</w:t>
      </w:r>
      <w:r>
        <w:rPr>
          <w:rFonts w:ascii="Arial" w:cs="Arial" w:eastAsia="Arial" w:hAnsi="Arial"/>
          <w:sz w:val="17"/>
          <w:szCs w:val="17"/>
          <w:color w:val="auto"/>
        </w:rPr>
        <w:t>—Prior to the adoption of the new revenue recognition standard, the Company recognized these revenues over the contract term.</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new revenue recognition standard, the Company has identified the license as a separate performance obligation and revenues were recognized upon delivery.</w:t>
      </w:r>
    </w:p>
    <w:p>
      <w:pPr>
        <w:spacing w:after="0" w:line="176" w:lineRule="exact"/>
        <w:rPr>
          <w:sz w:val="20"/>
          <w:szCs w:val="20"/>
          <w:color w:val="auto"/>
        </w:rPr>
      </w:pPr>
    </w:p>
    <w:p>
      <w:pPr>
        <w:ind w:left="380" w:right="300"/>
        <w:spacing w:after="0" w:line="265" w:lineRule="auto"/>
        <w:rPr>
          <w:sz w:val="20"/>
          <w:szCs w:val="20"/>
          <w:color w:val="auto"/>
        </w:rPr>
      </w:pPr>
      <w:r>
        <w:rPr>
          <w:rFonts w:ascii="Arial" w:cs="Arial" w:eastAsia="Arial" w:hAnsi="Arial"/>
          <w:sz w:val="17"/>
          <w:szCs w:val="17"/>
          <w:i w:val="1"/>
          <w:iCs w:val="1"/>
          <w:color w:val="auto"/>
        </w:rPr>
        <w:t>Professional services related to implementation and customization</w:t>
      </w:r>
      <w:r>
        <w:rPr>
          <w:rFonts w:ascii="Arial" w:cs="Arial" w:eastAsia="Arial" w:hAnsi="Arial"/>
          <w:sz w:val="17"/>
          <w:szCs w:val="17"/>
          <w:color w:val="auto"/>
        </w:rPr>
        <w:t>—Prior to the adoption of the new revenue recognition standard,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these revenues over the contract terms. Under the new revenue recognition standard, the Company is recognizing these revenues over the longer of the estimated customer relationship period of benefit or three years.</w:t>
      </w:r>
    </w:p>
    <w:p>
      <w:pPr>
        <w:spacing w:after="0" w:line="176" w:lineRule="exact"/>
        <w:rPr>
          <w:sz w:val="20"/>
          <w:szCs w:val="20"/>
          <w:color w:val="auto"/>
        </w:rPr>
      </w:pPr>
    </w:p>
    <w:p>
      <w:pPr>
        <w:ind w:left="380" w:right="200"/>
        <w:spacing w:after="0" w:line="261" w:lineRule="auto"/>
        <w:rPr>
          <w:sz w:val="20"/>
          <w:szCs w:val="20"/>
          <w:color w:val="auto"/>
        </w:rPr>
      </w:pPr>
      <w:r>
        <w:rPr>
          <w:rFonts w:ascii="Arial" w:cs="Arial" w:eastAsia="Arial" w:hAnsi="Arial"/>
          <w:sz w:val="17"/>
          <w:szCs w:val="17"/>
          <w:i w:val="1"/>
          <w:iCs w:val="1"/>
          <w:color w:val="auto"/>
        </w:rPr>
        <w:t>Implementation and customization costs</w:t>
      </w:r>
      <w:r>
        <w:rPr>
          <w:rFonts w:ascii="Arial" w:cs="Arial" w:eastAsia="Arial" w:hAnsi="Arial"/>
          <w:sz w:val="17"/>
          <w:szCs w:val="17"/>
          <w:color w:val="auto"/>
        </w:rPr>
        <w:t>—Prior to the adoption of the new revenue recognition standard, the Company recognized these expenses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Under the new revenue recognition standard, the Company is required to recognize these expenses over the period of benefit associated with these costs. This results in a deferral of implementation and customization costs each period and subsequent amortization of those costs over the estimated benefit period.</w:t>
      </w:r>
    </w:p>
    <w:p>
      <w:pPr>
        <w:spacing w:after="0" w:line="179"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following schedule summarizes the impacts from the adoption of the new revenue recognition standard on the Company’s consolidated balance sheet and consolidated statement of operations as of and for the year ended December 31, 2018:</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3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0"/>
              </w:rPr>
              <w:t>As of December 31, 2018</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7"/>
        </w:trPr>
        <w:tc>
          <w:tcPr>
            <w:tcW w:w="3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w w:val="86"/>
              </w:rPr>
              <w:t>As Reported</w:t>
            </w:r>
          </w:p>
        </w:tc>
        <w:tc>
          <w:tcPr>
            <w:tcW w:w="440" w:type="dxa"/>
            <w:vAlign w:val="bottom"/>
          </w:tcPr>
          <w:p>
            <w:pPr>
              <w:spacing w:after="0"/>
              <w:rPr>
                <w:sz w:val="12"/>
                <w:szCs w:val="12"/>
                <w:color w:val="auto"/>
              </w:rPr>
            </w:pPr>
          </w:p>
        </w:tc>
        <w:tc>
          <w:tcPr>
            <w:tcW w:w="1320" w:type="dxa"/>
            <w:vAlign w:val="bottom"/>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w w:val="87"/>
              </w:rPr>
              <w:t>Adjustments</w:t>
            </w:r>
          </w:p>
        </w:tc>
        <w:tc>
          <w:tcPr>
            <w:tcW w:w="9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7"/>
              </w:rPr>
              <w:t>As Adjusted</w:t>
            </w:r>
          </w:p>
        </w:tc>
        <w:tc>
          <w:tcPr>
            <w:tcW w:w="120" w:type="dxa"/>
            <w:vAlign w:val="bottom"/>
          </w:tcPr>
          <w:p>
            <w:pPr>
              <w:spacing w:after="0"/>
              <w:rPr>
                <w:sz w:val="12"/>
                <w:szCs w:val="12"/>
                <w:color w:val="auto"/>
              </w:rPr>
            </w:pPr>
          </w:p>
        </w:tc>
      </w:tr>
      <w:tr>
        <w:trPr>
          <w:trHeight w:val="186"/>
        </w:trPr>
        <w:tc>
          <w:tcPr>
            <w:tcW w:w="34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Balance Sheet</w:t>
            </w:r>
          </w:p>
        </w:tc>
        <w:tc>
          <w:tcPr>
            <w:tcW w:w="3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6"/>
        </w:trPr>
        <w:tc>
          <w:tcPr>
            <w:tcW w:w="3480" w:type="dxa"/>
            <w:vAlign w:val="bottom"/>
          </w:tcPr>
          <w:p>
            <w:pPr>
              <w:spacing w:after="0"/>
              <w:rPr>
                <w:sz w:val="20"/>
                <w:szCs w:val="20"/>
                <w:color w:val="auto"/>
              </w:rPr>
            </w:pPr>
            <w:r>
              <w:rPr>
                <w:rFonts w:ascii="Arial" w:cs="Arial" w:eastAsia="Arial" w:hAnsi="Arial"/>
                <w:sz w:val="17"/>
                <w:szCs w:val="17"/>
                <w:color w:val="auto"/>
              </w:rPr>
              <w:t>Deferred costs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7"/>
                <w:szCs w:val="17"/>
                <w:color w:val="auto"/>
              </w:rPr>
              <w:t>$3,645,894</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  3,645,894</w:t>
            </w: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18,505,443</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850,027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19,355,470</w:t>
            </w:r>
          </w:p>
        </w:tc>
      </w:tr>
      <w:tr>
        <w:trPr>
          <w:trHeight w:val="206"/>
        </w:trPr>
        <w:tc>
          <w:tcPr>
            <w:tcW w:w="3480" w:type="dxa"/>
            <w:vAlign w:val="bottom"/>
          </w:tcPr>
          <w:p>
            <w:pPr>
              <w:spacing w:after="0"/>
              <w:rPr>
                <w:sz w:val="20"/>
                <w:szCs w:val="20"/>
                <w:color w:val="auto"/>
              </w:rPr>
            </w:pPr>
            <w:r>
              <w:rPr>
                <w:rFonts w:ascii="Arial" w:cs="Arial" w:eastAsia="Arial" w:hAnsi="Arial"/>
                <w:sz w:val="17"/>
                <w:szCs w:val="17"/>
                <w:color w:val="auto"/>
              </w:rPr>
              <w:t>Deferred tax asset (liability)</w:t>
            </w: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(54,907,774)</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2,795,867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(52,111,907)</w:t>
            </w:r>
          </w:p>
        </w:tc>
      </w:tr>
      <w:tr>
        <w:trPr>
          <w:trHeight w:val="346"/>
        </w:trPr>
        <w:tc>
          <w:tcPr>
            <w:tcW w:w="3480" w:type="dxa"/>
            <w:vAlign w:val="bottom"/>
          </w:tcPr>
          <w:p>
            <w:pPr>
              <w:spacing w:after="0"/>
              <w:rPr>
                <w:sz w:val="24"/>
                <w:szCs w:val="24"/>
                <w:color w:val="auto"/>
              </w:rPr>
            </w:pPr>
          </w:p>
        </w:tc>
        <w:tc>
          <w:tcPr>
            <w:tcW w:w="3260" w:type="dxa"/>
            <w:vAlign w:val="bottom"/>
            <w:gridSpan w:val="2"/>
          </w:tcPr>
          <w:p>
            <w:pPr>
              <w:jc w:val="right"/>
              <w:ind w:right="1300"/>
              <w:spacing w:after="0"/>
              <w:rPr>
                <w:sz w:val="20"/>
                <w:szCs w:val="20"/>
                <w:color w:val="auto"/>
              </w:rPr>
            </w:pPr>
            <w:r>
              <w:rPr>
                <w:rFonts w:ascii="Arial" w:cs="Arial" w:eastAsia="Arial" w:hAnsi="Arial"/>
                <w:sz w:val="17"/>
                <w:szCs w:val="17"/>
                <w:color w:val="auto"/>
              </w:rPr>
              <w:t>F-136</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880"/>
          </w:cols>
          <w:pgMar w:left="320" w:top="471" w:right="699" w:bottom="1440" w:gutter="0" w:footer="0" w:header="0"/>
        </w:sectPr>
      </w:pPr>
    </w:p>
    <w:bookmarkStart w:id="316" w:name="page317"/>
    <w:bookmarkEnd w:id="3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6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As of December 31, 2018</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7"/>
        </w:trPr>
        <w:tc>
          <w:tcPr>
            <w:tcW w:w="6920" w:type="dxa"/>
            <w:vAlign w:val="bottom"/>
          </w:tcPr>
          <w:p>
            <w:pPr>
              <w:spacing w:after="0"/>
              <w:rPr>
                <w:sz w:val="12"/>
                <w:szCs w:val="12"/>
                <w:color w:val="auto"/>
              </w:rPr>
            </w:pPr>
          </w:p>
        </w:tc>
        <w:tc>
          <w:tcPr>
            <w:tcW w:w="98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w w:val="98"/>
              </w:rPr>
              <w:t>As Reported</w:t>
            </w:r>
          </w:p>
        </w:tc>
        <w:tc>
          <w:tcPr>
            <w:tcW w:w="220" w:type="dxa"/>
            <w:vAlign w:val="bottom"/>
          </w:tcPr>
          <w:p>
            <w:pPr>
              <w:spacing w:after="0"/>
              <w:rPr>
                <w:sz w:val="12"/>
                <w:szCs w:val="12"/>
                <w:color w:val="auto"/>
              </w:rPr>
            </w:pPr>
          </w:p>
        </w:tc>
        <w:tc>
          <w:tcPr>
            <w:tcW w:w="126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w w:val="96"/>
              </w:rPr>
              <w:t>Adjustments</w:t>
            </w:r>
          </w:p>
        </w:tc>
        <w:tc>
          <w:tcPr>
            <w:tcW w:w="980" w:type="dxa"/>
            <w:vAlign w:val="bottom"/>
          </w:tcPr>
          <w:p>
            <w:pPr>
              <w:jc w:val="right"/>
              <w:ind w:right="39"/>
              <w:spacing w:after="0" w:line="147"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2"/>
                <w:szCs w:val="12"/>
                <w:color w:val="auto"/>
              </w:rPr>
            </w:pPr>
          </w:p>
        </w:tc>
      </w:tr>
      <w:tr>
        <w:trPr>
          <w:trHeight w:val="83"/>
        </w:trPr>
        <w:tc>
          <w:tcPr>
            <w:tcW w:w="69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w:t>
            </w: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Revenues</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$ 48,663,379</w:t>
            </w:r>
          </w:p>
        </w:tc>
        <w:tc>
          <w:tcPr>
            <w:tcW w:w="1480" w:type="dxa"/>
            <w:vAlign w:val="bottom"/>
            <w:gridSpan w:val="3"/>
          </w:tcPr>
          <w:p>
            <w:pPr>
              <w:jc w:val="right"/>
              <w:ind w:right="260"/>
              <w:spacing w:after="0"/>
              <w:rPr>
                <w:sz w:val="20"/>
                <w:szCs w:val="20"/>
                <w:color w:val="auto"/>
              </w:rPr>
            </w:pPr>
            <w:r>
              <w:rPr>
                <w:rFonts w:ascii="Arial" w:cs="Arial" w:eastAsia="Arial" w:hAnsi="Arial"/>
                <w:sz w:val="17"/>
                <w:szCs w:val="17"/>
                <w:color w:val="auto"/>
              </w:rPr>
              <w:t>$ (5,523,487)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  43,139,892</w:t>
            </w: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Other selling, general and administrative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7,085,893</w:t>
            </w:r>
          </w:p>
        </w:tc>
        <w:tc>
          <w:tcPr>
            <w:tcW w:w="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(1,222,504)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5,863,389</w:t>
            </w:r>
          </w:p>
        </w:tc>
        <w:tc>
          <w:tcPr>
            <w:tcW w:w="140" w:type="dxa"/>
            <w:vAlign w:val="bottom"/>
            <w:shd w:val="clear" w:color="auto" w:fill="CCEEFF"/>
          </w:tcPr>
          <w:p>
            <w:pPr>
              <w:spacing w:after="0"/>
              <w:rPr>
                <w:sz w:val="17"/>
                <w:szCs w:val="17"/>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spacing w:after="0"/>
              <w:rPr>
                <w:sz w:val="20"/>
                <w:szCs w:val="20"/>
                <w:color w:val="auto"/>
              </w:rPr>
            </w:pPr>
            <w:r>
              <w:rPr>
                <w:rFonts w:ascii="Arial" w:cs="Arial" w:eastAsia="Arial" w:hAnsi="Arial"/>
                <w:sz w:val="17"/>
                <w:szCs w:val="17"/>
                <w:color w:val="auto"/>
              </w:rPr>
              <w:t>3,757,885</w:t>
            </w:r>
          </w:p>
        </w:tc>
        <w:tc>
          <w:tcPr>
            <w:tcW w:w="4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7"/>
                <w:szCs w:val="17"/>
                <w:color w:val="auto"/>
              </w:rPr>
              <w:t>(4,300,983)</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(543,098)</w:t>
            </w:r>
          </w:p>
        </w:tc>
      </w:tr>
    </w:tbl>
    <w:p>
      <w:pPr>
        <w:spacing w:after="0" w:line="182" w:lineRule="exact"/>
        <w:rPr>
          <w:sz w:val="20"/>
          <w:szCs w:val="20"/>
          <w:color w:val="auto"/>
        </w:rPr>
      </w:pPr>
    </w:p>
    <w:p>
      <w:pPr>
        <w:jc w:val="both"/>
        <w:ind w:left="380" w:right="20"/>
        <w:spacing w:after="0" w:line="278" w:lineRule="auto"/>
        <w:rPr>
          <w:sz w:val="20"/>
          <w:szCs w:val="20"/>
          <w:color w:val="auto"/>
        </w:rPr>
      </w:pPr>
      <w:r>
        <w:rPr>
          <w:rFonts w:ascii="Arial" w:cs="Arial" w:eastAsia="Arial" w:hAnsi="Arial"/>
          <w:sz w:val="17"/>
          <w:szCs w:val="17"/>
          <w:color w:val="auto"/>
        </w:rPr>
        <w:t>Accumulated deficit as of January 1, 2018, included a decreasing cumulative-effect of $7,096,851 resulting from the adoption of ASC 606. The adoption of ASC 606 had no impact on total cash flows from operations.</w:t>
      </w:r>
    </w:p>
    <w:p>
      <w:pPr>
        <w:spacing w:after="0" w:line="300"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5"/>
          <w:szCs w:val="15"/>
          <w:b w:val="1"/>
          <w:bCs w:val="1"/>
          <w:color w:val="auto"/>
        </w:rPr>
        <w:t>Property and Equipment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and equipment consists of the following as of December 31, 2019 and 2018:</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Computer hardware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1,428,524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20" w:type="dxa"/>
            <w:vAlign w:val="bottom"/>
          </w:tcPr>
          <w:p>
            <w:pPr>
              <w:spacing w:after="0"/>
              <w:rPr>
                <w:sz w:val="20"/>
                <w:szCs w:val="20"/>
                <w:color w:val="auto"/>
              </w:rPr>
            </w:pPr>
            <w:r>
              <w:rPr>
                <w:rFonts w:ascii="Arial" w:cs="Arial" w:eastAsia="Arial" w:hAnsi="Arial"/>
                <w:sz w:val="17"/>
                <w:szCs w:val="17"/>
                <w:color w:val="auto"/>
              </w:rPr>
              <w:t>Purchased software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2,636,373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2,627,948</w:t>
            </w: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Assets under capital lease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7,833,996</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7,145,321</w:t>
            </w:r>
          </w:p>
        </w:tc>
        <w:tc>
          <w:tcPr>
            <w:tcW w:w="0" w:type="dxa"/>
            <w:vAlign w:val="bottom"/>
          </w:tcPr>
          <w:p>
            <w:pPr>
              <w:spacing w:after="0"/>
              <w:rPr>
                <w:sz w:val="1"/>
                <w:szCs w:val="1"/>
                <w:color w:val="auto"/>
              </w:rPr>
            </w:pPr>
          </w:p>
        </w:tc>
      </w:tr>
      <w:tr>
        <w:trPr>
          <w:trHeight w:val="206"/>
        </w:trPr>
        <w:tc>
          <w:tcPr>
            <w:tcW w:w="71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312,951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312,951</w:t>
            </w: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1,372,122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1,364,821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13,583,966</w:t>
            </w:r>
          </w:p>
        </w:tc>
        <w:tc>
          <w:tcPr>
            <w:tcW w:w="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13,598,046</w:t>
            </w: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w w:val="89"/>
              </w:rPr>
              <w:t>(12,151,869)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(11,727,918)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7"/>
                <w:szCs w:val="17"/>
                <w:color w:val="auto"/>
              </w:rPr>
              <w:t>Property and equipment—net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1,432,097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1,870,128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expense incurred for the years December 31, 2019 and 2018, was $1,305,079 and $1,956,636, respectively.</w:t>
      </w:r>
    </w:p>
    <w:p>
      <w:pPr>
        <w:spacing w:after="0" w:line="352"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InternallyDeveloped Software</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capitalized the following internally developed software as of December 31, 2019 and 2018:</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31,594,419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30,302,966</w:t>
            </w: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(22,034,539)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(18,884,496)</w:t>
            </w:r>
          </w:p>
        </w:tc>
      </w:tr>
      <w:tr>
        <w:trPr>
          <w:trHeight w:val="20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Internal use software—net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9,559,880</w:t>
            </w: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11,418,470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20"/>
        <w:spacing w:after="0" w:line="311" w:lineRule="auto"/>
        <w:rPr>
          <w:sz w:val="20"/>
          <w:szCs w:val="20"/>
          <w:color w:val="auto"/>
        </w:rPr>
      </w:pPr>
      <w:r>
        <w:rPr>
          <w:rFonts w:ascii="Arial" w:cs="Arial" w:eastAsia="Arial" w:hAnsi="Arial"/>
          <w:sz w:val="16"/>
          <w:szCs w:val="16"/>
          <w:color w:val="auto"/>
        </w:rPr>
        <w:t>Amortization expense for the years ended December 31, 2019 and 2018, was $5,502,205 and $6,318,091, respectively, and is included in depreciation and amortization expenses in the accompanying consolidated statements of operations and comprehensive income (loss).</w:t>
      </w:r>
    </w:p>
    <w:p>
      <w:pPr>
        <w:spacing w:after="0" w:line="237"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Debt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Revolving Credit Facility</w:t>
      </w:r>
    </w:p>
    <w:p>
      <w:pPr>
        <w:spacing w:after="0" w:line="119"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On September 26, 2016, the Company entered into a $37.5 million revolving credit facility with its senior lender (Amended Credit Facility). The Amended Credit Facility amended and restated the Company’s then existing credit facility and provides the Company with revolving spend availability of up to $30 million under a commercial purchasing card facility and $7.5 million in formula-based revolving loan borrowings. Expenditures made using the purchasing card facility are payable monthly, are not subject to formula-based restrictions and do not bear interest if amounts outstanding are paid when due and in full. The Company utilizes its purchasing card facility for redemption purchases made from merchant partners as part of its service offerings to customers.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F-137</w:t>
      </w:r>
    </w:p>
    <w:p>
      <w:pPr>
        <w:sectPr>
          <w:pgSz w:w="11900" w:h="16838" w:orient="portrait"/>
          <w:cols w:equalWidth="0" w:num="1">
            <w:col w:w="10880"/>
          </w:cols>
          <w:pgMar w:left="320" w:top="471" w:right="699" w:bottom="1440" w:gutter="0" w:footer="0" w:header="0"/>
        </w:sectPr>
      </w:pPr>
    </w:p>
    <w:bookmarkStart w:id="317" w:name="page318"/>
    <w:bookmarkEnd w:id="3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Borrowings under the revolving loan component are subject to eligible accounts receivable, as defined in the loan agreement, and bear interest at Prime plus two and one quarter percent. As of December 31, 2019 and 2018, $6.9 million and $7.5 million was outstanding under the revolving loan facility, respectively. In June 2019, the Company renewed its loan facility with its senior lender through May 31, 2020. The revolving loan facility was repaid in full in connection with the acquisition.</w:t>
      </w:r>
    </w:p>
    <w:p>
      <w:pPr>
        <w:spacing w:after="0" w:line="179"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Company is required to be in compliance with all covenants set forth in the agreement as of each monthly reporting date. The Company was in compliance with all debt covenants throughout 2019.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Subordinated Notes Payable</w:t>
      </w:r>
    </w:p>
    <w:p>
      <w:pPr>
        <w:spacing w:after="0" w:line="119" w:lineRule="exact"/>
        <w:rPr>
          <w:sz w:val="20"/>
          <w:szCs w:val="20"/>
          <w:color w:val="auto"/>
        </w:rPr>
      </w:pPr>
    </w:p>
    <w:p>
      <w:pPr>
        <w:jc w:val="both"/>
        <w:ind w:left="380" w:right="660"/>
        <w:spacing w:after="0" w:line="265" w:lineRule="auto"/>
        <w:rPr>
          <w:sz w:val="20"/>
          <w:szCs w:val="20"/>
          <w:color w:val="auto"/>
        </w:rPr>
      </w:pPr>
      <w:r>
        <w:rPr>
          <w:rFonts w:ascii="Arial" w:cs="Arial" w:eastAsia="Arial" w:hAnsi="Arial"/>
          <w:sz w:val="17"/>
          <w:szCs w:val="17"/>
          <w:color w:val="auto"/>
        </w:rPr>
        <w:t>On June 19, 2015, the Company entered into a Venture Loan and Security agreement (Venture Loan) with a lender to issue up to $5 million in subordinated notes pursuant to which a $4 million note was issued at closing and a $1 million note was issued on December 30, 2015 (Original Subordinated Notes).</w:t>
      </w:r>
    </w:p>
    <w:p>
      <w:pPr>
        <w:spacing w:after="0" w:line="176"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In October 2017, the Company increased the size of its venture loan arrangement with the lender by repaying all amounts outstanding under the Original Subordinated Notes and issuing two new notes totaling $10 million to the lender (2017 Subordinated Notes). The 2017 Subordinated Notes are secured by substantially all of the assets of the Company but are subordinate in priority to certain permitted indebtedness, as defined in the loan agreement, including amounts outstanding under the Amended Credit Facility.</w:t>
      </w:r>
    </w:p>
    <w:p>
      <w:pPr>
        <w:spacing w:after="0" w:line="179" w:lineRule="exact"/>
        <w:rPr>
          <w:sz w:val="20"/>
          <w:szCs w:val="20"/>
          <w:color w:val="auto"/>
        </w:rPr>
      </w:pPr>
    </w:p>
    <w:p>
      <w:pPr>
        <w:ind w:left="380"/>
        <w:spacing w:after="0" w:line="295" w:lineRule="auto"/>
        <w:rPr>
          <w:sz w:val="20"/>
          <w:szCs w:val="20"/>
          <w:color w:val="auto"/>
        </w:rPr>
      </w:pPr>
      <w:r>
        <w:rPr>
          <w:rFonts w:ascii="Arial" w:cs="Arial" w:eastAsia="Arial" w:hAnsi="Arial"/>
          <w:sz w:val="15"/>
          <w:szCs w:val="15"/>
          <w:color w:val="auto"/>
        </w:rPr>
        <w:t>In May 2019, the Company repaid all amounts outstanding under the 2017 Subordinated Notes and entered into a Venture Loan and Security Agreement with its subordinated lender (Modification Agreement) to increase the amount of borrowings by issuing three new notes totaling $15,000,000 (2019 Subordinated Notes), defer payment of principal until January 1, 2021, and amend the credit facility’s maturity date to June 1, 2023. $12,500,000 of 2019 Subordinated Notes was funded at closing and an additional $2,500,000 was funded in September 2019 upon achievement of an EBITDA milestone (Additional Draw). Borrowings under the 2019 Subordinated Notes bear interest at 11% per annum plus the amount by which one-month LIBOR exceeds 2.6%. In conjunction with this financing agreement, the Company issued warrants to the lender to purchase 50,000 shares of its common stock, of which 37,500 shares were exercisable at closing and 12,500 shares became exercisable upon the funding of the Additional Draw. The Company recorded a discount for the notes at issuance based upon the relative fair value of the warrants totaling $37,213 in 2019.</w:t>
      </w:r>
    </w:p>
    <w:p>
      <w:pPr>
        <w:spacing w:after="0" w:line="156"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Borrowings outstanding under the Modification Agreement are payable monthly with an eighteen month interest only period followed by a thirty month amortization of principal and interest. In addition to interest and principal payments, the Company is required to pay $300,000 to the lender either at maturity, upon full repayment of the principal or upon demand by the lender in the event of default by the Company under the loan agreement (Final Payment). The Company is accruing the Final Payment over the term of the note as interest expense and has accrued a liability of $40,625 and $61,111 as of December 31, 2019 and 2018, respectively. As of December 31, 2019 and 2018, borrowings of $15,000,000 and $10,000,000 were outstanding on the Modification Agreement, respectively.</w:t>
      </w:r>
    </w:p>
    <w:p>
      <w:pPr>
        <w:spacing w:after="0" w:line="185"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In connection with issuance of the Venture Loan, and the 2017 Subordinated Notes, the Company issued warrants to purchase 75,458 and 50,000 shares of the Company’s common stock to the lender at an exercise price of $4.97 and $.01 per share, respectively. The Company recorded a discount for the notes at issuance based upon the relative fair value of the warrants totaling $156,458 and $85,057 in 2015 and 2017, respectively, and is amortizing the discount over the term of the notes as interest expense.</w:t>
      </w:r>
    </w:p>
    <w:p>
      <w:pPr>
        <w:spacing w:after="0" w:line="179"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As of December 31, 2019, borrowings outstanding for the subordinated notes are reflected in the consolidated financial statements net of a discount of $37,213 and deferred financing costs of $133,920. As of December 31, 2018, borrowings outstanding for the subordinated notes are reflected in the consolidated financial statements net of a discount of $58,477 and deferred financing costs of $57,630.</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F-138</w:t>
      </w:r>
    </w:p>
    <w:p>
      <w:pPr>
        <w:sectPr>
          <w:pgSz w:w="11900" w:h="16838" w:orient="portrait"/>
          <w:cols w:equalWidth="0" w:num="1">
            <w:col w:w="10840"/>
          </w:cols>
          <w:pgMar w:left="320" w:top="471" w:right="739" w:bottom="1440" w:gutter="0" w:footer="0" w:header="0"/>
        </w:sectPr>
      </w:pPr>
    </w:p>
    <w:bookmarkStart w:id="318" w:name="page319"/>
    <w:bookmarkEnd w:id="3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60"/>
        <w:spacing w:after="0" w:line="278" w:lineRule="auto"/>
        <w:rPr>
          <w:sz w:val="20"/>
          <w:szCs w:val="20"/>
          <w:color w:val="auto"/>
        </w:rPr>
      </w:pPr>
      <w:r>
        <w:rPr>
          <w:rFonts w:ascii="Arial" w:cs="Arial" w:eastAsia="Arial" w:hAnsi="Arial"/>
          <w:sz w:val="17"/>
          <w:szCs w:val="17"/>
          <w:color w:val="auto"/>
        </w:rPr>
        <w:t>The Company is required to be in compliance with all covenants set forth in the agreement at each monthly reporting date. The Company was in compliance with all debt covenants throughout 2019.</w:t>
      </w:r>
    </w:p>
    <w:p>
      <w:pPr>
        <w:spacing w:after="0" w:line="261"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Capital Leases</w:t>
      </w:r>
    </w:p>
    <w:p>
      <w:pPr>
        <w:spacing w:after="0" w:line="119" w:lineRule="exact"/>
        <w:rPr>
          <w:sz w:val="20"/>
          <w:szCs w:val="20"/>
          <w:color w:val="auto"/>
        </w:rPr>
      </w:pPr>
    </w:p>
    <w:p>
      <w:pPr>
        <w:ind w:left="380" w:right="500"/>
        <w:spacing w:after="0" w:line="317" w:lineRule="auto"/>
        <w:rPr>
          <w:sz w:val="20"/>
          <w:szCs w:val="20"/>
          <w:color w:val="auto"/>
        </w:rPr>
      </w:pPr>
      <w:r>
        <w:rPr>
          <w:rFonts w:ascii="Arial" w:cs="Arial" w:eastAsia="Arial" w:hAnsi="Arial"/>
          <w:sz w:val="15"/>
          <w:szCs w:val="15"/>
          <w:color w:val="auto"/>
        </w:rPr>
        <w:t>The Company leases certain assets under agreements that are classified as capital leases expiring through 2024. Accumulated depreciation as of December 31, 2019 and 2018, was approximately $7,130,904 and $6,328,581, respectively. Depreciation expense of assets under capital leases is included in depreciation and amortization expense in the accompanying consolidated statements of operations and comprehensive income (loss).</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8420" w:type="dxa"/>
            <w:vAlign w:val="bottom"/>
            <w:gridSpan w:val="2"/>
          </w:tcPr>
          <w:p>
            <w:pPr>
              <w:spacing w:after="0"/>
              <w:rPr>
                <w:sz w:val="20"/>
                <w:szCs w:val="20"/>
                <w:color w:val="auto"/>
              </w:rPr>
            </w:pPr>
            <w:r>
              <w:rPr>
                <w:rFonts w:ascii="Arial" w:cs="Arial" w:eastAsia="Arial" w:hAnsi="Arial"/>
                <w:sz w:val="17"/>
                <w:szCs w:val="17"/>
                <w:color w:val="auto"/>
              </w:rPr>
              <w:t>Future minimum lease payments pursuant to capital lease obligations as of December 31, 2019, are as follows:</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0" w:type="dxa"/>
            <w:vAlign w:val="bottom"/>
            <w:vMerge w:val="restart"/>
          </w:tcPr>
          <w:p>
            <w:pPr>
              <w:spacing w:after="0"/>
              <w:rPr>
                <w:sz w:val="20"/>
                <w:szCs w:val="20"/>
                <w:color w:val="auto"/>
              </w:rPr>
            </w:pPr>
          </w:p>
        </w:tc>
        <w:tc>
          <w:tcPr>
            <w:tcW w:w="8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20" w:type="dxa"/>
            <w:vAlign w:val="bottom"/>
            <w:vMerge w:val="continue"/>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2020</w:t>
            </w:r>
          </w:p>
        </w:tc>
        <w:tc>
          <w:tcPr>
            <w:tcW w:w="1640" w:type="dxa"/>
            <w:vAlign w:val="bottom"/>
            <w:gridSpan w:val="3"/>
          </w:tcPr>
          <w:p>
            <w:pPr>
              <w:jc w:val="right"/>
              <w:ind w:right="100"/>
              <w:spacing w:after="0"/>
              <w:rPr>
                <w:sz w:val="20"/>
                <w:szCs w:val="20"/>
                <w:color w:val="auto"/>
              </w:rPr>
            </w:pPr>
            <w:r>
              <w:rPr>
                <w:rFonts w:ascii="Arial" w:cs="Arial" w:eastAsia="Arial" w:hAnsi="Arial"/>
                <w:sz w:val="17"/>
                <w:szCs w:val="17"/>
                <w:color w:val="auto"/>
              </w:rPr>
              <w:t>$ 422,755</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2021</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2022</w:t>
            </w:r>
          </w:p>
        </w:tc>
        <w:tc>
          <w:tcPr>
            <w:tcW w:w="1640" w:type="dxa"/>
            <w:vAlign w:val="bottom"/>
            <w:gridSpan w:val="3"/>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2024</w:t>
            </w:r>
          </w:p>
        </w:tc>
        <w:tc>
          <w:tcPr>
            <w:tcW w:w="8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81,263</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991,596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Less amount representing interest</w:t>
            </w:r>
          </w:p>
        </w:tc>
        <w:tc>
          <w:tcPr>
            <w:tcW w:w="8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(136,466)</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855,130</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Less current portion</w:t>
            </w:r>
          </w:p>
        </w:tc>
        <w:tc>
          <w:tcPr>
            <w:tcW w:w="8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(356,280)</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capital lease obligations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$ 498,850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Shareholders’ Equity</w:t>
      </w:r>
    </w:p>
    <w:p>
      <w:pPr>
        <w:spacing w:after="0" w:line="119"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The Company is authorized to issue 11,000,000 shares of common stock with a par value of $0.001 per share, of which 5,103,434 shares are issued and outstanding as of December 31, 2019 and 2018.</w:t>
      </w:r>
    </w:p>
    <w:p>
      <w:pPr>
        <w:spacing w:after="0" w:line="165"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All of the Company’s 3,371,345 shares of authorized Series A redeemable preferred stock (Series A Shares) with a par value of $0.001 per share, is issued and outstanding as of December 31, 2019 and 2018.</w:t>
      </w:r>
    </w:p>
    <w:p>
      <w:pPr>
        <w:spacing w:after="0" w:line="165" w:lineRule="exact"/>
        <w:rPr>
          <w:sz w:val="20"/>
          <w:szCs w:val="20"/>
          <w:color w:val="auto"/>
        </w:rPr>
      </w:pPr>
    </w:p>
    <w:p>
      <w:pPr>
        <w:ind w:left="380" w:right="300"/>
        <w:spacing w:after="0" w:line="282" w:lineRule="auto"/>
        <w:rPr>
          <w:sz w:val="20"/>
          <w:szCs w:val="20"/>
          <w:color w:val="auto"/>
        </w:rPr>
      </w:pPr>
      <w:r>
        <w:rPr>
          <w:rFonts w:ascii="Arial" w:cs="Arial" w:eastAsia="Arial" w:hAnsi="Arial"/>
          <w:sz w:val="16"/>
          <w:szCs w:val="16"/>
          <w:color w:val="auto"/>
        </w:rPr>
        <w:t>On April 25, 2016, the Company issued 3,371,345 of its Series A Shares for proceeds of $35,000,000 (Series A Financing). The Series A Shares are reflected in the Company’s financial statements at the original purchase price, net of professional services fees paid in connection with the Series A Financing of $2,789,530. In connection with this transaction, the Company made distributions to shareholders of the Company in the amount of $12,720,374 and compensatory payments to current and former employees of the Company of $5,341,813.</w:t>
      </w:r>
    </w:p>
    <w:p>
      <w:pPr>
        <w:spacing w:after="0" w:line="164"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As part of the Series A Financing, the Company issued warrants with an exercise price of $.01 per share to purchase 126,119 shares of its common stock to two purchasers of its Series A Shares and converted a warrant issued to a service provider prior to the Series A Financing into 1,408,664 shares of its common stock in connection with the financing. The warrants issued to the two purchasers of its Series A Shares were allocated a relative fair value of $256,023. See also Footnote 8.</w:t>
      </w:r>
    </w:p>
    <w:p>
      <w:pPr>
        <w:spacing w:after="0" w:line="179" w:lineRule="exact"/>
        <w:rPr>
          <w:sz w:val="20"/>
          <w:szCs w:val="20"/>
          <w:color w:val="auto"/>
        </w:rPr>
      </w:pPr>
    </w:p>
    <w:p>
      <w:pPr>
        <w:ind w:left="380" w:right="60"/>
        <w:spacing w:after="0" w:line="298" w:lineRule="auto"/>
        <w:rPr>
          <w:sz w:val="20"/>
          <w:szCs w:val="20"/>
          <w:color w:val="auto"/>
        </w:rPr>
      </w:pPr>
      <w:r>
        <w:rPr>
          <w:rFonts w:ascii="Arial" w:cs="Arial" w:eastAsia="Arial" w:hAnsi="Arial"/>
          <w:sz w:val="15"/>
          <w:szCs w:val="15"/>
          <w:color w:val="auto"/>
        </w:rPr>
        <w:t>The Company’s Series A Shares entitle the holders to a liquidation preference equivalent to their original issue price, as may be adjusted from time to time for certain events as defined in the various shareholder agreements, plus cumulative dividends of 6.0% of the original issue price. The holders of Series A Shares may at any time after issuance convert their shares into shares of the Company’s common stock conversion price defined in the various shareholder agreements, which is subject to adjustment upon the occurrence of certain events. In addition, the Series A shareholders also possess weighted-average anti-dilution rights, the right to appoint a member to the Company’s board of directors and other protective provisions customarily provided preferred shareholders in transactions of this type. The Series A shareholders also have the right to redeem their shares</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F-139</w:t>
      </w:r>
    </w:p>
    <w:p>
      <w:pPr>
        <w:sectPr>
          <w:pgSz w:w="11900" w:h="16838" w:orient="portrait"/>
          <w:cols w:equalWidth="0" w:num="1">
            <w:col w:w="10840"/>
          </w:cols>
          <w:pgMar w:left="320" w:top="471" w:right="739" w:bottom="1440" w:gutter="0" w:footer="0" w:header="0"/>
        </w:sectPr>
      </w:pPr>
    </w:p>
    <w:bookmarkStart w:id="319" w:name="page320"/>
    <w:bookmarkEnd w:id="3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1" w:lineRule="auto"/>
        <w:rPr>
          <w:sz w:val="20"/>
          <w:szCs w:val="20"/>
          <w:color w:val="auto"/>
        </w:rPr>
      </w:pPr>
      <w:r>
        <w:rPr>
          <w:rFonts w:ascii="Arial" w:cs="Arial" w:eastAsia="Arial" w:hAnsi="Arial"/>
          <w:sz w:val="17"/>
          <w:szCs w:val="17"/>
          <w:color w:val="auto"/>
        </w:rPr>
        <w:t>from the Company five years from the date of issuance, subject to a vote by the holders then holding at least 60% of the Series A Shares at such time, at the fair value of the shares at such time. The Company is accreting the carrying value of the Series A Shares to the estimated redemption price over the period from issuance to the initial date which the shares may be redeemed. As of December 31, 2019, the accumulated dividends on the Series A Shares totaled approximately $7,735,000.</w:t>
      </w:r>
    </w:p>
    <w:p>
      <w:pPr>
        <w:spacing w:after="0" w:line="276"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Warrants</w:t>
      </w:r>
    </w:p>
    <w:p>
      <w:pPr>
        <w:spacing w:after="0" w:line="119" w:lineRule="exact"/>
        <w:rPr>
          <w:sz w:val="20"/>
          <w:szCs w:val="20"/>
          <w:color w:val="auto"/>
        </w:rPr>
      </w:pPr>
    </w:p>
    <w:p>
      <w:pPr>
        <w:ind w:left="380" w:right="260"/>
        <w:spacing w:after="0" w:line="265" w:lineRule="auto"/>
        <w:rPr>
          <w:sz w:val="20"/>
          <w:szCs w:val="20"/>
          <w:color w:val="auto"/>
        </w:rPr>
      </w:pPr>
      <w:r>
        <w:rPr>
          <w:rFonts w:ascii="Arial" w:cs="Arial" w:eastAsia="Arial" w:hAnsi="Arial"/>
          <w:sz w:val="17"/>
          <w:szCs w:val="17"/>
          <w:color w:val="auto"/>
        </w:rPr>
        <w:t>The Company has issued common stock warrants to a service provider, a lender, and investors in connection with certain of its debt and equity financings. The Company accounts for the financing instrument (debt or equity instrument) and warrants separately and allocates the proceeds to the instrument and warrant on a relative fair value basis.</w:t>
      </w:r>
    </w:p>
    <w:p>
      <w:pPr>
        <w:spacing w:after="0" w:line="176"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In connection with the issuance of the Original Subordinated Notes in June 2015, the Company issued warrants to the holder of the notes to purchase common stock ownership interests in its operating subsidiaries. In connection with the Series A Financing in April 2016, the warrants held by the lender were exchanged for a warrant to purchase 75,458 shares of common stock of B2S Holdings, the parent holding company created in connection with the Series A Financing. The warrants are fully exercisable, have an exercise price of $4.97 per share and expire in 2026.</w:t>
      </w:r>
    </w:p>
    <w:p>
      <w:pPr>
        <w:spacing w:after="0" w:line="164"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In connection with its Series A Financing, the Company issued warrants to purchase 126,119 shares of its common stock at an exercise price of $.01 per share to two purchasers of its Series A Preferred shares. The warrants were allocated a relative fair value of $256,023 at the time of issuance. All of the warrants were exercised by the holders in November 2017.</w:t>
      </w:r>
    </w:p>
    <w:p>
      <w:pPr>
        <w:spacing w:after="0" w:line="176"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In connection with the issuance of the 2017 Subordinated Notes in October 2017, the Company issued a warrant to the lender to purchase 50,000 shares of common stock at an exercise price of $0.01 per share. The Company allocated $85,057 of relative value to the warrant at issuance and recorded such amount as a discount to the notes issued. Such discount is being amortized to interest expense over the term of the 2017 Subordinated Notes. The warrant expires in 2027.</w:t>
      </w:r>
    </w:p>
    <w:p>
      <w:pPr>
        <w:spacing w:after="0" w:line="276"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Employee Benefit Plans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Restricted Shares</w:t>
      </w:r>
    </w:p>
    <w:p>
      <w:pPr>
        <w:spacing w:after="0" w:line="119" w:lineRule="exact"/>
        <w:rPr>
          <w:sz w:val="20"/>
          <w:szCs w:val="20"/>
          <w:color w:val="auto"/>
        </w:rPr>
      </w:pPr>
    </w:p>
    <w:p>
      <w:pPr>
        <w:ind w:left="380" w:right="60"/>
        <w:spacing w:after="0" w:line="298" w:lineRule="auto"/>
        <w:rPr>
          <w:sz w:val="20"/>
          <w:szCs w:val="20"/>
          <w:color w:val="auto"/>
        </w:rPr>
      </w:pPr>
      <w:r>
        <w:rPr>
          <w:rFonts w:ascii="Arial" w:cs="Arial" w:eastAsia="Arial" w:hAnsi="Arial"/>
          <w:sz w:val="15"/>
          <w:szCs w:val="15"/>
          <w:color w:val="auto"/>
        </w:rPr>
        <w:t>On April 25, 2016, the Company granted 1,212,406 shares of restricted common shares to certain employees pursuant to stand-alone restricted share agreements. Under the terms of the restricted share agreements, the underlying shares vest only upon a change of control in the Company, as defined in the agreements. Because the holders of the associated restricted shares vest in such shares only upon a change of control in the Company, the Company has recognized no compensation cost for these awards in the accompanying financial statements. Generally, the term of the restricted share agreements are twelve years from the grant date and rights to award shares may be forfeited by the holder if such holder’s employment with the Company is terminated for defined reasons. As of December 31, 2019 and 2018, 1,181,889 restricted shares were outstanding.</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Stock Incentive Plan</w:t>
      </w:r>
    </w:p>
    <w:p>
      <w:pPr>
        <w:spacing w:after="0" w:line="119"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In connection with the Series A Financing, the Company’s board of directors adopted the B2S Holdings, Inc. 2016 Stock Incentive Plan (2016 Plan). The 2016 Plan became effective on April 25, 2016, and has a term of ten years from the effective date unless terminated earlier by the Company’s board of directors. The Company has reserved 204,052 shares of common stock for issuance pursuant to awards under the 2016 Plan. The 2016 Plan provides for the grant of Incentive Stock Options, Nonqualified Stock Options, Restricted Stock Awards, Deferred Stock Units and Stock Appreciation Rights to employees, directors and certain non-employees providing services to the Company.</w:t>
      </w:r>
    </w:p>
    <w:p>
      <w:pPr>
        <w:spacing w:after="0" w:line="10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F-140</w:t>
      </w:r>
    </w:p>
    <w:p>
      <w:pPr>
        <w:sectPr>
          <w:pgSz w:w="11900" w:h="16838" w:orient="portrait"/>
          <w:cols w:equalWidth="0" w:num="1">
            <w:col w:w="10820"/>
          </w:cols>
          <w:pgMar w:left="320" w:top="471" w:right="759" w:bottom="1440" w:gutter="0" w:footer="0" w:header="0"/>
        </w:sectPr>
      </w:pPr>
    </w:p>
    <w:bookmarkStart w:id="320" w:name="page321"/>
    <w:bookmarkEnd w:id="3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77" w:lineRule="auto"/>
        <w:rPr>
          <w:sz w:val="20"/>
          <w:szCs w:val="20"/>
          <w:color w:val="auto"/>
        </w:rPr>
      </w:pPr>
      <w:r>
        <w:rPr>
          <w:rFonts w:ascii="Arial" w:cs="Arial" w:eastAsia="Arial" w:hAnsi="Arial"/>
          <w:sz w:val="16"/>
          <w:szCs w:val="16"/>
          <w:color w:val="auto"/>
        </w:rPr>
        <w:t>To determine associated stock compensation expense for awards, the fair value of a stock option is determined on the grant date using the Black-Scholes option pricing model. Expected volatility is based on the average historical volatility of similarly situated publicly traded business services companies. The expected term of the option granted represents the period of time that options are expected to be outstanding. The Company used the simplified method under relevant accounting standards to estimate the expected term of the options. The risk-free rate is based on U.S. Treasury yields in effect at the time of the grant for the expected term of the options. The Company accounts for forfeitures in the period they occur resulting in a reversal of all previously recognized compensation expense for awards forfeited.</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stock options grants made in 2019. Assumptions for stock option grants made in 2018 are as follows: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79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r>
      <w:tr>
        <w:trPr>
          <w:trHeight w:val="199"/>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98"/>
              </w:rPr>
              <w:t>N/A</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- 2.69%</w:t>
            </w:r>
          </w:p>
        </w:tc>
      </w:tr>
      <w:tr>
        <w:trPr>
          <w:trHeight w:val="206"/>
        </w:trPr>
        <w:tc>
          <w:tcPr>
            <w:tcW w:w="7980" w:type="dxa"/>
            <w:vAlign w:val="bottom"/>
          </w:tcPr>
          <w:p>
            <w:pPr>
              <w:spacing w:after="0"/>
              <w:rPr>
                <w:sz w:val="20"/>
                <w:szCs w:val="20"/>
                <w:color w:val="auto"/>
              </w:rPr>
            </w:pPr>
            <w:r>
              <w:rPr>
                <w:rFonts w:ascii="Arial" w:cs="Arial" w:eastAsia="Arial" w:hAnsi="Arial"/>
                <w:sz w:val="17"/>
                <w:szCs w:val="17"/>
                <w:color w:val="auto"/>
              </w:rPr>
              <w:t>Volatility factor</w:t>
            </w:r>
          </w:p>
        </w:tc>
        <w:tc>
          <w:tcPr>
            <w:tcW w:w="680" w:type="dxa"/>
            <w:vAlign w:val="bottom"/>
            <w:gridSpan w:val="2"/>
          </w:tcPr>
          <w:p>
            <w:pPr>
              <w:spacing w:after="0"/>
              <w:rPr>
                <w:sz w:val="20"/>
                <w:szCs w:val="20"/>
                <w:color w:val="auto"/>
              </w:rPr>
            </w:pPr>
            <w:r>
              <w:rPr>
                <w:rFonts w:ascii="Arial" w:cs="Arial" w:eastAsia="Arial" w:hAnsi="Arial"/>
                <w:sz w:val="17"/>
                <w:szCs w:val="17"/>
                <w:color w:val="auto"/>
              </w:rPr>
              <w:t>N/A</w:t>
            </w:r>
          </w:p>
        </w:tc>
        <w:tc>
          <w:tcPr>
            <w:tcW w:w="3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66.84%</w:t>
            </w:r>
          </w:p>
        </w:tc>
      </w:tr>
      <w:tr>
        <w:trPr>
          <w:trHeight w:val="206"/>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0.00%</w:t>
            </w:r>
          </w:p>
        </w:tc>
      </w:tr>
      <w:tr>
        <w:trPr>
          <w:trHeight w:val="217"/>
        </w:trPr>
        <w:tc>
          <w:tcPr>
            <w:tcW w:w="7980" w:type="dxa"/>
            <w:vAlign w:val="bottom"/>
          </w:tcPr>
          <w:p>
            <w:pPr>
              <w:spacing w:after="0"/>
              <w:rPr>
                <w:sz w:val="20"/>
                <w:szCs w:val="20"/>
                <w:color w:val="auto"/>
              </w:rPr>
            </w:pPr>
            <w:r>
              <w:rPr>
                <w:rFonts w:ascii="Arial" w:cs="Arial" w:eastAsia="Arial" w:hAnsi="Arial"/>
                <w:sz w:val="17"/>
                <w:szCs w:val="17"/>
                <w:color w:val="auto"/>
              </w:rPr>
              <w:t>Expected life (years)</w:t>
            </w:r>
          </w:p>
        </w:tc>
        <w:tc>
          <w:tcPr>
            <w:tcW w:w="680" w:type="dxa"/>
            <w:vAlign w:val="bottom"/>
            <w:gridSpan w:val="2"/>
          </w:tcPr>
          <w:p>
            <w:pPr>
              <w:spacing w:after="0"/>
              <w:rPr>
                <w:sz w:val="20"/>
                <w:szCs w:val="20"/>
                <w:color w:val="auto"/>
              </w:rPr>
            </w:pPr>
            <w:r>
              <w:rPr>
                <w:rFonts w:ascii="Arial" w:cs="Arial" w:eastAsia="Arial" w:hAnsi="Arial"/>
                <w:sz w:val="17"/>
                <w:szCs w:val="17"/>
                <w:color w:val="auto"/>
              </w:rPr>
              <w:t>N/A</w:t>
            </w:r>
          </w:p>
        </w:tc>
        <w:tc>
          <w:tcPr>
            <w:tcW w:w="380" w:type="dxa"/>
            <w:vAlign w:val="bottom"/>
          </w:tcPr>
          <w:p>
            <w:pPr>
              <w:jc w:val="right"/>
              <w:spacing w:after="0"/>
              <w:rPr>
                <w:sz w:val="20"/>
                <w:szCs w:val="20"/>
                <w:color w:val="auto"/>
              </w:rPr>
            </w:pPr>
            <w:r>
              <w:rPr>
                <w:rFonts w:ascii="Arial" w:cs="Arial" w:eastAsia="Arial" w:hAnsi="Arial"/>
                <w:sz w:val="17"/>
                <w:szCs w:val="17"/>
                <w:color w:val="auto"/>
              </w:rPr>
              <w:t>1.23</w:t>
            </w:r>
          </w:p>
        </w:tc>
        <w:tc>
          <w:tcPr>
            <w:tcW w:w="420" w:type="dxa"/>
            <w:vAlign w:val="bottom"/>
          </w:tcPr>
          <w:p>
            <w:pPr>
              <w:jc w:val="right"/>
              <w:spacing w:after="0"/>
              <w:rPr>
                <w:sz w:val="20"/>
                <w:szCs w:val="20"/>
                <w:color w:val="auto"/>
              </w:rPr>
            </w:pPr>
            <w:r>
              <w:rPr>
                <w:rFonts w:ascii="Arial" w:cs="Arial" w:eastAsia="Arial" w:hAnsi="Arial"/>
                <w:sz w:val="17"/>
                <w:szCs w:val="17"/>
                <w:color w:val="auto"/>
                <w:w w:val="91"/>
              </w:rPr>
              <w:t>- 6.08</w:t>
            </w:r>
          </w:p>
        </w:tc>
        <w:tc>
          <w:tcPr>
            <w:tcW w:w="180" w:type="dxa"/>
            <w:vAlign w:val="bottom"/>
          </w:tcPr>
          <w:p>
            <w:pPr>
              <w:spacing w:after="0"/>
              <w:rPr>
                <w:sz w:val="18"/>
                <w:szCs w:val="18"/>
                <w:color w:val="auto"/>
              </w:rPr>
            </w:pP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grant date fair value of units granted during the year ended December 31, 2019 and 2018, was $0 and $25,166, respectively.</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information for outstanding awards as of December 31, 2019:</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2"/>
              </w:rPr>
              <w:t>Incentive</w:t>
            </w:r>
          </w:p>
        </w:tc>
        <w:tc>
          <w:tcPr>
            <w:tcW w:w="120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700"/>
              <w:spacing w:after="0" w:line="141" w:lineRule="exact"/>
              <w:rPr>
                <w:sz w:val="20"/>
                <w:szCs w:val="20"/>
                <w:color w:val="auto"/>
              </w:rPr>
            </w:pPr>
            <w:r>
              <w:rPr>
                <w:rFonts w:ascii="Arial" w:cs="Arial" w:eastAsia="Arial" w:hAnsi="Arial"/>
                <w:sz w:val="14"/>
                <w:szCs w:val="14"/>
                <w:b w:val="1"/>
                <w:bCs w:val="1"/>
                <w:color w:val="auto"/>
                <w:w w:val="92"/>
              </w:rPr>
              <w:t>Strike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Units outstanding as of December 31,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120,000</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center"/>
              <w:ind w:left="119"/>
              <w:spacing w:after="0"/>
              <w:rPr>
                <w:sz w:val="20"/>
                <w:szCs w:val="20"/>
                <w:color w:val="auto"/>
              </w:rPr>
            </w:pPr>
            <w:r>
              <w:rPr>
                <w:rFonts w:ascii="Arial" w:cs="Arial" w:eastAsia="Arial" w:hAnsi="Arial"/>
                <w:sz w:val="17"/>
                <w:szCs w:val="17"/>
                <w:color w:val="auto"/>
                <w:w w:val="90"/>
              </w:rPr>
              <w:t>1.67</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(3,958)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0"/>
              </w:rPr>
              <w:t>1.71</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7"/>
                <w:szCs w:val="17"/>
                <w:color w:val="auto"/>
              </w:rPr>
              <w:t>Cancelled or expired</w:t>
            </w: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(21,042)</w:t>
            </w: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1.71</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as of December 31,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0"/>
              </w:rPr>
              <w:t>1.66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7"/>
                <w:szCs w:val="17"/>
                <w:color w:val="auto"/>
              </w:rPr>
              <w:t>Units exercisable as of December 31, 2019</w:t>
            </w: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7"/>
                <w:szCs w:val="17"/>
                <w:color w:val="auto"/>
                <w:w w:val="90"/>
              </w:rPr>
              <w:t>1.69</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8.93</w:t>
            </w:r>
          </w:p>
        </w:tc>
        <w:tc>
          <w:tcPr>
            <w:tcW w:w="0" w:type="dxa"/>
            <w:vAlign w:val="bottom"/>
          </w:tcPr>
          <w:p>
            <w:pPr>
              <w:spacing w:after="0" w:line="20" w:lineRule="exact"/>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75,250</w:t>
            </w:r>
          </w:p>
        </w:tc>
        <w:tc>
          <w:tcPr>
            <w:tcW w:w="10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635</wp:posOffset>
            </wp:positionV>
            <wp:extent cx="3917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91795"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color w:val="auto"/>
        </w:rPr>
        <w:t>A summary of the status of the Company’s nonvested awards as of December 31, 2019, is presented below:</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1"/>
        </w:trPr>
        <w:tc>
          <w:tcPr>
            <w:tcW w:w="7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Units</w:t>
            </w:r>
          </w:p>
        </w:tc>
        <w:tc>
          <w:tcPr>
            <w:tcW w:w="1080" w:type="dxa"/>
            <w:vAlign w:val="bottom"/>
            <w:gridSpan w:val="2"/>
            <w:vMerge w:val="continue"/>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38"/>
        </w:trPr>
        <w:tc>
          <w:tcPr>
            <w:tcW w:w="7920" w:type="dxa"/>
            <w:vAlign w:val="bottom"/>
            <w:gridSpan w:val="3"/>
            <w:vMerge w:val="continue"/>
          </w:tcPr>
          <w:p>
            <w:pPr>
              <w:spacing w:after="0"/>
              <w:rPr>
                <w:sz w:val="12"/>
                <w:szCs w:val="12"/>
                <w:color w:val="auto"/>
              </w:rPr>
            </w:pPr>
          </w:p>
        </w:tc>
        <w:tc>
          <w:tcPr>
            <w:tcW w:w="1080" w:type="dxa"/>
            <w:vAlign w:val="bottom"/>
            <w:gridSpan w:val="2"/>
          </w:tcPr>
          <w:p>
            <w:pPr>
              <w:jc w:val="right"/>
              <w:ind w:right="640"/>
              <w:spacing w:after="0" w:line="118" w:lineRule="exact"/>
              <w:rPr>
                <w:sz w:val="20"/>
                <w:szCs w:val="20"/>
                <w:color w:val="auto"/>
              </w:rPr>
            </w:pPr>
            <w:r>
              <w:rPr>
                <w:rFonts w:ascii="Arial" w:cs="Arial" w:eastAsia="Arial" w:hAnsi="Arial"/>
                <w:sz w:val="13"/>
                <w:szCs w:val="13"/>
                <w:b w:val="1"/>
                <w:bCs w:val="1"/>
                <w:color w:val="auto"/>
              </w:rPr>
              <w:t>Units</w:t>
            </w: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9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Nonvested units at December 31, 2018</w:t>
            </w:r>
          </w:p>
        </w:tc>
        <w:tc>
          <w:tcPr>
            <w:tcW w:w="5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53,908</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0.83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7"/>
              </w:rPr>
              <w:t>(13,116)</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tcPr>
          <w:p>
            <w:pPr>
              <w:ind w:left="320"/>
              <w:spacing w:after="0"/>
              <w:rPr>
                <w:sz w:val="20"/>
                <w:szCs w:val="20"/>
                <w:color w:val="auto"/>
              </w:rPr>
            </w:pPr>
            <w:r>
              <w:rPr>
                <w:rFonts w:ascii="Arial" w:cs="Arial" w:eastAsia="Arial" w:hAnsi="Arial"/>
                <w:sz w:val="17"/>
                <w:szCs w:val="17"/>
                <w:color w:val="auto"/>
              </w:rPr>
              <w:t>Cancelled or expired</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(21,042)</w:t>
            </w: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units at December 31, 2019</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19,750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2019, there was $18,953 of unrecognized compensation to be recognized over a weighted-average period of 9.97 years.</w:t>
      </w:r>
    </w:p>
    <w:p>
      <w:pPr>
        <w:spacing w:after="0" w:line="32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Defined Contribution Plan</w:t>
      </w:r>
    </w:p>
    <w:p>
      <w:pPr>
        <w:spacing w:after="0" w:line="119" w:lineRule="exact"/>
        <w:rPr>
          <w:sz w:val="20"/>
          <w:szCs w:val="20"/>
          <w:color w:val="auto"/>
        </w:rPr>
      </w:pPr>
    </w:p>
    <w:p>
      <w:pPr>
        <w:ind w:left="380"/>
        <w:spacing w:after="0" w:line="278" w:lineRule="auto"/>
        <w:rPr>
          <w:sz w:val="20"/>
          <w:szCs w:val="20"/>
          <w:color w:val="auto"/>
        </w:rPr>
      </w:pPr>
      <w:r>
        <w:rPr>
          <w:rFonts w:ascii="Arial" w:cs="Arial" w:eastAsia="Arial" w:hAnsi="Arial"/>
          <w:sz w:val="17"/>
          <w:szCs w:val="17"/>
          <w:color w:val="auto"/>
        </w:rPr>
        <w:t>Substantially all of the Company’s employees may participate in a defined contribution plan, offered by the Company, that complies with Section 401(k) of the Internal Revenue Code (401(k) Plan). The Company matches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F-141</w:t>
      </w:r>
    </w:p>
    <w:p>
      <w:pPr>
        <w:sectPr>
          <w:pgSz w:w="11900" w:h="16838" w:orient="portrait"/>
          <w:cols w:equalWidth="0" w:num="1">
            <w:col w:w="10860"/>
          </w:cols>
          <w:pgMar w:left="320" w:top="471" w:right="719" w:bottom="1440" w:gutter="0" w:footer="0" w:header="0"/>
        </w:sectPr>
      </w:pPr>
    </w:p>
    <w:bookmarkStart w:id="321" w:name="page322"/>
    <w:bookmarkEnd w:id="3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20"/>
        <w:spacing w:after="0" w:line="289" w:lineRule="auto"/>
        <w:rPr>
          <w:sz w:val="20"/>
          <w:szCs w:val="20"/>
          <w:color w:val="auto"/>
        </w:rPr>
      </w:pPr>
      <w:r>
        <w:rPr>
          <w:rFonts w:ascii="Arial" w:cs="Arial" w:eastAsia="Arial" w:hAnsi="Arial"/>
          <w:sz w:val="16"/>
          <w:szCs w:val="16"/>
          <w:color w:val="auto"/>
        </w:rPr>
        <w:t>100% of each participant’s voluntary contributions, subject to a maximum contribution of 4% of the participant’s compensation. Matching contributions are at the election of the Company and are subject to change at any time. Participants vest immediately in their contributions to the 401(k) Plan. For the years ended December 31, 2019 and 2018, total expense under this plan was $617,317 and $665,972, respectively.</w:t>
      </w:r>
    </w:p>
    <w:p>
      <w:pPr>
        <w:spacing w:after="0" w:line="255"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provision for income taxes is as follows: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Current expense</w:t>
            </w:r>
          </w:p>
        </w:tc>
        <w:tc>
          <w:tcPr>
            <w:tcW w:w="35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Federal</w:t>
            </w:r>
          </w:p>
        </w:tc>
        <w:tc>
          <w:tcPr>
            <w:tcW w:w="39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Foreign</w:t>
            </w:r>
          </w:p>
        </w:tc>
        <w:tc>
          <w:tcPr>
            <w:tcW w:w="3540" w:type="dxa"/>
            <w:vAlign w:val="bottom"/>
          </w:tcPr>
          <w:p>
            <w:pPr>
              <w:spacing w:after="0"/>
              <w:rPr>
                <w:sz w:val="18"/>
                <w:szCs w:val="18"/>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Deferred expense</w:t>
            </w:r>
          </w:p>
        </w:tc>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vMerge w:val="continue"/>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State</w:t>
            </w:r>
          </w:p>
        </w:tc>
        <w:tc>
          <w:tcPr>
            <w:tcW w:w="3540" w:type="dxa"/>
            <w:vAlign w:val="bottom"/>
          </w:tcPr>
          <w:p>
            <w:pPr>
              <w:spacing w:after="0"/>
              <w:rPr>
                <w:sz w:val="17"/>
                <w:szCs w:val="17"/>
                <w:color w:val="auto"/>
              </w:rPr>
            </w:pPr>
          </w:p>
        </w:tc>
        <w:tc>
          <w:tcPr>
            <w:tcW w:w="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35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39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560"/>
        <w:spacing w:after="0" w:line="278" w:lineRule="auto"/>
        <w:rPr>
          <w:sz w:val="20"/>
          <w:szCs w:val="20"/>
          <w:color w:val="auto"/>
        </w:rPr>
      </w:pPr>
      <w:r>
        <w:rPr>
          <w:rFonts w:ascii="Arial" w:cs="Arial" w:eastAsia="Arial" w:hAnsi="Arial"/>
          <w:sz w:val="17"/>
          <w:szCs w:val="17"/>
          <w:color w:val="auto"/>
        </w:rPr>
        <w:t>The Company’s income tax expense for the years ended December 31, 2019 and 2018, differs from the expected expense based upon the federal statutory rate primarily due to foreign taxes, permanent differences, and changes in the valuation allowance.</w:t>
      </w:r>
    </w:p>
    <w:p>
      <w:pPr>
        <w:spacing w:after="0" w:line="165"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As of December 31, 2019 and 2018, the Company’s deferred tax assets and liabilities consisted of the effect of temporary differences attributable to the following:</w:t>
      </w:r>
    </w:p>
    <w:p>
      <w:pPr>
        <w:spacing w:after="0" w:line="193"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Deferred tax assets (liabilities):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Intangible asset</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6,409,022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6,940,862</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revenues, net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1,476,592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1,722,671</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5,913,637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5,744,514</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Capitalized software development costs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(2,915,046)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(2,462,286)</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711,279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995,921</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assets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(159,455)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(201,653)</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Allowance for doubtful accounts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21,667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56,067</w:t>
            </w:r>
          </w:p>
        </w:tc>
      </w:tr>
      <w:tr>
        <w:trPr>
          <w:trHeight w:val="26"/>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 assets - net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11,457,696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12,796,096</w:t>
            </w: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Valuation allowance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w w:val="89"/>
              </w:rPr>
              <w:t>(11,457,696)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(12,796,096)</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Deferred taxes - net</w:t>
            </w:r>
          </w:p>
        </w:tc>
        <w:tc>
          <w:tcPr>
            <w:tcW w:w="20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As of December 31, 2019, the Company had approximately $29,500,000 of U.S. federal and state and foreign net operating loss carryforwards (NOL), that begin to expire in 2026. The Company has not calculated usage limitations of the net operating loss carryforwards associated with the ownership change pursuant to Section 382 of the Federal Internal Revenue Code.</w:t>
      </w:r>
    </w:p>
    <w:p>
      <w:pPr>
        <w:spacing w:after="0" w:line="17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In assessing the realization of deferred tax assets, the Company considers whether it is more likely than not that some portion or all of the deferred tax assets will be realized. The ultimate realization of the deferred tax assets is dependent upon the generation of future taxable income during the periods in which those temporary differences</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F-142</w:t>
      </w:r>
    </w:p>
    <w:p>
      <w:pPr>
        <w:sectPr>
          <w:pgSz w:w="11900" w:h="16838" w:orient="portrait"/>
          <w:cols w:equalWidth="0" w:num="1">
            <w:col w:w="10840"/>
          </w:cols>
          <w:pgMar w:left="320" w:top="470" w:right="739" w:bottom="1440" w:gutter="0" w:footer="0" w:header="0"/>
        </w:sectPr>
      </w:pPr>
    </w:p>
    <w:bookmarkStart w:id="322" w:name="page323"/>
    <w:bookmarkEnd w:id="3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become deductible. Management considers the scheduled reversal of deferred tax liabilities, projected future taxable income and tax strategies in making this assessment. Based upon this assessment, the Company has recorded a valuation allowance for the entire amount of net deferred tax assets which exist at December 31, 2019 and 2018.</w:t>
      </w:r>
    </w:p>
    <w:p>
      <w:pPr>
        <w:spacing w:after="0" w:line="176" w:lineRule="exact"/>
        <w:rPr>
          <w:sz w:val="20"/>
          <w:szCs w:val="20"/>
          <w:color w:val="auto"/>
        </w:rPr>
      </w:pPr>
    </w:p>
    <w:p>
      <w:pPr>
        <w:ind w:left="380" w:right="20"/>
        <w:spacing w:after="0" w:line="259" w:lineRule="auto"/>
        <w:rPr>
          <w:sz w:val="20"/>
          <w:szCs w:val="20"/>
          <w:color w:val="auto"/>
        </w:rPr>
      </w:pPr>
      <w:r>
        <w:rPr>
          <w:rFonts w:ascii="Arial" w:cs="Arial" w:eastAsia="Arial" w:hAnsi="Arial"/>
          <w:sz w:val="17"/>
          <w:szCs w:val="17"/>
          <w:color w:val="auto"/>
        </w:rPr>
        <w:t>The Company applies the provisions of the FASB accounting standard for uncertainty in income taxes related to unrecognized tax benefits and determined no accrual was necessary for unrecognized tax benefits based on the Company’s tax positions, including all years subject to examination, except as noted in the following paragraph. The Company files income tax returns in U.S. federal and various state jurisdictions, as well as Canadian federal and provincial jurisdictions. The Company is subject to U.S. federal, state and local, as well as Canadian tax examinations by relevant authorities for years 2016 through 2018.</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incurred no interest or penalties related to income taxes during the years ended December 31, 2019 and 2018.</w:t>
      </w:r>
    </w:p>
    <w:p>
      <w:pPr>
        <w:spacing w:after="0" w:line="313"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Operating Leases</w:t>
      </w:r>
    </w:p>
    <w:p>
      <w:pPr>
        <w:spacing w:after="0" w:line="119"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The Company leases office facilities under the terms of various operating leases expiring through 2023. Several of these leases include escalation clauses for adjusting rentals. For the years ended December 31, 2019 and 2018, rent expense under these lease agreements was $893,870 and $981,644, respectively.</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At December 31, 2019, aggregate minimum lease payments on operating leases with original or remaining terms in excess of one year are as follows:</w:t>
      </w:r>
    </w:p>
    <w:p>
      <w:pPr>
        <w:spacing w:after="0" w:line="27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$ 1,119,154</w:t>
            </w:r>
          </w:p>
        </w:tc>
        <w:tc>
          <w:tcPr>
            <w:tcW w:w="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2021</w:t>
            </w:r>
          </w:p>
        </w:tc>
        <w:tc>
          <w:tcPr>
            <w:tcW w:w="4620" w:type="dxa"/>
            <w:vAlign w:val="bottom"/>
            <w:gridSpan w:val="2"/>
          </w:tcPr>
          <w:p>
            <w:pPr>
              <w:jc w:val="right"/>
              <w:spacing w:after="0"/>
              <w:rPr>
                <w:sz w:val="20"/>
                <w:szCs w:val="20"/>
                <w:color w:val="auto"/>
              </w:rPr>
            </w:pPr>
            <w:r>
              <w:rPr>
                <w:rFonts w:ascii="Arial" w:cs="Arial" w:eastAsia="Arial" w:hAnsi="Arial"/>
                <w:sz w:val="17"/>
                <w:szCs w:val="17"/>
                <w:color w:val="auto"/>
              </w:rPr>
              <w:t>598,880</w:t>
            </w: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609,603</w:t>
            </w: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2023</w:t>
            </w:r>
          </w:p>
        </w:tc>
        <w:tc>
          <w:tcPr>
            <w:tcW w:w="37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204,094</w:t>
            </w:r>
          </w:p>
        </w:tc>
        <w:tc>
          <w:tcPr>
            <w:tcW w:w="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$ 2,531,731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Deferred rent expense under office leases was $799,413 and $1,115,261 as of December 31, 2019 and 2018, respectively, and is included in deferred rent expense in the accompanying consolidated balance sheets. The deferred rent expense is being amortized over the life of the associated office lease or asset, whichever is shorter.</w:t>
      </w:r>
    </w:p>
    <w:p>
      <w:pPr>
        <w:spacing w:after="0" w:line="273"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Contingencies</w:t>
      </w:r>
    </w:p>
    <w:p>
      <w:pPr>
        <w:spacing w:after="0" w:line="119"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During 2014 and 2015, the Company accrued a liability of approximately $2 million by reducing revenues during that period as an estimate of a liability for certain undetermined contractual arrangements. The amounts recorded are classified as a current liability at December 31, 2019 and 2018, pending the ultimate resolution of this matter.</w:t>
      </w:r>
    </w:p>
    <w:p>
      <w:pPr>
        <w:spacing w:after="0" w:line="176" w:lineRule="exact"/>
        <w:rPr>
          <w:sz w:val="20"/>
          <w:szCs w:val="20"/>
          <w:color w:val="auto"/>
        </w:rPr>
      </w:pPr>
    </w:p>
    <w:p>
      <w:pPr>
        <w:ind w:left="380" w:right="80"/>
        <w:spacing w:after="0" w:line="301" w:lineRule="auto"/>
        <w:rPr>
          <w:sz w:val="20"/>
          <w:szCs w:val="20"/>
          <w:color w:val="auto"/>
        </w:rPr>
      </w:pPr>
      <w:r>
        <w:rPr>
          <w:rFonts w:ascii="Arial" w:cs="Arial" w:eastAsia="Arial" w:hAnsi="Arial"/>
          <w:sz w:val="15"/>
          <w:szCs w:val="15"/>
          <w:color w:val="auto"/>
        </w:rPr>
        <w:t>In the ordinary course of business, the Company has been, and may in the future be put on notice by a third party for claims pursuant to contractual obligations, alleged infringement of a proprietary right or other claims. In general, the resolution of any such matter could be material to the Company’s financial condition or cash flows, or both, or could otherwise adversely affect the Company’s operating results. The Company makes a provision for a liability relating to such claims when it is both probable that a liability has been incurred and the amount of the loss can be reasonably estimated. As of December 31, 2019 and 2018, there were no such matters for which the Company had recorded a liability associated with any anticipated loss.</w:t>
      </w:r>
    </w:p>
    <w:p>
      <w:pPr>
        <w:spacing w:after="0" w:line="250"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Litigation</w:t>
      </w:r>
    </w:p>
    <w:p>
      <w:pPr>
        <w:spacing w:after="0" w:line="119" w:lineRule="exact"/>
        <w:rPr>
          <w:sz w:val="20"/>
          <w:szCs w:val="20"/>
          <w:color w:val="auto"/>
        </w:rPr>
      </w:pPr>
    </w:p>
    <w:p>
      <w:pPr>
        <w:ind w:left="380" w:right="180"/>
        <w:spacing w:after="0" w:line="278" w:lineRule="auto"/>
        <w:rPr>
          <w:sz w:val="20"/>
          <w:szCs w:val="20"/>
          <w:color w:val="auto"/>
        </w:rPr>
      </w:pPr>
      <w:r>
        <w:rPr>
          <w:rFonts w:ascii="Arial" w:cs="Arial" w:eastAsia="Arial" w:hAnsi="Arial"/>
          <w:sz w:val="17"/>
          <w:szCs w:val="17"/>
          <w:color w:val="auto"/>
        </w:rPr>
        <w:t>The Company is from time to time a party to legal proceedings, which arise in the ordinary course of business. The Company is not currently involved in any litigation, in which the outcome would, in management’s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F-143</w:t>
      </w:r>
    </w:p>
    <w:p>
      <w:pPr>
        <w:sectPr>
          <w:pgSz w:w="11900" w:h="16838" w:orient="portrait"/>
          <w:cols w:equalWidth="0" w:num="1">
            <w:col w:w="10880"/>
          </w:cols>
          <w:pgMar w:left="320" w:top="471" w:right="699" w:bottom="1440" w:gutter="0" w:footer="0" w:header="0"/>
        </w:sectPr>
      </w:pPr>
    </w:p>
    <w:bookmarkStart w:id="323" w:name="page324"/>
    <w:bookmarkEnd w:id="3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judgment based on information currently available, have a material adverse effect on the consolidated results of operations or financial condition of the Company.</w:t>
      </w:r>
    </w:p>
    <w:p>
      <w:pPr>
        <w:spacing w:after="0" w:line="165"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On June 27, 2018, the Company settled a dispute it had with a counter-party to an agreement by agreeing to accept a one-time payment in the amount of $3 million from such party in exchange for the Company agreeing to release certain claims against such party. The Company received the payment in August 2018 and such amount is included in “Settlement” in the accompanying Consolidated Statements of Operations and Comprehensive Income (Loss).</w:t>
      </w:r>
    </w:p>
    <w:p>
      <w:pPr>
        <w:spacing w:after="0" w:line="17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 * * * *</w:t>
      </w:r>
    </w:p>
    <w:p>
      <w:pPr>
        <w:spacing w:after="0" w:line="15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F-144</w:t>
      </w:r>
    </w:p>
    <w:p>
      <w:pPr>
        <w:sectPr>
          <w:pgSz w:w="11900" w:h="16838" w:orient="portrait"/>
          <w:cols w:equalWidth="0" w:num="1">
            <w:col w:w="10820"/>
          </w:cols>
          <w:pgMar w:left="320" w:top="471" w:right="759" w:bottom="1440" w:gutter="0" w:footer="0" w:header="0"/>
        </w:sectPr>
      </w:pPr>
    </w:p>
    <w:bookmarkStart w:id="324" w:name="page325"/>
    <w:bookmarkEnd w:id="3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II</w:t>
      </w:r>
    </w:p>
    <w:p>
      <w:pPr>
        <w:spacing w:after="0" w:line="21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2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1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The following table sets forth all expenses to be paid by us in connection with this registration statement and the listing of our Class A Common Stock and Warrants, other than underwriting discounts and commissions.</w:t>
      </w:r>
    </w:p>
    <w:p>
      <w:pPr>
        <w:sectPr>
          <w:pgSz w:w="11900" w:h="16838" w:orient="portrait"/>
          <w:cols w:equalWidth="0" w:num="1">
            <w:col w:w="10880"/>
          </w:cols>
          <w:pgMar w:left="320" w:top="471" w:right="6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-115570</wp:posOffset>
            </wp:positionV>
            <wp:extent cx="4525010" cy="1390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525010" cy="139065"/>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Stock exchange listing fee</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-122555</wp:posOffset>
            </wp:positionV>
            <wp:extent cx="4525010" cy="1308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25010" cy="13081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7"/>
          <w:szCs w:val="17"/>
          <w:color w:val="auto"/>
        </w:rPr>
        <w:t>Accounting fees and expenses</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-122555</wp:posOffset>
            </wp:positionV>
            <wp:extent cx="4525010" cy="1308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525010" cy="13081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color w:val="auto"/>
        </w:rPr>
        <w:t>Transfer agent and registrar fees and expenses</w:t>
      </w:r>
    </w:p>
    <w:p>
      <w:pPr>
        <w:spacing w:after="0" w:line="45"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-122555</wp:posOffset>
            </wp:positionV>
            <wp:extent cx="4525010" cy="1308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525010" cy="130810"/>
                    </a:xfrm>
                    <a:prstGeom prst="rect">
                      <a:avLst/>
                    </a:prstGeom>
                    <a:noFill/>
                  </pic:spPr>
                </pic:pic>
              </a:graphicData>
            </a:graphic>
          </wp:anchor>
        </w:drawing>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128905</wp:posOffset>
            </wp:positionV>
            <wp:extent cx="7353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820"/>
        <w:spacing w:after="0"/>
        <w:rPr>
          <w:sz w:val="20"/>
          <w:szCs w:val="20"/>
          <w:color w:val="auto"/>
        </w:rPr>
      </w:pPr>
      <w:r>
        <w:rPr>
          <w:rFonts w:ascii="Arial" w:cs="Arial" w:eastAsia="Arial" w:hAnsi="Arial"/>
          <w:sz w:val="11"/>
          <w:szCs w:val="11"/>
          <w:b w:val="1"/>
          <w:bCs w:val="1"/>
          <w:color w:val="auto"/>
        </w:rPr>
        <w:t>Amount Paid or</w:t>
      </w:r>
    </w:p>
    <w:p>
      <w:pPr>
        <w:spacing w:after="0" w:line="31"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to be Paid</w:t>
      </w:r>
    </w:p>
    <w:p>
      <w:pPr>
        <w:spacing w:after="0" w:line="1" w:lineRule="exact"/>
        <w:rPr>
          <w:sz w:val="20"/>
          <w:szCs w:val="20"/>
          <w:color w:val="auto"/>
        </w:rPr>
      </w:pPr>
    </w:p>
    <w:p>
      <w:pPr>
        <w:ind w:left="180" w:hanging="173"/>
        <w:spacing w:after="0"/>
        <w:tabs>
          <w:tab w:leader="none" w:pos="1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560,293.59</w:t>
      </w:r>
    </w:p>
    <w:p>
      <w:pPr>
        <w:spacing w:after="0" w:line="7"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045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4520" cy="8255"/>
                    </a:xfrm>
                    <a:prstGeom prst="rect">
                      <a:avLst/>
                    </a:prstGeom>
                    <a:noFill/>
                  </pic:spPr>
                </pic:pic>
              </a:graphicData>
            </a:graphic>
          </wp:anchor>
        </w:drawing>
      </w:r>
    </w:p>
    <w:p>
      <w:pPr>
        <w:spacing w:after="0" w:line="5" w:lineRule="exact"/>
        <w:rPr>
          <w:sz w:val="20"/>
          <w:szCs w:val="20"/>
          <w:color w:val="auto"/>
        </w:rPr>
      </w:pPr>
    </w:p>
    <w:p>
      <w:pPr>
        <w:ind w:left="960" w:hanging="953"/>
        <w:spacing w:after="0"/>
        <w:tabs>
          <w:tab w:leader="none" w:pos="9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45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45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6045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4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2780"/>
          </w:cols>
          <w:pgMar w:left="320" w:top="471" w:right="699" w:bottom="1440" w:gutter="0" w:footer="0" w:header="0"/>
          <w:type w:val="continuous"/>
        </w:sectPr>
      </w:pPr>
    </w:p>
    <w:p>
      <w:pPr>
        <w:spacing w:after="0" w:line="4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These fees are calculated based on the securities offered and the number of issuances and accordingly cannot be defined at this time.</w:t>
      </w:r>
    </w:p>
    <w:p>
      <w:pPr>
        <w:spacing w:after="0" w:line="352"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19"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color w:val="auto"/>
        </w:rPr>
        <w:t>Section 145 of the DGCL authorizes a corporation’s board of directors to grant, and authorizes a court to award, indemnity to officers, directors and other corporate agents.</w:t>
      </w:r>
    </w:p>
    <w:p>
      <w:pPr>
        <w:spacing w:after="0" w:line="165" w:lineRule="exact"/>
        <w:rPr>
          <w:sz w:val="20"/>
          <w:szCs w:val="20"/>
          <w:color w:val="auto"/>
        </w:rPr>
      </w:pPr>
    </w:p>
    <w:p>
      <w:pPr>
        <w:jc w:val="both"/>
        <w:ind w:left="380" w:right="20" w:firstLine="420"/>
        <w:spacing w:after="0" w:line="265" w:lineRule="auto"/>
        <w:rPr>
          <w:sz w:val="20"/>
          <w:szCs w:val="20"/>
          <w:color w:val="auto"/>
        </w:rPr>
      </w:pPr>
      <w:r>
        <w:rPr>
          <w:rFonts w:ascii="Arial" w:cs="Arial" w:eastAsia="Arial" w:hAnsi="Arial"/>
          <w:sz w:val="17"/>
          <w:szCs w:val="17"/>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6" w:lineRule="exact"/>
        <w:rPr>
          <w:sz w:val="20"/>
          <w:szCs w:val="20"/>
          <w:color w:val="auto"/>
        </w:rPr>
      </w:pPr>
    </w:p>
    <w:p>
      <w:pPr>
        <w:ind w:left="1300" w:hanging="410"/>
        <w:spacing w:after="0"/>
        <w:tabs>
          <w:tab w:leader="none" w:pos="13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breach of their duty of loyalty to our company or our stockholders;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transaction from which they derived an improper personal benefit.</w:t>
      </w:r>
    </w:p>
    <w:p>
      <w:pPr>
        <w:spacing w:after="0" w:line="216" w:lineRule="exact"/>
        <w:rPr>
          <w:sz w:val="20"/>
          <w:szCs w:val="20"/>
          <w:color w:val="auto"/>
        </w:rPr>
      </w:pPr>
    </w:p>
    <w:p>
      <w:pPr>
        <w:jc w:val="both"/>
        <w:ind w:left="380" w:firstLine="420"/>
        <w:spacing w:after="0" w:line="317" w:lineRule="auto"/>
        <w:rPr>
          <w:sz w:val="20"/>
          <w:szCs w:val="20"/>
          <w:color w:val="auto"/>
        </w:rPr>
      </w:pPr>
      <w:r>
        <w:rPr>
          <w:rFonts w:ascii="Arial" w:cs="Arial" w:eastAsia="Arial" w:hAnsi="Arial"/>
          <w:sz w:val="15"/>
          <w:szCs w:val="15"/>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40"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880"/>
          </w:cols>
          <w:pgMar w:left="320" w:top="471" w:right="699" w:bottom="1440" w:gutter="0" w:footer="0" w:header="0"/>
          <w:type w:val="continuous"/>
        </w:sectPr>
      </w:pPr>
    </w:p>
    <w:bookmarkStart w:id="325" w:name="page326"/>
    <w:bookmarkEnd w:id="3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3" w:lineRule="exact"/>
        <w:rPr>
          <w:sz w:val="20"/>
          <w:szCs w:val="20"/>
          <w:color w:val="auto"/>
        </w:rPr>
      </w:pPr>
    </w:p>
    <w:p>
      <w:pPr>
        <w:ind w:left="380" w:right="160" w:firstLine="420"/>
        <w:spacing w:after="0" w:line="257" w:lineRule="auto"/>
        <w:rPr>
          <w:sz w:val="20"/>
          <w:szCs w:val="20"/>
          <w:color w:val="auto"/>
        </w:rPr>
      </w:pPr>
      <w:r>
        <w:rPr>
          <w:rFonts w:ascii="Arial" w:cs="Arial" w:eastAsia="Arial" w:hAnsi="Arial"/>
          <w:sz w:val="17"/>
          <w:szCs w:val="17"/>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5" w:lineRule="exact"/>
        <w:rPr>
          <w:sz w:val="20"/>
          <w:szCs w:val="20"/>
          <w:color w:val="auto"/>
        </w:rPr>
      </w:pPr>
    </w:p>
    <w:p>
      <w:pPr>
        <w:ind w:left="380" w:right="60" w:firstLine="420"/>
        <w:spacing w:after="0" w:line="261" w:lineRule="auto"/>
        <w:rPr>
          <w:sz w:val="20"/>
          <w:szCs w:val="20"/>
          <w:color w:val="auto"/>
        </w:rPr>
      </w:pPr>
      <w:r>
        <w:rPr>
          <w:rFonts w:ascii="Arial" w:cs="Arial" w:eastAsia="Arial" w:hAnsi="Arial"/>
          <w:sz w:val="17"/>
          <w:szCs w:val="17"/>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79" w:lineRule="exact"/>
        <w:rPr>
          <w:sz w:val="20"/>
          <w:szCs w:val="20"/>
          <w:color w:val="auto"/>
        </w:rPr>
      </w:pPr>
    </w:p>
    <w:p>
      <w:pPr>
        <w:ind w:left="380" w:right="560" w:firstLine="420"/>
        <w:spacing w:after="0" w:line="278"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and/or indemnified against certain liabilities incurred in their capacity as members of the Board.</w:t>
      </w:r>
    </w:p>
    <w:p>
      <w:pPr>
        <w:spacing w:after="0" w:line="165" w:lineRule="exact"/>
        <w:rPr>
          <w:sz w:val="20"/>
          <w:szCs w:val="20"/>
          <w:color w:val="auto"/>
        </w:rPr>
      </w:pPr>
    </w:p>
    <w:p>
      <w:pPr>
        <w:ind w:left="380" w:right="160" w:firstLine="420"/>
        <w:spacing w:after="0" w:line="265"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11"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Class B Ordinary Shares</w:t>
      </w:r>
    </w:p>
    <w:p>
      <w:pPr>
        <w:spacing w:after="0" w:line="113" w:lineRule="exact"/>
        <w:rPr>
          <w:sz w:val="20"/>
          <w:szCs w:val="20"/>
          <w:color w:val="auto"/>
        </w:rPr>
      </w:pPr>
    </w:p>
    <w:p>
      <w:pPr>
        <w:ind w:left="380" w:right="140" w:firstLine="420"/>
        <w:spacing w:after="0" w:line="257" w:lineRule="auto"/>
        <w:rPr>
          <w:sz w:val="20"/>
          <w:szCs w:val="20"/>
          <w:color w:val="auto"/>
        </w:rPr>
      </w:pPr>
      <w:r>
        <w:rPr>
          <w:rFonts w:ascii="Arial" w:cs="Arial" w:eastAsia="Arial" w:hAnsi="Arial"/>
          <w:sz w:val="17"/>
          <w:szCs w:val="17"/>
          <w:color w:val="auto"/>
        </w:rPr>
        <w:t>In August 2020, the Sponsor purchased 5,750,000 Class B Ordinary Shares for an aggregate purchase price of $25,000, or approximately $0.004 per share. In September 2020, the Sponsor transferred an aggregate of 60,000 Class B Ordinary Shares to the then-members of the Board, resulting in the Sponsor holding 5,690,000 Class B Ordinary Shares. As a result of the underwriters’ not exercising the over-allotment option in full in connection with the IPO, 585,700 Class B Ordinary Shares were forfeited, resulting in an aggregate of 5,184,300 Class B Ordinary Shares then-issued and outstanding. In connection with the Closing, such Class B Ordinary Shares automatically converted into shares of Class A Common Stock on a one-for-one basis.</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Private Placement of Warrants</w:t>
      </w:r>
    </w:p>
    <w:p>
      <w:pPr>
        <w:spacing w:after="0" w:line="113"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Simultaneously with the IPO, we consummated the sale to the Sponsor of the 6,147,440 Private Placement Warrants, at a price of at a price of $1.00 per Private Placement Warrant, for aggregate gross proceeds of $6,147,440.</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PIPE Shares</w:t>
      </w:r>
    </w:p>
    <w:p>
      <w:pPr>
        <w:spacing w:after="0" w:line="113" w:lineRule="exact"/>
        <w:rPr>
          <w:sz w:val="20"/>
          <w:szCs w:val="20"/>
          <w:color w:val="auto"/>
        </w:rPr>
      </w:pPr>
    </w:p>
    <w:p>
      <w:pPr>
        <w:jc w:val="both"/>
        <w:ind w:left="380" w:right="200" w:firstLine="420"/>
        <w:spacing w:after="0" w:line="265" w:lineRule="auto"/>
        <w:rPr>
          <w:sz w:val="20"/>
          <w:szCs w:val="20"/>
          <w:color w:val="auto"/>
        </w:rPr>
      </w:pPr>
      <w:r>
        <w:rPr>
          <w:rFonts w:ascii="Arial" w:cs="Arial" w:eastAsia="Arial" w:hAnsi="Arial"/>
          <w:sz w:val="17"/>
          <w:szCs w:val="17"/>
          <w:color w:val="auto"/>
        </w:rPr>
        <w:t>Concurrently with the execution of the Merger Agreement, we entered into Subscription Agreements with certain qualified institutional buyers and accredited investors, pursuant to which, at the Closing, the investors purchased an aggregate of 32,500,000 shares of Class A Common Stock, at a price of $10.00 per share, for aggregate gross proceeds of $325 million.</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860"/>
          </w:cols>
          <w:pgMar w:left="320" w:top="471" w:right="719" w:bottom="1440" w:gutter="0" w:footer="0" w:header="0"/>
        </w:sectPr>
      </w:pPr>
    </w:p>
    <w:bookmarkStart w:id="326" w:name="page327"/>
    <w:bookmarkEnd w:id="3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Merger Consideration</w:t>
      </w:r>
    </w:p>
    <w:p>
      <w:pPr>
        <w:spacing w:after="0" w:line="11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In connection with the Merger, at the Closing, we issued or reserved for issuance an aggregate of 208,200,000 shares of Class V Common Stock (paired with an equal number of Opco Common Units) to Opco Equity Holders in exchange for all outstanding limited liability units of Opco prior to the Business Combination, 207,406,648 of which are outstanding and 793,352 of which may be acquired upon the exercise of outstanding of warrants of Opco.</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“Cashless Exercise” of Private Placement Warrants</w:t>
      </w:r>
    </w:p>
    <w:p>
      <w:pPr>
        <w:spacing w:after="0" w:line="113" w:lineRule="exact"/>
        <w:rPr>
          <w:sz w:val="20"/>
          <w:szCs w:val="20"/>
          <w:color w:val="auto"/>
        </w:rPr>
      </w:pPr>
    </w:p>
    <w:p>
      <w:pPr>
        <w:jc w:val="both"/>
        <w:ind w:left="380" w:right="160" w:firstLine="420"/>
        <w:spacing w:after="0" w:line="265" w:lineRule="auto"/>
        <w:rPr>
          <w:sz w:val="20"/>
          <w:szCs w:val="20"/>
          <w:color w:val="auto"/>
        </w:rPr>
      </w:pPr>
      <w:r>
        <w:rPr>
          <w:rFonts w:ascii="Arial" w:cs="Arial" w:eastAsia="Arial" w:hAnsi="Arial"/>
          <w:sz w:val="17"/>
          <w:szCs w:val="17"/>
          <w:color w:val="auto"/>
        </w:rPr>
        <w:t>On November 17, 2021, in accordance with the terms of the Warrant Agreement, the Company issued and delivered 3,967,362 shares of Class A Common Stock to the Sponsor in satisfaction of the “cashless exercise” of all 6,147,440 of the Private Placement Warrants. The Company received no consideration from the delivery of such shares.</w:t>
      </w:r>
    </w:p>
    <w:p>
      <w:pPr>
        <w:spacing w:after="0" w:line="176" w:lineRule="exact"/>
        <w:rPr>
          <w:sz w:val="20"/>
          <w:szCs w:val="20"/>
          <w:color w:val="auto"/>
        </w:rPr>
      </w:pPr>
    </w:p>
    <w:p>
      <w:pPr>
        <w:ind w:left="380" w:right="60" w:firstLine="420"/>
        <w:spacing w:after="0" w:line="274" w:lineRule="auto"/>
        <w:rPr>
          <w:sz w:val="20"/>
          <w:szCs w:val="20"/>
          <w:color w:val="auto"/>
        </w:rPr>
      </w:pPr>
      <w:r>
        <w:rPr>
          <w:rFonts w:ascii="Arial" w:cs="Arial" w:eastAsia="Arial" w:hAnsi="Arial"/>
          <w:sz w:val="16"/>
          <w:szCs w:val="16"/>
          <w:color w:val="auto"/>
        </w:rPr>
        <w:t>No underwriting discounts or commissions were paid with respect to such sales. We believe the offers, sales and issuances of the above securities were exempt from registration under the Securities Act (or Regulation D or Regulation S promulgated thereunder) by virtue of Section 4(a)(2) of the Securities Act, as transactions by an issuer not involving any public offering and in which transactions we reasonably believed that each of the investors was an accredited investor acquiring securities for investment only and not with a view to or for sale in connection with any distribution thereof; or Section 3(a)(9) of the Securities Act as a security exchanged by an issuer with its existing security holders exclusively where no commission or other remuneration was paid or given directly or indirectly for soliciting such exchange. Legends were placed upon the stock certificates issued in these transactions, as appropriate. All recipients had adequate access, through their relationships with us, to information about us. The sales of these securities were made without any general solicitation or advertising.</w:t>
      </w:r>
    </w:p>
    <w:p>
      <w:pPr>
        <w:spacing w:after="0" w:line="307"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9540" w:type="dxa"/>
            <w:vAlign w:val="bottom"/>
            <w:gridSpan w:val="15"/>
          </w:tcPr>
          <w:p>
            <w:pPr>
              <w:ind w:left="80"/>
              <w:spacing w:after="0"/>
              <w:rPr>
                <w:sz w:val="20"/>
                <w:szCs w:val="20"/>
                <w:color w:val="auto"/>
              </w:rPr>
            </w:pPr>
            <w:r>
              <w:rPr>
                <w:rFonts w:ascii="Arial" w:cs="Arial" w:eastAsia="Arial" w:hAnsi="Arial"/>
                <w:sz w:val="17"/>
                <w:szCs w:val="17"/>
                <w:b w:val="1"/>
                <w:bCs w:val="1"/>
                <w:color w:val="auto"/>
              </w:rPr>
              <w:t>Exhibits</w:t>
            </w:r>
          </w:p>
        </w:tc>
      </w:tr>
      <w:tr>
        <w:trPr>
          <w:trHeight w:val="309"/>
        </w:trPr>
        <w:tc>
          <w:tcPr>
            <w:tcW w:w="960" w:type="dxa"/>
            <w:vAlign w:val="bottom"/>
          </w:tcPr>
          <w:p>
            <w:pPr>
              <w:spacing w:after="0"/>
              <w:rPr>
                <w:sz w:val="20"/>
                <w:szCs w:val="20"/>
                <w:color w:val="auto"/>
              </w:rPr>
            </w:pPr>
            <w:r>
              <w:rPr>
                <w:rFonts w:ascii="Arial" w:cs="Arial" w:eastAsia="Arial" w:hAnsi="Arial"/>
                <w:sz w:val="17"/>
                <w:szCs w:val="17"/>
                <w:b w:val="1"/>
                <w:bCs w:val="1"/>
                <w:i w:val="1"/>
                <w:iCs w:val="1"/>
                <w:color w:val="auto"/>
              </w:rPr>
              <w:t>(a) Exhibits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60" w:type="dxa"/>
            <w:vAlign w:val="bottom"/>
            <w:gridSpan w:val="12"/>
          </w:tcPr>
          <w:p>
            <w:pPr>
              <w:ind w:left="140"/>
              <w:spacing w:after="0"/>
              <w:rPr>
                <w:sz w:val="20"/>
                <w:szCs w:val="20"/>
                <w:color w:val="auto"/>
              </w:rPr>
            </w:pPr>
            <w:r>
              <w:rPr>
                <w:rFonts w:ascii="Arial" w:cs="Arial" w:eastAsia="Arial" w:hAnsi="Arial"/>
                <w:sz w:val="17"/>
                <w:szCs w:val="17"/>
                <w:b w:val="1"/>
                <w:bCs w:val="1"/>
                <w:color w:val="auto"/>
              </w:rPr>
              <w:t>EXHIBIT INDEX</w:t>
            </w:r>
          </w:p>
        </w:tc>
      </w:tr>
      <w:tr>
        <w:trPr>
          <w:trHeight w:val="374"/>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Number</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11"/>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6"/>
        </w:trPr>
        <w:tc>
          <w:tcPr>
            <w:tcW w:w="960" w:type="dxa"/>
            <w:vAlign w:val="bottom"/>
          </w:tcPr>
          <w:p>
            <w:pPr>
              <w:ind w:left="160"/>
              <w:spacing w:after="0"/>
              <w:rPr>
                <w:sz w:val="20"/>
                <w:szCs w:val="20"/>
                <w:color w:val="auto"/>
              </w:rPr>
            </w:pPr>
            <w:r>
              <w:rPr>
                <w:rFonts w:ascii="Arial" w:cs="Arial" w:eastAsia="Arial" w:hAnsi="Arial"/>
                <w:sz w:val="17"/>
                <w:szCs w:val="17"/>
                <w:color w:val="auto"/>
              </w:rPr>
              <w:t>2.1†</w:t>
            </w:r>
          </w:p>
        </w:tc>
        <w:tc>
          <w:tcPr>
            <w:tcW w:w="1000" w:type="dxa"/>
            <w:vAlign w:val="bottom"/>
          </w:tcPr>
          <w:p>
            <w:pPr>
              <w:spacing w:after="0"/>
              <w:rPr>
                <w:sz w:val="20"/>
                <w:szCs w:val="20"/>
                <w:color w:val="auto"/>
              </w:rPr>
            </w:pPr>
          </w:p>
        </w:tc>
        <w:tc>
          <w:tcPr>
            <w:tcW w:w="8000" w:type="dxa"/>
            <w:vAlign w:val="bottom"/>
            <w:tcBorders>
              <w:bottom w:val="single" w:sz="8" w:color="0000EE"/>
            </w:tcBorders>
            <w:gridSpan w:val="7"/>
          </w:tcPr>
          <w:p>
            <w:pPr>
              <w:spacing w:after="0"/>
              <w:rPr>
                <w:rFonts w:ascii="Arial" w:cs="Arial" w:eastAsia="Arial" w:hAnsi="Arial"/>
                <w:sz w:val="17"/>
                <w:szCs w:val="17"/>
                <w:color w:val="0000EE"/>
                <w:w w:val="90"/>
              </w:rPr>
            </w:pPr>
            <w:hyperlink r:id="rId383">
              <w:r>
                <w:rPr>
                  <w:rFonts w:ascii="Arial" w:cs="Arial" w:eastAsia="Arial" w:hAnsi="Arial"/>
                  <w:sz w:val="17"/>
                  <w:szCs w:val="17"/>
                  <w:color w:val="0000EE"/>
                  <w:w w:val="90"/>
                </w:rPr>
                <w:t>Agreement and Plan of Merger, dated January 11, 2021, by and among the Company, Merger Sub, and the Company</w:t>
              </w:r>
            </w:hyperlink>
          </w:p>
        </w:tc>
        <w:tc>
          <w:tcPr>
            <w:tcW w:w="540" w:type="dxa"/>
            <w:vAlign w:val="bottom"/>
            <w:gridSpan w:val="7"/>
          </w:tcPr>
          <w:p>
            <w:pPr>
              <w:spacing w:after="0"/>
              <w:rPr>
                <w:sz w:val="20"/>
                <w:szCs w:val="20"/>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20" w:type="dxa"/>
            <w:vAlign w:val="bottom"/>
            <w:tcBorders>
              <w:bottom w:val="single" w:sz="8" w:color="0000EE"/>
            </w:tcBorders>
            <w:gridSpan w:val="5"/>
          </w:tcPr>
          <w:p>
            <w:pPr>
              <w:spacing w:after="0" w:line="186" w:lineRule="exact"/>
              <w:rPr>
                <w:rFonts w:ascii="Arial" w:cs="Arial" w:eastAsia="Arial" w:hAnsi="Arial"/>
                <w:sz w:val="17"/>
                <w:szCs w:val="17"/>
                <w:color w:val="0000EE"/>
                <w:w w:val="92"/>
              </w:rPr>
            </w:pPr>
            <w:hyperlink r:id="rId383">
              <w:r>
                <w:rPr>
                  <w:rFonts w:ascii="Arial" w:cs="Arial" w:eastAsia="Arial" w:hAnsi="Arial"/>
                  <w:sz w:val="17"/>
                  <w:szCs w:val="17"/>
                  <w:color w:val="0000EE"/>
                  <w:w w:val="92"/>
                </w:rPr>
                <w:t>(incorporated by reference to Exhibit 2.1 to the Company’s Form 8-K filed with the SEC on January 11, 2021).</w:t>
              </w:r>
            </w:hyperlink>
          </w:p>
        </w:tc>
        <w:tc>
          <w:tcPr>
            <w:tcW w:w="920" w:type="dxa"/>
            <w:vAlign w:val="bottom"/>
            <w:gridSpan w:val="9"/>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2.2</w:t>
            </w:r>
          </w:p>
        </w:tc>
        <w:tc>
          <w:tcPr>
            <w:tcW w:w="1000" w:type="dxa"/>
            <w:vAlign w:val="bottom"/>
          </w:tcPr>
          <w:p>
            <w:pPr>
              <w:spacing w:after="0"/>
              <w:rPr>
                <w:sz w:val="24"/>
                <w:szCs w:val="24"/>
                <w:color w:val="auto"/>
              </w:rPr>
            </w:pPr>
          </w:p>
        </w:tc>
        <w:tc>
          <w:tcPr>
            <w:tcW w:w="8240" w:type="dxa"/>
            <w:vAlign w:val="bottom"/>
            <w:tcBorders>
              <w:bottom w:val="single" w:sz="8" w:color="0000EE"/>
            </w:tcBorders>
            <w:gridSpan w:val="9"/>
          </w:tcPr>
          <w:p>
            <w:pPr>
              <w:spacing w:after="0"/>
              <w:rPr>
                <w:rFonts w:ascii="Arial" w:cs="Arial" w:eastAsia="Arial" w:hAnsi="Arial"/>
                <w:sz w:val="17"/>
                <w:szCs w:val="17"/>
                <w:color w:val="0000EE"/>
                <w:w w:val="90"/>
              </w:rPr>
            </w:pPr>
            <w:hyperlink r:id="rId384">
              <w:r>
                <w:rPr>
                  <w:rFonts w:ascii="Arial" w:cs="Arial" w:eastAsia="Arial" w:hAnsi="Arial"/>
                  <w:sz w:val="17"/>
                  <w:szCs w:val="17"/>
                  <w:color w:val="0000EE"/>
                  <w:w w:val="90"/>
                </w:rPr>
                <w:t>Amendment to Agreement and Plan of Merger, dated March 30, 2021 by and among the Company, Merger Sub, and the</w:t>
              </w:r>
            </w:hyperlink>
          </w:p>
        </w:tc>
        <w:tc>
          <w:tcPr>
            <w:tcW w:w="300" w:type="dxa"/>
            <w:vAlign w:val="bottom"/>
            <w:gridSpan w:val="5"/>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14"/>
          </w:tcPr>
          <w:p>
            <w:pPr>
              <w:spacing w:after="0" w:line="186" w:lineRule="exact"/>
              <w:rPr>
                <w:rFonts w:ascii="Arial" w:cs="Arial" w:eastAsia="Arial" w:hAnsi="Arial"/>
                <w:sz w:val="17"/>
                <w:szCs w:val="17"/>
                <w:color w:val="0000EE"/>
                <w:w w:val="97"/>
              </w:rPr>
            </w:pPr>
            <w:hyperlink r:id="rId384">
              <w:r>
                <w:rPr>
                  <w:rFonts w:ascii="Arial" w:cs="Arial" w:eastAsia="Arial" w:hAnsi="Arial"/>
                  <w:sz w:val="17"/>
                  <w:szCs w:val="17"/>
                  <w:color w:val="0000EE"/>
                  <w:w w:val="97"/>
                </w:rPr>
                <w:t>Company (incorporated by reference to Exhibit 2.1 to the Company’s Form 8- filed with the SEC on March 31, 2021).</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2.3</w:t>
            </w:r>
          </w:p>
        </w:tc>
        <w:tc>
          <w:tcPr>
            <w:tcW w:w="1000" w:type="dxa"/>
            <w:vAlign w:val="bottom"/>
          </w:tcPr>
          <w:p>
            <w:pPr>
              <w:spacing w:after="0"/>
              <w:rPr>
                <w:sz w:val="24"/>
                <w:szCs w:val="24"/>
                <w:color w:val="auto"/>
              </w:rPr>
            </w:pPr>
          </w:p>
        </w:tc>
        <w:tc>
          <w:tcPr>
            <w:tcW w:w="8520" w:type="dxa"/>
            <w:vAlign w:val="bottom"/>
            <w:tcBorders>
              <w:bottom w:val="single" w:sz="8" w:color="0000EE"/>
            </w:tcBorders>
            <w:gridSpan w:val="13"/>
          </w:tcPr>
          <w:p>
            <w:pPr>
              <w:spacing w:after="0"/>
              <w:rPr>
                <w:rFonts w:ascii="Arial" w:cs="Arial" w:eastAsia="Arial" w:hAnsi="Arial"/>
                <w:sz w:val="17"/>
                <w:szCs w:val="17"/>
                <w:color w:val="0000EE"/>
                <w:w w:val="90"/>
              </w:rPr>
            </w:pPr>
            <w:hyperlink r:id="rId385">
              <w:r>
                <w:rPr>
                  <w:rFonts w:ascii="Arial" w:cs="Arial" w:eastAsia="Arial" w:hAnsi="Arial"/>
                  <w:sz w:val="17"/>
                  <w:szCs w:val="17"/>
                  <w:color w:val="0000EE"/>
                  <w:w w:val="90"/>
                </w:rPr>
                <w:t>Amendment to Agreement and Plan of Merger, dated September 29, 2021 by and among the Company, Merger Sub, and the</w:t>
              </w:r>
            </w:hyperlink>
          </w:p>
        </w:tc>
        <w:tc>
          <w:tcPr>
            <w:tcW w:w="20" w:type="dxa"/>
            <w:vAlign w:val="bottom"/>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120" w:type="dxa"/>
            <w:vAlign w:val="bottom"/>
            <w:tcBorders>
              <w:bottom w:val="single" w:sz="8" w:color="0000EE"/>
            </w:tcBorders>
            <w:gridSpan w:val="8"/>
          </w:tcPr>
          <w:p>
            <w:pPr>
              <w:spacing w:after="0" w:line="186" w:lineRule="exact"/>
              <w:rPr>
                <w:rFonts w:ascii="Arial" w:cs="Arial" w:eastAsia="Arial" w:hAnsi="Arial"/>
                <w:sz w:val="17"/>
                <w:szCs w:val="17"/>
                <w:color w:val="0000EE"/>
                <w:w w:val="92"/>
              </w:rPr>
            </w:pPr>
            <w:hyperlink r:id="rId385">
              <w:r>
                <w:rPr>
                  <w:rFonts w:ascii="Arial" w:cs="Arial" w:eastAsia="Arial" w:hAnsi="Arial"/>
                  <w:sz w:val="17"/>
                  <w:szCs w:val="17"/>
                  <w:color w:val="0000EE"/>
                  <w:w w:val="92"/>
                </w:rPr>
                <w:t>Company (incorporated by reference to Exhibit 2.1 to the Company’s Form 8-K filed with the SEC on September 30,</w:t>
              </w:r>
            </w:hyperlink>
          </w:p>
        </w:tc>
        <w:tc>
          <w:tcPr>
            <w:tcW w:w="420" w:type="dxa"/>
            <w:vAlign w:val="bottom"/>
            <w:gridSpan w:val="6"/>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Borders>
              <w:bottom w:val="single" w:sz="8" w:color="0000EE"/>
            </w:tcBorders>
          </w:tcPr>
          <w:p>
            <w:pPr>
              <w:spacing w:after="0" w:line="186" w:lineRule="exact"/>
              <w:rPr>
                <w:rFonts w:ascii="Arial" w:cs="Arial" w:eastAsia="Arial" w:hAnsi="Arial"/>
                <w:sz w:val="17"/>
                <w:szCs w:val="17"/>
                <w:color w:val="0000EE"/>
                <w:w w:val="87"/>
              </w:rPr>
            </w:pPr>
            <w:hyperlink r:id="rId385">
              <w:r>
                <w:rPr>
                  <w:rFonts w:ascii="Arial" w:cs="Arial" w:eastAsia="Arial" w:hAnsi="Arial"/>
                  <w:sz w:val="17"/>
                  <w:szCs w:val="17"/>
                  <w:color w:val="0000EE"/>
                  <w:w w:val="87"/>
                </w:rPr>
                <w:t>2021).</w:t>
              </w:r>
            </w:hyperlink>
          </w:p>
        </w:tc>
        <w:tc>
          <w:tcPr>
            <w:tcW w:w="2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3.1</w:t>
            </w:r>
          </w:p>
        </w:tc>
        <w:tc>
          <w:tcPr>
            <w:tcW w:w="1000" w:type="dxa"/>
            <w:vAlign w:val="bottom"/>
          </w:tcPr>
          <w:p>
            <w:pPr>
              <w:spacing w:after="0"/>
              <w:rPr>
                <w:sz w:val="24"/>
                <w:szCs w:val="24"/>
                <w:color w:val="auto"/>
              </w:rPr>
            </w:pPr>
          </w:p>
        </w:tc>
        <w:tc>
          <w:tcPr>
            <w:tcW w:w="7800" w:type="dxa"/>
            <w:vAlign w:val="bottom"/>
            <w:tcBorders>
              <w:bottom w:val="single" w:sz="8" w:color="0000EE"/>
            </w:tcBorders>
            <w:gridSpan w:val="6"/>
          </w:tcPr>
          <w:p>
            <w:pPr>
              <w:spacing w:after="0"/>
              <w:rPr>
                <w:rFonts w:ascii="Arial" w:cs="Arial" w:eastAsia="Arial" w:hAnsi="Arial"/>
                <w:sz w:val="17"/>
                <w:szCs w:val="17"/>
                <w:color w:val="0000EE"/>
                <w:w w:val="92"/>
              </w:rPr>
            </w:pPr>
            <w:hyperlink r:id="rId386">
              <w:r>
                <w:rPr>
                  <w:rFonts w:ascii="Arial" w:cs="Arial" w:eastAsia="Arial" w:hAnsi="Arial"/>
                  <w:sz w:val="17"/>
                  <w:szCs w:val="17"/>
                  <w:color w:val="0000EE"/>
                  <w:w w:val="92"/>
                </w:rPr>
                <w:t>Certificate of Incorporation of the Company, as currently in effect (incorporated by reference to Exhibit 3.1 to the</w:t>
              </w:r>
            </w:hyperlink>
          </w:p>
        </w:tc>
        <w:tc>
          <w:tcPr>
            <w:tcW w:w="740" w:type="dxa"/>
            <w:vAlign w:val="bottom"/>
            <w:gridSpan w:val="8"/>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80" w:type="dxa"/>
            <w:vAlign w:val="bottom"/>
            <w:tcBorders>
              <w:bottom w:val="single" w:sz="8" w:color="0000EE"/>
            </w:tcBorders>
            <w:gridSpan w:val="4"/>
          </w:tcPr>
          <w:p>
            <w:pPr>
              <w:spacing w:after="0" w:line="186" w:lineRule="exact"/>
              <w:rPr>
                <w:rFonts w:ascii="Arial" w:cs="Arial" w:eastAsia="Arial" w:hAnsi="Arial"/>
                <w:sz w:val="17"/>
                <w:szCs w:val="17"/>
                <w:color w:val="0000EE"/>
                <w:w w:val="92"/>
              </w:rPr>
            </w:pPr>
            <w:hyperlink r:id="rId386">
              <w:r>
                <w:rPr>
                  <w:rFonts w:ascii="Arial" w:cs="Arial" w:eastAsia="Arial" w:hAnsi="Arial"/>
                  <w:sz w:val="17"/>
                  <w:szCs w:val="17"/>
                  <w:color w:val="0000EE"/>
                  <w:w w:val="92"/>
                </w:rPr>
                <w:t>Company’s Form 8-K filed with the SEC on October 21, 2021).</w:t>
              </w:r>
            </w:hyperlink>
          </w:p>
        </w:tc>
        <w:tc>
          <w:tcPr>
            <w:tcW w:w="4160" w:type="dxa"/>
            <w:vAlign w:val="bottom"/>
            <w:gridSpan w:val="10"/>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3.2</w:t>
            </w:r>
          </w:p>
        </w:tc>
        <w:tc>
          <w:tcPr>
            <w:tcW w:w="1000" w:type="dxa"/>
            <w:vAlign w:val="bottom"/>
          </w:tcPr>
          <w:p>
            <w:pPr>
              <w:spacing w:after="0"/>
              <w:rPr>
                <w:sz w:val="24"/>
                <w:szCs w:val="24"/>
                <w:color w:val="auto"/>
              </w:rPr>
            </w:pPr>
          </w:p>
        </w:tc>
        <w:tc>
          <w:tcPr>
            <w:tcW w:w="8440" w:type="dxa"/>
            <w:vAlign w:val="bottom"/>
            <w:tcBorders>
              <w:bottom w:val="single" w:sz="8" w:color="0000EE"/>
            </w:tcBorders>
            <w:gridSpan w:val="12"/>
          </w:tcPr>
          <w:p>
            <w:pPr>
              <w:spacing w:after="0"/>
              <w:rPr>
                <w:rFonts w:ascii="Arial" w:cs="Arial" w:eastAsia="Arial" w:hAnsi="Arial"/>
                <w:sz w:val="17"/>
                <w:szCs w:val="17"/>
                <w:color w:val="0000EE"/>
                <w:w w:val="92"/>
              </w:rPr>
            </w:pPr>
            <w:hyperlink r:id="rId387">
              <w:r>
                <w:rPr>
                  <w:rFonts w:ascii="Arial" w:cs="Arial" w:eastAsia="Arial" w:hAnsi="Arial"/>
                  <w:sz w:val="17"/>
                  <w:szCs w:val="17"/>
                  <w:color w:val="0000EE"/>
                  <w:w w:val="92"/>
                </w:rPr>
                <w:t>By-Laws of the Company, as currently in effect (incorporated by reference to Exhibit 3.2 to the Company’s Form 8-K filed</w:t>
              </w:r>
            </w:hyperlink>
          </w:p>
        </w:tc>
        <w:tc>
          <w:tcPr>
            <w:tcW w:w="100" w:type="dxa"/>
            <w:vAlign w:val="bottom"/>
            <w:gridSpan w:val="2"/>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80" w:type="dxa"/>
            <w:vAlign w:val="bottom"/>
            <w:tcBorders>
              <w:bottom w:val="single" w:sz="8" w:color="0000EE"/>
            </w:tcBorders>
            <w:gridSpan w:val="2"/>
          </w:tcPr>
          <w:p>
            <w:pPr>
              <w:spacing w:after="0" w:line="186" w:lineRule="exact"/>
              <w:rPr>
                <w:rFonts w:ascii="Arial" w:cs="Arial" w:eastAsia="Arial" w:hAnsi="Arial"/>
                <w:sz w:val="17"/>
                <w:szCs w:val="17"/>
                <w:color w:val="0000EE"/>
                <w:w w:val="91"/>
              </w:rPr>
            </w:pPr>
            <w:hyperlink r:id="rId387">
              <w:r>
                <w:rPr>
                  <w:rFonts w:ascii="Arial" w:cs="Arial" w:eastAsia="Arial" w:hAnsi="Arial"/>
                  <w:sz w:val="17"/>
                  <w:szCs w:val="17"/>
                  <w:color w:val="0000EE"/>
                  <w:w w:val="91"/>
                </w:rPr>
                <w:t>with the SEC on October 21, 2021).</w:t>
              </w:r>
            </w:hyperlink>
          </w:p>
        </w:tc>
        <w:tc>
          <w:tcPr>
            <w:tcW w:w="6060" w:type="dxa"/>
            <w:vAlign w:val="bottom"/>
            <w:gridSpan w:val="12"/>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4.1</w:t>
            </w:r>
          </w:p>
        </w:tc>
        <w:tc>
          <w:tcPr>
            <w:tcW w:w="1000" w:type="dxa"/>
            <w:vAlign w:val="bottom"/>
          </w:tcPr>
          <w:p>
            <w:pPr>
              <w:spacing w:after="0"/>
              <w:rPr>
                <w:sz w:val="24"/>
                <w:szCs w:val="24"/>
                <w:color w:val="auto"/>
              </w:rPr>
            </w:pPr>
          </w:p>
        </w:tc>
        <w:tc>
          <w:tcPr>
            <w:tcW w:w="8340" w:type="dxa"/>
            <w:vAlign w:val="bottom"/>
            <w:tcBorders>
              <w:bottom w:val="single" w:sz="8" w:color="0000EE"/>
            </w:tcBorders>
            <w:gridSpan w:val="10"/>
          </w:tcPr>
          <w:p>
            <w:pPr>
              <w:spacing w:after="0"/>
              <w:rPr>
                <w:rFonts w:ascii="Arial" w:cs="Arial" w:eastAsia="Arial" w:hAnsi="Arial"/>
                <w:sz w:val="17"/>
                <w:szCs w:val="17"/>
                <w:color w:val="0000EE"/>
                <w:w w:val="91"/>
              </w:rPr>
            </w:pPr>
            <w:hyperlink r:id="rId388">
              <w:r>
                <w:rPr>
                  <w:rFonts w:ascii="Arial" w:cs="Arial" w:eastAsia="Arial" w:hAnsi="Arial"/>
                  <w:sz w:val="17"/>
                  <w:szCs w:val="17"/>
                  <w:color w:val="0000EE"/>
                  <w:w w:val="91"/>
                </w:rPr>
                <w:t>Specimen Class A Common Stock Certificate of the Company (incorporated by reference to Exhibit 4.1to the Company’s</w:t>
              </w:r>
            </w:hyperlink>
          </w:p>
        </w:tc>
        <w:tc>
          <w:tcPr>
            <w:tcW w:w="200" w:type="dxa"/>
            <w:vAlign w:val="bottom"/>
            <w:gridSpan w:val="4"/>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60" w:type="dxa"/>
            <w:vAlign w:val="bottom"/>
            <w:tcBorders>
              <w:bottom w:val="single" w:sz="8" w:color="0000EE"/>
            </w:tcBorders>
            <w:gridSpan w:val="3"/>
          </w:tcPr>
          <w:p>
            <w:pPr>
              <w:spacing w:after="0" w:line="186" w:lineRule="exact"/>
              <w:rPr>
                <w:rFonts w:ascii="Arial" w:cs="Arial" w:eastAsia="Arial" w:hAnsi="Arial"/>
                <w:sz w:val="17"/>
                <w:szCs w:val="17"/>
                <w:color w:val="0000EE"/>
                <w:w w:val="93"/>
              </w:rPr>
            </w:pPr>
            <w:hyperlink r:id="rId388">
              <w:r>
                <w:rPr>
                  <w:rFonts w:ascii="Arial" w:cs="Arial" w:eastAsia="Arial" w:hAnsi="Arial"/>
                  <w:sz w:val="17"/>
                  <w:szCs w:val="17"/>
                  <w:color w:val="0000EE"/>
                  <w:w w:val="93"/>
                </w:rPr>
                <w:t>Form 8-K filed with the SEC on October 21, 2021).</w:t>
              </w:r>
            </w:hyperlink>
          </w:p>
        </w:tc>
        <w:tc>
          <w:tcPr>
            <w:tcW w:w="4980" w:type="dxa"/>
            <w:vAlign w:val="bottom"/>
            <w:gridSpan w:val="11"/>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4.2</w:t>
            </w:r>
          </w:p>
        </w:tc>
        <w:tc>
          <w:tcPr>
            <w:tcW w:w="1000" w:type="dxa"/>
            <w:vAlign w:val="bottom"/>
          </w:tcPr>
          <w:p>
            <w:pPr>
              <w:spacing w:after="0"/>
              <w:rPr>
                <w:sz w:val="24"/>
                <w:szCs w:val="24"/>
                <w:color w:val="auto"/>
              </w:rPr>
            </w:pPr>
          </w:p>
        </w:tc>
        <w:tc>
          <w:tcPr>
            <w:tcW w:w="8360" w:type="dxa"/>
            <w:vAlign w:val="bottom"/>
            <w:tcBorders>
              <w:bottom w:val="single" w:sz="8" w:color="0000EE"/>
            </w:tcBorders>
            <w:gridSpan w:val="11"/>
          </w:tcPr>
          <w:p>
            <w:pPr>
              <w:spacing w:after="0"/>
              <w:rPr>
                <w:rFonts w:ascii="Arial" w:cs="Arial" w:eastAsia="Arial" w:hAnsi="Arial"/>
                <w:sz w:val="17"/>
                <w:szCs w:val="17"/>
                <w:color w:val="0000EE"/>
                <w:w w:val="92"/>
              </w:rPr>
            </w:pPr>
            <w:hyperlink r:id="rId389">
              <w:r>
                <w:rPr>
                  <w:rFonts w:ascii="Arial" w:cs="Arial" w:eastAsia="Arial" w:hAnsi="Arial"/>
                  <w:sz w:val="17"/>
                  <w:szCs w:val="17"/>
                  <w:color w:val="0000EE"/>
                  <w:w w:val="92"/>
                </w:rPr>
                <w:t>Specimen Warrant Certificate of the Company (incorporated by reference to Exhibit 4.2 to the Company’s Form 8-K filed</w:t>
              </w:r>
            </w:hyperlink>
          </w:p>
        </w:tc>
        <w:tc>
          <w:tcPr>
            <w:tcW w:w="180" w:type="dxa"/>
            <w:vAlign w:val="bottom"/>
            <w:gridSpan w:val="3"/>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80" w:type="dxa"/>
            <w:vAlign w:val="bottom"/>
            <w:tcBorders>
              <w:bottom w:val="single" w:sz="8" w:color="0000EE"/>
            </w:tcBorders>
            <w:gridSpan w:val="2"/>
          </w:tcPr>
          <w:p>
            <w:pPr>
              <w:spacing w:after="0" w:line="186" w:lineRule="exact"/>
              <w:rPr>
                <w:rFonts w:ascii="Arial" w:cs="Arial" w:eastAsia="Arial" w:hAnsi="Arial"/>
                <w:sz w:val="17"/>
                <w:szCs w:val="17"/>
                <w:color w:val="0000EE"/>
                <w:w w:val="91"/>
              </w:rPr>
            </w:pPr>
            <w:hyperlink r:id="rId389">
              <w:r>
                <w:rPr>
                  <w:rFonts w:ascii="Arial" w:cs="Arial" w:eastAsia="Arial" w:hAnsi="Arial"/>
                  <w:sz w:val="17"/>
                  <w:szCs w:val="17"/>
                  <w:color w:val="0000EE"/>
                  <w:w w:val="91"/>
                </w:rPr>
                <w:t>with the SEC on October 21, 2021).</w:t>
              </w:r>
            </w:hyperlink>
          </w:p>
        </w:tc>
        <w:tc>
          <w:tcPr>
            <w:tcW w:w="6060" w:type="dxa"/>
            <w:vAlign w:val="bottom"/>
            <w:gridSpan w:val="12"/>
          </w:tcPr>
          <w:p>
            <w:pPr>
              <w:spacing w:after="0"/>
              <w:rPr>
                <w:sz w:val="16"/>
                <w:szCs w:val="16"/>
                <w:color w:val="auto"/>
              </w:rPr>
            </w:pPr>
          </w:p>
        </w:tc>
      </w:tr>
    </w:tbl>
    <w:p>
      <w:pPr>
        <w:spacing w:after="0" w:line="15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880"/>
          </w:cols>
          <w:pgMar w:left="320" w:top="470" w:right="699" w:bottom="1440" w:gutter="0" w:footer="0" w:header="0"/>
        </w:sectPr>
      </w:pPr>
    </w:p>
    <w:bookmarkStart w:id="327" w:name="page328"/>
    <w:bookmarkEnd w:id="3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Number</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24"/>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6"/>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4.3</w:t>
            </w:r>
          </w:p>
        </w:tc>
        <w:tc>
          <w:tcPr>
            <w:tcW w:w="1000" w:type="dxa"/>
            <w:vAlign w:val="bottom"/>
          </w:tcPr>
          <w:p>
            <w:pPr>
              <w:spacing w:after="0"/>
              <w:rPr>
                <w:sz w:val="20"/>
                <w:szCs w:val="20"/>
                <w:color w:val="auto"/>
              </w:rPr>
            </w:pPr>
          </w:p>
        </w:tc>
        <w:tc>
          <w:tcPr>
            <w:tcW w:w="8120" w:type="dxa"/>
            <w:vAlign w:val="bottom"/>
            <w:tcBorders>
              <w:bottom w:val="single" w:sz="8" w:color="0000EE"/>
            </w:tcBorders>
            <w:gridSpan w:val="17"/>
          </w:tcPr>
          <w:p>
            <w:pPr>
              <w:spacing w:after="0"/>
              <w:rPr>
                <w:rFonts w:ascii="Arial" w:cs="Arial" w:eastAsia="Arial" w:hAnsi="Arial"/>
                <w:sz w:val="17"/>
                <w:szCs w:val="17"/>
                <w:color w:val="0000EE"/>
                <w:w w:val="90"/>
              </w:rPr>
            </w:pPr>
            <w:hyperlink r:id="rId391">
              <w:r>
                <w:rPr>
                  <w:rFonts w:ascii="Arial" w:cs="Arial" w:eastAsia="Arial" w:hAnsi="Arial"/>
                  <w:sz w:val="17"/>
                  <w:szCs w:val="17"/>
                  <w:color w:val="0000EE"/>
                  <w:w w:val="90"/>
                </w:rPr>
                <w:t>Warrant Agreement, dated September 22, 2020, by and between the Company and Continental Stock Transfer &amp; Trust</w:t>
              </w:r>
            </w:hyperlink>
          </w:p>
        </w:tc>
        <w:tc>
          <w:tcPr>
            <w:tcW w:w="420" w:type="dxa"/>
            <w:vAlign w:val="bottom"/>
            <w:gridSpan w:val="14"/>
          </w:tcPr>
          <w:p>
            <w:pPr>
              <w:spacing w:after="0"/>
              <w:rPr>
                <w:sz w:val="20"/>
                <w:szCs w:val="20"/>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31"/>
          </w:tcPr>
          <w:p>
            <w:pPr>
              <w:spacing w:after="0" w:line="186" w:lineRule="exact"/>
              <w:rPr>
                <w:rFonts w:ascii="Arial" w:cs="Arial" w:eastAsia="Arial" w:hAnsi="Arial"/>
                <w:sz w:val="17"/>
                <w:szCs w:val="17"/>
                <w:color w:val="0000EE"/>
                <w:w w:val="95"/>
              </w:rPr>
            </w:pPr>
            <w:hyperlink r:id="rId391">
              <w:r>
                <w:rPr>
                  <w:rFonts w:ascii="Arial" w:cs="Arial" w:eastAsia="Arial" w:hAnsi="Arial"/>
                  <w:sz w:val="17"/>
                  <w:szCs w:val="17"/>
                  <w:color w:val="0000EE"/>
                  <w:w w:val="95"/>
                </w:rPr>
                <w:t>Company, as warrant agent (incorporated by reference to Exhibit 4.1 of the Company’s Form 8-K filed with the SEC on</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color w:val="0000EE"/>
                <w:w w:val="88"/>
              </w:rPr>
            </w:pPr>
            <w:hyperlink r:id="rId391">
              <w:r>
                <w:rPr>
                  <w:rFonts w:ascii="Arial" w:cs="Arial" w:eastAsia="Arial" w:hAnsi="Arial"/>
                  <w:sz w:val="17"/>
                  <w:szCs w:val="17"/>
                  <w:color w:val="0000EE"/>
                  <w:w w:val="88"/>
                </w:rPr>
                <w:t>September 28, 2020).</w:t>
              </w:r>
            </w:hyperlink>
          </w:p>
        </w:tc>
        <w:tc>
          <w:tcPr>
            <w:tcW w:w="6740" w:type="dxa"/>
            <w:vAlign w:val="bottom"/>
            <w:tcBorders>
              <w:top w:val="single" w:sz="8" w:color="0000EE"/>
            </w:tcBorders>
            <w:gridSpan w:val="17"/>
          </w:tcPr>
          <w:p>
            <w:pPr>
              <w:spacing w:after="0"/>
              <w:rPr>
                <w:sz w:val="16"/>
                <w:szCs w:val="16"/>
                <w:color w:val="auto"/>
              </w:rPr>
            </w:pPr>
          </w:p>
        </w:tc>
        <w:tc>
          <w:tcPr>
            <w:tcW w:w="320" w:type="dxa"/>
            <w:vAlign w:val="bottom"/>
            <w:gridSpan w:val="10"/>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4.4</w:t>
            </w:r>
          </w:p>
        </w:tc>
        <w:tc>
          <w:tcPr>
            <w:tcW w:w="1000" w:type="dxa"/>
            <w:vAlign w:val="bottom"/>
          </w:tcPr>
          <w:p>
            <w:pPr>
              <w:spacing w:after="0"/>
              <w:rPr>
                <w:sz w:val="24"/>
                <w:szCs w:val="24"/>
                <w:color w:val="auto"/>
              </w:rPr>
            </w:pPr>
          </w:p>
        </w:tc>
        <w:tc>
          <w:tcPr>
            <w:tcW w:w="8460" w:type="dxa"/>
            <w:vAlign w:val="bottom"/>
            <w:tcBorders>
              <w:bottom w:val="single" w:sz="8" w:color="0000EE"/>
            </w:tcBorders>
            <w:gridSpan w:val="28"/>
          </w:tcPr>
          <w:p>
            <w:pPr>
              <w:spacing w:after="0"/>
              <w:rPr>
                <w:rFonts w:ascii="Arial" w:cs="Arial" w:eastAsia="Arial" w:hAnsi="Arial"/>
                <w:sz w:val="17"/>
                <w:szCs w:val="17"/>
                <w:color w:val="0000EE"/>
                <w:w w:val="91"/>
              </w:rPr>
            </w:pPr>
            <w:hyperlink r:id="rId392">
              <w:r>
                <w:rPr>
                  <w:rFonts w:ascii="Arial" w:cs="Arial" w:eastAsia="Arial" w:hAnsi="Arial"/>
                  <w:sz w:val="17"/>
                  <w:szCs w:val="17"/>
                  <w:color w:val="0000EE"/>
                  <w:w w:val="91"/>
                </w:rPr>
                <w:t>Third Amended and Restated Limited Liability Company Agreement, dated October 15, 2021, by and among Opco and the</w:t>
              </w:r>
            </w:hyperlink>
          </w:p>
        </w:tc>
        <w:tc>
          <w:tcPr>
            <w:tcW w:w="80" w:type="dxa"/>
            <w:vAlign w:val="bottom"/>
            <w:gridSpan w:val="3"/>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31"/>
          </w:tcPr>
          <w:p>
            <w:pPr>
              <w:spacing w:after="0" w:line="186" w:lineRule="exact"/>
              <w:rPr>
                <w:rFonts w:ascii="Arial" w:cs="Arial" w:eastAsia="Arial" w:hAnsi="Arial"/>
                <w:sz w:val="17"/>
                <w:szCs w:val="17"/>
                <w:color w:val="0000EE"/>
              </w:rPr>
            </w:pPr>
            <w:hyperlink r:id="rId392">
              <w:r>
                <w:rPr>
                  <w:rFonts w:ascii="Arial" w:cs="Arial" w:eastAsia="Arial" w:hAnsi="Arial"/>
                  <w:sz w:val="17"/>
                  <w:szCs w:val="17"/>
                  <w:color w:val="0000EE"/>
                </w:rPr>
                <w:t>Opco Equity Holders (incorporated by reference to Exhibit 4.3to the Company’s Form 8-K filed with the SEC on</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90"/>
              </w:rPr>
            </w:pPr>
            <w:hyperlink r:id="rId392">
              <w:r>
                <w:rPr>
                  <w:rFonts w:ascii="Arial" w:cs="Arial" w:eastAsia="Arial" w:hAnsi="Arial"/>
                  <w:sz w:val="17"/>
                  <w:szCs w:val="17"/>
                  <w:color w:val="0000EE"/>
                  <w:w w:val="90"/>
                </w:rPr>
                <w:t>October 21, 2021).</w:t>
              </w:r>
            </w:hyperlink>
          </w:p>
        </w:tc>
        <w:tc>
          <w:tcPr>
            <w:tcW w:w="6460" w:type="dxa"/>
            <w:vAlign w:val="bottom"/>
            <w:tcBorders>
              <w:top w:val="single" w:sz="8" w:color="0000EE"/>
            </w:tcBorders>
            <w:gridSpan w:val="12"/>
          </w:tcPr>
          <w:p>
            <w:pPr>
              <w:spacing w:after="0"/>
              <w:rPr>
                <w:sz w:val="16"/>
                <w:szCs w:val="16"/>
                <w:color w:val="auto"/>
              </w:rPr>
            </w:pPr>
          </w:p>
        </w:tc>
        <w:tc>
          <w:tcPr>
            <w:tcW w:w="780" w:type="dxa"/>
            <w:vAlign w:val="bottom"/>
            <w:gridSpan w:val="16"/>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5.1</w:t>
            </w:r>
          </w:p>
        </w:tc>
        <w:tc>
          <w:tcPr>
            <w:tcW w:w="1000" w:type="dxa"/>
            <w:vAlign w:val="bottom"/>
          </w:tcPr>
          <w:p>
            <w:pPr>
              <w:spacing w:after="0"/>
              <w:rPr>
                <w:sz w:val="24"/>
                <w:szCs w:val="24"/>
                <w:color w:val="auto"/>
              </w:rPr>
            </w:pPr>
          </w:p>
        </w:tc>
        <w:tc>
          <w:tcPr>
            <w:tcW w:w="8540" w:type="dxa"/>
            <w:vAlign w:val="bottom"/>
            <w:gridSpan w:val="31"/>
          </w:tcPr>
          <w:p>
            <w:pPr>
              <w:spacing w:after="0"/>
              <w:rPr>
                <w:rFonts w:ascii="Arial" w:cs="Arial" w:eastAsia="Arial" w:hAnsi="Arial"/>
                <w:sz w:val="17"/>
                <w:szCs w:val="17"/>
                <w:color w:val="0000EE"/>
              </w:rPr>
            </w:pPr>
            <w:hyperlink w:anchor="page333">
              <w:r>
                <w:rPr>
                  <w:rFonts w:ascii="Arial" w:cs="Arial" w:eastAsia="Arial" w:hAnsi="Arial"/>
                  <w:sz w:val="17"/>
                  <w:szCs w:val="17"/>
                  <w:color w:val="0000EE"/>
                </w:rPr>
                <w:t>Opinion of Wilson Sonsini Goodrich &amp; Rosati, P.C.</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10.1</w:t>
            </w:r>
          </w:p>
        </w:tc>
        <w:tc>
          <w:tcPr>
            <w:tcW w:w="1000" w:type="dxa"/>
            <w:vAlign w:val="bottom"/>
          </w:tcPr>
          <w:p>
            <w:pPr>
              <w:spacing w:after="0"/>
              <w:rPr>
                <w:sz w:val="24"/>
                <w:szCs w:val="24"/>
                <w:color w:val="auto"/>
              </w:rPr>
            </w:pPr>
          </w:p>
        </w:tc>
        <w:tc>
          <w:tcPr>
            <w:tcW w:w="8360" w:type="dxa"/>
            <w:vAlign w:val="bottom"/>
            <w:tcBorders>
              <w:bottom w:val="single" w:sz="8" w:color="0000EE"/>
            </w:tcBorders>
            <w:gridSpan w:val="25"/>
          </w:tcPr>
          <w:p>
            <w:pPr>
              <w:spacing w:after="0"/>
              <w:rPr>
                <w:rFonts w:ascii="Arial" w:cs="Arial" w:eastAsia="Arial" w:hAnsi="Arial"/>
                <w:sz w:val="17"/>
                <w:szCs w:val="17"/>
                <w:color w:val="0000EE"/>
                <w:w w:val="91"/>
              </w:rPr>
            </w:pPr>
            <w:hyperlink r:id="rId393">
              <w:r>
                <w:rPr>
                  <w:rFonts w:ascii="Arial" w:cs="Arial" w:eastAsia="Arial" w:hAnsi="Arial"/>
                  <w:sz w:val="17"/>
                  <w:szCs w:val="17"/>
                  <w:color w:val="0000EE"/>
                  <w:w w:val="91"/>
                </w:rPr>
                <w:t>Letter Agreement, dated September 22, 2020 (the “Insider Letter”), by and among the Company, its executive officers, its</w:t>
              </w:r>
            </w:hyperlink>
          </w:p>
        </w:tc>
        <w:tc>
          <w:tcPr>
            <w:tcW w:w="180" w:type="dxa"/>
            <w:vAlign w:val="bottom"/>
            <w:gridSpan w:val="6"/>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0" w:type="dxa"/>
            <w:vAlign w:val="bottom"/>
            <w:tcBorders>
              <w:bottom w:val="single" w:sz="8" w:color="0000EE"/>
            </w:tcBorders>
            <w:gridSpan w:val="20"/>
          </w:tcPr>
          <w:p>
            <w:pPr>
              <w:spacing w:after="0" w:line="186" w:lineRule="exact"/>
              <w:rPr>
                <w:rFonts w:ascii="Arial" w:cs="Arial" w:eastAsia="Arial" w:hAnsi="Arial"/>
                <w:sz w:val="17"/>
                <w:szCs w:val="17"/>
                <w:color w:val="0000EE"/>
                <w:w w:val="92"/>
              </w:rPr>
            </w:pPr>
            <w:hyperlink r:id="rId393">
              <w:r>
                <w:rPr>
                  <w:rFonts w:ascii="Arial" w:cs="Arial" w:eastAsia="Arial" w:hAnsi="Arial"/>
                  <w:sz w:val="17"/>
                  <w:szCs w:val="17"/>
                  <w:color w:val="0000EE"/>
                  <w:w w:val="92"/>
                </w:rPr>
                <w:t>directors and the Sponsor (incorporated by reference to Exhibit 10.1 of the Company’s Form 8-K filed with the SEC on</w:t>
              </w:r>
            </w:hyperlink>
          </w:p>
        </w:tc>
        <w:tc>
          <w:tcPr>
            <w:tcW w:w="340" w:type="dxa"/>
            <w:vAlign w:val="bottom"/>
            <w:gridSpan w:val="11"/>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Borders>
              <w:bottom w:val="single" w:sz="8" w:color="0000EE"/>
            </w:tcBorders>
            <w:gridSpan w:val="4"/>
          </w:tcPr>
          <w:p>
            <w:pPr>
              <w:spacing w:after="0" w:line="186" w:lineRule="exact"/>
              <w:rPr>
                <w:rFonts w:ascii="Arial" w:cs="Arial" w:eastAsia="Arial" w:hAnsi="Arial"/>
                <w:sz w:val="17"/>
                <w:szCs w:val="17"/>
                <w:color w:val="0000EE"/>
                <w:w w:val="88"/>
              </w:rPr>
            </w:pPr>
            <w:hyperlink r:id="rId393">
              <w:r>
                <w:rPr>
                  <w:rFonts w:ascii="Arial" w:cs="Arial" w:eastAsia="Arial" w:hAnsi="Arial"/>
                  <w:sz w:val="17"/>
                  <w:szCs w:val="17"/>
                  <w:color w:val="0000EE"/>
                  <w:w w:val="88"/>
                </w:rPr>
                <w:t>September 28, 2020).</w:t>
              </w:r>
            </w:hyperlink>
          </w:p>
        </w:tc>
        <w:tc>
          <w:tcPr>
            <w:tcW w:w="7060" w:type="dxa"/>
            <w:vAlign w:val="bottom"/>
            <w:gridSpan w:val="27"/>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10.2</w:t>
            </w:r>
          </w:p>
        </w:tc>
        <w:tc>
          <w:tcPr>
            <w:tcW w:w="1000" w:type="dxa"/>
            <w:vAlign w:val="bottom"/>
          </w:tcPr>
          <w:p>
            <w:pPr>
              <w:spacing w:after="0"/>
              <w:rPr>
                <w:sz w:val="24"/>
                <w:szCs w:val="24"/>
                <w:color w:val="auto"/>
              </w:rPr>
            </w:pPr>
          </w:p>
        </w:tc>
        <w:tc>
          <w:tcPr>
            <w:tcW w:w="8540" w:type="dxa"/>
            <w:vAlign w:val="bottom"/>
            <w:gridSpan w:val="31"/>
          </w:tcPr>
          <w:p>
            <w:pPr>
              <w:spacing w:after="0"/>
              <w:rPr>
                <w:rFonts w:ascii="Arial" w:cs="Arial" w:eastAsia="Arial" w:hAnsi="Arial"/>
                <w:sz w:val="17"/>
                <w:szCs w:val="17"/>
                <w:color w:val="0000EE"/>
                <w:w w:val="92"/>
              </w:rPr>
            </w:pPr>
            <w:hyperlink r:id="rId394">
              <w:r>
                <w:rPr>
                  <w:rFonts w:ascii="Arial" w:cs="Arial" w:eastAsia="Arial" w:hAnsi="Arial"/>
                  <w:sz w:val="17"/>
                  <w:szCs w:val="17"/>
                  <w:color w:val="0000EE"/>
                  <w:w w:val="92"/>
                </w:rPr>
                <w:t>Amendment to Insider Letter, dated January 11, 2021, by and among the Company, its executive officers, its directors, the</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720" w:type="dxa"/>
            <w:vAlign w:val="bottom"/>
            <w:tcBorders>
              <w:top w:val="single" w:sz="8" w:color="0000EE"/>
              <w:bottom w:val="single" w:sz="8" w:color="0000EE"/>
            </w:tcBorders>
            <w:gridSpan w:val="13"/>
          </w:tcPr>
          <w:p>
            <w:pPr>
              <w:spacing w:after="0" w:line="186" w:lineRule="exact"/>
              <w:rPr>
                <w:rFonts w:ascii="Arial" w:cs="Arial" w:eastAsia="Arial" w:hAnsi="Arial"/>
                <w:sz w:val="17"/>
                <w:szCs w:val="17"/>
                <w:color w:val="0000EE"/>
                <w:w w:val="92"/>
              </w:rPr>
            </w:pPr>
            <w:hyperlink r:id="rId394">
              <w:r>
                <w:rPr>
                  <w:rFonts w:ascii="Arial" w:cs="Arial" w:eastAsia="Arial" w:hAnsi="Arial"/>
                  <w:sz w:val="17"/>
                  <w:szCs w:val="17"/>
                  <w:color w:val="0000EE"/>
                  <w:w w:val="92"/>
                </w:rPr>
                <w:t>Sponsor and Opco (incorporated by reference to Exhibit 10.3 of the Company’s Form 8-K filed with the SEC on</w:t>
              </w:r>
            </w:hyperlink>
          </w:p>
        </w:tc>
        <w:tc>
          <w:tcPr>
            <w:tcW w:w="640" w:type="dxa"/>
            <w:vAlign w:val="bottom"/>
            <w:tcBorders>
              <w:top w:val="single" w:sz="8" w:color="0000EE"/>
            </w:tcBorders>
            <w:gridSpan w:val="12"/>
          </w:tcPr>
          <w:p>
            <w:pPr>
              <w:spacing w:after="0"/>
              <w:rPr>
                <w:sz w:val="16"/>
                <w:szCs w:val="16"/>
                <w:color w:val="auto"/>
              </w:rPr>
            </w:pPr>
          </w:p>
        </w:tc>
        <w:tc>
          <w:tcPr>
            <w:tcW w:w="180" w:type="dxa"/>
            <w:vAlign w:val="bottom"/>
            <w:gridSpan w:val="6"/>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Borders>
              <w:bottom w:val="single" w:sz="8" w:color="0000EE"/>
            </w:tcBorders>
            <w:gridSpan w:val="2"/>
          </w:tcPr>
          <w:p>
            <w:pPr>
              <w:spacing w:after="0" w:line="186" w:lineRule="exact"/>
              <w:rPr>
                <w:rFonts w:ascii="Arial" w:cs="Arial" w:eastAsia="Arial" w:hAnsi="Arial"/>
                <w:sz w:val="17"/>
                <w:szCs w:val="17"/>
                <w:color w:val="0000EE"/>
                <w:w w:val="88"/>
              </w:rPr>
            </w:pPr>
            <w:hyperlink r:id="rId394">
              <w:r>
                <w:rPr>
                  <w:rFonts w:ascii="Arial" w:cs="Arial" w:eastAsia="Arial" w:hAnsi="Arial"/>
                  <w:sz w:val="17"/>
                  <w:szCs w:val="17"/>
                  <w:color w:val="0000EE"/>
                  <w:w w:val="88"/>
                </w:rPr>
                <w:t>January 11, 2021).</w:t>
              </w:r>
            </w:hyperlink>
          </w:p>
        </w:tc>
        <w:tc>
          <w:tcPr>
            <w:tcW w:w="7260" w:type="dxa"/>
            <w:vAlign w:val="bottom"/>
            <w:gridSpan w:val="29"/>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10.3</w:t>
            </w:r>
          </w:p>
        </w:tc>
        <w:tc>
          <w:tcPr>
            <w:tcW w:w="1000" w:type="dxa"/>
            <w:vAlign w:val="bottom"/>
          </w:tcPr>
          <w:p>
            <w:pPr>
              <w:spacing w:after="0"/>
              <w:rPr>
                <w:sz w:val="24"/>
                <w:szCs w:val="24"/>
                <w:color w:val="auto"/>
              </w:rPr>
            </w:pPr>
          </w:p>
        </w:tc>
        <w:tc>
          <w:tcPr>
            <w:tcW w:w="8320" w:type="dxa"/>
            <w:vAlign w:val="bottom"/>
            <w:tcBorders>
              <w:bottom w:val="single" w:sz="8" w:color="0000EE"/>
            </w:tcBorders>
            <w:gridSpan w:val="23"/>
          </w:tcPr>
          <w:p>
            <w:pPr>
              <w:spacing w:after="0"/>
              <w:rPr>
                <w:rFonts w:ascii="Arial" w:cs="Arial" w:eastAsia="Arial" w:hAnsi="Arial"/>
                <w:sz w:val="17"/>
                <w:szCs w:val="17"/>
                <w:color w:val="0000EE"/>
                <w:w w:val="90"/>
              </w:rPr>
            </w:pPr>
            <w:hyperlink r:id="rId395">
              <w:r>
                <w:rPr>
                  <w:rFonts w:ascii="Arial" w:cs="Arial" w:eastAsia="Arial" w:hAnsi="Arial"/>
                  <w:sz w:val="17"/>
                  <w:szCs w:val="17"/>
                  <w:color w:val="0000EE"/>
                  <w:w w:val="90"/>
                </w:rPr>
                <w:t>Form of Subscription Agreement between the Company and the PIPE Investors, dated January 11, 2021 (incorporated by</w:t>
              </w:r>
            </w:hyperlink>
          </w:p>
        </w:tc>
        <w:tc>
          <w:tcPr>
            <w:tcW w:w="220" w:type="dxa"/>
            <w:vAlign w:val="bottom"/>
            <w:gridSpan w:val="8"/>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540" w:type="dxa"/>
            <w:vAlign w:val="bottom"/>
            <w:tcBorders>
              <w:bottom w:val="single" w:sz="8" w:color="0000EE"/>
            </w:tcBorders>
            <w:gridSpan w:val="10"/>
          </w:tcPr>
          <w:p>
            <w:pPr>
              <w:spacing w:after="0" w:line="186" w:lineRule="exact"/>
              <w:rPr>
                <w:rFonts w:ascii="Arial" w:cs="Arial" w:eastAsia="Arial" w:hAnsi="Arial"/>
                <w:sz w:val="17"/>
                <w:szCs w:val="17"/>
                <w:color w:val="0000EE"/>
                <w:w w:val="92"/>
              </w:rPr>
            </w:pPr>
            <w:hyperlink r:id="rId395">
              <w:r>
                <w:rPr>
                  <w:rFonts w:ascii="Arial" w:cs="Arial" w:eastAsia="Arial" w:hAnsi="Arial"/>
                  <w:sz w:val="17"/>
                  <w:szCs w:val="17"/>
                  <w:color w:val="0000EE"/>
                  <w:w w:val="92"/>
                </w:rPr>
                <w:t>reference to Exhibit 10.1 of the Company’s Form 8-K filed with the SEC on January 11, 2021).</w:t>
              </w:r>
            </w:hyperlink>
          </w:p>
        </w:tc>
        <w:tc>
          <w:tcPr>
            <w:tcW w:w="2000" w:type="dxa"/>
            <w:vAlign w:val="bottom"/>
            <w:gridSpan w:val="21"/>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10.4</w:t>
            </w:r>
          </w:p>
        </w:tc>
        <w:tc>
          <w:tcPr>
            <w:tcW w:w="1000" w:type="dxa"/>
            <w:vAlign w:val="bottom"/>
          </w:tcPr>
          <w:p>
            <w:pPr>
              <w:spacing w:after="0"/>
              <w:rPr>
                <w:sz w:val="24"/>
                <w:szCs w:val="24"/>
                <w:color w:val="auto"/>
              </w:rPr>
            </w:pPr>
          </w:p>
        </w:tc>
        <w:tc>
          <w:tcPr>
            <w:tcW w:w="8540" w:type="dxa"/>
            <w:vAlign w:val="bottom"/>
            <w:gridSpan w:val="31"/>
          </w:tcPr>
          <w:p>
            <w:pPr>
              <w:spacing w:after="0"/>
              <w:rPr>
                <w:rFonts w:ascii="Arial" w:cs="Arial" w:eastAsia="Arial" w:hAnsi="Arial"/>
                <w:sz w:val="17"/>
                <w:szCs w:val="17"/>
                <w:color w:val="0000EE"/>
                <w:w w:val="98"/>
              </w:rPr>
            </w:pPr>
            <w:hyperlink r:id="rId396">
              <w:r>
                <w:rPr>
                  <w:rFonts w:ascii="Arial" w:cs="Arial" w:eastAsia="Arial" w:hAnsi="Arial"/>
                  <w:sz w:val="17"/>
                  <w:szCs w:val="17"/>
                  <w:color w:val="0000EE"/>
                  <w:w w:val="98"/>
                </w:rPr>
                <w:t>Support Agreement, dated January 11, 2021, by and among the Company, Opco, ICE and the other parties thereto</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31"/>
          </w:tcPr>
          <w:p>
            <w:pPr>
              <w:spacing w:after="0" w:line="186" w:lineRule="exact"/>
              <w:rPr>
                <w:rFonts w:ascii="Arial" w:cs="Arial" w:eastAsia="Arial" w:hAnsi="Arial"/>
                <w:sz w:val="17"/>
                <w:szCs w:val="17"/>
                <w:color w:val="0000EE"/>
                <w:w w:val="94"/>
              </w:rPr>
            </w:pPr>
            <w:hyperlink r:id="rId396">
              <w:r>
                <w:rPr>
                  <w:rFonts w:ascii="Arial" w:cs="Arial" w:eastAsia="Arial" w:hAnsi="Arial"/>
                  <w:sz w:val="17"/>
                  <w:szCs w:val="17"/>
                  <w:color w:val="0000EE"/>
                  <w:w w:val="94"/>
                </w:rPr>
                <w:t>(incorporated by reference to Exhibit 10.8 to the Company’s Form 8-K to the Company’s Form 8-K filed with the SEC on</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90"/>
              </w:rPr>
            </w:pPr>
            <w:hyperlink r:id="rId396">
              <w:r>
                <w:rPr>
                  <w:rFonts w:ascii="Arial" w:cs="Arial" w:eastAsia="Arial" w:hAnsi="Arial"/>
                  <w:sz w:val="17"/>
                  <w:szCs w:val="17"/>
                  <w:color w:val="0000EE"/>
                  <w:w w:val="90"/>
                </w:rPr>
                <w:t>October 21, 2021).</w:t>
              </w:r>
            </w:hyperlink>
          </w:p>
        </w:tc>
        <w:tc>
          <w:tcPr>
            <w:tcW w:w="7060" w:type="dxa"/>
            <w:vAlign w:val="bottom"/>
            <w:tcBorders>
              <w:top w:val="single" w:sz="8" w:color="0000EE"/>
            </w:tcBorders>
            <w:gridSpan w:val="22"/>
          </w:tcPr>
          <w:p>
            <w:pPr>
              <w:spacing w:after="0"/>
              <w:rPr>
                <w:sz w:val="16"/>
                <w:szCs w:val="16"/>
                <w:color w:val="auto"/>
              </w:rPr>
            </w:pPr>
          </w:p>
        </w:tc>
        <w:tc>
          <w:tcPr>
            <w:tcW w:w="180" w:type="dxa"/>
            <w:vAlign w:val="bottom"/>
            <w:gridSpan w:val="6"/>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10.5</w:t>
            </w:r>
          </w:p>
        </w:tc>
        <w:tc>
          <w:tcPr>
            <w:tcW w:w="1000" w:type="dxa"/>
            <w:vAlign w:val="bottom"/>
          </w:tcPr>
          <w:p>
            <w:pPr>
              <w:spacing w:after="0"/>
              <w:rPr>
                <w:sz w:val="24"/>
                <w:szCs w:val="24"/>
                <w:color w:val="auto"/>
              </w:rPr>
            </w:pPr>
          </w:p>
        </w:tc>
        <w:tc>
          <w:tcPr>
            <w:tcW w:w="8140" w:type="dxa"/>
            <w:vAlign w:val="bottom"/>
            <w:tcBorders>
              <w:bottom w:val="single" w:sz="8" w:color="0000EE"/>
            </w:tcBorders>
            <w:gridSpan w:val="18"/>
          </w:tcPr>
          <w:p>
            <w:pPr>
              <w:spacing w:after="0"/>
              <w:rPr>
                <w:rFonts w:ascii="Arial" w:cs="Arial" w:eastAsia="Arial" w:hAnsi="Arial"/>
                <w:sz w:val="17"/>
                <w:szCs w:val="17"/>
                <w:color w:val="0000EE"/>
                <w:w w:val="91"/>
              </w:rPr>
            </w:pPr>
            <w:hyperlink r:id="rId397">
              <w:r>
                <w:rPr>
                  <w:rFonts w:ascii="Arial" w:cs="Arial" w:eastAsia="Arial" w:hAnsi="Arial"/>
                  <w:sz w:val="17"/>
                  <w:szCs w:val="17"/>
                  <w:color w:val="0000EE"/>
                  <w:w w:val="91"/>
                </w:rPr>
                <w:t>Digital Currency Trading, Clearing, and Warehouse Services Agreement, dated August 29, 2019, by and among IFUS,</w:t>
              </w:r>
            </w:hyperlink>
          </w:p>
        </w:tc>
        <w:tc>
          <w:tcPr>
            <w:tcW w:w="400" w:type="dxa"/>
            <w:vAlign w:val="bottom"/>
            <w:gridSpan w:val="13"/>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380" w:type="dxa"/>
            <w:vAlign w:val="bottom"/>
            <w:tcBorders>
              <w:bottom w:val="single" w:sz="8" w:color="0000EE"/>
            </w:tcBorders>
            <w:gridSpan w:val="26"/>
          </w:tcPr>
          <w:p>
            <w:pPr>
              <w:spacing w:after="0" w:line="186" w:lineRule="exact"/>
              <w:rPr>
                <w:rFonts w:ascii="Arial" w:cs="Arial" w:eastAsia="Arial" w:hAnsi="Arial"/>
                <w:sz w:val="17"/>
                <w:szCs w:val="17"/>
                <w:color w:val="0000EE"/>
                <w:w w:val="91"/>
              </w:rPr>
            </w:pPr>
            <w:hyperlink r:id="rId397">
              <w:r>
                <w:rPr>
                  <w:rFonts w:ascii="Arial" w:cs="Arial" w:eastAsia="Arial" w:hAnsi="Arial"/>
                  <w:sz w:val="17"/>
                  <w:szCs w:val="17"/>
                  <w:color w:val="0000EE"/>
                  <w:w w:val="91"/>
                </w:rPr>
                <w:t>ICUS and Bakkt Trust, including amendments thereto (incorporated by reference to Exhibit 10.10 to the Company’s Form</w:t>
              </w:r>
            </w:hyperlink>
          </w:p>
        </w:tc>
        <w:tc>
          <w:tcPr>
            <w:tcW w:w="160" w:type="dxa"/>
            <w:vAlign w:val="bottom"/>
            <w:gridSpan w:val="5"/>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140" w:type="dxa"/>
            <w:vAlign w:val="bottom"/>
            <w:tcBorders>
              <w:bottom w:val="single" w:sz="8" w:color="0000EE"/>
            </w:tcBorders>
            <w:gridSpan w:val="5"/>
          </w:tcPr>
          <w:p>
            <w:pPr>
              <w:spacing w:after="0" w:line="186" w:lineRule="exact"/>
              <w:rPr>
                <w:rFonts w:ascii="Arial" w:cs="Arial" w:eastAsia="Arial" w:hAnsi="Arial"/>
                <w:sz w:val="17"/>
                <w:szCs w:val="17"/>
                <w:color w:val="0000EE"/>
                <w:w w:val="92"/>
              </w:rPr>
            </w:pPr>
            <w:hyperlink r:id="rId397">
              <w:r>
                <w:rPr>
                  <w:rFonts w:ascii="Arial" w:cs="Arial" w:eastAsia="Arial" w:hAnsi="Arial"/>
                  <w:sz w:val="17"/>
                  <w:szCs w:val="17"/>
                  <w:color w:val="0000EE"/>
                  <w:w w:val="92"/>
                </w:rPr>
                <w:t>8-K filed with the SEC on October 21, 2021).</w:t>
              </w:r>
            </w:hyperlink>
          </w:p>
        </w:tc>
        <w:tc>
          <w:tcPr>
            <w:tcW w:w="5400" w:type="dxa"/>
            <w:vAlign w:val="bottom"/>
            <w:gridSpan w:val="26"/>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10.6</w:t>
            </w:r>
          </w:p>
        </w:tc>
        <w:tc>
          <w:tcPr>
            <w:tcW w:w="1000" w:type="dxa"/>
            <w:vAlign w:val="bottom"/>
          </w:tcPr>
          <w:p>
            <w:pPr>
              <w:spacing w:after="0"/>
              <w:rPr>
                <w:sz w:val="24"/>
                <w:szCs w:val="24"/>
                <w:color w:val="auto"/>
              </w:rPr>
            </w:pPr>
          </w:p>
        </w:tc>
        <w:tc>
          <w:tcPr>
            <w:tcW w:w="8520" w:type="dxa"/>
            <w:vAlign w:val="bottom"/>
            <w:tcBorders>
              <w:bottom w:val="single" w:sz="8" w:color="0000EE"/>
            </w:tcBorders>
            <w:gridSpan w:val="30"/>
          </w:tcPr>
          <w:p>
            <w:pPr>
              <w:spacing w:after="0"/>
              <w:rPr>
                <w:rFonts w:ascii="Arial" w:cs="Arial" w:eastAsia="Arial" w:hAnsi="Arial"/>
                <w:sz w:val="17"/>
                <w:szCs w:val="17"/>
                <w:color w:val="0000EE"/>
                <w:w w:val="91"/>
              </w:rPr>
            </w:pPr>
            <w:hyperlink r:id="rId398">
              <w:r>
                <w:rPr>
                  <w:rFonts w:ascii="Arial" w:cs="Arial" w:eastAsia="Arial" w:hAnsi="Arial"/>
                  <w:sz w:val="17"/>
                  <w:szCs w:val="17"/>
                  <w:color w:val="0000EE"/>
                  <w:w w:val="91"/>
                </w:rPr>
                <w:t>Cooperation Agreement, dated October 15, 2021, between the Company and ICE (incorporated by reference to Exhibit 10.6</w:t>
              </w:r>
            </w:hyperlink>
          </w:p>
        </w:tc>
        <w:tc>
          <w:tcPr>
            <w:tcW w:w="20" w:type="dxa"/>
            <w:vAlign w:val="bottom"/>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31"/>
          </w:tcPr>
          <w:p>
            <w:pPr>
              <w:spacing w:after="0" w:line="186" w:lineRule="exact"/>
              <w:rPr>
                <w:rFonts w:ascii="Arial" w:cs="Arial" w:eastAsia="Arial" w:hAnsi="Arial"/>
                <w:sz w:val="17"/>
                <w:szCs w:val="17"/>
                <w:color w:val="0000EE"/>
              </w:rPr>
            </w:pPr>
            <w:hyperlink r:id="rId398">
              <w:r>
                <w:rPr>
                  <w:rFonts w:ascii="Arial" w:cs="Arial" w:eastAsia="Arial" w:hAnsi="Arial"/>
                  <w:sz w:val="17"/>
                  <w:szCs w:val="17"/>
                  <w:color w:val="0000EE"/>
                </w:rPr>
                <w:t>to the Company’s Form 8-K filed with the SEC on October 21, 2021).</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120" w:type="dxa"/>
            <w:vAlign w:val="bottom"/>
            <w:gridSpan w:val="6"/>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10.7</w:t>
            </w:r>
          </w:p>
        </w:tc>
        <w:tc>
          <w:tcPr>
            <w:tcW w:w="1000" w:type="dxa"/>
            <w:vAlign w:val="bottom"/>
          </w:tcPr>
          <w:p>
            <w:pPr>
              <w:spacing w:after="0"/>
              <w:rPr>
                <w:sz w:val="24"/>
                <w:szCs w:val="24"/>
                <w:color w:val="auto"/>
              </w:rPr>
            </w:pPr>
          </w:p>
        </w:tc>
        <w:tc>
          <w:tcPr>
            <w:tcW w:w="8180" w:type="dxa"/>
            <w:vAlign w:val="bottom"/>
            <w:tcBorders>
              <w:bottom w:val="single" w:sz="8" w:color="0000EE"/>
            </w:tcBorders>
            <w:gridSpan w:val="19"/>
          </w:tcPr>
          <w:p>
            <w:pPr>
              <w:spacing w:after="0"/>
              <w:rPr>
                <w:rFonts w:ascii="Arial" w:cs="Arial" w:eastAsia="Arial" w:hAnsi="Arial"/>
                <w:sz w:val="17"/>
                <w:szCs w:val="17"/>
                <w:color w:val="0000EE"/>
                <w:w w:val="90"/>
              </w:rPr>
            </w:pPr>
            <w:hyperlink r:id="rId399">
              <w:r>
                <w:rPr>
                  <w:rFonts w:ascii="Arial" w:cs="Arial" w:eastAsia="Arial" w:hAnsi="Arial"/>
                  <w:sz w:val="17"/>
                  <w:szCs w:val="17"/>
                  <w:color w:val="0000EE"/>
                  <w:w w:val="90"/>
                </w:rPr>
                <w:t>Registration Rights Agreement, dated October 15, 2021, by and among the Company, the Opco Equity Holders and the</w:t>
              </w:r>
            </w:hyperlink>
          </w:p>
        </w:tc>
        <w:tc>
          <w:tcPr>
            <w:tcW w:w="360" w:type="dxa"/>
            <w:vAlign w:val="bottom"/>
            <w:gridSpan w:val="12"/>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340" w:type="dxa"/>
            <w:vAlign w:val="bottom"/>
            <w:tcBorders>
              <w:bottom w:val="single" w:sz="8" w:color="0000EE"/>
            </w:tcBorders>
            <w:gridSpan w:val="24"/>
          </w:tcPr>
          <w:p>
            <w:pPr>
              <w:spacing w:after="0" w:line="186" w:lineRule="exact"/>
              <w:rPr>
                <w:rFonts w:ascii="Arial" w:cs="Arial" w:eastAsia="Arial" w:hAnsi="Arial"/>
                <w:sz w:val="17"/>
                <w:szCs w:val="17"/>
                <w:color w:val="0000EE"/>
                <w:w w:val="92"/>
              </w:rPr>
            </w:pPr>
            <w:hyperlink r:id="rId399">
              <w:r>
                <w:rPr>
                  <w:rFonts w:ascii="Arial" w:cs="Arial" w:eastAsia="Arial" w:hAnsi="Arial"/>
                  <w:sz w:val="17"/>
                  <w:szCs w:val="17"/>
                  <w:color w:val="0000EE"/>
                  <w:w w:val="92"/>
                </w:rPr>
                <w:t>Sponsor (incorporated by reference to Exhibit 10.1 to the Company’s Form 8-K filed with the SEC on October 21, 2021).</w:t>
              </w:r>
            </w:hyperlink>
          </w:p>
        </w:tc>
        <w:tc>
          <w:tcPr>
            <w:tcW w:w="200" w:type="dxa"/>
            <w:vAlign w:val="bottom"/>
            <w:gridSpan w:val="7"/>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10.8</w:t>
            </w:r>
          </w:p>
        </w:tc>
        <w:tc>
          <w:tcPr>
            <w:tcW w:w="1000" w:type="dxa"/>
            <w:vAlign w:val="bottom"/>
          </w:tcPr>
          <w:p>
            <w:pPr>
              <w:spacing w:after="0"/>
              <w:rPr>
                <w:sz w:val="24"/>
                <w:szCs w:val="24"/>
                <w:color w:val="auto"/>
              </w:rPr>
            </w:pPr>
          </w:p>
        </w:tc>
        <w:tc>
          <w:tcPr>
            <w:tcW w:w="8340" w:type="dxa"/>
            <w:vAlign w:val="bottom"/>
            <w:tcBorders>
              <w:bottom w:val="single" w:sz="8" w:color="0000EE"/>
            </w:tcBorders>
            <w:gridSpan w:val="24"/>
          </w:tcPr>
          <w:p>
            <w:pPr>
              <w:spacing w:after="0"/>
              <w:rPr>
                <w:rFonts w:ascii="Arial" w:cs="Arial" w:eastAsia="Arial" w:hAnsi="Arial"/>
                <w:sz w:val="17"/>
                <w:szCs w:val="17"/>
                <w:color w:val="0000EE"/>
                <w:w w:val="90"/>
              </w:rPr>
            </w:pPr>
            <w:hyperlink r:id="rId400">
              <w:r>
                <w:rPr>
                  <w:rFonts w:ascii="Arial" w:cs="Arial" w:eastAsia="Arial" w:hAnsi="Arial"/>
                  <w:sz w:val="17"/>
                  <w:szCs w:val="17"/>
                  <w:color w:val="0000EE"/>
                  <w:w w:val="90"/>
                </w:rPr>
                <w:t>Stockholders Agreement of the Company, dated October 15, 2021, by and among the Company, the Opco Equity Holders</w:t>
              </w:r>
            </w:hyperlink>
          </w:p>
        </w:tc>
        <w:tc>
          <w:tcPr>
            <w:tcW w:w="200" w:type="dxa"/>
            <w:vAlign w:val="bottom"/>
            <w:gridSpan w:val="7"/>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0" w:type="dxa"/>
            <w:vAlign w:val="bottom"/>
            <w:tcBorders>
              <w:bottom w:val="single" w:sz="8" w:color="0000EE"/>
            </w:tcBorders>
            <w:gridSpan w:val="27"/>
          </w:tcPr>
          <w:p>
            <w:pPr>
              <w:spacing w:after="0" w:line="186" w:lineRule="exact"/>
              <w:rPr>
                <w:rFonts w:ascii="Arial" w:cs="Arial" w:eastAsia="Arial" w:hAnsi="Arial"/>
                <w:sz w:val="17"/>
                <w:szCs w:val="17"/>
                <w:color w:val="0000EE"/>
                <w:w w:val="92"/>
              </w:rPr>
            </w:pPr>
            <w:hyperlink r:id="rId400">
              <w:r>
                <w:rPr>
                  <w:rFonts w:ascii="Arial" w:cs="Arial" w:eastAsia="Arial" w:hAnsi="Arial"/>
                  <w:sz w:val="17"/>
                  <w:szCs w:val="17"/>
                  <w:color w:val="0000EE"/>
                  <w:w w:val="92"/>
                </w:rPr>
                <w:t>and the Sponsor (incorporated by reference to Exhibit 10.2 to the Company’s Form 8-K filed with the SEC on October 21,</w:t>
              </w:r>
            </w:hyperlink>
          </w:p>
        </w:tc>
        <w:tc>
          <w:tcPr>
            <w:tcW w:w="140" w:type="dxa"/>
            <w:vAlign w:val="bottom"/>
            <w:gridSpan w:val="4"/>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Borders>
              <w:bottom w:val="single" w:sz="8" w:color="0000EE"/>
            </w:tcBorders>
          </w:tcPr>
          <w:p>
            <w:pPr>
              <w:spacing w:after="0" w:line="186" w:lineRule="exact"/>
              <w:rPr>
                <w:rFonts w:ascii="Arial" w:cs="Arial" w:eastAsia="Arial" w:hAnsi="Arial"/>
                <w:sz w:val="17"/>
                <w:szCs w:val="17"/>
                <w:color w:val="0000EE"/>
                <w:w w:val="87"/>
              </w:rPr>
            </w:pPr>
            <w:hyperlink r:id="rId400">
              <w:r>
                <w:rPr>
                  <w:rFonts w:ascii="Arial" w:cs="Arial" w:eastAsia="Arial" w:hAnsi="Arial"/>
                  <w:sz w:val="17"/>
                  <w:szCs w:val="17"/>
                  <w:color w:val="0000EE"/>
                  <w:w w:val="87"/>
                </w:rPr>
                <w:t>2021).</w:t>
              </w:r>
            </w:hyperlink>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9"/>
        </w:trPr>
        <w:tc>
          <w:tcPr>
            <w:tcW w:w="960" w:type="dxa"/>
            <w:vAlign w:val="bottom"/>
          </w:tcPr>
          <w:p>
            <w:pPr>
              <w:jc w:val="right"/>
              <w:ind w:right="495"/>
              <w:spacing w:after="0"/>
              <w:rPr>
                <w:sz w:val="20"/>
                <w:szCs w:val="20"/>
                <w:color w:val="auto"/>
              </w:rPr>
            </w:pPr>
            <w:r>
              <w:rPr>
                <w:rFonts w:ascii="Arial" w:cs="Arial" w:eastAsia="Arial" w:hAnsi="Arial"/>
                <w:sz w:val="17"/>
                <w:szCs w:val="17"/>
                <w:color w:val="auto"/>
              </w:rPr>
              <w:t>10.9</w:t>
            </w:r>
          </w:p>
        </w:tc>
        <w:tc>
          <w:tcPr>
            <w:tcW w:w="1000" w:type="dxa"/>
            <w:vAlign w:val="bottom"/>
          </w:tcPr>
          <w:p>
            <w:pPr>
              <w:spacing w:after="0"/>
              <w:rPr>
                <w:sz w:val="24"/>
                <w:szCs w:val="24"/>
                <w:color w:val="auto"/>
              </w:rPr>
            </w:pPr>
          </w:p>
        </w:tc>
        <w:tc>
          <w:tcPr>
            <w:tcW w:w="8280" w:type="dxa"/>
            <w:vAlign w:val="bottom"/>
            <w:tcBorders>
              <w:bottom w:val="single" w:sz="8" w:color="0000EE"/>
            </w:tcBorders>
            <w:gridSpan w:val="22"/>
          </w:tcPr>
          <w:p>
            <w:pPr>
              <w:spacing w:after="0"/>
              <w:rPr>
                <w:rFonts w:ascii="Arial" w:cs="Arial" w:eastAsia="Arial" w:hAnsi="Arial"/>
                <w:sz w:val="17"/>
                <w:szCs w:val="17"/>
                <w:color w:val="0000EE"/>
                <w:w w:val="91"/>
              </w:rPr>
            </w:pPr>
            <w:hyperlink r:id="rId401">
              <w:r>
                <w:rPr>
                  <w:rFonts w:ascii="Arial" w:cs="Arial" w:eastAsia="Arial" w:hAnsi="Arial"/>
                  <w:sz w:val="17"/>
                  <w:szCs w:val="17"/>
                  <w:color w:val="0000EE"/>
                  <w:w w:val="91"/>
                </w:rPr>
                <w:t>Voting Agreement, dated October 15, 2021, by and between the Company and ICE (incorporated by reference to Exhibit</w:t>
              </w:r>
            </w:hyperlink>
          </w:p>
        </w:tc>
        <w:tc>
          <w:tcPr>
            <w:tcW w:w="260" w:type="dxa"/>
            <w:vAlign w:val="bottom"/>
            <w:gridSpan w:val="9"/>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31"/>
          </w:tcPr>
          <w:p>
            <w:pPr>
              <w:spacing w:after="0" w:line="186" w:lineRule="exact"/>
              <w:rPr>
                <w:rFonts w:ascii="Arial" w:cs="Arial" w:eastAsia="Arial" w:hAnsi="Arial"/>
                <w:sz w:val="17"/>
                <w:szCs w:val="17"/>
                <w:color w:val="0000EE"/>
              </w:rPr>
            </w:pPr>
            <w:hyperlink r:id="rId401">
              <w:r>
                <w:rPr>
                  <w:rFonts w:ascii="Arial" w:cs="Arial" w:eastAsia="Arial" w:hAnsi="Arial"/>
                  <w:sz w:val="17"/>
                  <w:szCs w:val="17"/>
                  <w:color w:val="0000EE"/>
                </w:rPr>
                <w:t>10.</w:t>
              </w:r>
              <w:r>
                <w:rPr>
                  <w:rFonts w:ascii="Arial" w:cs="Arial" w:eastAsia="Arial" w:hAnsi="Arial"/>
                  <w:sz w:val="17"/>
                  <w:szCs w:val="17"/>
                  <w:u w:val="single" w:color="auto"/>
                  <w:color w:val="0000EE"/>
                </w:rPr>
                <w:t>3</w:t>
              </w:r>
              <w:r>
                <w:rPr>
                  <w:rFonts w:ascii="Arial" w:cs="Arial" w:eastAsia="Arial" w:hAnsi="Arial"/>
                  <w:sz w:val="17"/>
                  <w:szCs w:val="17"/>
                  <w:color w:val="0000EE"/>
                </w:rPr>
                <w:t xml:space="preserve"> to the Company’s Form 8-K filed with the SEC on October 21, 2021).</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gridSpan w:val="7"/>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9"/>
        </w:trPr>
        <w:tc>
          <w:tcPr>
            <w:tcW w:w="960" w:type="dxa"/>
            <w:vAlign w:val="bottom"/>
          </w:tcPr>
          <w:p>
            <w:pPr>
              <w:jc w:val="right"/>
              <w:ind w:right="415"/>
              <w:spacing w:after="0"/>
              <w:rPr>
                <w:sz w:val="20"/>
                <w:szCs w:val="20"/>
                <w:color w:val="auto"/>
              </w:rPr>
            </w:pPr>
            <w:r>
              <w:rPr>
                <w:rFonts w:ascii="Arial" w:cs="Arial" w:eastAsia="Arial" w:hAnsi="Arial"/>
                <w:sz w:val="17"/>
                <w:szCs w:val="17"/>
                <w:color w:val="auto"/>
              </w:rPr>
              <w:t>10.10</w:t>
            </w:r>
          </w:p>
        </w:tc>
        <w:tc>
          <w:tcPr>
            <w:tcW w:w="1000" w:type="dxa"/>
            <w:vAlign w:val="bottom"/>
          </w:tcPr>
          <w:p>
            <w:pPr>
              <w:spacing w:after="0"/>
              <w:rPr>
                <w:sz w:val="24"/>
                <w:szCs w:val="24"/>
                <w:color w:val="auto"/>
              </w:rPr>
            </w:pPr>
          </w:p>
        </w:tc>
        <w:tc>
          <w:tcPr>
            <w:tcW w:w="8540" w:type="dxa"/>
            <w:vAlign w:val="bottom"/>
            <w:gridSpan w:val="31"/>
          </w:tcPr>
          <w:p>
            <w:pPr>
              <w:spacing w:after="0"/>
              <w:rPr>
                <w:rFonts w:ascii="Arial" w:cs="Arial" w:eastAsia="Arial" w:hAnsi="Arial"/>
                <w:sz w:val="17"/>
                <w:szCs w:val="17"/>
                <w:color w:val="0000EE"/>
              </w:rPr>
            </w:pPr>
            <w:hyperlink r:id="rId402">
              <w:r>
                <w:rPr>
                  <w:rFonts w:ascii="Arial" w:cs="Arial" w:eastAsia="Arial" w:hAnsi="Arial"/>
                  <w:sz w:val="17"/>
                  <w:szCs w:val="17"/>
                  <w:color w:val="0000EE"/>
                </w:rPr>
                <w:t>Exchange Agreement, dated October 15, 2021, by and among the Company, Opco and the other parties thereto</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gridSpan w:val="7"/>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740" w:type="dxa"/>
            <w:vAlign w:val="bottom"/>
            <w:tcBorders>
              <w:bottom w:val="single" w:sz="8" w:color="0000EE"/>
            </w:tcBorders>
            <w:gridSpan w:val="14"/>
          </w:tcPr>
          <w:p>
            <w:pPr>
              <w:spacing w:after="0" w:line="186" w:lineRule="exact"/>
              <w:rPr>
                <w:rFonts w:ascii="Arial" w:cs="Arial" w:eastAsia="Arial" w:hAnsi="Arial"/>
                <w:sz w:val="17"/>
                <w:szCs w:val="17"/>
                <w:color w:val="0000EE"/>
                <w:w w:val="92"/>
              </w:rPr>
            </w:pPr>
            <w:hyperlink r:id="rId402">
              <w:r>
                <w:rPr>
                  <w:rFonts w:ascii="Arial" w:cs="Arial" w:eastAsia="Arial" w:hAnsi="Arial"/>
                  <w:sz w:val="17"/>
                  <w:szCs w:val="17"/>
                  <w:color w:val="0000EE"/>
                  <w:w w:val="92"/>
                </w:rPr>
                <w:t>(incorporated by reference to Exhibit 10.4 to the Company’s Form 8-K filed with the SEC on October 21, 2021).</w:t>
              </w:r>
            </w:hyperlink>
          </w:p>
        </w:tc>
        <w:tc>
          <w:tcPr>
            <w:tcW w:w="800" w:type="dxa"/>
            <w:vAlign w:val="bottom"/>
            <w:gridSpan w:val="17"/>
          </w:tcPr>
          <w:p>
            <w:pPr>
              <w:spacing w:after="0"/>
              <w:rPr>
                <w:sz w:val="16"/>
                <w:szCs w:val="16"/>
                <w:color w:val="auto"/>
              </w:rPr>
            </w:pPr>
          </w:p>
        </w:tc>
      </w:tr>
      <w:tr>
        <w:trPr>
          <w:trHeight w:val="289"/>
        </w:trPr>
        <w:tc>
          <w:tcPr>
            <w:tcW w:w="960" w:type="dxa"/>
            <w:vAlign w:val="bottom"/>
          </w:tcPr>
          <w:p>
            <w:pPr>
              <w:jc w:val="right"/>
              <w:ind w:right="415"/>
              <w:spacing w:after="0"/>
              <w:rPr>
                <w:sz w:val="20"/>
                <w:szCs w:val="20"/>
                <w:color w:val="auto"/>
              </w:rPr>
            </w:pPr>
            <w:r>
              <w:rPr>
                <w:rFonts w:ascii="Arial" w:cs="Arial" w:eastAsia="Arial" w:hAnsi="Arial"/>
                <w:sz w:val="17"/>
                <w:szCs w:val="17"/>
                <w:color w:val="auto"/>
              </w:rPr>
              <w:t>10.11</w:t>
            </w:r>
          </w:p>
        </w:tc>
        <w:tc>
          <w:tcPr>
            <w:tcW w:w="1000" w:type="dxa"/>
            <w:vAlign w:val="bottom"/>
          </w:tcPr>
          <w:p>
            <w:pPr>
              <w:spacing w:after="0"/>
              <w:rPr>
                <w:sz w:val="24"/>
                <w:szCs w:val="24"/>
                <w:color w:val="auto"/>
              </w:rPr>
            </w:pPr>
          </w:p>
        </w:tc>
        <w:tc>
          <w:tcPr>
            <w:tcW w:w="8540" w:type="dxa"/>
            <w:vAlign w:val="bottom"/>
            <w:gridSpan w:val="31"/>
          </w:tcPr>
          <w:p>
            <w:pPr>
              <w:spacing w:after="0"/>
              <w:rPr>
                <w:rFonts w:ascii="Arial" w:cs="Arial" w:eastAsia="Arial" w:hAnsi="Arial"/>
                <w:sz w:val="17"/>
                <w:szCs w:val="17"/>
                <w:color w:val="0000EE"/>
                <w:w w:val="90"/>
              </w:rPr>
            </w:pPr>
            <w:hyperlink r:id="rId403">
              <w:r>
                <w:rPr>
                  <w:rFonts w:ascii="Arial" w:cs="Arial" w:eastAsia="Arial" w:hAnsi="Arial"/>
                  <w:sz w:val="17"/>
                  <w:szCs w:val="17"/>
                  <w:color w:val="0000EE"/>
                  <w:w w:val="90"/>
                </w:rPr>
                <w:t>Tax Receivable Agreement, dated October 15, 2021, by and among the Company and the other parties thereto (incorporated</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00" w:type="dxa"/>
            <w:vAlign w:val="bottom"/>
            <w:tcBorders>
              <w:top w:val="single" w:sz="8" w:color="0000EE"/>
            </w:tcBorders>
            <w:gridSpan w:val="29"/>
          </w:tcPr>
          <w:p>
            <w:pPr>
              <w:spacing w:after="0" w:line="186" w:lineRule="exact"/>
              <w:rPr>
                <w:rFonts w:ascii="Arial" w:cs="Arial" w:eastAsia="Arial" w:hAnsi="Arial"/>
                <w:sz w:val="17"/>
                <w:szCs w:val="17"/>
                <w:color w:val="0000EE"/>
              </w:rPr>
            </w:pPr>
            <w:hyperlink r:id="rId403">
              <w:r>
                <w:rPr>
                  <w:rFonts w:ascii="Arial" w:cs="Arial" w:eastAsia="Arial" w:hAnsi="Arial"/>
                  <w:sz w:val="17"/>
                  <w:szCs w:val="17"/>
                  <w:color w:val="0000EE"/>
                </w:rPr>
                <w:t>by reference to Exhibit 10.5 to the Company’s Form 8-K filed with the SEC on October 21, 2021).</w:t>
              </w:r>
            </w:hyperlink>
          </w:p>
        </w:tc>
        <w:tc>
          <w:tcPr>
            <w:tcW w:w="40" w:type="dxa"/>
            <w:vAlign w:val="bottom"/>
            <w:gridSpan w:val="2"/>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gridSpan w:val="7"/>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289"/>
        </w:trPr>
        <w:tc>
          <w:tcPr>
            <w:tcW w:w="960" w:type="dxa"/>
            <w:vAlign w:val="bottom"/>
          </w:tcPr>
          <w:p>
            <w:pPr>
              <w:jc w:val="right"/>
              <w:ind w:right="415"/>
              <w:spacing w:after="0"/>
              <w:rPr>
                <w:sz w:val="20"/>
                <w:szCs w:val="20"/>
                <w:color w:val="auto"/>
              </w:rPr>
            </w:pPr>
            <w:r>
              <w:rPr>
                <w:rFonts w:ascii="Arial" w:cs="Arial" w:eastAsia="Arial" w:hAnsi="Arial"/>
                <w:sz w:val="17"/>
                <w:szCs w:val="17"/>
                <w:color w:val="auto"/>
              </w:rPr>
              <w:t>10.12</w:t>
            </w:r>
          </w:p>
        </w:tc>
        <w:tc>
          <w:tcPr>
            <w:tcW w:w="1000" w:type="dxa"/>
            <w:vAlign w:val="bottom"/>
          </w:tcPr>
          <w:p>
            <w:pPr>
              <w:spacing w:after="0"/>
              <w:rPr>
                <w:sz w:val="24"/>
                <w:szCs w:val="24"/>
                <w:color w:val="auto"/>
              </w:rPr>
            </w:pPr>
          </w:p>
        </w:tc>
        <w:tc>
          <w:tcPr>
            <w:tcW w:w="8540" w:type="dxa"/>
            <w:vAlign w:val="bottom"/>
            <w:gridSpan w:val="31"/>
          </w:tcPr>
          <w:p>
            <w:pPr>
              <w:spacing w:after="0"/>
              <w:rPr>
                <w:rFonts w:ascii="Arial" w:cs="Arial" w:eastAsia="Arial" w:hAnsi="Arial"/>
                <w:sz w:val="17"/>
                <w:szCs w:val="17"/>
                <w:color w:val="0000EE"/>
                <w:w w:val="94"/>
              </w:rPr>
            </w:pPr>
            <w:hyperlink r:id="rId404">
              <w:r>
                <w:rPr>
                  <w:rFonts w:ascii="Arial" w:cs="Arial" w:eastAsia="Arial" w:hAnsi="Arial"/>
                  <w:sz w:val="17"/>
                  <w:szCs w:val="17"/>
                  <w:color w:val="0000EE"/>
                  <w:w w:val="94"/>
                </w:rPr>
                <w:t>2021 Omnibus Incentive Plan and related form agreements (incorporated by reference to Exhibit 10.9 to the Company’s</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60" w:type="dxa"/>
            <w:vAlign w:val="bottom"/>
            <w:tcBorders>
              <w:top w:val="single" w:sz="8" w:color="0000EE"/>
              <w:bottom w:val="single" w:sz="8" w:color="0000EE"/>
            </w:tcBorders>
            <w:gridSpan w:val="7"/>
          </w:tcPr>
          <w:p>
            <w:pPr>
              <w:spacing w:after="0" w:line="186" w:lineRule="exact"/>
              <w:rPr>
                <w:rFonts w:ascii="Arial" w:cs="Arial" w:eastAsia="Arial" w:hAnsi="Arial"/>
                <w:sz w:val="17"/>
                <w:szCs w:val="17"/>
                <w:color w:val="0000EE"/>
                <w:w w:val="93"/>
              </w:rPr>
            </w:pPr>
            <w:hyperlink r:id="rId404">
              <w:r>
                <w:rPr>
                  <w:rFonts w:ascii="Arial" w:cs="Arial" w:eastAsia="Arial" w:hAnsi="Arial"/>
                  <w:sz w:val="17"/>
                  <w:szCs w:val="17"/>
                  <w:color w:val="0000EE"/>
                  <w:w w:val="93"/>
                </w:rPr>
                <w:t>Form 8-K filed with the SEC on October 21, 2021).</w:t>
              </w:r>
            </w:hyperlink>
          </w:p>
        </w:tc>
        <w:tc>
          <w:tcPr>
            <w:tcW w:w="4660" w:type="dxa"/>
            <w:vAlign w:val="bottom"/>
            <w:tcBorders>
              <w:top w:val="single" w:sz="8" w:color="0000EE"/>
            </w:tcBorders>
            <w:gridSpan w:val="14"/>
          </w:tcPr>
          <w:p>
            <w:pPr>
              <w:spacing w:after="0"/>
              <w:rPr>
                <w:sz w:val="16"/>
                <w:szCs w:val="16"/>
                <w:color w:val="auto"/>
              </w:rPr>
            </w:pPr>
          </w:p>
        </w:tc>
        <w:tc>
          <w:tcPr>
            <w:tcW w:w="320" w:type="dxa"/>
            <w:vAlign w:val="bottom"/>
            <w:gridSpan w:val="10"/>
          </w:tcPr>
          <w:p>
            <w:pPr>
              <w:spacing w:after="0"/>
              <w:rPr>
                <w:sz w:val="16"/>
                <w:szCs w:val="16"/>
                <w:color w:val="auto"/>
              </w:rPr>
            </w:pPr>
          </w:p>
        </w:tc>
      </w:tr>
    </w:tbl>
    <w:p>
      <w:pPr>
        <w:spacing w:after="0" w:line="15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880"/>
          </w:cols>
          <w:pgMar w:left="320" w:top="471" w:right="699" w:bottom="1440" w:gutter="0" w:footer="0" w:header="0"/>
        </w:sectPr>
      </w:pPr>
    </w:p>
    <w:bookmarkStart w:id="328" w:name="page329"/>
    <w:bookmarkEnd w:id="3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Number</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40" w:type="dxa"/>
            <w:vAlign w:val="bottom"/>
            <w:gridSpan w:val="21"/>
          </w:tcPr>
          <w:p>
            <w:pPr>
              <w:ind w:left="15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6"/>
        </w:trPr>
        <w:tc>
          <w:tcPr>
            <w:tcW w:w="960" w:type="dxa"/>
            <w:vAlign w:val="bottom"/>
          </w:tcPr>
          <w:p>
            <w:pPr>
              <w:ind w:left="80"/>
              <w:spacing w:after="0"/>
              <w:rPr>
                <w:sz w:val="20"/>
                <w:szCs w:val="20"/>
                <w:color w:val="auto"/>
              </w:rPr>
            </w:pPr>
            <w:r>
              <w:rPr>
                <w:rFonts w:ascii="Arial" w:cs="Arial" w:eastAsia="Arial" w:hAnsi="Arial"/>
                <w:sz w:val="17"/>
                <w:szCs w:val="17"/>
                <w:color w:val="auto"/>
              </w:rPr>
              <w:t>10.13</w:t>
            </w:r>
          </w:p>
        </w:tc>
        <w:tc>
          <w:tcPr>
            <w:tcW w:w="820" w:type="dxa"/>
            <w:vAlign w:val="bottom"/>
          </w:tcPr>
          <w:p>
            <w:pPr>
              <w:spacing w:after="0"/>
              <w:rPr>
                <w:sz w:val="20"/>
                <w:szCs w:val="20"/>
                <w:color w:val="auto"/>
              </w:rPr>
            </w:pPr>
          </w:p>
        </w:tc>
        <w:tc>
          <w:tcPr>
            <w:tcW w:w="8720" w:type="dxa"/>
            <w:vAlign w:val="bottom"/>
            <w:gridSpan w:val="24"/>
          </w:tcPr>
          <w:p>
            <w:pPr>
              <w:spacing w:after="0"/>
              <w:rPr>
                <w:rFonts w:ascii="Arial" w:cs="Arial" w:eastAsia="Arial" w:hAnsi="Arial"/>
                <w:sz w:val="17"/>
                <w:szCs w:val="17"/>
                <w:color w:val="0000EE"/>
              </w:rPr>
            </w:pPr>
            <w:hyperlink r:id="rId406">
              <w:r>
                <w:rPr>
                  <w:rFonts w:ascii="Arial" w:cs="Arial" w:eastAsia="Arial" w:hAnsi="Arial"/>
                  <w:sz w:val="17"/>
                  <w:szCs w:val="17"/>
                  <w:color w:val="0000EE"/>
                </w:rPr>
                <w:t>Form of Director and Executive Officer Indemnification Agreement (incorporated by reference to Exhibit 10.7 to the</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38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color w:val="0000EE"/>
                <w:w w:val="92"/>
              </w:rPr>
            </w:pPr>
            <w:hyperlink r:id="rId406">
              <w:r>
                <w:rPr>
                  <w:rFonts w:ascii="Arial" w:cs="Arial" w:eastAsia="Arial" w:hAnsi="Arial"/>
                  <w:sz w:val="17"/>
                  <w:szCs w:val="17"/>
                  <w:color w:val="0000EE"/>
                  <w:w w:val="92"/>
                </w:rPr>
                <w:t>Company’s Form 8-K filed with the SEC on October 21, 2021).</w:t>
              </w:r>
            </w:hyperlink>
          </w:p>
        </w:tc>
        <w:tc>
          <w:tcPr>
            <w:tcW w:w="3640" w:type="dxa"/>
            <w:vAlign w:val="bottom"/>
            <w:tcBorders>
              <w:top w:val="single" w:sz="8" w:color="0000EE"/>
            </w:tcBorders>
            <w:gridSpan w:val="8"/>
          </w:tcPr>
          <w:p>
            <w:pPr>
              <w:spacing w:after="0"/>
              <w:rPr>
                <w:sz w:val="16"/>
                <w:szCs w:val="16"/>
                <w:color w:val="auto"/>
              </w:rPr>
            </w:pPr>
          </w:p>
        </w:tc>
        <w:tc>
          <w:tcPr>
            <w:tcW w:w="700" w:type="dxa"/>
            <w:vAlign w:val="bottom"/>
            <w:gridSpan w:val="12"/>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10.14†</w:t>
            </w:r>
          </w:p>
        </w:tc>
        <w:tc>
          <w:tcPr>
            <w:tcW w:w="820" w:type="dxa"/>
            <w:vAlign w:val="bottom"/>
          </w:tcPr>
          <w:p>
            <w:pPr>
              <w:spacing w:after="0"/>
              <w:rPr>
                <w:sz w:val="24"/>
                <w:szCs w:val="24"/>
                <w:color w:val="auto"/>
              </w:rPr>
            </w:pPr>
          </w:p>
        </w:tc>
        <w:tc>
          <w:tcPr>
            <w:tcW w:w="8600" w:type="dxa"/>
            <w:vAlign w:val="bottom"/>
            <w:tcBorders>
              <w:bottom w:val="single" w:sz="8" w:color="0000EE"/>
            </w:tcBorders>
            <w:gridSpan w:val="19"/>
          </w:tcPr>
          <w:p>
            <w:pPr>
              <w:spacing w:after="0"/>
              <w:rPr>
                <w:rFonts w:ascii="Arial" w:cs="Arial" w:eastAsia="Arial" w:hAnsi="Arial"/>
                <w:sz w:val="17"/>
                <w:szCs w:val="17"/>
                <w:color w:val="0000EE"/>
                <w:w w:val="90"/>
              </w:rPr>
            </w:pPr>
            <w:hyperlink r:id="rId407">
              <w:r>
                <w:rPr>
                  <w:rFonts w:ascii="Arial" w:cs="Arial" w:eastAsia="Arial" w:hAnsi="Arial"/>
                  <w:sz w:val="17"/>
                  <w:szCs w:val="17"/>
                  <w:color w:val="0000EE"/>
                  <w:w w:val="90"/>
                </w:rPr>
                <w:t>Transition Services Agreement, dated as of November 10, 2021, by and between Opco and ICE (incorporated by reference to</w:t>
              </w:r>
            </w:hyperlink>
          </w:p>
        </w:tc>
        <w:tc>
          <w:tcPr>
            <w:tcW w:w="120" w:type="dxa"/>
            <w:vAlign w:val="bottom"/>
            <w:gridSpan w:val="5"/>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0" w:type="dxa"/>
            <w:vAlign w:val="bottom"/>
            <w:tcBorders>
              <w:bottom w:val="single" w:sz="8" w:color="0000EE"/>
            </w:tcBorders>
            <w:gridSpan w:val="5"/>
          </w:tcPr>
          <w:p>
            <w:pPr>
              <w:spacing w:after="0" w:line="186" w:lineRule="exact"/>
              <w:rPr>
                <w:rFonts w:ascii="Arial" w:cs="Arial" w:eastAsia="Arial" w:hAnsi="Arial"/>
                <w:sz w:val="17"/>
                <w:szCs w:val="17"/>
                <w:color w:val="0000EE"/>
                <w:w w:val="92"/>
              </w:rPr>
            </w:pPr>
            <w:hyperlink r:id="rId407">
              <w:r>
                <w:rPr>
                  <w:rFonts w:ascii="Arial" w:cs="Arial" w:eastAsia="Arial" w:hAnsi="Arial"/>
                  <w:sz w:val="17"/>
                  <w:szCs w:val="17"/>
                  <w:color w:val="0000EE"/>
                  <w:w w:val="92"/>
                </w:rPr>
                <w:t>the Company’s Form 8-K filed with the SEC on November 12, 2021).</w:t>
              </w:r>
            </w:hyperlink>
          </w:p>
        </w:tc>
        <w:tc>
          <w:tcPr>
            <w:tcW w:w="3920" w:type="dxa"/>
            <w:vAlign w:val="bottom"/>
            <w:gridSpan w:val="19"/>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10.15</w:t>
            </w:r>
          </w:p>
        </w:tc>
        <w:tc>
          <w:tcPr>
            <w:tcW w:w="820" w:type="dxa"/>
            <w:vAlign w:val="bottom"/>
          </w:tcPr>
          <w:p>
            <w:pPr>
              <w:spacing w:after="0"/>
              <w:rPr>
                <w:sz w:val="24"/>
                <w:szCs w:val="24"/>
                <w:color w:val="auto"/>
              </w:rPr>
            </w:pPr>
          </w:p>
        </w:tc>
        <w:tc>
          <w:tcPr>
            <w:tcW w:w="8720" w:type="dxa"/>
            <w:vAlign w:val="bottom"/>
            <w:gridSpan w:val="24"/>
          </w:tcPr>
          <w:p>
            <w:pPr>
              <w:spacing w:after="0"/>
              <w:rPr>
                <w:rFonts w:ascii="Arial" w:cs="Arial" w:eastAsia="Arial" w:hAnsi="Arial"/>
                <w:sz w:val="17"/>
                <w:szCs w:val="17"/>
                <w:color w:val="0000EE"/>
                <w:w w:val="95"/>
              </w:rPr>
            </w:pPr>
            <w:hyperlink r:id="rId408">
              <w:r>
                <w:rPr>
                  <w:rFonts w:ascii="Arial" w:cs="Arial" w:eastAsia="Arial" w:hAnsi="Arial"/>
                  <w:sz w:val="17"/>
                  <w:szCs w:val="17"/>
                  <w:color w:val="0000EE"/>
                  <w:w w:val="95"/>
                </w:rPr>
                <w:t>Employment Agreement, dated January 9, 2021, by and among Gavin Michael, Opco, and the Company (incorporated by</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60" w:type="dxa"/>
            <w:vAlign w:val="bottom"/>
            <w:tcBorders>
              <w:top w:val="single" w:sz="8" w:color="0000EE"/>
              <w:bottom w:val="single" w:sz="8" w:color="0000EE"/>
            </w:tcBorders>
            <w:gridSpan w:val="9"/>
          </w:tcPr>
          <w:p>
            <w:pPr>
              <w:spacing w:after="0" w:line="186" w:lineRule="exact"/>
              <w:rPr>
                <w:rFonts w:ascii="Arial" w:cs="Arial" w:eastAsia="Arial" w:hAnsi="Arial"/>
                <w:sz w:val="17"/>
                <w:szCs w:val="17"/>
                <w:color w:val="0000EE"/>
                <w:w w:val="92"/>
              </w:rPr>
            </w:pPr>
            <w:hyperlink r:id="rId408">
              <w:r>
                <w:rPr>
                  <w:rFonts w:ascii="Arial" w:cs="Arial" w:eastAsia="Arial" w:hAnsi="Arial"/>
                  <w:sz w:val="17"/>
                  <w:szCs w:val="17"/>
                  <w:color w:val="0000EE"/>
                  <w:w w:val="92"/>
                </w:rPr>
                <w:t>reference to Exhibit 10.12 to the Company’s Form 8-K filed with the SEC on October 21, 2021).</w:t>
              </w:r>
            </w:hyperlink>
          </w:p>
        </w:tc>
        <w:tc>
          <w:tcPr>
            <w:tcW w:w="1680" w:type="dxa"/>
            <w:vAlign w:val="bottom"/>
            <w:tcBorders>
              <w:top w:val="single" w:sz="8" w:color="0000EE"/>
            </w:tcBorders>
            <w:gridSpan w:val="5"/>
          </w:tcPr>
          <w:p>
            <w:pPr>
              <w:spacing w:after="0"/>
              <w:rPr>
                <w:sz w:val="16"/>
                <w:szCs w:val="16"/>
                <w:color w:val="auto"/>
              </w:rPr>
            </w:pPr>
          </w:p>
        </w:tc>
        <w:tc>
          <w:tcPr>
            <w:tcW w:w="380" w:type="dxa"/>
            <w:vAlign w:val="bottom"/>
            <w:gridSpan w:val="10"/>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10.16</w:t>
            </w:r>
          </w:p>
        </w:tc>
        <w:tc>
          <w:tcPr>
            <w:tcW w:w="820" w:type="dxa"/>
            <w:vAlign w:val="bottom"/>
          </w:tcPr>
          <w:p>
            <w:pPr>
              <w:spacing w:after="0"/>
              <w:rPr>
                <w:sz w:val="24"/>
                <w:szCs w:val="24"/>
                <w:color w:val="auto"/>
              </w:rPr>
            </w:pPr>
          </w:p>
        </w:tc>
        <w:tc>
          <w:tcPr>
            <w:tcW w:w="8540" w:type="dxa"/>
            <w:vAlign w:val="bottom"/>
            <w:tcBorders>
              <w:bottom w:val="single" w:sz="8" w:color="0000EE"/>
            </w:tcBorders>
            <w:gridSpan w:val="16"/>
          </w:tcPr>
          <w:p>
            <w:pPr>
              <w:spacing w:after="0"/>
              <w:rPr>
                <w:rFonts w:ascii="Arial" w:cs="Arial" w:eastAsia="Arial" w:hAnsi="Arial"/>
                <w:sz w:val="17"/>
                <w:szCs w:val="17"/>
                <w:color w:val="0000EE"/>
                <w:w w:val="91"/>
              </w:rPr>
            </w:pPr>
            <w:hyperlink r:id="rId409">
              <w:r>
                <w:rPr>
                  <w:rFonts w:ascii="Arial" w:cs="Arial" w:eastAsia="Arial" w:hAnsi="Arial"/>
                  <w:sz w:val="17"/>
                  <w:szCs w:val="17"/>
                  <w:color w:val="0000EE"/>
                  <w:w w:val="91"/>
                </w:rPr>
                <w:t>Employment Agreement, dated March 16, 2021, by and among Andrew LaBenne, Opco, and the Company (incorporated by</w:t>
              </w:r>
            </w:hyperlink>
          </w:p>
        </w:tc>
        <w:tc>
          <w:tcPr>
            <w:tcW w:w="180" w:type="dxa"/>
            <w:vAlign w:val="bottom"/>
            <w:gridSpan w:val="8"/>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40" w:type="dxa"/>
            <w:vAlign w:val="bottom"/>
            <w:tcBorders>
              <w:bottom w:val="single" w:sz="8" w:color="0000EE"/>
            </w:tcBorders>
            <w:gridSpan w:val="8"/>
          </w:tcPr>
          <w:p>
            <w:pPr>
              <w:spacing w:after="0" w:line="186" w:lineRule="exact"/>
              <w:rPr>
                <w:rFonts w:ascii="Arial" w:cs="Arial" w:eastAsia="Arial" w:hAnsi="Arial"/>
                <w:sz w:val="17"/>
                <w:szCs w:val="17"/>
                <w:color w:val="0000EE"/>
                <w:w w:val="92"/>
              </w:rPr>
            </w:pPr>
            <w:hyperlink r:id="rId409">
              <w:r>
                <w:rPr>
                  <w:rFonts w:ascii="Arial" w:cs="Arial" w:eastAsia="Arial" w:hAnsi="Arial"/>
                  <w:sz w:val="17"/>
                  <w:szCs w:val="17"/>
                  <w:color w:val="0000EE"/>
                  <w:w w:val="92"/>
                </w:rPr>
                <w:t>reference to Exhibit 10.13 to the Company’s Form 8-K filed with the SEC on October 21, 2021).</w:t>
              </w:r>
            </w:hyperlink>
          </w:p>
        </w:tc>
        <w:tc>
          <w:tcPr>
            <w:tcW w:w="2080" w:type="dxa"/>
            <w:vAlign w:val="bottom"/>
            <w:gridSpan w:val="16"/>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10.17</w:t>
            </w:r>
          </w:p>
        </w:tc>
        <w:tc>
          <w:tcPr>
            <w:tcW w:w="820" w:type="dxa"/>
            <w:vAlign w:val="bottom"/>
          </w:tcPr>
          <w:p>
            <w:pPr>
              <w:spacing w:after="0"/>
              <w:rPr>
                <w:sz w:val="24"/>
                <w:szCs w:val="24"/>
                <w:color w:val="auto"/>
              </w:rPr>
            </w:pPr>
          </w:p>
        </w:tc>
        <w:tc>
          <w:tcPr>
            <w:tcW w:w="8580" w:type="dxa"/>
            <w:vAlign w:val="bottom"/>
            <w:tcBorders>
              <w:bottom w:val="single" w:sz="8" w:color="0000EE"/>
            </w:tcBorders>
            <w:gridSpan w:val="18"/>
          </w:tcPr>
          <w:p>
            <w:pPr>
              <w:spacing w:after="0"/>
              <w:rPr>
                <w:rFonts w:ascii="Arial" w:cs="Arial" w:eastAsia="Arial" w:hAnsi="Arial"/>
                <w:sz w:val="17"/>
                <w:szCs w:val="17"/>
                <w:color w:val="0000EE"/>
                <w:w w:val="91"/>
              </w:rPr>
            </w:pPr>
            <w:hyperlink r:id="rId410">
              <w:r>
                <w:rPr>
                  <w:rFonts w:ascii="Arial" w:cs="Arial" w:eastAsia="Arial" w:hAnsi="Arial"/>
                  <w:sz w:val="17"/>
                  <w:szCs w:val="17"/>
                  <w:color w:val="0000EE"/>
                  <w:w w:val="91"/>
                </w:rPr>
                <w:t>Letter Regarding Employment Proposal, dated October 3, 2018, by and among Adam White and Bakkt, LLC, a subsidiary of</w:t>
              </w:r>
            </w:hyperlink>
          </w:p>
        </w:tc>
        <w:tc>
          <w:tcPr>
            <w:tcW w:w="140" w:type="dxa"/>
            <w:vAlign w:val="bottom"/>
            <w:gridSpan w:val="6"/>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tcBorders>
              <w:bottom w:val="single" w:sz="8" w:color="0000EE"/>
            </w:tcBorders>
            <w:gridSpan w:val="23"/>
          </w:tcPr>
          <w:p>
            <w:pPr>
              <w:spacing w:after="0" w:line="186" w:lineRule="exact"/>
              <w:rPr>
                <w:rFonts w:ascii="Arial" w:cs="Arial" w:eastAsia="Arial" w:hAnsi="Arial"/>
                <w:sz w:val="17"/>
                <w:szCs w:val="17"/>
                <w:color w:val="0000EE"/>
                <w:w w:val="92"/>
              </w:rPr>
            </w:pPr>
            <w:hyperlink r:id="rId410">
              <w:r>
                <w:rPr>
                  <w:rFonts w:ascii="Arial" w:cs="Arial" w:eastAsia="Arial" w:hAnsi="Arial"/>
                  <w:sz w:val="17"/>
                  <w:szCs w:val="17"/>
                  <w:color w:val="0000EE"/>
                  <w:w w:val="92"/>
                </w:rPr>
                <w:t>Intercontinental Exchange, Inc. (incorporated by reference to Exhibit 10.15 to the Company’s Form 8-K filed with the SEC on</w:t>
              </w:r>
            </w:hyperlink>
          </w:p>
        </w:tc>
        <w:tc>
          <w:tcPr>
            <w:tcW w:w="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Borders>
              <w:bottom w:val="single" w:sz="8" w:color="0000EE"/>
            </w:tcBorders>
          </w:tcPr>
          <w:p>
            <w:pPr>
              <w:spacing w:after="0" w:line="186" w:lineRule="exact"/>
              <w:rPr>
                <w:rFonts w:ascii="Arial" w:cs="Arial" w:eastAsia="Arial" w:hAnsi="Arial"/>
                <w:sz w:val="17"/>
                <w:szCs w:val="17"/>
                <w:color w:val="0000EE"/>
                <w:w w:val="90"/>
              </w:rPr>
            </w:pPr>
            <w:hyperlink r:id="rId410">
              <w:r>
                <w:rPr>
                  <w:rFonts w:ascii="Arial" w:cs="Arial" w:eastAsia="Arial" w:hAnsi="Arial"/>
                  <w:sz w:val="17"/>
                  <w:szCs w:val="17"/>
                  <w:color w:val="0000EE"/>
                  <w:w w:val="90"/>
                </w:rPr>
                <w:t>October 21, 2021).</w:t>
              </w:r>
            </w:hyperlink>
          </w:p>
        </w:tc>
        <w:tc>
          <w:tcPr>
            <w:tcW w:w="7420" w:type="dxa"/>
            <w:vAlign w:val="bottom"/>
            <w:gridSpan w:val="23"/>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10.18</w:t>
            </w:r>
          </w:p>
        </w:tc>
        <w:tc>
          <w:tcPr>
            <w:tcW w:w="820" w:type="dxa"/>
            <w:vAlign w:val="bottom"/>
          </w:tcPr>
          <w:p>
            <w:pPr>
              <w:spacing w:after="0"/>
              <w:rPr>
                <w:sz w:val="24"/>
                <w:szCs w:val="24"/>
                <w:color w:val="auto"/>
              </w:rPr>
            </w:pPr>
          </w:p>
        </w:tc>
        <w:tc>
          <w:tcPr>
            <w:tcW w:w="8720" w:type="dxa"/>
            <w:vAlign w:val="bottom"/>
            <w:tcBorders>
              <w:bottom w:val="single" w:sz="8" w:color="0000EE"/>
            </w:tcBorders>
            <w:gridSpan w:val="24"/>
          </w:tcPr>
          <w:p>
            <w:pPr>
              <w:spacing w:after="0"/>
              <w:rPr>
                <w:rFonts w:ascii="Arial" w:cs="Arial" w:eastAsia="Arial" w:hAnsi="Arial"/>
                <w:sz w:val="17"/>
                <w:szCs w:val="17"/>
                <w:color w:val="0000EE"/>
                <w:w w:val="92"/>
              </w:rPr>
            </w:pPr>
            <w:hyperlink r:id="rId411">
              <w:r>
                <w:rPr>
                  <w:rFonts w:ascii="Arial" w:cs="Arial" w:eastAsia="Arial" w:hAnsi="Arial"/>
                  <w:sz w:val="17"/>
                  <w:szCs w:val="17"/>
                  <w:color w:val="0000EE"/>
                  <w:w w:val="92"/>
                </w:rPr>
                <w:t>Letter Regarding Employment Proposal, dated March 19, 2019, by and among Mike Blandina and Bakkt, LLC, a subsidiary of</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tcBorders>
              <w:bottom w:val="single" w:sz="8" w:color="0000EE"/>
            </w:tcBorders>
            <w:gridSpan w:val="23"/>
          </w:tcPr>
          <w:p>
            <w:pPr>
              <w:spacing w:after="0" w:line="186" w:lineRule="exact"/>
              <w:rPr>
                <w:rFonts w:ascii="Arial" w:cs="Arial" w:eastAsia="Arial" w:hAnsi="Arial"/>
                <w:sz w:val="17"/>
                <w:szCs w:val="17"/>
                <w:color w:val="0000EE"/>
                <w:w w:val="92"/>
              </w:rPr>
            </w:pPr>
            <w:hyperlink r:id="rId411">
              <w:r>
                <w:rPr>
                  <w:rFonts w:ascii="Arial" w:cs="Arial" w:eastAsia="Arial" w:hAnsi="Arial"/>
                  <w:sz w:val="17"/>
                  <w:szCs w:val="17"/>
                  <w:color w:val="0000EE"/>
                  <w:w w:val="92"/>
                </w:rPr>
                <w:t>Intercontinental Exchange, Inc. (incorporated by reference to Exhibit 10.14 to the Company’s Form 8-K filed with the SEC on</w:t>
              </w:r>
            </w:hyperlink>
          </w:p>
        </w:tc>
        <w:tc>
          <w:tcPr>
            <w:tcW w:w="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Borders>
              <w:bottom w:val="single" w:sz="8" w:color="0000EE"/>
            </w:tcBorders>
          </w:tcPr>
          <w:p>
            <w:pPr>
              <w:spacing w:after="0" w:line="186" w:lineRule="exact"/>
              <w:rPr>
                <w:rFonts w:ascii="Arial" w:cs="Arial" w:eastAsia="Arial" w:hAnsi="Arial"/>
                <w:sz w:val="17"/>
                <w:szCs w:val="17"/>
                <w:color w:val="0000EE"/>
                <w:w w:val="90"/>
              </w:rPr>
            </w:pPr>
            <w:hyperlink r:id="rId411">
              <w:r>
                <w:rPr>
                  <w:rFonts w:ascii="Arial" w:cs="Arial" w:eastAsia="Arial" w:hAnsi="Arial"/>
                  <w:sz w:val="17"/>
                  <w:szCs w:val="17"/>
                  <w:color w:val="0000EE"/>
                  <w:w w:val="90"/>
                </w:rPr>
                <w:t>October 21, 2021).</w:t>
              </w:r>
            </w:hyperlink>
          </w:p>
        </w:tc>
        <w:tc>
          <w:tcPr>
            <w:tcW w:w="7420" w:type="dxa"/>
            <w:vAlign w:val="bottom"/>
            <w:gridSpan w:val="23"/>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10.19</w:t>
            </w:r>
          </w:p>
        </w:tc>
        <w:tc>
          <w:tcPr>
            <w:tcW w:w="820" w:type="dxa"/>
            <w:vAlign w:val="bottom"/>
          </w:tcPr>
          <w:p>
            <w:pPr>
              <w:spacing w:after="0"/>
              <w:rPr>
                <w:sz w:val="24"/>
                <w:szCs w:val="24"/>
                <w:color w:val="auto"/>
              </w:rPr>
            </w:pPr>
          </w:p>
        </w:tc>
        <w:tc>
          <w:tcPr>
            <w:tcW w:w="8720" w:type="dxa"/>
            <w:vAlign w:val="bottom"/>
            <w:gridSpan w:val="24"/>
          </w:tcPr>
          <w:p>
            <w:pPr>
              <w:spacing w:after="0"/>
              <w:rPr>
                <w:rFonts w:ascii="Arial" w:cs="Arial" w:eastAsia="Arial" w:hAnsi="Arial"/>
                <w:sz w:val="17"/>
                <w:szCs w:val="17"/>
                <w:color w:val="0000EE"/>
                <w:w w:val="92"/>
              </w:rPr>
            </w:pPr>
            <w:hyperlink r:id="rId412">
              <w:r>
                <w:rPr>
                  <w:rFonts w:ascii="Arial" w:cs="Arial" w:eastAsia="Arial" w:hAnsi="Arial"/>
                  <w:sz w:val="17"/>
                  <w:szCs w:val="17"/>
                  <w:color w:val="0000EE"/>
                  <w:w w:val="92"/>
                </w:rPr>
                <w:t>Letter Regarding Employment Proposal, dated April 12, 2019, by and among Matthew Johnson and Bakkt, LLC, a subsidiary</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20" w:type="dxa"/>
            <w:vAlign w:val="bottom"/>
            <w:gridSpan w:val="24"/>
          </w:tcPr>
          <w:p>
            <w:pPr>
              <w:spacing w:after="0" w:line="186" w:lineRule="exact"/>
              <w:rPr>
                <w:rFonts w:ascii="Arial" w:cs="Arial" w:eastAsia="Arial" w:hAnsi="Arial"/>
                <w:sz w:val="17"/>
                <w:szCs w:val="17"/>
                <w:color w:val="0000EE"/>
                <w:w w:val="93"/>
              </w:rPr>
            </w:pPr>
            <w:hyperlink r:id="rId412">
              <w:r>
                <w:rPr>
                  <w:rFonts w:ascii="Arial" w:cs="Arial" w:eastAsia="Arial" w:hAnsi="Arial"/>
                  <w:sz w:val="17"/>
                  <w:szCs w:val="17"/>
                  <w:color w:val="0000EE"/>
                  <w:w w:val="93"/>
                </w:rPr>
                <w:t>of Intercontinental Exchange, Inc. (incorporated by reference to Exhibit 10.18 to the Company’s Form 8-K filed with the SEC</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90"/>
              </w:rPr>
            </w:pPr>
            <w:hyperlink r:id="rId412">
              <w:r>
                <w:rPr>
                  <w:rFonts w:ascii="Arial" w:cs="Arial" w:eastAsia="Arial" w:hAnsi="Arial"/>
                  <w:sz w:val="17"/>
                  <w:szCs w:val="17"/>
                  <w:color w:val="0000EE"/>
                  <w:w w:val="90"/>
                </w:rPr>
                <w:t>on October 21, 2021).</w:t>
              </w:r>
            </w:hyperlink>
          </w:p>
        </w:tc>
        <w:tc>
          <w:tcPr>
            <w:tcW w:w="7120" w:type="dxa"/>
            <w:vAlign w:val="bottom"/>
            <w:tcBorders>
              <w:top w:val="single" w:sz="8" w:color="0000EE"/>
            </w:tcBorders>
            <w:gridSpan w:val="19"/>
          </w:tcPr>
          <w:p>
            <w:pPr>
              <w:spacing w:after="0"/>
              <w:rPr>
                <w:sz w:val="16"/>
                <w:szCs w:val="16"/>
                <w:color w:val="auto"/>
              </w:rPr>
            </w:pPr>
          </w:p>
        </w:tc>
        <w:tc>
          <w:tcPr>
            <w:tcW w:w="80" w:type="dxa"/>
            <w:vAlign w:val="bottom"/>
            <w:gridSpan w:val="3"/>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10.20</w:t>
            </w:r>
          </w:p>
        </w:tc>
        <w:tc>
          <w:tcPr>
            <w:tcW w:w="820" w:type="dxa"/>
            <w:vAlign w:val="bottom"/>
          </w:tcPr>
          <w:p>
            <w:pPr>
              <w:spacing w:after="0"/>
              <w:rPr>
                <w:sz w:val="24"/>
                <w:szCs w:val="24"/>
                <w:color w:val="auto"/>
              </w:rPr>
            </w:pPr>
          </w:p>
        </w:tc>
        <w:tc>
          <w:tcPr>
            <w:tcW w:w="8720" w:type="dxa"/>
            <w:vAlign w:val="bottom"/>
            <w:gridSpan w:val="24"/>
          </w:tcPr>
          <w:p>
            <w:pPr>
              <w:spacing w:after="0"/>
              <w:rPr>
                <w:rFonts w:ascii="Arial" w:cs="Arial" w:eastAsia="Arial" w:hAnsi="Arial"/>
                <w:sz w:val="17"/>
                <w:szCs w:val="17"/>
                <w:color w:val="0000EE"/>
                <w:w w:val="92"/>
              </w:rPr>
            </w:pPr>
            <w:hyperlink r:id="rId398">
              <w:r>
                <w:rPr>
                  <w:rFonts w:ascii="Arial" w:cs="Arial" w:eastAsia="Arial" w:hAnsi="Arial"/>
                  <w:sz w:val="17"/>
                  <w:szCs w:val="17"/>
                  <w:color w:val="0000EE"/>
                  <w:w w:val="92"/>
                </w:rPr>
                <w:t>Letter Regarding Employment Proposal, dated June 3, 2019, by and among Nicolas Cabrera and Bakkt, LLC, a subsidiary of</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20" w:type="dxa"/>
            <w:vAlign w:val="bottom"/>
            <w:gridSpan w:val="24"/>
          </w:tcPr>
          <w:p>
            <w:pPr>
              <w:spacing w:after="0" w:line="186" w:lineRule="exact"/>
              <w:rPr>
                <w:rFonts w:ascii="Arial" w:cs="Arial" w:eastAsia="Arial" w:hAnsi="Arial"/>
                <w:sz w:val="17"/>
                <w:szCs w:val="17"/>
                <w:color w:val="0000EE"/>
                <w:w w:val="94"/>
              </w:rPr>
            </w:pPr>
            <w:hyperlink r:id="rId398">
              <w:r>
                <w:rPr>
                  <w:rFonts w:ascii="Arial" w:cs="Arial" w:eastAsia="Arial" w:hAnsi="Arial"/>
                  <w:sz w:val="17"/>
                  <w:szCs w:val="17"/>
                  <w:color w:val="0000EE"/>
                  <w:w w:val="94"/>
                </w:rPr>
                <w:t>Intercontinental Exchange, Inc. (incorporated by reference to Exhibit 10.6 to the Company’s Form 8-K filed with the SEC on</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Borders>
              <w:top w:val="single" w:sz="8" w:color="0000EE"/>
              <w:bottom w:val="single" w:sz="8" w:color="0000EE"/>
            </w:tcBorders>
          </w:tcPr>
          <w:p>
            <w:pPr>
              <w:spacing w:after="0" w:line="186" w:lineRule="exact"/>
              <w:rPr>
                <w:rFonts w:ascii="Arial" w:cs="Arial" w:eastAsia="Arial" w:hAnsi="Arial"/>
                <w:sz w:val="17"/>
                <w:szCs w:val="17"/>
                <w:color w:val="0000EE"/>
                <w:w w:val="90"/>
              </w:rPr>
            </w:pPr>
            <w:hyperlink r:id="rId398">
              <w:r>
                <w:rPr>
                  <w:rFonts w:ascii="Arial" w:cs="Arial" w:eastAsia="Arial" w:hAnsi="Arial"/>
                  <w:sz w:val="17"/>
                  <w:szCs w:val="17"/>
                  <w:color w:val="0000EE"/>
                  <w:w w:val="90"/>
                </w:rPr>
                <w:t>October 21, 2021).</w:t>
              </w:r>
            </w:hyperlink>
          </w:p>
        </w:tc>
        <w:tc>
          <w:tcPr>
            <w:tcW w:w="7280" w:type="dxa"/>
            <w:vAlign w:val="bottom"/>
            <w:tcBorders>
              <w:top w:val="single" w:sz="8" w:color="0000EE"/>
            </w:tcBorders>
            <w:gridSpan w:val="17"/>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10.21</w:t>
            </w:r>
          </w:p>
        </w:tc>
        <w:tc>
          <w:tcPr>
            <w:tcW w:w="820" w:type="dxa"/>
            <w:vAlign w:val="bottom"/>
          </w:tcPr>
          <w:p>
            <w:pPr>
              <w:spacing w:after="0"/>
              <w:rPr>
                <w:sz w:val="24"/>
                <w:szCs w:val="24"/>
                <w:color w:val="auto"/>
              </w:rPr>
            </w:pPr>
          </w:p>
        </w:tc>
        <w:tc>
          <w:tcPr>
            <w:tcW w:w="8720" w:type="dxa"/>
            <w:vAlign w:val="bottom"/>
            <w:gridSpan w:val="24"/>
          </w:tcPr>
          <w:p>
            <w:pPr>
              <w:spacing w:after="0"/>
              <w:rPr>
                <w:rFonts w:ascii="Arial" w:cs="Arial" w:eastAsia="Arial" w:hAnsi="Arial"/>
                <w:sz w:val="17"/>
                <w:szCs w:val="17"/>
                <w:color w:val="0000EE"/>
                <w:w w:val="99"/>
              </w:rPr>
            </w:pPr>
            <w:hyperlink r:id="rId413">
              <w:r>
                <w:rPr>
                  <w:rFonts w:ascii="Arial" w:cs="Arial" w:eastAsia="Arial" w:hAnsi="Arial"/>
                  <w:sz w:val="17"/>
                  <w:szCs w:val="17"/>
                  <w:color w:val="0000EE"/>
                  <w:w w:val="99"/>
                </w:rPr>
                <w:t>Letter Regarding Modification of Offer Letter, dated July 27, 2020, by and among Nicolas Cabrera and Bakkt, LLC, a</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40" w:type="dxa"/>
            <w:vAlign w:val="bottom"/>
            <w:tcBorders>
              <w:bottom w:val="single" w:sz="8" w:color="0000EE"/>
            </w:tcBorders>
            <w:gridSpan w:val="15"/>
          </w:tcPr>
          <w:p>
            <w:pPr>
              <w:spacing w:after="0" w:line="186" w:lineRule="exact"/>
              <w:rPr>
                <w:rFonts w:ascii="Arial" w:cs="Arial" w:eastAsia="Arial" w:hAnsi="Arial"/>
                <w:sz w:val="17"/>
                <w:szCs w:val="17"/>
                <w:color w:val="0000EE"/>
                <w:w w:val="92"/>
              </w:rPr>
            </w:pPr>
            <w:hyperlink r:id="rId413">
              <w:r>
                <w:rPr>
                  <w:rFonts w:ascii="Arial" w:cs="Arial" w:eastAsia="Arial" w:hAnsi="Arial"/>
                  <w:sz w:val="17"/>
                  <w:szCs w:val="17"/>
                  <w:color w:val="0000EE"/>
                  <w:w w:val="92"/>
                </w:rPr>
                <w:t>subsidiary of Intercontinental Exchange, Inc. (incorporated by reference to Exhibit 10.17 to the Company’s Form 8-K filed</w:t>
              </w:r>
            </w:hyperlink>
          </w:p>
        </w:tc>
        <w:tc>
          <w:tcPr>
            <w:tcW w:w="280" w:type="dxa"/>
            <w:vAlign w:val="bottom"/>
            <w:gridSpan w:val="9"/>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80" w:type="dxa"/>
            <w:vAlign w:val="bottom"/>
            <w:tcBorders>
              <w:bottom w:val="single" w:sz="8" w:color="0000EE"/>
            </w:tcBorders>
            <w:gridSpan w:val="3"/>
          </w:tcPr>
          <w:p>
            <w:pPr>
              <w:spacing w:after="0" w:line="186" w:lineRule="exact"/>
              <w:rPr>
                <w:rFonts w:ascii="Arial" w:cs="Arial" w:eastAsia="Arial" w:hAnsi="Arial"/>
                <w:sz w:val="17"/>
                <w:szCs w:val="17"/>
                <w:color w:val="0000EE"/>
                <w:w w:val="91"/>
              </w:rPr>
            </w:pPr>
            <w:hyperlink r:id="rId413">
              <w:r>
                <w:rPr>
                  <w:rFonts w:ascii="Arial" w:cs="Arial" w:eastAsia="Arial" w:hAnsi="Arial"/>
                  <w:sz w:val="17"/>
                  <w:szCs w:val="17"/>
                  <w:color w:val="0000EE"/>
                  <w:w w:val="91"/>
                </w:rPr>
                <w:t>with the SEC on October 21, 2021).</w:t>
              </w:r>
            </w:hyperlink>
          </w:p>
        </w:tc>
        <w:tc>
          <w:tcPr>
            <w:tcW w:w="6240" w:type="dxa"/>
            <w:vAlign w:val="bottom"/>
            <w:gridSpan w:val="21"/>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21.1*</w:t>
            </w:r>
          </w:p>
        </w:tc>
        <w:tc>
          <w:tcPr>
            <w:tcW w:w="820" w:type="dxa"/>
            <w:vAlign w:val="bottom"/>
          </w:tcPr>
          <w:p>
            <w:pPr>
              <w:spacing w:after="0"/>
              <w:rPr>
                <w:sz w:val="24"/>
                <w:szCs w:val="24"/>
                <w:color w:val="auto"/>
              </w:rPr>
            </w:pPr>
          </w:p>
        </w:tc>
        <w:tc>
          <w:tcPr>
            <w:tcW w:w="2480" w:type="dxa"/>
            <w:vAlign w:val="bottom"/>
            <w:tcBorders>
              <w:bottom w:val="single" w:sz="8" w:color="0000EE"/>
            </w:tcBorders>
            <w:gridSpan w:val="3"/>
          </w:tcPr>
          <w:p>
            <w:pPr>
              <w:spacing w:after="0"/>
              <w:rPr>
                <w:rFonts w:ascii="Arial" w:cs="Arial" w:eastAsia="Arial" w:hAnsi="Arial"/>
                <w:sz w:val="17"/>
                <w:szCs w:val="17"/>
                <w:color w:val="0000EE"/>
                <w:w w:val="91"/>
              </w:rPr>
            </w:pPr>
            <w:hyperlink r:id="rId414">
              <w:r>
                <w:rPr>
                  <w:rFonts w:ascii="Arial" w:cs="Arial" w:eastAsia="Arial" w:hAnsi="Arial"/>
                  <w:sz w:val="17"/>
                  <w:szCs w:val="17"/>
                  <w:color w:val="0000EE"/>
                  <w:w w:val="91"/>
                </w:rPr>
                <w:t>List of subsidiaries of the registrant.</w:t>
              </w:r>
            </w:hyperlink>
          </w:p>
        </w:tc>
        <w:tc>
          <w:tcPr>
            <w:tcW w:w="6240" w:type="dxa"/>
            <w:vAlign w:val="bottom"/>
            <w:gridSpan w:val="21"/>
          </w:tcPr>
          <w:p>
            <w:pPr>
              <w:spacing w:after="0"/>
              <w:rPr>
                <w:sz w:val="24"/>
                <w:szCs w:val="24"/>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23.1</w:t>
            </w:r>
          </w:p>
        </w:tc>
        <w:tc>
          <w:tcPr>
            <w:tcW w:w="820" w:type="dxa"/>
            <w:vAlign w:val="bottom"/>
          </w:tcPr>
          <w:p>
            <w:pPr>
              <w:spacing w:after="0"/>
              <w:rPr>
                <w:sz w:val="24"/>
                <w:szCs w:val="24"/>
                <w:color w:val="auto"/>
              </w:rPr>
            </w:pPr>
          </w:p>
        </w:tc>
        <w:tc>
          <w:tcPr>
            <w:tcW w:w="8720" w:type="dxa"/>
            <w:vAlign w:val="bottom"/>
            <w:gridSpan w:val="24"/>
          </w:tcPr>
          <w:p>
            <w:pPr>
              <w:spacing w:after="0"/>
              <w:rPr>
                <w:rFonts w:ascii="Arial" w:cs="Arial" w:eastAsia="Arial" w:hAnsi="Arial"/>
                <w:sz w:val="17"/>
                <w:szCs w:val="17"/>
                <w:color w:val="0000EE"/>
              </w:rPr>
            </w:pPr>
            <w:hyperlink w:anchor="page336">
              <w:r>
                <w:rPr>
                  <w:rFonts w:ascii="Arial" w:cs="Arial" w:eastAsia="Arial" w:hAnsi="Arial"/>
                  <w:sz w:val="17"/>
                  <w:szCs w:val="17"/>
                  <w:color w:val="0000EE"/>
                </w:rPr>
                <w:t>Consent of Ernst &amp; Young LLP, independent registered public accounting firm of Opco.</w:t>
              </w:r>
            </w:hyperlink>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23.2</w:t>
            </w:r>
          </w:p>
        </w:tc>
        <w:tc>
          <w:tcPr>
            <w:tcW w:w="820" w:type="dxa"/>
            <w:vAlign w:val="bottom"/>
          </w:tcPr>
          <w:p>
            <w:pPr>
              <w:spacing w:after="0"/>
              <w:rPr>
                <w:sz w:val="24"/>
                <w:szCs w:val="24"/>
                <w:color w:val="auto"/>
              </w:rPr>
            </w:pPr>
          </w:p>
        </w:tc>
        <w:tc>
          <w:tcPr>
            <w:tcW w:w="534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1"/>
              </w:rPr>
            </w:pPr>
            <w:hyperlink w:anchor="page337">
              <w:r>
                <w:rPr>
                  <w:rFonts w:ascii="Arial" w:cs="Arial" w:eastAsia="Arial" w:hAnsi="Arial"/>
                  <w:sz w:val="17"/>
                  <w:szCs w:val="17"/>
                  <w:color w:val="0000EE"/>
                  <w:w w:val="91"/>
                </w:rPr>
                <w:t>Consent of Bennett Thrasher LLP, independent auditor for Bridge2 Solutions.</w:t>
              </w:r>
            </w:hyperlink>
          </w:p>
        </w:tc>
        <w:tc>
          <w:tcPr>
            <w:tcW w:w="700" w:type="dxa"/>
            <w:vAlign w:val="bottom"/>
            <w:tcBorders>
              <w:top w:val="single" w:sz="8" w:color="0000EE"/>
            </w:tcBorders>
          </w:tcPr>
          <w:p>
            <w:pPr>
              <w:spacing w:after="0"/>
              <w:rPr>
                <w:sz w:val="24"/>
                <w:szCs w:val="24"/>
                <w:color w:val="auto"/>
              </w:rPr>
            </w:pPr>
          </w:p>
        </w:tc>
        <w:tc>
          <w:tcPr>
            <w:tcW w:w="2680" w:type="dxa"/>
            <w:vAlign w:val="bottom"/>
            <w:gridSpan w:val="17"/>
          </w:tcPr>
          <w:p>
            <w:pPr>
              <w:spacing w:after="0"/>
              <w:rPr>
                <w:sz w:val="24"/>
                <w:szCs w:val="24"/>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23.3</w:t>
            </w:r>
          </w:p>
        </w:tc>
        <w:tc>
          <w:tcPr>
            <w:tcW w:w="820" w:type="dxa"/>
            <w:vAlign w:val="bottom"/>
          </w:tcPr>
          <w:p>
            <w:pPr>
              <w:spacing w:after="0"/>
              <w:rPr>
                <w:sz w:val="24"/>
                <w:szCs w:val="24"/>
                <w:color w:val="auto"/>
              </w:rPr>
            </w:pPr>
          </w:p>
        </w:tc>
        <w:tc>
          <w:tcPr>
            <w:tcW w:w="8720" w:type="dxa"/>
            <w:vAlign w:val="bottom"/>
            <w:gridSpan w:val="24"/>
          </w:tcPr>
          <w:p>
            <w:pPr>
              <w:spacing w:after="0"/>
              <w:rPr>
                <w:rFonts w:ascii="Arial" w:cs="Arial" w:eastAsia="Arial" w:hAnsi="Arial"/>
                <w:sz w:val="17"/>
                <w:szCs w:val="17"/>
                <w:color w:val="0000EE"/>
              </w:rPr>
            </w:pPr>
            <w:hyperlink w:anchor="page338">
              <w:r>
                <w:rPr>
                  <w:rFonts w:ascii="Arial" w:cs="Arial" w:eastAsia="Arial" w:hAnsi="Arial"/>
                  <w:sz w:val="17"/>
                  <w:szCs w:val="17"/>
                  <w:color w:val="0000EE"/>
                </w:rPr>
                <w:t>Consent of WithumSmith+Brown, PC, independent registered public accountants of the Company.</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76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23.4</w:t>
            </w:r>
          </w:p>
        </w:tc>
        <w:tc>
          <w:tcPr>
            <w:tcW w:w="820" w:type="dxa"/>
            <w:vAlign w:val="bottom"/>
          </w:tcPr>
          <w:p>
            <w:pPr>
              <w:spacing w:after="0"/>
              <w:rPr>
                <w:sz w:val="24"/>
                <w:szCs w:val="24"/>
                <w:color w:val="auto"/>
              </w:rPr>
            </w:pPr>
          </w:p>
        </w:tc>
        <w:tc>
          <w:tcPr>
            <w:tcW w:w="8680" w:type="dxa"/>
            <w:vAlign w:val="bottom"/>
            <w:tcBorders>
              <w:bottom w:val="single" w:sz="8" w:color="0000EE"/>
            </w:tcBorders>
            <w:gridSpan w:val="22"/>
          </w:tcPr>
          <w:p>
            <w:pPr>
              <w:spacing w:after="0"/>
              <w:rPr>
                <w:rFonts w:ascii="Arial" w:cs="Arial" w:eastAsia="Arial" w:hAnsi="Arial"/>
                <w:sz w:val="17"/>
                <w:szCs w:val="17"/>
                <w:color w:val="0000EE"/>
                <w:w w:val="92"/>
              </w:rPr>
            </w:pPr>
            <w:hyperlink w:anchor="page333">
              <w:r>
                <w:rPr>
                  <w:rFonts w:ascii="Arial" w:cs="Arial" w:eastAsia="Arial" w:hAnsi="Arial"/>
                  <w:sz w:val="17"/>
                  <w:szCs w:val="17"/>
                  <w:color w:val="0000EE"/>
                  <w:w w:val="92"/>
                </w:rPr>
                <w:t>Consent of Wilson Sonsini Goodrich &amp; Rosati, P.C. (included in the opinion filed as Exhibit 5.1 to this registration statement).</w:t>
              </w:r>
            </w:hyperlink>
          </w:p>
        </w:tc>
        <w:tc>
          <w:tcPr>
            <w:tcW w:w="40" w:type="dxa"/>
            <w:vAlign w:val="bottom"/>
            <w:gridSpan w:val="2"/>
          </w:tcPr>
          <w:p>
            <w:pPr>
              <w:spacing w:after="0"/>
              <w:rPr>
                <w:sz w:val="24"/>
                <w:szCs w:val="24"/>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24.1*</w:t>
            </w:r>
          </w:p>
        </w:tc>
        <w:tc>
          <w:tcPr>
            <w:tcW w:w="820" w:type="dxa"/>
            <w:vAlign w:val="bottom"/>
          </w:tcPr>
          <w:p>
            <w:pPr>
              <w:spacing w:after="0"/>
              <w:rPr>
                <w:sz w:val="24"/>
                <w:szCs w:val="24"/>
                <w:color w:val="auto"/>
              </w:rPr>
            </w:pPr>
          </w:p>
        </w:tc>
        <w:tc>
          <w:tcPr>
            <w:tcW w:w="8720" w:type="dxa"/>
            <w:vAlign w:val="bottom"/>
            <w:gridSpan w:val="24"/>
          </w:tcPr>
          <w:p>
            <w:pPr>
              <w:spacing w:after="0"/>
              <w:rPr>
                <w:rFonts w:ascii="Arial" w:cs="Arial" w:eastAsia="Arial" w:hAnsi="Arial"/>
                <w:sz w:val="17"/>
                <w:szCs w:val="17"/>
                <w:color w:val="0000EE"/>
              </w:rPr>
            </w:pPr>
            <w:hyperlink r:id="rId415">
              <w:r>
                <w:rPr>
                  <w:rFonts w:ascii="Arial" w:cs="Arial" w:eastAsia="Arial" w:hAnsi="Arial"/>
                  <w:sz w:val="17"/>
                  <w:szCs w:val="17"/>
                  <w:color w:val="0000EE"/>
                </w:rPr>
                <w:t>Powers of Attorney (included on the signature page to the initial filing of this registration statement).</w:t>
              </w:r>
            </w:hyperlink>
          </w:p>
        </w:tc>
      </w:tr>
      <w:tr>
        <w:trPr>
          <w:trHeight w:val="326"/>
        </w:trPr>
        <w:tc>
          <w:tcPr>
            <w:tcW w:w="960" w:type="dxa"/>
            <w:vAlign w:val="bottom"/>
          </w:tcPr>
          <w:p>
            <w:pPr>
              <w:spacing w:after="0"/>
              <w:rPr>
                <w:sz w:val="20"/>
                <w:szCs w:val="20"/>
                <w:color w:val="auto"/>
              </w:rPr>
            </w:pPr>
            <w:r>
              <w:rPr>
                <w:rFonts w:ascii="Arial" w:cs="Arial" w:eastAsia="Arial" w:hAnsi="Arial"/>
                <w:sz w:val="17"/>
                <w:szCs w:val="17"/>
                <w:color w:val="auto"/>
              </w:rPr>
              <w:t>101.INS</w:t>
            </w:r>
          </w:p>
        </w:tc>
        <w:tc>
          <w:tcPr>
            <w:tcW w:w="820" w:type="dxa"/>
            <w:vAlign w:val="bottom"/>
          </w:tcPr>
          <w:p>
            <w:pPr>
              <w:spacing w:after="0"/>
              <w:rPr>
                <w:sz w:val="24"/>
                <w:szCs w:val="24"/>
                <w:color w:val="auto"/>
              </w:rPr>
            </w:pPr>
          </w:p>
        </w:tc>
        <w:tc>
          <w:tcPr>
            <w:tcW w:w="6920" w:type="dxa"/>
            <w:vAlign w:val="bottom"/>
            <w:tcBorders>
              <w:top w:val="single" w:sz="8" w:color="0000EE"/>
            </w:tcBorders>
            <w:gridSpan w:val="11"/>
          </w:tcPr>
          <w:p>
            <w:pPr>
              <w:spacing w:after="0"/>
              <w:rPr>
                <w:sz w:val="20"/>
                <w:szCs w:val="20"/>
                <w:color w:val="auto"/>
              </w:rPr>
            </w:pPr>
            <w:r>
              <w:rPr>
                <w:rFonts w:ascii="Arial" w:cs="Arial" w:eastAsia="Arial" w:hAnsi="Arial"/>
                <w:sz w:val="17"/>
                <w:szCs w:val="17"/>
                <w:color w:val="auto"/>
              </w:rPr>
              <w:t>Inline XBRL Instance Document.</w:t>
            </w:r>
          </w:p>
        </w:tc>
        <w:tc>
          <w:tcPr>
            <w:tcW w:w="1800" w:type="dxa"/>
            <w:vAlign w:val="bottom"/>
            <w:gridSpan w:val="13"/>
          </w:tcPr>
          <w:p>
            <w:pPr>
              <w:spacing w:after="0"/>
              <w:rPr>
                <w:sz w:val="24"/>
                <w:szCs w:val="24"/>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101.SCH</w:t>
            </w:r>
          </w:p>
        </w:tc>
        <w:tc>
          <w:tcPr>
            <w:tcW w:w="82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101.CAL</w:t>
            </w:r>
          </w:p>
        </w:tc>
        <w:tc>
          <w:tcPr>
            <w:tcW w:w="82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101.DEF</w:t>
            </w:r>
          </w:p>
        </w:tc>
        <w:tc>
          <w:tcPr>
            <w:tcW w:w="82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101.LAB</w:t>
            </w:r>
          </w:p>
        </w:tc>
        <w:tc>
          <w:tcPr>
            <w:tcW w:w="82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101.PRE</w:t>
            </w:r>
          </w:p>
        </w:tc>
        <w:tc>
          <w:tcPr>
            <w:tcW w:w="82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104</w:t>
            </w:r>
          </w:p>
        </w:tc>
        <w:tc>
          <w:tcPr>
            <w:tcW w:w="82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82550</wp:posOffset>
            </wp:positionV>
            <wp:extent cx="73533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Previously filed</w:t>
      </w:r>
    </w:p>
    <w:p>
      <w:pPr>
        <w:spacing w:after="0" w:line="21" w:lineRule="exact"/>
        <w:rPr>
          <w:sz w:val="20"/>
          <w:szCs w:val="20"/>
          <w:color w:val="auto"/>
        </w:rPr>
      </w:pPr>
    </w:p>
    <w:p>
      <w:pPr>
        <w:ind w:left="580" w:right="280" w:hanging="204"/>
        <w:spacing w:after="0" w:line="265" w:lineRule="auto"/>
        <w:tabs>
          <w:tab w:leader="none" w:pos="5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Schedules and exhibits to this agreement have been omitted pursuant to Item 601(b)(2) of Regulation S-K. A copy of any omitted schedule and/or exhibit will be furnished to the SEC upon request.</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880"/>
          </w:cols>
          <w:pgMar w:left="320" w:top="471" w:right="699" w:bottom="1440" w:gutter="0" w:footer="0" w:header="0"/>
        </w:sectPr>
      </w:pPr>
    </w:p>
    <w:bookmarkStart w:id="329" w:name="page330"/>
    <w:bookmarkEnd w:id="3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113" w:lineRule="exact"/>
        <w:rPr>
          <w:sz w:val="20"/>
          <w:szCs w:val="20"/>
          <w:color w:val="auto"/>
        </w:rPr>
      </w:pPr>
    </w:p>
    <w:p>
      <w:pPr>
        <w:ind w:left="380" w:right="300" w:firstLine="420"/>
        <w:spacing w:after="0" w:line="317" w:lineRule="auto"/>
        <w:rPr>
          <w:sz w:val="20"/>
          <w:szCs w:val="20"/>
          <w:color w:val="auto"/>
        </w:rPr>
      </w:pPr>
      <w:r>
        <w:rPr>
          <w:rFonts w:ascii="Arial" w:cs="Arial" w:eastAsia="Arial" w:hAnsi="Arial"/>
          <w:sz w:val="15"/>
          <w:szCs w:val="15"/>
          <w:color w:val="auto"/>
        </w:rPr>
        <w:t>All financial statement schedules are omitted because the information called for is not required or is shown either in the consolidated financial statements or in the accompanying notes. 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27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The undersigned registrant hereby undertakes:</w:t>
      </w:r>
    </w:p>
    <w:p>
      <w:pPr>
        <w:spacing w:after="0" w:line="242" w:lineRule="exact"/>
        <w:rPr>
          <w:sz w:val="20"/>
          <w:szCs w:val="20"/>
          <w:color w:val="auto"/>
        </w:rPr>
      </w:pPr>
    </w:p>
    <w:p>
      <w:pPr>
        <w:ind w:left="780" w:hanging="404"/>
        <w:spacing w:after="0"/>
        <w:tabs>
          <w:tab w:leader="none" w:pos="7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6" w:lineRule="exact"/>
        <w:rPr>
          <w:rFonts w:ascii="Arial" w:cs="Arial" w:eastAsia="Arial" w:hAnsi="Arial"/>
          <w:sz w:val="17"/>
          <w:szCs w:val="17"/>
          <w:color w:val="auto"/>
        </w:rPr>
      </w:pPr>
    </w:p>
    <w:p>
      <w:pPr>
        <w:ind w:left="1300" w:hanging="512"/>
        <w:spacing w:after="0"/>
        <w:tabs>
          <w:tab w:leader="none" w:pos="13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126" w:lineRule="exact"/>
        <w:rPr>
          <w:rFonts w:ascii="Arial" w:cs="Arial" w:eastAsia="Arial" w:hAnsi="Arial"/>
          <w:sz w:val="17"/>
          <w:szCs w:val="17"/>
          <w:color w:val="auto"/>
        </w:rPr>
      </w:pPr>
    </w:p>
    <w:p>
      <w:pPr>
        <w:ind w:left="1300" w:hanging="512"/>
        <w:spacing w:after="0" w:line="257" w:lineRule="auto"/>
        <w:tabs>
          <w:tab w:leader="none" w:pos="13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1" w:lineRule="exact"/>
        <w:rPr>
          <w:rFonts w:ascii="Arial" w:cs="Arial" w:eastAsia="Arial" w:hAnsi="Arial"/>
          <w:sz w:val="17"/>
          <w:szCs w:val="17"/>
          <w:color w:val="auto"/>
        </w:rPr>
      </w:pPr>
    </w:p>
    <w:p>
      <w:pPr>
        <w:ind w:left="1300" w:hanging="512"/>
        <w:spacing w:after="0" w:line="257" w:lineRule="auto"/>
        <w:tabs>
          <w:tab w:leader="none" w:pos="13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 registration statement is on form S-1 and the information required to be included in a post- 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4" w:lineRule="exact"/>
        <w:rPr>
          <w:rFonts w:ascii="Arial" w:cs="Arial" w:eastAsia="Arial" w:hAnsi="Arial"/>
          <w:sz w:val="17"/>
          <w:szCs w:val="17"/>
          <w:color w:val="auto"/>
        </w:rPr>
      </w:pPr>
    </w:p>
    <w:p>
      <w:pPr>
        <w:ind w:left="780" w:right="20" w:hanging="404"/>
        <w:spacing w:after="0" w:line="265" w:lineRule="auto"/>
        <w:tabs>
          <w:tab w:leader="none" w:pos="7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Arial" w:cs="Arial" w:eastAsia="Arial" w:hAnsi="Arial"/>
          <w:sz w:val="17"/>
          <w:szCs w:val="17"/>
          <w:color w:val="auto"/>
        </w:rPr>
      </w:pPr>
    </w:p>
    <w:p>
      <w:pPr>
        <w:ind w:left="780" w:right="20" w:hanging="404"/>
        <w:spacing w:after="0" w:line="278" w:lineRule="auto"/>
        <w:tabs>
          <w:tab w:leader="none" w:pos="7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4" w:lineRule="exact"/>
        <w:rPr>
          <w:rFonts w:ascii="Arial" w:cs="Arial" w:eastAsia="Arial" w:hAnsi="Arial"/>
          <w:sz w:val="17"/>
          <w:szCs w:val="17"/>
          <w:color w:val="auto"/>
        </w:rPr>
      </w:pPr>
    </w:p>
    <w:p>
      <w:pPr>
        <w:ind w:left="780" w:hanging="404"/>
        <w:spacing w:after="0"/>
        <w:tabs>
          <w:tab w:leader="none" w:pos="7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126" w:lineRule="exact"/>
        <w:rPr>
          <w:rFonts w:ascii="Arial" w:cs="Arial" w:eastAsia="Arial" w:hAnsi="Arial"/>
          <w:sz w:val="17"/>
          <w:szCs w:val="17"/>
          <w:color w:val="auto"/>
        </w:rPr>
      </w:pPr>
    </w:p>
    <w:p>
      <w:pPr>
        <w:ind w:left="1300" w:hanging="512"/>
        <w:spacing w:after="0"/>
        <w:tabs>
          <w:tab w:leader="none" w:pos="13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If the registrant is relying on Rule 430B:</w:t>
      </w:r>
    </w:p>
    <w:p>
      <w:pPr>
        <w:spacing w:after="0" w:line="126" w:lineRule="exact"/>
        <w:rPr>
          <w:sz w:val="20"/>
          <w:szCs w:val="20"/>
          <w:color w:val="auto"/>
        </w:rPr>
      </w:pPr>
    </w:p>
    <w:p>
      <w:pPr>
        <w:ind w:left="1300" w:right="40" w:hanging="512"/>
        <w:spacing w:after="0" w:line="278" w:lineRule="auto"/>
        <w:tabs>
          <w:tab w:leader="none" w:pos="13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4" w:lineRule="exact"/>
        <w:rPr>
          <w:rFonts w:ascii="Arial" w:cs="Arial" w:eastAsia="Arial" w:hAnsi="Arial"/>
          <w:sz w:val="17"/>
          <w:szCs w:val="17"/>
          <w:color w:val="auto"/>
        </w:rPr>
      </w:pPr>
    </w:p>
    <w:p>
      <w:pPr>
        <w:ind w:left="1300" w:hanging="512"/>
        <w:spacing w:after="0" w:line="257" w:lineRule="auto"/>
        <w:tabs>
          <w:tab w:leader="none" w:pos="13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0860"/>
          </w:cols>
          <w:pgMar w:left="320" w:top="471" w:right="719" w:bottom="1440" w:gutter="0" w:footer="0" w:header="0"/>
        </w:sectPr>
      </w:pPr>
    </w:p>
    <w:bookmarkStart w:id="330" w:name="page331"/>
    <w:bookmarkEnd w:id="3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20" w:right="180"/>
        <w:spacing w:after="0" w:line="298" w:lineRule="auto"/>
        <w:rPr>
          <w:sz w:val="20"/>
          <w:szCs w:val="20"/>
          <w:color w:val="auto"/>
        </w:rPr>
      </w:pPr>
      <w:r>
        <w:rPr>
          <w:rFonts w:ascii="Arial" w:cs="Arial" w:eastAsia="Arial" w:hAnsi="Arial"/>
          <w:sz w:val="15"/>
          <w:szCs w:val="15"/>
          <w:color w:val="auto"/>
        </w:rPr>
        <w:t xml:space="preserve">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66" w:lineRule="exact"/>
        <w:rPr>
          <w:sz w:val="20"/>
          <w:szCs w:val="20"/>
          <w:color w:val="auto"/>
        </w:rPr>
      </w:pPr>
    </w:p>
    <w:p>
      <w:pPr>
        <w:ind w:left="1300" w:hanging="512"/>
        <w:spacing w:after="0" w:line="274"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If the registrant is subject to Rule 430C (§ 230.430C of this chapter), each prospectus filed pursuant to 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1" w:lineRule="exact"/>
        <w:rPr>
          <w:rFonts w:ascii="Arial" w:cs="Arial" w:eastAsia="Arial" w:hAnsi="Arial"/>
          <w:sz w:val="16"/>
          <w:szCs w:val="16"/>
          <w:color w:val="auto"/>
        </w:rPr>
      </w:pPr>
    </w:p>
    <w:p>
      <w:pPr>
        <w:ind w:left="780" w:hanging="404"/>
        <w:spacing w:after="0" w:line="259" w:lineRule="auto"/>
        <w:tabs>
          <w:tab w:leader="none" w:pos="7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0" w:lineRule="exact"/>
        <w:rPr>
          <w:rFonts w:ascii="Arial" w:cs="Arial" w:eastAsia="Arial" w:hAnsi="Arial"/>
          <w:sz w:val="17"/>
          <w:szCs w:val="17"/>
          <w:color w:val="auto"/>
        </w:rPr>
      </w:pPr>
    </w:p>
    <w:p>
      <w:pPr>
        <w:ind w:left="1300" w:hanging="512"/>
        <w:spacing w:after="0"/>
        <w:tabs>
          <w:tab w:leader="none" w:pos="130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49" w:lineRule="exact"/>
        <w:rPr>
          <w:rFonts w:ascii="Arial" w:cs="Arial" w:eastAsia="Arial" w:hAnsi="Arial"/>
          <w:sz w:val="15"/>
          <w:szCs w:val="15"/>
          <w:color w:val="auto"/>
        </w:rPr>
      </w:pPr>
    </w:p>
    <w:p>
      <w:pPr>
        <w:ind w:left="1300" w:right="360" w:hanging="512"/>
        <w:spacing w:after="0" w:line="278" w:lineRule="auto"/>
        <w:tabs>
          <w:tab w:leader="none" w:pos="13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74" w:lineRule="exact"/>
        <w:rPr>
          <w:rFonts w:ascii="Arial" w:cs="Arial" w:eastAsia="Arial" w:hAnsi="Arial"/>
          <w:sz w:val="17"/>
          <w:szCs w:val="17"/>
          <w:color w:val="auto"/>
        </w:rPr>
      </w:pPr>
    </w:p>
    <w:p>
      <w:pPr>
        <w:ind w:left="1300" w:right="20" w:hanging="512"/>
        <w:spacing w:after="0" w:line="278" w:lineRule="auto"/>
        <w:tabs>
          <w:tab w:leader="none" w:pos="13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74" w:lineRule="exact"/>
        <w:rPr>
          <w:rFonts w:ascii="Arial" w:cs="Arial" w:eastAsia="Arial" w:hAnsi="Arial"/>
          <w:sz w:val="17"/>
          <w:szCs w:val="17"/>
          <w:color w:val="auto"/>
        </w:rPr>
      </w:pPr>
    </w:p>
    <w:p>
      <w:pPr>
        <w:ind w:left="1300" w:hanging="512"/>
        <w:spacing w:after="0"/>
        <w:tabs>
          <w:tab w:leader="none" w:pos="13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13" w:lineRule="exact"/>
        <w:rPr>
          <w:sz w:val="20"/>
          <w:szCs w:val="20"/>
          <w:color w:val="auto"/>
        </w:rPr>
      </w:pPr>
    </w:p>
    <w:p>
      <w:pPr>
        <w:ind w:left="380" w:right="40" w:hanging="4"/>
        <w:spacing w:after="0" w:line="256" w:lineRule="auto"/>
        <w:tabs>
          <w:tab w:leader="none" w:pos="62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0860"/>
          </w:cols>
          <w:pgMar w:left="320" w:top="471" w:right="719" w:bottom="1440" w:gutter="0" w:footer="0" w:header="0"/>
        </w:sectPr>
      </w:pPr>
    </w:p>
    <w:bookmarkStart w:id="331" w:name="page332"/>
    <w:bookmarkEnd w:id="3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SIGNATURES</w:t>
      </w:r>
    </w:p>
    <w:p>
      <w:pPr>
        <w:spacing w:after="0" w:line="222"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Alpharetta, State of Georgia, on December 8, 2021.</w:t>
      </w:r>
    </w:p>
    <w:p>
      <w:pPr>
        <w:spacing w:after="0" w:line="184"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BAKKT HOLDINGS, INC.</w:t>
      </w:r>
    </w:p>
    <w:p>
      <w:pPr>
        <w:spacing w:after="0" w:line="23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22860</wp:posOffset>
            </wp:positionV>
            <wp:extent cx="24745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2474595"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Gavin Michael</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Chief Executive Officer</w:t>
      </w:r>
    </w:p>
    <w:p>
      <w:pPr>
        <w:spacing w:after="0" w:line="205"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December 8, 2021.</w:t>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177"/>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4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Title</w:t>
            </w:r>
          </w:p>
        </w:tc>
      </w:tr>
      <w:tr>
        <w:trPr>
          <w:trHeight w:val="390"/>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Gavin Michael</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Chief Executive Officer, Director</w:t>
            </w:r>
          </w:p>
        </w:tc>
      </w:tr>
      <w:tr>
        <w:trPr>
          <w:trHeight w:val="211"/>
        </w:trPr>
        <w:tc>
          <w:tcPr>
            <w:tcW w:w="4800" w:type="dxa"/>
            <w:vAlign w:val="bottom"/>
          </w:tcPr>
          <w:p>
            <w:pPr>
              <w:jc w:val="center"/>
              <w:spacing w:after="0"/>
              <w:rPr>
                <w:sz w:val="20"/>
                <w:szCs w:val="20"/>
                <w:color w:val="auto"/>
              </w:rPr>
            </w:pPr>
            <w:r>
              <w:rPr>
                <w:rFonts w:ascii="Arial" w:cs="Arial" w:eastAsia="Arial" w:hAnsi="Arial"/>
                <w:sz w:val="17"/>
                <w:szCs w:val="17"/>
                <w:color w:val="auto"/>
                <w:w w:val="96"/>
              </w:rPr>
              <w:t>Gavin Michael</w:t>
            </w:r>
          </w:p>
        </w:tc>
        <w:tc>
          <w:tcPr>
            <w:tcW w:w="2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(Principal Executive Officer)</w:t>
            </w:r>
          </w:p>
        </w:tc>
      </w:tr>
      <w:tr>
        <w:trPr>
          <w:trHeight w:val="41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Andrew LaBenne</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Chief Financial Officer</w:t>
            </w:r>
          </w:p>
        </w:tc>
      </w:tr>
      <w:tr>
        <w:trPr>
          <w:trHeight w:val="211"/>
        </w:trPr>
        <w:tc>
          <w:tcPr>
            <w:tcW w:w="4800" w:type="dxa"/>
            <w:vAlign w:val="bottom"/>
          </w:tcPr>
          <w:p>
            <w:pPr>
              <w:jc w:val="center"/>
              <w:spacing w:after="0"/>
              <w:rPr>
                <w:sz w:val="20"/>
                <w:szCs w:val="20"/>
                <w:color w:val="auto"/>
              </w:rPr>
            </w:pPr>
            <w:r>
              <w:rPr>
                <w:rFonts w:ascii="Arial" w:cs="Arial" w:eastAsia="Arial" w:hAnsi="Arial"/>
                <w:sz w:val="17"/>
                <w:szCs w:val="17"/>
                <w:color w:val="auto"/>
                <w:w w:val="91"/>
              </w:rPr>
              <w:t>Andrew LaBenne</w:t>
            </w:r>
          </w:p>
        </w:tc>
        <w:tc>
          <w:tcPr>
            <w:tcW w:w="2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(Principal Financial Officer)</w:t>
            </w:r>
          </w:p>
        </w:tc>
      </w:tr>
      <w:tr>
        <w:trPr>
          <w:trHeight w:val="41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Karen Alexander</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Chief Accounting Officer</w:t>
            </w:r>
          </w:p>
        </w:tc>
      </w:tr>
      <w:tr>
        <w:trPr>
          <w:trHeight w:val="211"/>
        </w:trPr>
        <w:tc>
          <w:tcPr>
            <w:tcW w:w="4800" w:type="dxa"/>
            <w:vAlign w:val="bottom"/>
          </w:tcPr>
          <w:p>
            <w:pPr>
              <w:jc w:val="center"/>
              <w:spacing w:after="0"/>
              <w:rPr>
                <w:sz w:val="20"/>
                <w:szCs w:val="20"/>
                <w:color w:val="auto"/>
              </w:rPr>
            </w:pPr>
            <w:r>
              <w:rPr>
                <w:rFonts w:ascii="Arial" w:cs="Arial" w:eastAsia="Arial" w:hAnsi="Arial"/>
                <w:sz w:val="17"/>
                <w:szCs w:val="17"/>
                <w:color w:val="auto"/>
                <w:w w:val="91"/>
              </w:rPr>
              <w:t>Karen Alexander</w:t>
            </w:r>
          </w:p>
        </w:tc>
        <w:tc>
          <w:tcPr>
            <w:tcW w:w="2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(Principal Accounting Officer)</w:t>
            </w: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3"/>
              </w:rPr>
              <w:t>Michelle Goldberg</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8"/>
              </w:rPr>
              <w:t>David C. Clifton</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5"/>
              </w:rPr>
              <w:t>Kristyn Cook</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0"/>
              </w:rPr>
              <w:t>Gordon Watson</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2"/>
              </w:rPr>
              <w:t>Sean Collins</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4"/>
              </w:rPr>
              <w:t>Richard Lumb</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6"/>
              </w:rPr>
              <w:t>Andrew A. Main</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22860</wp:posOffset>
            </wp:positionV>
            <wp:extent cx="24015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2401570" cy="825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Attorney-in-Fact</w:t>
      </w:r>
    </w:p>
    <w:p>
      <w:pPr>
        <w:sectPr>
          <w:pgSz w:w="11900" w:h="16838" w:orient="portrait"/>
          <w:cols w:equalWidth="0" w:num="1">
            <w:col w:w="10880"/>
          </w:cols>
          <w:pgMar w:left="320" w:top="470" w:right="699" w:bottom="1440" w:gutter="0" w:footer="0" w:header="0"/>
        </w:sectPr>
      </w:pPr>
    </w:p>
    <w:bookmarkStart w:id="332" w:name="page333"/>
    <w:bookmarkEnd w:id="332"/>
    <w:p>
      <w:pPr>
        <w:jc w:val="right"/>
        <w:spacing w:after="0"/>
        <w:rPr>
          <w:sz w:val="20"/>
          <w:szCs w:val="20"/>
          <w:color w:val="auto"/>
        </w:rPr>
      </w:pPr>
      <w:r>
        <w:rPr>
          <w:rFonts w:ascii="Arial" w:cs="Arial" w:eastAsia="Arial" w:hAnsi="Arial"/>
          <w:sz w:val="17"/>
          <w:szCs w:val="17"/>
          <w:b w:val="1"/>
          <w:bCs w:val="1"/>
          <w:color w:val="auto"/>
        </w:rPr>
        <w:t>Exhibit 5.1</w:t>
      </w:r>
    </w:p>
    <w:p>
      <w:pPr>
        <w:spacing w:after="0" w:line="234"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1274445" cy="5308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1274445" cy="530860"/>
                    </a:xfrm>
                    <a:prstGeom prst="rect">
                      <a:avLst/>
                    </a:prstGeom>
                    <a:noFill/>
                  </pic:spPr>
                </pic:pic>
              </a:graphicData>
            </a:graphic>
          </wp:anchor>
        </w:drawing>
      </w:r>
    </w:p>
    <w:p>
      <w:pPr>
        <w:ind w:left="7580"/>
        <w:spacing w:after="0"/>
        <w:rPr>
          <w:sz w:val="20"/>
          <w:szCs w:val="20"/>
          <w:color w:val="auto"/>
        </w:rPr>
      </w:pPr>
      <w:r>
        <w:rPr>
          <w:rFonts w:ascii="Arial" w:cs="Arial" w:eastAsia="Arial" w:hAnsi="Arial"/>
          <w:sz w:val="14"/>
          <w:szCs w:val="14"/>
          <w:color w:val="auto"/>
        </w:rPr>
        <w:t>Professional Corporation</w:t>
      </w:r>
    </w:p>
    <w:p>
      <w:pPr>
        <w:spacing w:after="0" w:line="77"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900 South Capital of Texas Highway</w:t>
      </w:r>
    </w:p>
    <w:p>
      <w:pPr>
        <w:ind w:left="7580"/>
        <w:spacing w:after="0" w:line="210" w:lineRule="auto"/>
        <w:rPr>
          <w:sz w:val="20"/>
          <w:szCs w:val="20"/>
          <w:color w:val="auto"/>
        </w:rPr>
      </w:pPr>
      <w:r>
        <w:rPr>
          <w:rFonts w:ascii="Arial" w:cs="Arial" w:eastAsia="Arial" w:hAnsi="Arial"/>
          <w:sz w:val="14"/>
          <w:szCs w:val="14"/>
          <w:color w:val="auto"/>
        </w:rPr>
        <w:t>Las Cimas IV, Fifth Floor</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Austin, Texas 78746-5546</w:t>
      </w:r>
    </w:p>
    <w:p>
      <w:pPr>
        <w:spacing w:after="0" w:line="77"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O: 512.338.5400</w:t>
      </w:r>
    </w:p>
    <w:p>
      <w:pPr>
        <w:ind w:left="7580"/>
        <w:spacing w:after="0"/>
        <w:rPr>
          <w:sz w:val="20"/>
          <w:szCs w:val="20"/>
          <w:color w:val="auto"/>
        </w:rPr>
      </w:pPr>
      <w:r>
        <w:rPr>
          <w:rFonts w:ascii="Arial" w:cs="Arial" w:eastAsia="Arial" w:hAnsi="Arial"/>
          <w:sz w:val="14"/>
          <w:szCs w:val="14"/>
          <w:color w:val="auto"/>
        </w:rPr>
        <w:t>F: 512.338.5499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8, 2021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10000 Avalon Boulevard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Suite 1000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Alpharetta, Georgia 30009</w:t>
      </w:r>
    </w:p>
    <w:p>
      <w:pPr>
        <w:spacing w:after="0" w:line="22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7"/>
          <w:szCs w:val="17"/>
          <w:b w:val="1"/>
          <w:bCs w:val="1"/>
          <w:color w:val="auto"/>
        </w:rPr>
        <w:t>Re:</w:t>
        <w:tab/>
        <w:t>Amendment No. 1 to Registration Statement on Form S-1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This opinion is furnished to you in connection with the Amendment No. 1 to Registration Statement on Form S-1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filed by Bakkt Holdings, Inc., a Delaware corporation (f/k/a VPC Impact Acquisition Holdings, a Cayman Islands exempted company (the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connection with the registration under the Securities Act of 1933,</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of (i) the issuance by the Company, and the offer and sale from time to time by the selling securityholders named in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Registration Statement (the “</w:t>
      </w:r>
      <w:r>
        <w:rPr>
          <w:rFonts w:ascii="Arial" w:cs="Arial" w:eastAsia="Arial" w:hAnsi="Arial"/>
          <w:sz w:val="15"/>
          <w:szCs w:val="15"/>
          <w:u w:val="single" w:color="auto"/>
          <w:color w:val="auto"/>
        </w:rPr>
        <w:t>Selling Securityholders</w:t>
      </w:r>
      <w:r>
        <w:rPr>
          <w:rFonts w:ascii="Arial" w:cs="Arial" w:eastAsia="Arial" w:hAnsi="Arial"/>
          <w:sz w:val="15"/>
          <w:szCs w:val="15"/>
          <w:color w:val="auto"/>
        </w:rPr>
        <w:t>”), of up to 190,726,638 shares the Company’s of Class A common stock, par value $0.0001 per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share (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issuable upon the exchange of an equal number of outstanding or issuable Paired Interests (as defined below)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Underlying Class A Shares</w:t>
      </w:r>
      <w:r>
        <w:rPr>
          <w:rFonts w:ascii="Arial" w:cs="Arial" w:eastAsia="Arial" w:hAnsi="Arial"/>
          <w:sz w:val="15"/>
          <w:szCs w:val="15"/>
          <w:color w:val="auto"/>
        </w:rPr>
        <w:t>”) and (ii) the offer and sale from time to time by the Selling Securityholders of (a) 32,500,000 shares of Class A Common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Stock issued to certain qualified institutional buyers and accredited investors (the “</w:t>
      </w:r>
      <w:r>
        <w:rPr>
          <w:rFonts w:ascii="Arial" w:cs="Arial" w:eastAsia="Arial" w:hAnsi="Arial"/>
          <w:sz w:val="16"/>
          <w:szCs w:val="16"/>
          <w:u w:val="single" w:color="auto"/>
          <w:color w:val="auto"/>
        </w:rPr>
        <w:t>PIPE Shares</w:t>
      </w:r>
      <w:r>
        <w:rPr>
          <w:rFonts w:ascii="Arial" w:cs="Arial" w:eastAsia="Arial" w:hAnsi="Arial"/>
          <w:sz w:val="16"/>
          <w:szCs w:val="16"/>
          <w:color w:val="auto"/>
        </w:rPr>
        <w:t>”), (b) 5,184,300 shares of Class A Common Stock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issued to VPC Impact Acquisition Holdings Sponsor, LLC (the “</w:t>
      </w:r>
      <w:r>
        <w:rPr>
          <w:rFonts w:ascii="Arial" w:cs="Arial" w:eastAsia="Arial" w:hAnsi="Arial"/>
          <w:sz w:val="16"/>
          <w:szCs w:val="16"/>
          <w:u w:val="single" w:color="auto"/>
          <w:color w:val="auto"/>
        </w:rPr>
        <w:t>Sponsor</w:t>
      </w:r>
      <w:r>
        <w:rPr>
          <w:rFonts w:ascii="Arial" w:cs="Arial" w:eastAsia="Arial" w:hAnsi="Arial"/>
          <w:sz w:val="16"/>
          <w:szCs w:val="16"/>
          <w:color w:val="auto"/>
        </w:rPr>
        <w:t>”) and certain of its affiliates that relate to securities acquired by them prior to</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Company’s initial public offering (the “</w:t>
      </w:r>
      <w:r>
        <w:rPr>
          <w:rFonts w:ascii="Arial" w:cs="Arial" w:eastAsia="Arial" w:hAnsi="Arial"/>
          <w:sz w:val="15"/>
          <w:szCs w:val="15"/>
          <w:u w:val="single" w:color="auto"/>
          <w:color w:val="auto"/>
        </w:rPr>
        <w:t>Founder Shares</w:t>
      </w:r>
      <w:r>
        <w:rPr>
          <w:rFonts w:ascii="Arial" w:cs="Arial" w:eastAsia="Arial" w:hAnsi="Arial"/>
          <w:sz w:val="15"/>
          <w:szCs w:val="15"/>
          <w:color w:val="auto"/>
        </w:rPr>
        <w:t>”) and (c) 3,967,362 shares of Class A Common Stock issued to the Sponsor upon cashless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exercise of warrants of the Company (the “</w:t>
      </w:r>
      <w:r>
        <w:rPr>
          <w:rFonts w:ascii="Arial" w:cs="Arial" w:eastAsia="Arial" w:hAnsi="Arial"/>
          <w:sz w:val="16"/>
          <w:szCs w:val="16"/>
          <w:u w:val="single" w:color="auto"/>
          <w:color w:val="auto"/>
        </w:rPr>
        <w:t>Private Warrant Shares</w:t>
      </w:r>
      <w:r>
        <w:rPr>
          <w:rFonts w:ascii="Arial" w:cs="Arial" w:eastAsia="Arial" w:hAnsi="Arial"/>
          <w:sz w:val="16"/>
          <w:szCs w:val="16"/>
          <w:color w:val="auto"/>
        </w:rPr>
        <w:t>” and, together with the PIPE Shares and the Founder Shares, the “</w:t>
      </w:r>
      <w:r>
        <w:rPr>
          <w:rFonts w:ascii="Arial" w:cs="Arial" w:eastAsia="Arial" w:hAnsi="Arial"/>
          <w:sz w:val="16"/>
          <w:szCs w:val="16"/>
          <w:u w:val="single" w:color="auto"/>
          <w:color w:val="auto"/>
        </w:rPr>
        <w:t>Outstanding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Shares”</w:t>
      </w:r>
      <w:r>
        <w:rPr>
          <w:rFonts w:ascii="Arial" w:cs="Arial" w:eastAsia="Arial" w:hAnsi="Arial"/>
          <w:sz w:val="15"/>
          <w:szCs w:val="15"/>
          <w:color w:val="auto"/>
        </w:rPr>
        <w:t xml:space="preserve"> and, the Underlying Class A Shares together with the Outstanding Shares, the “</w:t>
      </w:r>
      <w:r>
        <w:rPr>
          <w:rFonts w:ascii="Arial" w:cs="Arial" w:eastAsia="Arial" w:hAnsi="Arial"/>
          <w:sz w:val="15"/>
          <w:szCs w:val="15"/>
          <w:u w:val="single" w:color="auto"/>
          <w:color w:val="auto"/>
        </w:rPr>
        <w:t>Securities</w:t>
      </w:r>
      <w:r>
        <w:rPr>
          <w:rFonts w:ascii="Arial" w:cs="Arial" w:eastAsia="Arial" w:hAnsi="Arial"/>
          <w:sz w:val="15"/>
          <w:szCs w:val="15"/>
          <w:color w:val="auto"/>
        </w:rPr>
        <w:t>”). References in this opinion to a Paired Interest refer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to one common unit of Bakkt Opco Holdings, LLC (“</w:t>
      </w:r>
      <w:r>
        <w:rPr>
          <w:rFonts w:ascii="Arial" w:cs="Arial" w:eastAsia="Arial" w:hAnsi="Arial"/>
          <w:sz w:val="16"/>
          <w:szCs w:val="16"/>
          <w:u w:val="single" w:color="auto"/>
          <w:color w:val="auto"/>
        </w:rPr>
        <w:t>Opco</w:t>
      </w:r>
      <w:r>
        <w:rPr>
          <w:rFonts w:ascii="Arial" w:cs="Arial" w:eastAsia="Arial" w:hAnsi="Arial"/>
          <w:sz w:val="16"/>
          <w:szCs w:val="16"/>
          <w:color w:val="auto"/>
        </w:rPr>
        <w:t>”), coupled with one share of the Company’s Class V common stock, par value $0.0001 per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share.</w:t>
      </w:r>
    </w:p>
    <w:p>
      <w:pPr>
        <w:spacing w:after="0" w:line="205" w:lineRule="exact"/>
        <w:rPr>
          <w:sz w:val="20"/>
          <w:szCs w:val="20"/>
          <w:color w:val="auto"/>
        </w:rPr>
      </w:pPr>
    </w:p>
    <w:p>
      <w:pPr>
        <w:ind w:right="100" w:firstLine="420"/>
        <w:spacing w:after="0" w:line="259" w:lineRule="auto"/>
        <w:rPr>
          <w:sz w:val="20"/>
          <w:szCs w:val="20"/>
          <w:color w:val="auto"/>
        </w:rPr>
      </w:pPr>
      <w:r>
        <w:rPr>
          <w:rFonts w:ascii="Arial" w:cs="Arial" w:eastAsia="Arial" w:hAnsi="Arial"/>
          <w:sz w:val="17"/>
          <w:szCs w:val="17"/>
          <w:color w:val="auto"/>
        </w:rPr>
        <w:t>We are acting as counsel for the Company in connection with the registration of the Securities.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80" w:lineRule="exact"/>
        <w:rPr>
          <w:sz w:val="20"/>
          <w:szCs w:val="20"/>
          <w:color w:val="auto"/>
        </w:rPr>
      </w:pPr>
    </w:p>
    <w:p>
      <w:pPr>
        <w:jc w:val="both"/>
        <w:ind w:right="420" w:firstLine="420"/>
        <w:spacing w:after="0" w:line="265" w:lineRule="auto"/>
        <w:rPr>
          <w:sz w:val="20"/>
          <w:szCs w:val="20"/>
          <w:color w:val="auto"/>
        </w:rPr>
      </w:pPr>
      <w:r>
        <w:rPr>
          <w:rFonts w:ascii="Arial" w:cs="Arial" w:eastAsia="Arial" w:hAnsi="Arial"/>
          <w:sz w:val="17"/>
          <w:szCs w:val="17"/>
          <w:color w:val="auto"/>
        </w:rPr>
        <w:t>In addition, we have reviewed originals or copies of such corporate records of the Company, certificates of public officials, a certificate of an officer of the Company as to factual matters, and such other documents that we considered necessary or advisable for the purpose of rendering the opinions set forth below. We have not independently established the facts stated therein.</w:t>
      </w:r>
    </w:p>
    <w:p>
      <w:pPr>
        <w:spacing w:after="0" w:line="176" w:lineRule="exact"/>
        <w:rPr>
          <w:sz w:val="20"/>
          <w:szCs w:val="20"/>
          <w:color w:val="auto"/>
        </w:rPr>
      </w:pPr>
    </w:p>
    <w:p>
      <w:pPr>
        <w:ind w:right="100" w:firstLine="420"/>
        <w:spacing w:after="0" w:line="257" w:lineRule="auto"/>
        <w:rPr>
          <w:sz w:val="20"/>
          <w:szCs w:val="20"/>
          <w:color w:val="auto"/>
        </w:rPr>
      </w:pPr>
      <w:r>
        <w:rPr>
          <w:rFonts w:ascii="Arial" w:cs="Arial" w:eastAsia="Arial" w:hAnsi="Arial"/>
          <w:sz w:val="17"/>
          <w:szCs w:val="17"/>
          <w:color w:val="auto"/>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Exchange Agreement (as defined below) by the Company. We have assumed that any certificates representing the Securities have been properly authenticated by the signature of an authorized officer of the Company’s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84455</wp:posOffset>
            </wp:positionV>
            <wp:extent cx="4034790" cy="2940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4034790" cy="294005"/>
                    </a:xfrm>
                    <a:prstGeom prst="rect">
                      <a:avLst/>
                    </a:prstGeom>
                    <a:noFill/>
                  </pic:spPr>
                </pic:pic>
              </a:graphicData>
            </a:graphic>
          </wp:anchor>
        </w:drawing>
      </w:r>
    </w:p>
    <w:p>
      <w:pPr>
        <w:sectPr>
          <w:pgSz w:w="11900" w:h="16838" w:orient="portrait"/>
          <w:cols w:equalWidth="0" w:num="1">
            <w:col w:w="10500"/>
          </w:cols>
          <w:pgMar w:left="700" w:top="121" w:right="699" w:bottom="1440" w:gutter="0" w:footer="0" w:header="0"/>
        </w:sectPr>
      </w:pPr>
    </w:p>
    <w:bookmarkStart w:id="333" w:name="page334"/>
    <w:bookmarkEnd w:id="33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180580" cy="36830"/>
                    </a:xfrm>
                    <a:prstGeom prst="rect">
                      <a:avLst/>
                    </a:prstGeom>
                    <a:noFill/>
                  </pic:spPr>
                </pic:pic>
              </a:graphicData>
            </a:graphic>
          </wp:anchor>
        </w:drawing>
        <w:drawing>
          <wp:anchor simplePos="0" relativeHeight="251657728" behindDoc="1" locked="0" layoutInCell="0" allowOverlap="1">
            <wp:simplePos x="0" y="0"/>
            <wp:positionH relativeFrom="page">
              <wp:posOffset>441960</wp:posOffset>
            </wp:positionH>
            <wp:positionV relativeFrom="page">
              <wp:posOffset>178435</wp:posOffset>
            </wp:positionV>
            <wp:extent cx="645160" cy="3270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645160" cy="327025"/>
                    </a:xfrm>
                    <a:prstGeom prst="rect">
                      <a:avLst/>
                    </a:prstGeom>
                    <a:noFill/>
                  </pic:spPr>
                </pic:pic>
              </a:graphicData>
            </a:graphic>
          </wp:anchor>
        </w:drawing>
        <w:t>Bakkt Holdings,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December 8, 2021</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7"/>
          <w:szCs w:val="17"/>
          <w:color w:val="auto"/>
        </w:rPr>
        <w:t>Page 2</w:t>
      </w:r>
    </w:p>
    <w:p>
      <w:pPr>
        <w:spacing w:after="0" w:line="231" w:lineRule="exact"/>
        <w:rPr>
          <w:sz w:val="20"/>
          <w:szCs w:val="20"/>
          <w:color w:val="auto"/>
        </w:rPr>
      </w:pPr>
    </w:p>
    <w:p>
      <w:pPr>
        <w:ind w:left="4"/>
        <w:spacing w:after="0" w:line="261" w:lineRule="auto"/>
        <w:rPr>
          <w:sz w:val="20"/>
          <w:szCs w:val="20"/>
          <w:color w:val="auto"/>
        </w:rPr>
      </w:pPr>
      <w:r>
        <w:rPr>
          <w:rFonts w:ascii="Arial" w:cs="Arial" w:eastAsia="Arial" w:hAnsi="Arial"/>
          <w:sz w:val="17"/>
          <w:szCs w:val="17"/>
          <w:color w:val="auto"/>
        </w:rPr>
        <w:t>agent. We have also assumed the conformity of the documents filed with the Commission via the Electronic Data Gathering, Analysis and Retrieval System (“</w:t>
      </w:r>
      <w:r>
        <w:rPr>
          <w:rFonts w:ascii="Arial" w:cs="Arial" w:eastAsia="Arial" w:hAnsi="Arial"/>
          <w:sz w:val="17"/>
          <w:szCs w:val="17"/>
          <w:u w:val="single" w:color="auto"/>
          <w:color w:val="auto"/>
        </w:rPr>
        <w:t>EDGAR</w:t>
      </w:r>
      <w:r>
        <w:rPr>
          <w:rFonts w:ascii="Arial" w:cs="Arial" w:eastAsia="Arial" w:hAnsi="Arial"/>
          <w:sz w:val="17"/>
          <w:szCs w:val="17"/>
          <w:color w:val="auto"/>
        </w:rPr>
        <w:t>”),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w:t>
      </w:r>
    </w:p>
    <w:p>
      <w:pPr>
        <w:spacing w:after="0" w:line="179" w:lineRule="exact"/>
        <w:rPr>
          <w:sz w:val="20"/>
          <w:szCs w:val="20"/>
          <w:color w:val="auto"/>
        </w:rPr>
      </w:pPr>
    </w:p>
    <w:p>
      <w:pPr>
        <w:ind w:left="4" w:right="100" w:firstLine="420"/>
        <w:spacing w:after="0" w:line="278" w:lineRule="auto"/>
        <w:rPr>
          <w:sz w:val="20"/>
          <w:szCs w:val="20"/>
          <w:color w:val="auto"/>
        </w:rPr>
      </w:pPr>
      <w:r>
        <w:rPr>
          <w:rFonts w:ascii="Arial" w:cs="Arial" w:eastAsia="Arial" w:hAnsi="Arial"/>
          <w:sz w:val="17"/>
          <w:szCs w:val="17"/>
          <w:color w:val="auto"/>
        </w:rPr>
        <w:t>We express no opinion as to any matter relating to the laws of any jurisdiction other than the federal laws of the United States of America and the General Corporation Law of the State of Delaware.</w:t>
      </w:r>
    </w:p>
    <w:p>
      <w:pPr>
        <w:spacing w:after="0" w:line="165" w:lineRule="exact"/>
        <w:rPr>
          <w:sz w:val="20"/>
          <w:szCs w:val="20"/>
          <w:color w:val="auto"/>
        </w:rPr>
      </w:pPr>
    </w:p>
    <w:p>
      <w:pPr>
        <w:ind w:left="424"/>
        <w:spacing w:after="0"/>
        <w:rPr>
          <w:sz w:val="20"/>
          <w:szCs w:val="20"/>
          <w:color w:val="auto"/>
        </w:rPr>
      </w:pPr>
      <w:r>
        <w:rPr>
          <w:rFonts w:ascii="Arial" w:cs="Arial" w:eastAsia="Arial" w:hAnsi="Arial"/>
          <w:sz w:val="15"/>
          <w:szCs w:val="15"/>
          <w:color w:val="auto"/>
        </w:rPr>
        <w:t>Based upon and subject to the foregoing qualifications, assumptions and limitations and the further limitations set out below, we are of the opinion</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that:</w:t>
      </w:r>
    </w:p>
    <w:p>
      <w:pPr>
        <w:spacing w:after="0" w:line="115" w:lineRule="exact"/>
        <w:rPr>
          <w:sz w:val="20"/>
          <w:szCs w:val="20"/>
          <w:color w:val="auto"/>
        </w:rPr>
      </w:pPr>
    </w:p>
    <w:p>
      <w:pPr>
        <w:ind w:left="404" w:right="180" w:hanging="404"/>
        <w:spacing w:after="0" w:line="278" w:lineRule="auto"/>
        <w:tabs>
          <w:tab w:leader="none" w:pos="40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With respect to the Outstanding Shares to be offered pursuant to the Registration Statement, such Outstanding Shares have been duly authorized and are validly issued, fully paid and nonassessable;</w:t>
      </w:r>
    </w:p>
    <w:p>
      <w:pPr>
        <w:spacing w:after="0" w:line="74" w:lineRule="exact"/>
        <w:rPr>
          <w:rFonts w:ascii="Arial" w:cs="Arial" w:eastAsia="Arial" w:hAnsi="Arial"/>
          <w:sz w:val="17"/>
          <w:szCs w:val="17"/>
          <w:color w:val="auto"/>
        </w:rPr>
      </w:pPr>
    </w:p>
    <w:p>
      <w:pPr>
        <w:ind w:left="404" w:right="100" w:hanging="404"/>
        <w:spacing w:after="0" w:line="261" w:lineRule="auto"/>
        <w:tabs>
          <w:tab w:leader="none" w:pos="40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With respect to the Underlying Class A Shares to be offered pursuant to the Registration Statement, when such shares are issued upon the exchange of outstanding Paired Interests pursuant to the terms of that certain Exchange Agreement, dated as of October 15, 2021, among the Company, Opco and certain unitholders of Opco party thereto (the “Exchange Agreement”), such Underlying Class A Shares will have been duly authorized and validly issued, fully paid and nonassessable;</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7"/>
          <w:szCs w:val="17"/>
          <w:color w:val="auto"/>
        </w:rPr>
        <w:t>Our opinion that any document is legal, valid and binding is qualified as to:</w:t>
      </w:r>
    </w:p>
    <w:p>
      <w:pPr>
        <w:spacing w:after="0" w:line="113" w:lineRule="exact"/>
        <w:rPr>
          <w:sz w:val="20"/>
          <w:szCs w:val="20"/>
          <w:color w:val="auto"/>
        </w:rPr>
      </w:pPr>
    </w:p>
    <w:p>
      <w:pPr>
        <w:ind w:left="4" w:firstLine="416"/>
        <w:spacing w:after="0" w:line="278" w:lineRule="auto"/>
        <w:tabs>
          <w:tab w:leader="none" w:pos="65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limitations imposed by bankruptcy, insolvency, reorganization, arrangement, fraudulent transfer, moratorium or other similar laws relating to or affecting the rights of creditors generally;</w:t>
      </w:r>
    </w:p>
    <w:p>
      <w:pPr>
        <w:spacing w:after="0" w:line="61" w:lineRule="exact"/>
        <w:rPr>
          <w:rFonts w:ascii="Arial" w:cs="Arial" w:eastAsia="Arial" w:hAnsi="Arial"/>
          <w:sz w:val="17"/>
          <w:szCs w:val="17"/>
          <w:color w:val="auto"/>
        </w:rPr>
      </w:pPr>
    </w:p>
    <w:p>
      <w:pPr>
        <w:ind w:left="664" w:hanging="244"/>
        <w:spacing w:after="0"/>
        <w:tabs>
          <w:tab w:leader="none" w:pos="66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rights to indemnification and contribution, which may be limited by applicable law or equitable principles; and</w:t>
      </w:r>
    </w:p>
    <w:p>
      <w:pPr>
        <w:spacing w:after="0" w:line="113" w:lineRule="exact"/>
        <w:rPr>
          <w:rFonts w:ascii="Arial" w:cs="Arial" w:eastAsia="Arial" w:hAnsi="Arial"/>
          <w:sz w:val="17"/>
          <w:szCs w:val="17"/>
          <w:color w:val="auto"/>
        </w:rPr>
      </w:pPr>
    </w:p>
    <w:p>
      <w:pPr>
        <w:ind w:left="4" w:right="140" w:firstLine="416"/>
        <w:spacing w:after="0" w:line="278" w:lineRule="auto"/>
        <w:tabs>
          <w:tab w:leader="none" w:pos="65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65" w:lineRule="exact"/>
        <w:rPr>
          <w:sz w:val="20"/>
          <w:szCs w:val="20"/>
          <w:color w:val="auto"/>
        </w:rPr>
      </w:pPr>
    </w:p>
    <w:p>
      <w:pPr>
        <w:ind w:left="4" w:right="140" w:firstLine="420"/>
        <w:spacing w:after="0" w:line="278" w:lineRule="auto"/>
        <w:rPr>
          <w:sz w:val="20"/>
          <w:szCs w:val="20"/>
          <w:color w:val="auto"/>
        </w:rPr>
      </w:pPr>
      <w:r>
        <w:rPr>
          <w:rFonts w:ascii="Arial" w:cs="Arial" w:eastAsia="Arial" w:hAnsi="Arial"/>
          <w:sz w:val="17"/>
          <w:szCs w:val="17"/>
          <w:color w:val="auto"/>
        </w:rPr>
        <w:t>This opinion is furnished to you in connection with the filing of the Registration Statement, and is not to be used, circulated, quoted or otherwise relied upon for any other purpose.</w:t>
      </w:r>
    </w:p>
    <w:p>
      <w:pPr>
        <w:spacing w:after="0" w:line="165" w:lineRule="exact"/>
        <w:rPr>
          <w:sz w:val="20"/>
          <w:szCs w:val="20"/>
          <w:color w:val="auto"/>
        </w:rPr>
      </w:pPr>
    </w:p>
    <w:p>
      <w:pPr>
        <w:ind w:left="4" w:right="20" w:firstLine="420"/>
        <w:spacing w:after="0" w:line="261"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and in any amendment or supplement thereto. In giving such consent, we do not thereby admit that we are in the category of persons whose consent is required under Section 7 of the Securities Act or the rules and regulations of the Commission thereunder.</w:t>
      </w:r>
    </w:p>
    <w:p>
      <w:pPr>
        <w:sectPr>
          <w:pgSz w:w="11900" w:h="16838" w:orient="portrait"/>
          <w:cols w:equalWidth="0" w:num="1">
            <w:col w:w="10484"/>
          </w:cols>
          <w:pgMar w:left="696" w:top="886" w:right="719" w:bottom="1440" w:gutter="0" w:footer="0" w:header="0"/>
        </w:sectPr>
      </w:pPr>
    </w:p>
    <w:bookmarkStart w:id="334" w:name="page335"/>
    <w:bookmarkEnd w:id="3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180580" cy="36830"/>
                    </a:xfrm>
                    <a:prstGeom prst="rect">
                      <a:avLst/>
                    </a:prstGeom>
                    <a:noFill/>
                  </pic:spPr>
                </pic:pic>
              </a:graphicData>
            </a:graphic>
          </wp:anchor>
        </w:drawing>
        <w:drawing>
          <wp:anchor simplePos="0" relativeHeight="251657728" behindDoc="1" locked="0" layoutInCell="0" allowOverlap="1">
            <wp:simplePos x="0" y="0"/>
            <wp:positionH relativeFrom="page">
              <wp:posOffset>441960</wp:posOffset>
            </wp:positionH>
            <wp:positionV relativeFrom="page">
              <wp:posOffset>178435</wp:posOffset>
            </wp:positionV>
            <wp:extent cx="645160" cy="3270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645160" cy="327025"/>
                    </a:xfrm>
                    <a:prstGeom prst="rect">
                      <a:avLst/>
                    </a:prstGeom>
                    <a:noFill/>
                  </pic:spPr>
                </pic:pic>
              </a:graphicData>
            </a:graphic>
          </wp:anchor>
        </w:drawing>
        <w:t>Bakkt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8, 2021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 Wilson Sonsini Goodrich &amp; Rosati, P.C.</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WILSON SONSINI GOODRICH &amp; ROSATI</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Professional Corporation</w:t>
      </w:r>
    </w:p>
    <w:p>
      <w:pPr>
        <w:sectPr>
          <w:pgSz w:w="11900" w:h="16838" w:orient="portrait"/>
          <w:cols w:equalWidth="0" w:num="1">
            <w:col w:w="9759"/>
          </w:cols>
          <w:pgMar w:left="700" w:top="886" w:right="1440" w:bottom="1440" w:gutter="0" w:footer="0" w:header="0"/>
        </w:sectPr>
      </w:pPr>
    </w:p>
    <w:bookmarkStart w:id="335" w:name="page336"/>
    <w:bookmarkEnd w:id="335"/>
    <w:p>
      <w:pPr>
        <w:jc w:val="right"/>
        <w:spacing w:after="0"/>
        <w:rPr>
          <w:sz w:val="20"/>
          <w:szCs w:val="20"/>
          <w:color w:val="auto"/>
        </w:rPr>
      </w:pPr>
      <w:r>
        <w:rPr>
          <w:rFonts w:ascii="Arial" w:cs="Arial" w:eastAsia="Arial" w:hAnsi="Arial"/>
          <w:sz w:val="17"/>
          <w:szCs w:val="17"/>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March 31, 2021, with respect to the consolidated financial statements of Bakkt Holdings, LLC and subsidiaries, for the years ended December 31, 2020 and December 31, 2019 included in Amendment No. 1 to this Registration Statement (Form S-1 No. 333-261034) and related Prospectus of Bakkt Holdings, Inc., for the registration of 232,378,300 shares of Class A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December 8, 2021</w:t>
      </w:r>
    </w:p>
    <w:p>
      <w:pPr>
        <w:sectPr>
          <w:pgSz w:w="11900" w:h="16838" w:orient="portrait"/>
          <w:cols w:equalWidth="0" w:num="1">
            <w:col w:w="10500"/>
          </w:cols>
          <w:pgMar w:left="700" w:top="121" w:right="699" w:bottom="1440" w:gutter="0" w:footer="0" w:header="0"/>
        </w:sectPr>
      </w:pPr>
    </w:p>
    <w:bookmarkStart w:id="336" w:name="page337"/>
    <w:bookmarkEnd w:id="336"/>
    <w:p>
      <w:pPr>
        <w:jc w:val="right"/>
        <w:spacing w:after="0"/>
        <w:rPr>
          <w:sz w:val="20"/>
          <w:szCs w:val="20"/>
          <w:color w:val="auto"/>
        </w:rPr>
      </w:pPr>
      <w:r>
        <w:rPr>
          <w:rFonts w:ascii="Arial" w:cs="Arial" w:eastAsia="Arial" w:hAnsi="Arial"/>
          <w:sz w:val="17"/>
          <w:szCs w:val="17"/>
          <w:b w:val="1"/>
          <w:bCs w:val="1"/>
          <w:color w:val="auto"/>
        </w:rPr>
        <w:t>Exhibit 23.2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AUDITOR</w:t>
      </w:r>
    </w:p>
    <w:p>
      <w:pPr>
        <w:spacing w:after="0" w:line="2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hereby consent to the inclusion of our report dated July 22, 2020 on the consolidated financial statements of B2S Holdings, Inc. and Subsidiaries as of and for the year ended December 31, 2019 by reference in this Registration Statement on Form S-1 of Bakkt Holdings, Inc.</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 Bennett Thrasher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December 8, 2021</w:t>
      </w:r>
    </w:p>
    <w:p>
      <w:pPr>
        <w:sectPr>
          <w:pgSz w:w="11900" w:h="16838" w:orient="portrait"/>
          <w:cols w:equalWidth="0" w:num="1">
            <w:col w:w="10500"/>
          </w:cols>
          <w:pgMar w:left="700" w:top="121" w:right="699" w:bottom="1440" w:gutter="0" w:footer="0" w:header="0"/>
        </w:sectPr>
      </w:pPr>
    </w:p>
    <w:bookmarkStart w:id="337" w:name="page338"/>
    <w:bookmarkEnd w:id="337"/>
    <w:p>
      <w:pPr>
        <w:jc w:val="right"/>
        <w:spacing w:after="0"/>
        <w:rPr>
          <w:sz w:val="20"/>
          <w:szCs w:val="20"/>
          <w:color w:val="auto"/>
        </w:rPr>
      </w:pPr>
      <w:r>
        <w:rPr>
          <w:rFonts w:ascii="Arial" w:cs="Arial" w:eastAsia="Arial" w:hAnsi="Arial"/>
          <w:sz w:val="17"/>
          <w:szCs w:val="17"/>
          <w:b w:val="1"/>
          <w:bCs w:val="1"/>
          <w:color w:val="auto"/>
        </w:rPr>
        <w:t>Exhibit 23.3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2"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on Amendment No. 1 to Form S-1 of our report dated May 21, 2021, except for the effects of the restatement disclosed in Note 2 and the subsequent event disclosed in Note 11 paragraph 5, as to which the date is December 7, 2021 relating to the consolidated financial statements of VPC Impact Acquisition Holdings which is contained in that Prospectus, and to the reference to our Firm under the caption “Experts” in the Prospectus.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December 8, 2021</w:t>
      </w:r>
    </w:p>
    <w:sectPr>
      <w:pgSz w:w="11900" w:h="16838" w:orient="portrait"/>
      <w:cols w:equalWidth="0" w:num="1">
        <w:col w:w="10500"/>
      </w:cols>
      <w:pgMar w:left="700" w:top="12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lowerRoman"/>
      <w:start w:val="4"/>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1)"/>
      <w:numFmt w:val="decimal"/>
      <w:start w:val="678"/>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1)"/>
      <w:numFmt w:val="decimal"/>
      <w:start w:val="1"/>
    </w:lvl>
  </w:abstractNum>
  <w:abstractNum w:abstractNumId="32">
    <w:nsid w:val="4A2AC315"/>
    <w:multiLevelType w:val="hybridMultilevel"/>
    <w:lvl w:ilvl="0">
      <w:lvlJc w:val="left"/>
      <w:lvlText w:val="(%1)"/>
      <w:numFmt w:val="decimal"/>
      <w:start w:val="1"/>
    </w:lvl>
  </w:abstractNum>
  <w:abstractNum w:abstractNumId="33">
    <w:nsid w:val="39EE015C"/>
    <w:multiLevelType w:val="hybridMultilevel"/>
    <w:lvl w:ilvl="0">
      <w:lvlJc w:val="left"/>
      <w:lvlText w:val="%1."/>
      <w:numFmt w:val="decimal"/>
      <w:start w:val="1"/>
    </w:lvl>
  </w:abstractNum>
  <w:abstractNum w:abstractNumId="34">
    <w:nsid w:val="57FC4FBB"/>
    <w:multiLevelType w:val="hybridMultilevel"/>
    <w:lvl w:ilvl="0">
      <w:lvlJc w:val="left"/>
      <w:lvlText w:val="%1."/>
      <w:numFmt w:val="decimal"/>
      <w:start w:val="2"/>
    </w:lvl>
  </w:abstractNum>
  <w:abstractNum w:abstractNumId="35">
    <w:nsid w:val="CC1016F"/>
    <w:multiLevelType w:val="hybridMultilevel"/>
    <w:lvl w:ilvl="0">
      <w:lvlJc w:val="left"/>
      <w:lvlText w:val="%1."/>
      <w:numFmt w:val="decimal"/>
      <w:start w:val="3"/>
    </w:lvl>
  </w:abstractNum>
  <w:abstractNum w:abstractNumId="36">
    <w:nsid w:val="43F18422"/>
    <w:multiLevelType w:val="hybridMultilevel"/>
    <w:lvl w:ilvl="0">
      <w:lvlJc w:val="left"/>
      <w:lvlText w:val="(%1)"/>
      <w:numFmt w:val="decimal"/>
      <w:start w:val="1"/>
    </w:lvl>
  </w:abstractNum>
  <w:abstractNum w:abstractNumId="37">
    <w:nsid w:val="60EF0119"/>
    <w:multiLevelType w:val="hybridMultilevel"/>
    <w:lvl w:ilvl="0">
      <w:lvlJc w:val="left"/>
      <w:lvlText w:val="(%1)"/>
      <w:numFmt w:val="upperLetter"/>
      <w:start w:val="2"/>
    </w:lvl>
  </w:abstractNum>
  <w:abstractNum w:abstractNumId="38">
    <w:nsid w:val="26F324BA"/>
    <w:multiLevelType w:val="hybridMultilevel"/>
    <w:lvl w:ilvl="0">
      <w:lvlJc w:val="left"/>
      <w:lvlText w:val="(%1)"/>
      <w:numFmt w:val="decimal"/>
      <w:start w:val="1"/>
    </w:lvl>
  </w:abstractNum>
  <w:abstractNum w:abstractNumId="39">
    <w:nsid w:val="7F01579B"/>
    <w:multiLevelType w:val="hybridMultilevel"/>
    <w:lvl w:ilvl="0">
      <w:lvlJc w:val="left"/>
      <w:lvlText w:val="(%1)"/>
      <w:numFmt w:val="upperLetter"/>
      <w:start w:val="4"/>
    </w:lvl>
  </w:abstractNum>
  <w:abstractNum w:abstractNumId="40">
    <w:nsid w:val="49DA307D"/>
    <w:multiLevelType w:val="hybridMultilevel"/>
    <w:lvl w:ilvl="0">
      <w:lvlJc w:val="left"/>
      <w:lvlText w:val="%1."/>
      <w:numFmt w:val="decimal"/>
      <w:start w:val="4"/>
    </w:lvl>
  </w:abstractNum>
  <w:abstractNum w:abstractNumId="41">
    <w:nsid w:val="7055A5F5"/>
    <w:multiLevelType w:val="hybridMultilevel"/>
    <w:lvl w:ilvl="0">
      <w:lvlJc w:val="left"/>
      <w:lvlText w:val="(%1)"/>
      <w:numFmt w:val="upperLetter"/>
      <w:start w:val="27"/>
    </w:lvl>
  </w:abstractNum>
  <w:abstractNum w:abstractNumId="42">
    <w:nsid w:val="5FB8370B"/>
    <w:multiLevelType w:val="hybridMultilevel"/>
    <w:lvl w:ilvl="0">
      <w:lvlJc w:val="left"/>
      <w:lvlText w:val="(%1)"/>
      <w:numFmt w:val="upperLetter"/>
      <w:start w:val="29"/>
    </w:lvl>
  </w:abstractNum>
  <w:abstractNum w:abstractNumId="43">
    <w:nsid w:val="50801EE1"/>
    <w:multiLevelType w:val="hybridMultilevel"/>
    <w:lvl w:ilvl="0">
      <w:lvlJc w:val="left"/>
      <w:lvlText w:val="%1."/>
      <w:numFmt w:val="decimal"/>
      <w:start w:val="5"/>
    </w:lvl>
  </w:abstractNum>
  <w:abstractNum w:abstractNumId="44">
    <w:nsid w:val="488AC1A"/>
    <w:multiLevelType w:val="hybridMultilevel"/>
    <w:lvl w:ilvl="0">
      <w:lvlJc w:val="left"/>
      <w:lvlText w:val="(%1)"/>
      <w:numFmt w:val="upperLetter"/>
      <w:start w:val="53"/>
    </w:lvl>
  </w:abstractNum>
  <w:abstractNum w:abstractNumId="45">
    <w:nsid w:val="5FB8011C"/>
    <w:multiLevelType w:val="hybridMultilevel"/>
    <w:lvl w:ilvl="0">
      <w:lvlJc w:val="left"/>
      <w:lvlText w:val="(%1)"/>
      <w:numFmt w:val="upperLetter"/>
      <w:start w:val="54"/>
    </w:lvl>
  </w:abstractNum>
  <w:abstractNum w:abstractNumId="46">
    <w:nsid w:val="6AA78F7F"/>
    <w:multiLevelType w:val="hybridMultilevel"/>
    <w:lvl w:ilvl="0">
      <w:lvlJc w:val="left"/>
      <w:lvlText w:val="%1."/>
      <w:numFmt w:val="decimal"/>
      <w:start w:val="6"/>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1)"/>
      <w:numFmt w:val="decimal"/>
      <w:start w:val="1"/>
    </w:lvl>
  </w:abstractNum>
  <w:abstractNum w:abstractNumId="51">
    <w:nsid w:val="5F3534A4"/>
    <w:multiLevelType w:val="hybridMultilevel"/>
    <w:lvl w:ilvl="0">
      <w:lvlJc w:val="left"/>
      <w:lvlText w:val="(%1)"/>
      <w:numFmt w:val="decimal"/>
      <w:start w:val="1"/>
    </w:lvl>
  </w:abstractNum>
  <w:abstractNum w:abstractNumId="52">
    <w:nsid w:val="73A1821B"/>
    <w:multiLevelType w:val="hybridMultilevel"/>
    <w:lvl w:ilvl="0">
      <w:lvlJc w:val="left"/>
      <w:lvlText w:val="(%1)"/>
      <w:numFmt w:val="decimal"/>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1)"/>
      <w:numFmt w:val="lowerRoman"/>
      <w:start w:val="2"/>
    </w:lvl>
  </w:abstractNum>
  <w:abstractNum w:abstractNumId="55">
    <w:nsid w:val="3FA62ACA"/>
    <w:multiLevelType w:val="hybridMultilevel"/>
    <w:lvl w:ilvl="0">
      <w:lvlJc w:val="left"/>
      <w:lvlText w:val="(%1)"/>
      <w:numFmt w:val="lowerRoman"/>
      <w:start w:val="4"/>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1)"/>
      <w:numFmt w:val="decimal"/>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1)"/>
      <w:numFmt w:val="decimal"/>
      <w:start w:val="1"/>
    </w:lvl>
  </w:abstractNum>
  <w:abstractNum w:abstractNumId="75">
    <w:nsid w:val="45E6D486"/>
    <w:multiLevelType w:val="hybridMultilevel"/>
    <w:lvl w:ilvl="0">
      <w:lvlJc w:val="left"/>
      <w:lvlText w:val="(%1)"/>
      <w:numFmt w:val="decimal"/>
      <w:start w:val="1"/>
    </w:lvl>
  </w:abstractNum>
  <w:abstractNum w:abstractNumId="76">
    <w:nsid w:val="5C10FE21"/>
    <w:multiLevelType w:val="hybridMultilevel"/>
    <w:lvl w:ilvl="0">
      <w:lvlJc w:val="left"/>
      <w:lvlText w:val="•"/>
      <w:numFmt w:val="bullet"/>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1)"/>
      <w:numFmt w:val="decimal"/>
      <w:start w:val="1"/>
    </w:lvl>
  </w:abstractNum>
  <w:abstractNum w:abstractNumId="81">
    <w:nsid w:val="39B7AAA2"/>
    <w:multiLevelType w:val="hybridMultilevel"/>
    <w:lvl w:ilvl="0">
      <w:lvlJc w:val="left"/>
      <w:lvlText w:val="(%1)"/>
      <w:numFmt w:val="decimal"/>
      <w:start w:val="9"/>
    </w:lvl>
  </w:abstractNum>
  <w:abstractNum w:abstractNumId="82">
    <w:nsid w:val="2B0D8DBE"/>
    <w:multiLevelType w:val="hybridMultilevel"/>
    <w:lvl w:ilvl="0">
      <w:lvlJc w:val="left"/>
      <w:lvlText w:val="(%1)"/>
      <w:numFmt w:val="lowerRoman"/>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1)"/>
      <w:numFmt w:val="decimal"/>
      <w:start w:val="1"/>
    </w:lvl>
  </w:abstractNum>
  <w:abstractNum w:abstractNumId="85">
    <w:nsid w:val="69E373"/>
    <w:multiLevelType w:val="hybridMultilevel"/>
    <w:lvl w:ilvl="0">
      <w:lvlJc w:val="left"/>
      <w:lvlText w:val="(%1)"/>
      <w:numFmt w:val="decimal"/>
      <w:start w:val="3"/>
    </w:lvl>
  </w:abstractNum>
  <w:abstractNum w:abstractNumId="86">
    <w:nsid w:val="2C27173B"/>
    <w:multiLevelType w:val="hybridMultilevel"/>
    <w:lvl w:ilvl="0">
      <w:lvlJc w:val="left"/>
      <w:lvlText w:val="(%1)"/>
      <w:numFmt w:val="decimal"/>
      <w:start w:val="12"/>
    </w:lvl>
  </w:abstractNum>
  <w:abstractNum w:abstractNumId="87">
    <w:nsid w:val="4C9B0904"/>
    <w:multiLevelType w:val="hybridMultilevel"/>
    <w:lvl w:ilvl="0">
      <w:lvlJc w:val="left"/>
      <w:lvlText w:val="(%1)"/>
      <w:numFmt w:val="decimal"/>
      <w:start w:val="18"/>
    </w:lvl>
  </w:abstractNum>
  <w:abstractNum w:abstractNumId="88">
    <w:nsid w:val="6AA7B75C"/>
    <w:multiLevelType w:val="hybridMultilevel"/>
    <w:lvl w:ilvl="0">
      <w:lvlJc w:val="left"/>
      <w:lvlText w:val="(%1)"/>
      <w:numFmt w:val="decimal"/>
      <w:start w:val="26"/>
    </w:lvl>
  </w:abstractNum>
  <w:abstractNum w:abstractNumId="89">
    <w:nsid w:val="1DF029D3"/>
    <w:multiLevelType w:val="hybridMultilevel"/>
    <w:lvl w:ilvl="0">
      <w:lvlJc w:val="left"/>
      <w:lvlText w:val="(%1)"/>
      <w:numFmt w:val="decimal"/>
      <w:start w:val="32"/>
    </w:lvl>
  </w:abstractNum>
  <w:abstractNum w:abstractNumId="90">
    <w:nsid w:val="5675FF36"/>
    <w:multiLevelType w:val="hybridMultilevel"/>
    <w:lvl w:ilvl="0">
      <w:lvlJc w:val="left"/>
      <w:lvlText w:val="•"/>
      <w:numFmt w:val="bullet"/>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
      <w:numFmt w:val="bullet"/>
      <w:start w:val="1"/>
    </w:lvl>
  </w:abstractNum>
  <w:abstractNum w:abstractNumId="93">
    <w:nsid w:val="2708C9AF"/>
    <w:multiLevelType w:val="hybridMultilevel"/>
    <w:lvl w:ilvl="0">
      <w:lvlJc w:val="left"/>
      <w:lvlText w:val="•"/>
      <w:numFmt w:val="bullet"/>
      <w:start w:val="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1."/>
      <w:numFmt w:val="decimal"/>
      <w:start w:val="144"/>
    </w:lvl>
  </w:abstractNum>
  <w:abstractNum w:abstractNumId="96">
    <w:nsid w:val="4F97E3E4"/>
    <w:multiLevelType w:val="hybridMultilevel"/>
    <w:lvl w:ilvl="0">
      <w:lvlJc w:val="left"/>
      <w:lvlText w:val="•"/>
      <w:numFmt w:val="bullet"/>
      <w:start w:val="1"/>
    </w:lvl>
  </w:abstractNum>
  <w:abstractNum w:abstractNumId="97">
    <w:nsid w:val="53B0A9E"/>
    <w:multiLevelType w:val="hybridMultilevel"/>
    <w:lvl w:ilvl="0">
      <w:lvlJc w:val="left"/>
      <w:lvlText w:val="•"/>
      <w:numFmt w:val="bullet"/>
      <w:start w:val="1"/>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
      <w:numFmt w:val="bullet"/>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1)"/>
      <w:numFmt w:val="lowerRoman"/>
      <w:start w:val="1"/>
    </w:lvl>
  </w:abstractNum>
  <w:abstractNum w:abstractNumId="105">
    <w:nsid w:val="5046B5A9"/>
    <w:multiLevelType w:val="hybridMultilevel"/>
    <w:lvl w:ilvl="0">
      <w:lvlJc w:val="left"/>
      <w:lvlText w:val="•"/>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1)"/>
      <w:numFmt w:val="lowerRoman"/>
      <w:start w:val="1"/>
    </w:lvl>
  </w:abstractNum>
  <w:abstractNum w:abstractNumId="109">
    <w:nsid w:val="19E21BB2"/>
    <w:multiLevelType w:val="hybridMultilevel"/>
    <w:lvl w:ilvl="0">
      <w:lvlJc w:val="left"/>
      <w:lvlText w:val="(%1)"/>
      <w:numFmt w:val="lowerRoman"/>
      <w:start w:val="1"/>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1."/>
      <w:numFmt w:val="decimal"/>
      <w:start w:val="1"/>
    </w:lvl>
  </w:abstractNum>
  <w:abstractNum w:abstractNumId="114">
    <w:nsid w:val="4427069A"/>
    <w:multiLevelType w:val="hybridMultilevel"/>
    <w:lvl w:ilvl="0">
      <w:lvlJc w:val="left"/>
      <w:lvlText w:val="%1."/>
      <w:numFmt w:val="decimal"/>
      <w:start w:val="2"/>
    </w:lvl>
  </w:abstractNum>
  <w:abstractNum w:abstractNumId="115">
    <w:nsid w:val="B37E80A"/>
    <w:multiLevelType w:val="hybridMultilevel"/>
    <w:lvl w:ilvl="0">
      <w:lvlJc w:val="left"/>
      <w:lvlText w:val="(%1)"/>
      <w:numFmt w:val="lowerRoman"/>
      <w:start w:val="1"/>
    </w:lvl>
  </w:abstractNum>
  <w:abstractNum w:abstractNumId="116">
    <w:nsid w:val="2157F6BC"/>
    <w:multiLevelType w:val="hybridMultilevel"/>
    <w:lvl w:ilvl="0">
      <w:lvlJc w:val="left"/>
      <w:lvlText w:val="(%1)"/>
      <w:numFmt w:val="lowerRoman"/>
      <w:start w:val="4"/>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1."/>
      <w:numFmt w:val="decimal"/>
      <w:start w:val="3"/>
    </w:lvl>
  </w:abstractNum>
  <w:abstractNum w:abstractNumId="120">
    <w:nsid w:val="E3E47A8"/>
    <w:multiLevelType w:val="hybridMultilevel"/>
    <w:lvl w:ilvl="0">
      <w:lvlJc w:val="left"/>
      <w:lvlText w:val="(%1)"/>
      <w:numFmt w:val="lowerLetter"/>
      <w:start w:val="1"/>
    </w:lvl>
  </w:abstractNum>
  <w:abstractNum w:abstractNumId="121">
    <w:nsid w:val="2E48F044"/>
    <w:multiLevelType w:val="hybridMultilevel"/>
    <w:lvl w:ilvl="0">
      <w:lvlJc w:val="left"/>
      <w:lvlText w:val="%1."/>
      <w:numFmt w:val="decimal"/>
      <w:start w:val="4"/>
    </w:lvl>
  </w:abstractNum>
  <w:abstractNum w:abstractNumId="122">
    <w:nsid w:val="49D0FEAC"/>
    <w:multiLevelType w:val="hybridMultilevel"/>
    <w:lvl w:ilvl="0">
      <w:lvlJc w:val="left"/>
      <w:lvlText w:val="%1."/>
      <w:numFmt w:val="decimal"/>
      <w:start w:val="7"/>
    </w:lvl>
  </w:abstractNum>
  <w:abstractNum w:abstractNumId="123">
    <w:nsid w:val="4BEE5A5B"/>
    <w:multiLevelType w:val="hybridMultilevel"/>
    <w:lvl w:ilvl="0">
      <w:lvlJc w:val="left"/>
      <w:lvlText w:val="%1."/>
      <w:numFmt w:val="decimal"/>
      <w:start w:val="8"/>
    </w:lvl>
  </w:abstractNum>
  <w:abstractNum w:abstractNumId="124">
    <w:nsid w:val="5551B9F3"/>
    <w:multiLevelType w:val="hybridMultilevel"/>
    <w:lvl w:ilvl="0">
      <w:lvlJc w:val="left"/>
      <w:lvlText w:val="%1."/>
      <w:numFmt w:val="decimal"/>
      <w:start w:val="9"/>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1."/>
      <w:numFmt w:val="decimal"/>
      <w:start w:val="10"/>
    </w:lvl>
  </w:abstractNum>
  <w:abstractNum w:abstractNumId="127">
    <w:nsid w:val="24E99DD7"/>
    <w:multiLevelType w:val="hybridMultilevel"/>
    <w:lvl w:ilvl="0">
      <w:lvlJc w:val="left"/>
      <w:lvlText w:val="%1."/>
      <w:numFmt w:val="decimal"/>
      <w:start w:val="11"/>
    </w:lvl>
  </w:abstractNum>
  <w:abstractNum w:abstractNumId="128">
    <w:nsid w:val="2A31B62D"/>
    <w:multiLevelType w:val="hybridMultilevel"/>
    <w:lvl w:ilvl="0">
      <w:lvlJc w:val="left"/>
      <w:lvlText w:val="%1."/>
      <w:numFmt w:val="decimal"/>
      <w:start w:val="12"/>
    </w:lvl>
  </w:abstractNum>
  <w:abstractNum w:abstractNumId="129">
    <w:nsid w:val="1849C29B"/>
    <w:multiLevelType w:val="hybridMultilevel"/>
    <w:lvl w:ilvl="0">
      <w:lvlJc w:val="left"/>
      <w:lvlText w:val="%1."/>
      <w:numFmt w:val="decimal"/>
      <w:start w:val="13"/>
    </w:lvl>
  </w:abstractNum>
  <w:abstractNum w:abstractNumId="130">
    <w:nsid w:val="7DFF9D09"/>
    <w:multiLevelType w:val="hybridMultilevel"/>
    <w:lvl w:ilvl="0">
      <w:lvlJc w:val="left"/>
      <w:lvlText w:val="%1."/>
      <w:numFmt w:val="decimal"/>
      <w:start w:val="14"/>
    </w:lvl>
  </w:abstractNum>
  <w:abstractNum w:abstractNumId="131">
    <w:nsid w:val="754342"/>
    <w:multiLevelType w:val="hybridMultilevel"/>
    <w:lvl w:ilvl="0">
      <w:lvlJc w:val="left"/>
      <w:lvlText w:val="%1."/>
      <w:numFmt w:val="decimal"/>
      <w:start w:val="15"/>
    </w:lvl>
  </w:abstractNum>
  <w:abstractNum w:abstractNumId="132">
    <w:nsid w:val="69E7F3E5"/>
    <w:multiLevelType w:val="hybridMultilevel"/>
    <w:lvl w:ilvl="0">
      <w:lvlJc w:val="left"/>
      <w:lvlText w:val="%1."/>
      <w:numFmt w:val="decimal"/>
      <w:start w:val="2"/>
    </w:lvl>
  </w:abstractNum>
  <w:abstractNum w:abstractNumId="133">
    <w:nsid w:val="2A6DE806"/>
    <w:multiLevelType w:val="hybridMultilevel"/>
    <w:lvl w:ilvl="0">
      <w:lvlJc w:val="left"/>
      <w:lvlText w:val="(%1)"/>
      <w:numFmt w:val="lowerRoman"/>
      <w:start w:val="2"/>
    </w:lvl>
  </w:abstractNum>
  <w:abstractNum w:abstractNumId="134">
    <w:nsid w:val="1816F8C4"/>
    <w:multiLevelType w:val="hybridMultilevel"/>
    <w:lvl w:ilvl="0">
      <w:lvlJc w:val="left"/>
      <w:lvlText w:val="•"/>
      <w:numFmt w:val="bullet"/>
      <w:start w:val="1"/>
    </w:lvl>
  </w:abstractNum>
  <w:abstractNum w:abstractNumId="135">
    <w:nsid w:val="37DF2233"/>
    <w:multiLevelType w:val="hybridMultilevel"/>
    <w:lvl w:ilvl="0">
      <w:lvlJc w:val="left"/>
      <w:lvlText w:val="•"/>
      <w:numFmt w:val="bullet"/>
      <w:start w:val="1"/>
    </w:lvl>
  </w:abstractNum>
  <w:abstractNum w:abstractNumId="136">
    <w:nsid w:val="7AB49DAF"/>
    <w:multiLevelType w:val="hybridMultilevel"/>
    <w:lvl w:ilvl="0">
      <w:lvlJc w:val="left"/>
      <w:lvlText w:val="(%1)"/>
      <w:numFmt w:val="lowerLetter"/>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
      <w:numFmt w:val="bullet"/>
      <w:start w:val="1"/>
    </w:lvl>
  </w:abstractNum>
  <w:abstractNum w:abstractNumId="139">
    <w:nsid w:val="597B4D84"/>
    <w:multiLevelType w:val="hybridMultilevel"/>
    <w:lvl w:ilvl="0">
      <w:lvlJc w:val="left"/>
      <w:lvlText w:val="$"/>
      <w:numFmt w:val="bullet"/>
      <w:start w:val="1"/>
    </w:lvl>
  </w:abstractNum>
  <w:abstractNum w:abstractNumId="140">
    <w:nsid w:val="F819E7F"/>
    <w:multiLevelType w:val="hybridMultilevel"/>
    <w:lvl w:ilvl="0">
      <w:lvlJc w:val="left"/>
      <w:lvlText w:val="$"/>
      <w:numFmt w:val="bullet"/>
      <w:start w:val="1"/>
    </w:lvl>
  </w:abstractNum>
  <w:abstractNum w:abstractNumId="141">
    <w:nsid w:val="57C7D42D"/>
    <w:multiLevelType w:val="hybridMultilevel"/>
    <w:lvl w:ilvl="0">
      <w:lvlJc w:val="left"/>
      <w:lvlText w:val="•"/>
      <w:numFmt w:val="bullet"/>
      <w:start w:val="1"/>
    </w:lvl>
  </w:abstractNum>
  <w:abstractNum w:abstractNumId="142">
    <w:nsid w:val="312167AD"/>
    <w:multiLevelType w:val="hybridMultilevel"/>
    <w:lvl w:ilvl="0">
      <w:lvlJc w:val="left"/>
      <w:lvlText w:val="†"/>
      <w:numFmt w:val="bullet"/>
      <w:start w:val="1"/>
    </w:lvl>
  </w:abstractNum>
  <w:abstractNum w:abstractNumId="143">
    <w:nsid w:val="631B64D4"/>
    <w:multiLevelType w:val="hybridMultilevel"/>
    <w:lvl w:ilvl="0">
      <w:lvlJc w:val="left"/>
      <w:lvlText w:val="(%1)"/>
      <w:numFmt w:val="decimal"/>
      <w:start w:val="1"/>
    </w:lvl>
    <w:lvl w:ilvl="1">
      <w:lvlJc w:val="left"/>
      <w:lvlText w:val="(%2)"/>
      <w:numFmt w:val="lowerRoman"/>
      <w:start w:val="1"/>
    </w:lvl>
  </w:abstractNum>
  <w:abstractNum w:abstractNumId="144">
    <w:nsid w:val="78B5E776"/>
    <w:multiLevelType w:val="hybridMultilevel"/>
    <w:lvl w:ilvl="0">
      <w:lvlJc w:val="left"/>
      <w:lvlText w:val="(%1)"/>
      <w:numFmt w:val="upperLetter"/>
      <w:start w:val="1"/>
    </w:lvl>
  </w:abstractNum>
  <w:abstractNum w:abstractNumId="145">
    <w:nsid w:val="75486E47"/>
    <w:multiLevelType w:val="hybridMultilevel"/>
    <w:lvl w:ilvl="0">
      <w:lvlJc w:val="left"/>
      <w:lvlText w:val="%1"/>
      <w:numFmt w:val="decimal"/>
      <w:start w:val="1"/>
    </w:lvl>
    <w:lvl w:ilvl="1">
      <w:lvlJc w:val="left"/>
      <w:lvlText w:val="(%2)"/>
      <w:numFmt w:val="lowerRoman"/>
      <w:start w:val="2"/>
    </w:lvl>
  </w:abstractNum>
  <w:abstractNum w:abstractNumId="146">
    <w:nsid w:val="6E534CDE"/>
    <w:multiLevelType w:val="hybridMultilevel"/>
    <w:lvl w:ilvl="0">
      <w:lvlJc w:val="left"/>
      <w:lvlText w:val="(%1)"/>
      <w:numFmt w:val="decimal"/>
      <w:start w:val="5"/>
    </w:lvl>
    <w:lvl w:ilvl="1">
      <w:lvlJc w:val="left"/>
      <w:lvlText w:val="(%2)"/>
      <w:numFmt w:val="lowerRoman"/>
      <w:start w:val="1"/>
    </w:lvl>
  </w:abstractNum>
  <w:abstractNum w:abstractNumId="147">
    <w:nsid w:val="1A0DDE32"/>
    <w:multiLevelType w:val="hybridMultilevel"/>
    <w:lvl w:ilvl="0">
      <w:lvlJc w:val="left"/>
      <w:lvlText w:val="(%1)"/>
      <w:numFmt w:val="lowerLetter"/>
      <w:start w:val="2"/>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90" Type="http://schemas.openxmlformats.org/officeDocument/2006/relationships/image" Target="media/image376.png"/><Relationship Id="rId40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jpeg"/><Relationship Id="rId423" Type="http://schemas.openxmlformats.org/officeDocument/2006/relationships/image" Target="media/image385.jpeg"/><Relationship Id="rId424" Type="http://schemas.openxmlformats.org/officeDocument/2006/relationships/image" Target="media/image386.png"/><Relationship Id="rId425" Type="http://schemas.openxmlformats.org/officeDocument/2006/relationships/image" Target="media/image387.jpeg"/><Relationship Id="rId426" Type="http://schemas.openxmlformats.org/officeDocument/2006/relationships/image" Target="media/image388.png"/><Relationship Id="rId427" Type="http://schemas.openxmlformats.org/officeDocument/2006/relationships/image" Target="media/image389.jpeg"/><Relationship Id="rId383" Type="http://schemas.openxmlformats.org/officeDocument/2006/relationships/hyperlink" Target="http://www.sec.gov/Archives/edgar/data/1820302/000119312521005832/d913171dex21.htm" TargetMode="External"/><Relationship Id="rId384" Type="http://schemas.openxmlformats.org/officeDocument/2006/relationships/hyperlink" Target="http://www.sec.gov/Archives/edgar/data/1820302/000119312521101249/d107545dex21.htm" TargetMode="External"/><Relationship Id="rId385" Type="http://schemas.openxmlformats.org/officeDocument/2006/relationships/hyperlink" Target="http://www.sec.gov/Archives/edgar/data/1820302/000119312521286927/d204551dex21.htm" TargetMode="External"/><Relationship Id="rId386" Type="http://schemas.openxmlformats.org/officeDocument/2006/relationships/hyperlink" Target="http://www.sec.gov/Archives/edgar/data/1820302/000119312521303985/d219325dex31.htm" TargetMode="External"/><Relationship Id="rId387" Type="http://schemas.openxmlformats.org/officeDocument/2006/relationships/hyperlink" Target="http://www.sec.gov/Archives/edgar/data/1820302/000119312521303985/d219325dex32.htm" TargetMode="External"/><Relationship Id="rId388" Type="http://schemas.openxmlformats.org/officeDocument/2006/relationships/hyperlink" Target="http://www.sec.gov/Archives/edgar/data/1820302/000119312521303985/d219325dex41.htm" TargetMode="External"/><Relationship Id="rId389" Type="http://schemas.openxmlformats.org/officeDocument/2006/relationships/hyperlink" Target="http://www.sec.gov/Archives/edgar/data/1820302/000119312521303985/d219325dex42.htm" TargetMode="External"/><Relationship Id="rId391" Type="http://schemas.openxmlformats.org/officeDocument/2006/relationships/hyperlink" Target="http://www.sec.gov/Archives/edgar/data/1820302/000119312520256308/d38926dex41.htm" TargetMode="External"/><Relationship Id="rId392" Type="http://schemas.openxmlformats.org/officeDocument/2006/relationships/hyperlink" Target="http://www.sec.gov/Archives/edgar/data/1820302/000119312521303985/d219325dex43.htm" TargetMode="External"/><Relationship Id="rId393" Type="http://schemas.openxmlformats.org/officeDocument/2006/relationships/hyperlink" Target="http://www.sec.gov/Archives/edgar/data/1820302/000119312520256308/d38926dex101.htm" TargetMode="External"/><Relationship Id="rId394" Type="http://schemas.openxmlformats.org/officeDocument/2006/relationships/hyperlink" Target="http://www.sec.gov/Archives/edgar/data/1820302/000119312521005832/d913171dex103.htm" TargetMode="External"/><Relationship Id="rId395" Type="http://schemas.openxmlformats.org/officeDocument/2006/relationships/hyperlink" Target="http://www.sec.gov/Archives/edgar/data/1820302/000119312521005832/d913171dex101.htm" TargetMode="External"/><Relationship Id="rId396" Type="http://schemas.openxmlformats.org/officeDocument/2006/relationships/hyperlink" Target="http://www.sec.gov/Archives/edgar/data/1820302/000119312521303985/d219325dex108.htm" TargetMode="External"/><Relationship Id="rId397" Type="http://schemas.openxmlformats.org/officeDocument/2006/relationships/hyperlink" Target="http://www.sec.gov/Archives/edgar/data/1820302/000119312521303985/d219325dex1010.htm" TargetMode="External"/><Relationship Id="rId398" Type="http://schemas.openxmlformats.org/officeDocument/2006/relationships/hyperlink" Target="http://www.sec.gov/Archives/edgar/data/1820302/000119312521303985/d219325dex106.htm" TargetMode="External"/><Relationship Id="rId399" Type="http://schemas.openxmlformats.org/officeDocument/2006/relationships/hyperlink" Target="http://www.sec.gov/Archives/edgar/data/1820302/000119312521303985/d219325dex101.htm" TargetMode="External"/><Relationship Id="rId400" Type="http://schemas.openxmlformats.org/officeDocument/2006/relationships/hyperlink" Target="http://www.sec.gov/Archives/edgar/data/1820302/000119312521303985/d219325dex102.htm" TargetMode="External"/><Relationship Id="rId401" Type="http://schemas.openxmlformats.org/officeDocument/2006/relationships/hyperlink" Target="http://www.sec.gov/Archives/edgar/data/1820302/000119312521303985/d219325dex103.htm" TargetMode="External"/><Relationship Id="rId402" Type="http://schemas.openxmlformats.org/officeDocument/2006/relationships/hyperlink" Target="http://www.sec.gov/Archives/edgar/data/1820302/000119312521303985/d219325dex104.htm" TargetMode="External"/><Relationship Id="rId403" Type="http://schemas.openxmlformats.org/officeDocument/2006/relationships/hyperlink" Target="http://www.sec.gov/Archives/edgar/data/1820302/000119312521303985/d219325dex105.htm" TargetMode="External"/><Relationship Id="rId404" Type="http://schemas.openxmlformats.org/officeDocument/2006/relationships/hyperlink" Target="http://www.sec.gov/Archives/edgar/data/1820302/000119312521303985/d219325dex109.htm" TargetMode="External"/><Relationship Id="rId406" Type="http://schemas.openxmlformats.org/officeDocument/2006/relationships/hyperlink" Target="http://www.sec.gov/Archives/edgar/data/1820302/000119312521303985/d219325dex107.htm" TargetMode="External"/><Relationship Id="rId407" Type="http://schemas.openxmlformats.org/officeDocument/2006/relationships/hyperlink" Target="http://www.sec.gov/Archives/edgar/data/1820302/000119312521327401/d262546dex101.htm" TargetMode="External"/><Relationship Id="rId408" Type="http://schemas.openxmlformats.org/officeDocument/2006/relationships/hyperlink" Target="http://www.sec.gov/Archives/edgar/data/1820302/000119312521303985/d219325dex1012.htm" TargetMode="External"/><Relationship Id="rId409" Type="http://schemas.openxmlformats.org/officeDocument/2006/relationships/hyperlink" Target="http://www.sec.gov/Archives/edgar/data/1820302/000119312521303985/d219325dex1013.htm" TargetMode="External"/><Relationship Id="rId410" Type="http://schemas.openxmlformats.org/officeDocument/2006/relationships/hyperlink" Target="http://www.sec.gov/Archives/edgar/data/1820302/000119312521303985/d219325dex1015.htm" TargetMode="External"/><Relationship Id="rId411" Type="http://schemas.openxmlformats.org/officeDocument/2006/relationships/hyperlink" Target="http://www.sec.gov/Archives/edgar/data/1820302/000119312521303985/d219325dex1014.htm" TargetMode="External"/><Relationship Id="rId412" Type="http://schemas.openxmlformats.org/officeDocument/2006/relationships/hyperlink" Target="http://www.sec.gov/Archives/edgar/data/1820302/000119312521303985/d219325dex1018.htm" TargetMode="External"/><Relationship Id="rId413" Type="http://schemas.openxmlformats.org/officeDocument/2006/relationships/hyperlink" Target="http://www.sec.gov/Archives/edgar/data/1820302/000119312521303985/d219325dex1017.htm" TargetMode="External"/><Relationship Id="rId414" Type="http://schemas.openxmlformats.org/officeDocument/2006/relationships/hyperlink" Target="http://www.sec.gov/Archives/edgar/data/1820302/000119312521328170/d226097dex211.htm" TargetMode="External"/><Relationship Id="rId415" Type="http://schemas.openxmlformats.org/officeDocument/2006/relationships/hyperlink" Target="http://www.sec.gov/ix?doc=/Archives/edgar/data/1820302/000119312521328170/d226097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2021-12-08T15:37:33Z</dcterms:created>
  <dcterms:modified xsi:type="dcterms:W3CDTF">2021-12-08T15:37:33Z</dcterms:modified>
</cp:coreProperties>
</file>