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October 12,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REVISIONS TO THE DEFINITIVE PROXY STATEMENT</w:t>
      </w:r>
    </w:p>
    <w:p>
      <w:pPr>
        <w:spacing w:after="0" w:line="229"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disclosures revise certain of the disclosures contained in the definitive proxy statement dated September 17, 2021 (the “Definitive Proxy Statement”) and should be read in conjunction with the disclosures contained in the Definitive Proxy Statement, which should be read in its entirety. To the extent the information set forth herein differs from or updates information contained in the Definitive Proxy Statement, the information set forth herein shall supersede or supplement the information in the Definitive Proxy Statement. All page and paragraph references used herein refer to the Definitive Proxy Statement before any additions or deletions resulting from the revised disclosures, and terms used below, unless otherwise defined, have the meanings set forth in the Definitive Proxy Statement. Underlined text shows text being added to and strikethrough text shows text being removed from a referenced disclosure in the Definitive Proxy Statement.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section of the Definitive Proxy Statement entitled “</w:t>
      </w:r>
      <w:r>
        <w:rPr>
          <w:rFonts w:ascii="Arial" w:cs="Arial" w:eastAsia="Arial" w:hAnsi="Arial"/>
          <w:sz w:val="17"/>
          <w:szCs w:val="17"/>
          <w:b w:val="1"/>
          <w:bCs w:val="1"/>
          <w:i w:val="1"/>
          <w:iCs w:val="1"/>
          <w:color w:val="auto"/>
        </w:rPr>
        <w:t>Questions and Answers for Shareholders of VIH</w:t>
      </w:r>
      <w:r>
        <w:rPr>
          <w:rFonts w:ascii="Arial" w:cs="Arial" w:eastAsia="Arial" w:hAnsi="Arial"/>
          <w:sz w:val="17"/>
          <w:szCs w:val="17"/>
          <w:b w:val="1"/>
          <w:bCs w:val="1"/>
          <w:color w:val="auto"/>
        </w:rPr>
        <w:t>” is hereby revised as follows:</w:t>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fourth question on page 27 of the Definitive Proxy Statement is amended and restated as follows:</w:t>
      </w:r>
    </w:p>
    <w:p>
      <w:pPr>
        <w:spacing w:after="0" w:line="131"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solicit and pay the cost of soliciting proxies for the extraordinary general meeting?</w:t>
      </w:r>
    </w:p>
    <w:p>
      <w:pPr>
        <w:spacing w:after="0" w:line="130" w:lineRule="exact"/>
        <w:rPr>
          <w:rFonts w:ascii="Arial" w:cs="Arial" w:eastAsia="Arial" w:hAnsi="Arial"/>
          <w:sz w:val="18"/>
          <w:szCs w:val="18"/>
          <w:b w:val="1"/>
          <w:bCs w:val="1"/>
          <w:i w:val="1"/>
          <w:iCs w:val="1"/>
          <w:color w:val="auto"/>
        </w:rPr>
      </w:pPr>
    </w:p>
    <w:p>
      <w:pPr>
        <w:ind w:left="960" w:right="140" w:hanging="532"/>
        <w:spacing w:after="0" w:line="275"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VIH will pay the cost of soliciting proxies for the extraordinary general meeting. VIH has engaged Morrow Sodali LLC to assist in the solicitation of proxies for the extraordinary general meeting. VIH has agreed to pay Morrow Sodali LLC a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fee of $25,000, an </w:t>
      </w:r>
      <w:r>
        <w:rPr>
          <w:rFonts w:ascii="Arial" w:cs="Arial" w:eastAsia="Arial" w:hAnsi="Arial"/>
          <w:sz w:val="17"/>
          <w:szCs w:val="17"/>
          <w:u w:val="single" w:color="auto"/>
          <w:color w:val="auto"/>
        </w:rPr>
        <w:t>estimated campaign fee of approximately $25,000, and a success fee of $75,000,</w:t>
      </w:r>
      <w:r>
        <w:rPr>
          <w:rFonts w:ascii="Arial" w:cs="Arial" w:eastAsia="Arial" w:hAnsi="Arial"/>
          <w:sz w:val="17"/>
          <w:szCs w:val="17"/>
          <w:color w:val="auto"/>
        </w:rPr>
        <w:t xml:space="preserve"> plus disbursements. VIH will also reimburse banks, brokers and other custodians, nominees and fiduciaries representing beneficial owners of VIH Class A Ordinary Shares for their expenses in forwarding soliciting materials to beneficial owners of VIH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6430010</wp:posOffset>
            </wp:positionH>
            <wp:positionV relativeFrom="paragraph">
              <wp:posOffset>-452755</wp:posOffset>
            </wp:positionV>
            <wp:extent cx="136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section of the Definitive Proxy Statement entitled “</w:t>
      </w:r>
      <w:r>
        <w:rPr>
          <w:rFonts w:ascii="Arial" w:cs="Arial" w:eastAsia="Arial" w:hAnsi="Arial"/>
          <w:sz w:val="18"/>
          <w:szCs w:val="18"/>
          <w:b w:val="1"/>
          <w:bCs w:val="1"/>
          <w:i w:val="1"/>
          <w:iCs w:val="1"/>
          <w:color w:val="auto"/>
        </w:rPr>
        <w:t>Extraordinary General Meeting of VIH</w:t>
      </w:r>
      <w:r>
        <w:rPr>
          <w:rFonts w:ascii="Arial" w:cs="Arial" w:eastAsia="Arial" w:hAnsi="Arial"/>
          <w:sz w:val="18"/>
          <w:szCs w:val="18"/>
          <w:b w:val="1"/>
          <w:bCs w:val="1"/>
          <w:color w:val="auto"/>
        </w:rPr>
        <w:t>” is hereby revised as follows:</w:t>
      </w:r>
    </w:p>
    <w:p>
      <w:pPr>
        <w:spacing w:after="0" w:line="12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i w:val="1"/>
          <w:iCs w:val="1"/>
          <w:color w:val="auto"/>
        </w:rPr>
        <w:t>The second paragraph on page 121 of the Definitive Proxy Statement under the subsection entitled “Proxy Solicitation” is amended and restated as follows:</w:t>
      </w:r>
    </w:p>
    <w:p>
      <w:pPr>
        <w:spacing w:after="0" w:line="62" w:lineRule="exact"/>
        <w:rPr>
          <w:sz w:val="24"/>
          <w:szCs w:val="24"/>
          <w:color w:val="auto"/>
        </w:rPr>
      </w:pPr>
    </w:p>
    <w:p>
      <w:pPr>
        <w:ind w:left="440" w:right="280"/>
        <w:spacing w:after="0" w:line="277" w:lineRule="auto"/>
        <w:rPr>
          <w:sz w:val="20"/>
          <w:szCs w:val="20"/>
          <w:color w:val="auto"/>
        </w:rPr>
      </w:pPr>
      <w:r>
        <w:rPr>
          <w:rFonts w:ascii="Arial" w:cs="Arial" w:eastAsia="Arial" w:hAnsi="Arial"/>
          <w:sz w:val="18"/>
          <w:szCs w:val="18"/>
          <w:color w:val="auto"/>
        </w:rPr>
        <w:t xml:space="preserve">VIH has engaged Morrow Sodali LLC to assist in the solicitation process and will pay Morrow Sodali LLC a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fee of $25,000, </w:t>
      </w:r>
      <w:r>
        <w:rPr>
          <w:rFonts w:ascii="Arial" w:cs="Arial" w:eastAsia="Arial" w:hAnsi="Arial"/>
          <w:sz w:val="18"/>
          <w:szCs w:val="18"/>
          <w:u w:val="single" w:color="auto"/>
          <w:color w:val="auto"/>
        </w:rPr>
        <w:t>an 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campaign fee of approximately $25,000, and a success fee of $75,000,</w:t>
      </w:r>
      <w:r>
        <w:rPr>
          <w:rFonts w:ascii="Arial" w:cs="Arial" w:eastAsia="Arial" w:hAnsi="Arial"/>
          <w:sz w:val="18"/>
          <w:szCs w:val="18"/>
          <w:color w:val="auto"/>
        </w:rPr>
        <w:t xml:space="preserve"> plus disbursements.</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section of the Definitive Proxy Statement entitled “</w:t>
      </w:r>
      <w:r>
        <w:rPr>
          <w:rFonts w:ascii="Arial" w:cs="Arial" w:eastAsia="Arial" w:hAnsi="Arial"/>
          <w:sz w:val="18"/>
          <w:szCs w:val="18"/>
          <w:b w:val="1"/>
          <w:bCs w:val="1"/>
          <w:i w:val="1"/>
          <w:iCs w:val="1"/>
          <w:color w:val="auto"/>
        </w:rPr>
        <w:t>The Business Combination Proposal</w:t>
      </w:r>
      <w:r>
        <w:rPr>
          <w:rFonts w:ascii="Arial" w:cs="Arial" w:eastAsia="Arial" w:hAnsi="Arial"/>
          <w:sz w:val="18"/>
          <w:szCs w:val="18"/>
          <w:b w:val="1"/>
          <w:bCs w:val="1"/>
          <w:color w:val="auto"/>
        </w:rPr>
        <w:t>” is hereby revised as follows:</w:t>
      </w:r>
    </w:p>
    <w:p>
      <w:pPr>
        <w:spacing w:after="0" w:line="12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i w:val="1"/>
          <w:iCs w:val="1"/>
          <w:color w:val="auto"/>
        </w:rPr>
        <w:t>The third paragraph on page 151 of the Definitive Proxy Statement under the subsection entitled “Background of the Business Combination” is amended and restated as follows:</w:t>
      </w:r>
    </w:p>
    <w:p>
      <w:pPr>
        <w:spacing w:after="0" w:line="62" w:lineRule="exact"/>
        <w:rPr>
          <w:sz w:val="24"/>
          <w:szCs w:val="24"/>
          <w:color w:val="auto"/>
        </w:rPr>
      </w:pPr>
    </w:p>
    <w:p>
      <w:pPr>
        <w:ind w:left="440" w:right="240"/>
        <w:spacing w:after="0" w:line="311" w:lineRule="auto"/>
        <w:rPr>
          <w:sz w:val="20"/>
          <w:szCs w:val="20"/>
          <w:color w:val="auto"/>
        </w:rPr>
      </w:pPr>
      <w:r>
        <w:rPr>
          <w:rFonts w:ascii="Arial" w:cs="Arial" w:eastAsia="Arial" w:hAnsi="Arial"/>
          <w:sz w:val="16"/>
          <w:szCs w:val="16"/>
          <w:color w:val="auto"/>
        </w:rPr>
        <w:t xml:space="preserve">From September 29, 2020 to November 15, 2020, during the search process, VIH reviewed more than 80 acquisition opportunities across the fintech industry. VIH had active discussions with 35 of those potential business targets, </w:t>
      </w:r>
      <w:r>
        <w:rPr>
          <w:rFonts w:ascii="Arial" w:cs="Arial" w:eastAsia="Arial" w:hAnsi="Arial"/>
          <w:sz w:val="16"/>
          <w:szCs w:val="16"/>
          <w:u w:val="single" w:color="auto"/>
          <w:color w:val="auto"/>
        </w:rPr>
        <w:t>entered into nondisclosure agreements with seven</w:t>
      </w:r>
      <w:r>
        <w:rPr>
          <w:rFonts w:ascii="Arial" w:cs="Arial" w:eastAsia="Arial" w:hAnsi="Arial"/>
          <w:sz w:val="16"/>
          <w:szCs w:val="16"/>
          <w:color w:val="auto"/>
        </w:rPr>
        <w:t xml:space="preserve"> </w:t>
      </w:r>
      <w:r>
        <w:rPr>
          <w:rFonts w:ascii="Arial" w:cs="Arial" w:eastAsia="Arial" w:hAnsi="Arial"/>
          <w:sz w:val="16"/>
          <w:szCs w:val="16"/>
          <w:u w:val="single" w:color="auto"/>
          <w:color w:val="auto"/>
        </w:rPr>
        <w:t>potential business targets (including Bakkt),</w:t>
      </w:r>
      <w:r>
        <w:rPr>
          <w:rFonts w:ascii="Arial" w:cs="Arial" w:eastAsia="Arial" w:hAnsi="Arial"/>
          <w:sz w:val="16"/>
          <w:szCs w:val="16"/>
          <w:color w:val="auto"/>
        </w:rPr>
        <w:t xml:space="preserve"> and delivered initial drafts of letters of intent to two of such companies (including Bakkt). </w:t>
      </w:r>
      <w:r>
        <w:rPr>
          <w:rFonts w:ascii="Arial" w:cs="Arial" w:eastAsia="Arial" w:hAnsi="Arial"/>
          <w:sz w:val="16"/>
          <w:szCs w:val="16"/>
          <w:u w:val="single" w:color="auto"/>
          <w:color w:val="auto"/>
        </w:rPr>
        <w:t>With the</w:t>
      </w:r>
    </w:p>
    <w:p>
      <w:pPr>
        <w:sectPr>
          <w:pgSz w:w="11900" w:h="16838" w:orient="portrait"/>
          <w:cols w:equalWidth="0" w:num="1">
            <w:col w:w="11020"/>
          </w:cols>
          <w:pgMar w:left="440" w:top="233" w:right="439" w:bottom="1440" w:gutter="0" w:footer="0" w:header="0"/>
        </w:sectPr>
      </w:pPr>
    </w:p>
    <w:bookmarkStart w:id="1" w:name="page2"/>
    <w:bookmarkEnd w:id="1"/>
    <w:p>
      <w:pPr>
        <w:ind w:left="440" w:right="2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exception of Bakkt, none of the potential opportunities described above resulted in a signed letter of intent. Once Bakkt emerged as the prominent target business,</w:t>
      </w:r>
      <w:r>
        <w:rPr>
          <w:rFonts w:ascii="Arial" w:cs="Arial" w:eastAsia="Arial" w:hAnsi="Arial"/>
          <w:sz w:val="17"/>
          <w:szCs w:val="17"/>
          <w:color w:val="auto"/>
        </w:rPr>
        <w:t xml:space="preserve"> VIH ultimately determined to not proceed with each of the other potential acquisition opportunities, either because: (a) VIH did not prevail or could not pre-empt a competitive process; (b) VIH could not come to an agreement with the counterparty on the economic terms for a potential transaction; (c) the counterparty was not seeking to pursue a business combination at that time; or (d) VIH concluded that the target business or the terms of a potential business combination would not be suitable for VIH. </w:t>
      </w:r>
      <w:r>
        <w:rPr>
          <w:rFonts w:ascii="Arial" w:cs="Arial" w:eastAsia="Arial" w:hAnsi="Arial"/>
          <w:sz w:val="17"/>
          <w:szCs w:val="17"/>
          <w:color w:val="auto"/>
          <w:strike w:val="1"/>
        </w:rPr>
        <w:t>Confidentiality agreements entered into with Bakkt and</w:t>
      </w:r>
      <w:r>
        <w:rPr>
          <w:rFonts w:ascii="Arial" w:cs="Arial" w:eastAsia="Arial" w:hAnsi="Arial"/>
          <w:sz w:val="17"/>
          <w:szCs w:val="17"/>
          <w:color w:val="auto"/>
        </w:rPr>
        <w:t xml:space="preserve"> </w:t>
      </w:r>
      <w:r>
        <w:rPr>
          <w:rFonts w:ascii="Arial" w:cs="Arial" w:eastAsia="Arial" w:hAnsi="Arial"/>
          <w:sz w:val="17"/>
          <w:szCs w:val="17"/>
          <w:color w:val="auto"/>
          <w:strike w:val="1"/>
        </w:rPr>
        <w:t>the other potential target businesses were individually negotiated on customary terms</w:t>
      </w:r>
      <w:r>
        <w:rPr>
          <w:rFonts w:ascii="Arial" w:cs="Arial" w:eastAsia="Arial" w:hAnsi="Arial"/>
          <w:sz w:val="17"/>
          <w:szCs w:val="17"/>
          <w:color w:val="auto"/>
        </w:rPr>
        <w:t xml:space="preserve"> The terms of the letter of intent entered into with Bakkt have </w:t>
      </w:r>
      <w:r>
        <w:rPr>
          <w:rFonts w:ascii="Arial" w:cs="Arial" w:eastAsia="Arial" w:hAnsi="Arial"/>
          <w:sz w:val="17"/>
          <w:szCs w:val="17"/>
          <w:u w:val="single" w:color="auto"/>
          <w:color w:val="auto"/>
        </w:rPr>
        <w:t>been materially and substantially reflected in the Merger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-177800</wp:posOffset>
            </wp:positionV>
            <wp:extent cx="2804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4795" cy="8255"/>
                    </a:xfrm>
                    <a:prstGeom prst="rect">
                      <a:avLst/>
                    </a:prstGeom>
                    <a:noFill/>
                  </pic:spPr>
                </pic:pic>
              </a:graphicData>
            </a:graphic>
          </wp:anchor>
        </w:drawing>
      </w:r>
    </w:p>
    <w:p>
      <w:pPr>
        <w:spacing w:after="0" w:line="2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The seventh paragraph on page 151 of the Definitive Proxy Statement under the subsection entitled “Background of the Business Combination” is amended and restated as follows:</w:t>
      </w:r>
    </w:p>
    <w:p>
      <w:pPr>
        <w:spacing w:after="0" w:line="62" w:lineRule="exact"/>
        <w:rPr>
          <w:sz w:val="20"/>
          <w:szCs w:val="20"/>
          <w:color w:val="auto"/>
        </w:rPr>
      </w:pPr>
    </w:p>
    <w:p>
      <w:pPr>
        <w:ind w:left="440" w:right="40"/>
        <w:spacing w:after="0" w:line="296" w:lineRule="auto"/>
        <w:rPr>
          <w:sz w:val="20"/>
          <w:szCs w:val="20"/>
          <w:color w:val="auto"/>
        </w:rPr>
      </w:pPr>
      <w:r>
        <w:rPr>
          <w:rFonts w:ascii="Arial" w:cs="Arial" w:eastAsia="Arial" w:hAnsi="Arial"/>
          <w:sz w:val="16"/>
          <w:szCs w:val="16"/>
          <w:color w:val="auto"/>
        </w:rPr>
        <w:t xml:space="preserve">Between November 19, 2020, and November 26, 2020, VIH’s management team, in conjunction with Victory Park’s investment team, conducted extensive due diligence on Bakkt, including an in-depth review of the financial statements and financial models prepared by Bakkt’s management and research on the market and competitive companies </w:t>
      </w:r>
      <w:r>
        <w:rPr>
          <w:rFonts w:ascii="Arial" w:cs="Arial" w:eastAsia="Arial" w:hAnsi="Arial"/>
          <w:sz w:val="16"/>
          <w:szCs w:val="16"/>
          <w:u w:val="single" w:color="auto"/>
          <w:color w:val="auto"/>
        </w:rPr>
        <w:t>within fintech and related industry sectors, including Paypal, Square, AfterPay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Shopify,</w:t>
      </w:r>
      <w:r>
        <w:rPr>
          <w:rFonts w:ascii="Arial" w:cs="Arial" w:eastAsia="Arial" w:hAnsi="Arial"/>
          <w:sz w:val="16"/>
          <w:szCs w:val="16"/>
          <w:color w:val="auto"/>
        </w:rPr>
        <w:t xml:space="preserve"> and thereafter prepared an initial valuation of Bakkt considering </w:t>
      </w:r>
      <w:r>
        <w:rPr>
          <w:rFonts w:ascii="Arial" w:cs="Arial" w:eastAsia="Arial" w:hAnsi="Arial"/>
          <w:sz w:val="16"/>
          <w:szCs w:val="16"/>
          <w:color w:val="auto"/>
          <w:strike w:val="1"/>
        </w:rPr>
        <w:t>numerous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a number of</w:t>
      </w:r>
      <w:r>
        <w:rPr>
          <w:rFonts w:ascii="Arial" w:cs="Arial" w:eastAsia="Arial" w:hAnsi="Arial"/>
          <w:sz w:val="16"/>
          <w:szCs w:val="16"/>
          <w:color w:val="auto"/>
        </w:rPr>
        <w:t xml:space="preserve"> valuation methodologies</w:t>
      </w:r>
      <w:r>
        <w:rPr>
          <w:rFonts w:ascii="Arial" w:cs="Arial" w:eastAsia="Arial" w:hAnsi="Arial"/>
          <w:sz w:val="16"/>
          <w:szCs w:val="16"/>
          <w:u w:val="single" w:color="auto"/>
          <w:color w:val="auto"/>
        </w:rPr>
        <w:t>, including a net revenue</w:t>
      </w:r>
      <w:r>
        <w:rPr>
          <w:rFonts w:ascii="Arial" w:cs="Arial" w:eastAsia="Arial" w:hAnsi="Arial"/>
          <w:sz w:val="16"/>
          <w:szCs w:val="16"/>
          <w:color w:val="auto"/>
        </w:rPr>
        <w:t xml:space="preserve"> </w:t>
      </w:r>
      <w:r>
        <w:rPr>
          <w:rFonts w:ascii="Arial" w:cs="Arial" w:eastAsia="Arial" w:hAnsi="Arial"/>
          <w:sz w:val="16"/>
          <w:szCs w:val="16"/>
          <w:u w:val="single" w:color="auto"/>
          <w:color w:val="auto"/>
        </w:rPr>
        <w:t>multiple range methodology to determine the enterprise value, which was discounted at a 20% cost of equity capital</w:t>
      </w:r>
      <w:r>
        <w:rPr>
          <w:rFonts w:ascii="Arial" w:cs="Arial" w:eastAsia="Arial" w:hAnsi="Arial"/>
          <w:sz w:val="16"/>
          <w:szCs w:val="16"/>
          <w:color w:val="auto"/>
        </w:rPr>
        <w:t>.</w:t>
      </w:r>
    </w:p>
    <w:p>
      <w:pPr>
        <w:spacing w:after="0" w:line="2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fifth paragraph on page 152 of the Definitive Proxy Statement under the subsection entitles “Background of the Business Combination” is amended and restated as follows:</w:t>
      </w:r>
    </w:p>
    <w:p>
      <w:pPr>
        <w:spacing w:after="0" w:line="62"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On December 9, 2020, VIH’s management team and Victory Park’s senior partners had a meeting in which they extensively discussed Bakkt and the potential transaction</w:t>
      </w:r>
      <w:r>
        <w:rPr>
          <w:rFonts w:ascii="Arial" w:cs="Arial" w:eastAsia="Arial" w:hAnsi="Arial"/>
          <w:sz w:val="18"/>
          <w:szCs w:val="18"/>
          <w:u w:val="single" w:color="auto"/>
          <w:color w:val="auto"/>
        </w:rPr>
        <w:t>, including the appointment of Gordon Watson and David Clifton to the board of directors of Bakkt following the 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 given their qualifications and relevant experiences</w:t>
      </w:r>
      <w:r>
        <w:rPr>
          <w:rFonts w:ascii="Arial" w:cs="Arial" w:eastAsia="Arial" w:hAnsi="Arial"/>
          <w:sz w:val="18"/>
          <w:szCs w:val="18"/>
          <w:color w:val="auto"/>
        </w:rPr>
        <w:t>.</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The eleventh paragraph on page 152 of the Definitive Proxy Statement under the subsection entitles “Background of the Business Combination” is amended and restated as follows:</w:t>
      </w:r>
    </w:p>
    <w:p>
      <w:pPr>
        <w:spacing w:after="0" w:line="62" w:lineRule="exact"/>
        <w:rPr>
          <w:sz w:val="20"/>
          <w:szCs w:val="20"/>
          <w:color w:val="auto"/>
        </w:rPr>
      </w:pPr>
    </w:p>
    <w:p>
      <w:pPr>
        <w:ind w:left="440" w:right="20"/>
        <w:spacing w:after="0" w:line="287" w:lineRule="auto"/>
        <w:rPr>
          <w:sz w:val="20"/>
          <w:szCs w:val="20"/>
          <w:color w:val="auto"/>
        </w:rPr>
      </w:pPr>
      <w:r>
        <w:rPr>
          <w:rFonts w:ascii="Arial" w:cs="Arial" w:eastAsia="Arial" w:hAnsi="Arial"/>
          <w:sz w:val="16"/>
          <w:szCs w:val="16"/>
          <w:color w:val="auto"/>
        </w:rPr>
        <w:t xml:space="preserve">On December 10, 2020, members of VIH’s management team had a call with representatives from Citigroup Global Markets Inc. (“Citi”), to discuss the Bakkt opportunity and Citi’s interest in serving as a financial and capital markets advisor and PIPE placement agent for VIH. Around the same time, VIH’s management team also had a call with representatives from Jefferies LLC (“Jefferies”), who acted as VIH’s underwriter in the IPO and served as lead capital markets advisor to VIH, to discuss the Bakkt opportunity and Jefferies’ interest in serving as a financial and capital markets advisor and PIPE placement agent for VIH. Subsequently, on December 16, 2020, VIH executed an engagement letter with Jefferies to serve as co-placement agent with respect to the PIPE Investment and to serve as capital markets and M&amp;A financial advisor. </w:t>
      </w:r>
      <w:r>
        <w:rPr>
          <w:rFonts w:ascii="Arial" w:cs="Arial" w:eastAsia="Arial" w:hAnsi="Arial"/>
          <w:sz w:val="16"/>
          <w:szCs w:val="16"/>
          <w:u w:val="single" w:color="auto"/>
          <w:color w:val="auto"/>
        </w:rPr>
        <w:t>Jefferies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is entitled to deferred underwriting compensation as a result of its role in the IPO and to a fixed advisory fee in connection with its role as a financial advisor to VIH in connection with this transaction. Jefferies will also be entitled to a placement agent fee, calculated as a percentage of the gross proceeds of securities sold, in connection with its role as a placement agent in connection with the PIPE Investment</w:t>
      </w:r>
      <w:r>
        <w:rPr>
          <w:rFonts w:ascii="Arial" w:cs="Arial" w:eastAsia="Arial" w:hAnsi="Arial"/>
          <w:sz w:val="16"/>
          <w:szCs w:val="16"/>
          <w:color w:val="auto"/>
        </w:rPr>
        <w:t xml:space="preserve">. Thereafter, on January 14, 2021, VIH formally executed an engagement letter with Citi to serve as co-placement agent with respect to the PIPE Investment and to serve as capital markets and M&amp;A financial advisor. </w:t>
      </w:r>
      <w:r>
        <w:rPr>
          <w:rFonts w:ascii="Arial" w:cs="Arial" w:eastAsia="Arial" w:hAnsi="Arial"/>
          <w:sz w:val="16"/>
          <w:szCs w:val="16"/>
          <w:u w:val="single" w:color="auto"/>
          <w:color w:val="auto"/>
        </w:rPr>
        <w:t>As a result, Citi will also be entitled to a placement agent fee, calculated as a percentage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gross proceeds of securities sold, in connection with its role as a financial advisor to VIH in connection with this transaction.</w:t>
      </w:r>
    </w:p>
    <w:p>
      <w:pPr>
        <w:spacing w:after="0" w:line="2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last paragraph on page 154 of the Definitive Proxy Statement under the subsection entitled “Background of the Business Combination” is amended and restated as follows:</w:t>
      </w:r>
    </w:p>
    <w:p>
      <w:pPr>
        <w:spacing w:after="0" w:line="62"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On January 8, 2021, the VIH Board, with representatives of Jefferies and White &amp; Case present, met telephonically to discuss and deliberate on the Business Combination, including a detailed discussion of the process in respect of the PIPE Investment, an overview of the valuation of Bakkt, the legal structure of the</w:t>
      </w:r>
    </w:p>
    <w:p>
      <w:pPr>
        <w:sectPr>
          <w:pgSz w:w="11900" w:h="16838" w:orient="portrait"/>
          <w:cols w:equalWidth="0" w:num="1">
            <w:col w:w="11000"/>
          </w:cols>
          <w:pgMar w:left="440" w:top="274" w:right="459" w:bottom="1440" w:gutter="0" w:footer="0" w:header="0"/>
        </w:sectPr>
      </w:pPr>
    </w:p>
    <w:bookmarkStart w:id="2" w:name="page3"/>
    <w:bookmarkEnd w:id="2"/>
    <w:p>
      <w:pPr>
        <w:ind w:left="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contemplated by the Merger Agreement and the other Transaction Documents, the forms of Merger Agreement and other Transaction Documents, the legal due diligence findings of White &amp; Case, and an overview of Bakkt’s business and the investment highlights. The VIH Board, with assistance from VIH’s management and counsel, reviewed the proposed terms of the Merger Agreement and the other Transaction Documents that had been negotiated with Bakkt and its representatives, as well as the valuation methodology and due diligence findings. The VIH Board then discussed other factors, including those described below under the caption “</w:t>
      </w:r>
      <w:r>
        <w:rPr>
          <w:rFonts w:ascii="Arial" w:cs="Arial" w:eastAsia="Arial" w:hAnsi="Arial"/>
          <w:sz w:val="17"/>
          <w:szCs w:val="17"/>
          <w:i w:val="1"/>
          <w:iCs w:val="1"/>
          <w:color w:val="auto"/>
        </w:rPr>
        <w:t>The Business Combination Proposal—VIH’s Board of</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 Reasons for the Approval of the Business Combination</w:t>
      </w:r>
      <w:r>
        <w:rPr>
          <w:rFonts w:ascii="Arial" w:cs="Arial" w:eastAsia="Arial" w:hAnsi="Arial"/>
          <w:sz w:val="17"/>
          <w:szCs w:val="17"/>
          <w:color w:val="auto"/>
        </w:rPr>
        <w:t>.” At the end of the meeting, the VIH Board unanimously approved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and the other Transaction Documents, subject to final negotiations and modifications, and determined to recommend the approval of the Merger Agreement and the other Transaction Documents to its shareholders. </w:t>
      </w:r>
      <w:r>
        <w:rPr>
          <w:rFonts w:ascii="Arial" w:cs="Arial" w:eastAsia="Arial" w:hAnsi="Arial"/>
          <w:sz w:val="17"/>
          <w:szCs w:val="17"/>
          <w:u w:val="single" w:color="auto"/>
          <w:color w:val="auto"/>
        </w:rPr>
        <w:t>Although the VIH Board did not seek a third party valuation,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did not receive a valuation opinion from any third party in connection with the Business Combination, the VIH Board relied on VIH’s management team’s collective experience in public market transactions in constructing and evaluating financial models and projections and conducting valuations of businesses as assisted by its financial advisors. VIH’s management also considered a comparable company analysis to assess the potential value that the public markets would likely ascribe to Bakkt, and this analysis was provided to the VIH Board. The comparable companies were considered, in certain respects, to be similar to Bakkt’s business due to one or more similar operating and financial characteristics, and included a number of fintech providers. The VIH Board considered the analysis prepared by management, including the comparative company analysis</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business combination, VPC Impact Acquisition Holdings (“VIH” or the “Company”) filed a registration statement on</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Form S-4 that included a proxy statement/prospectus of the Company. On September 17, 2021, the registration statement was declared effective by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This document is not a substitute for the definitive proxy statement/prospectus, that was distributed to holders of the Company’s ordinary shares in connection with its solicitation of proxies for the vote by the Company’s shareholders with respect to the business combination and other matters as may be described in the registration statement, as well as the prospectus relating to the offer and sale of the securities to be issued in the domestication. This document does not contain all the information that should be considered concerning the business combination and is not intended to form the basis of any investment decision or any other decision in respect of the business combination. The Company’s shareholders and other interested persons are advised to read the definitive proxy statement/prospectus and other documents filed in connection with the business combination, as these materials contain important information about Bakkt Holdings, LLC (“Bakkt), the Company and the business combination.</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THE COMPANY, THE BUSINESS COMBINATION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business combination have been mailed to the shareholders of record of the Company as of September 14, 2021 for voting on the business combination.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material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w:t>
      </w:r>
    </w:p>
    <w:p>
      <w:pPr>
        <w:sectPr>
          <w:pgSz w:w="11900" w:h="16838" w:orient="portrait"/>
          <w:cols w:equalWidth="0" w:num="1">
            <w:col w:w="11000"/>
          </w:cols>
          <w:pgMar w:left="440" w:top="274" w:right="459" w:bottom="1440" w:gutter="0" w:footer="0" w:header="0"/>
        </w:sectPr>
      </w:pPr>
    </w:p>
    <w:bookmarkStart w:id="3" w:name="page4"/>
    <w:bookmarkEnd w:id="3"/>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material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business combination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material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material,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 (v) 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w:t>
      </w:r>
    </w:p>
    <w:p>
      <w:pPr>
        <w:sectPr>
          <w:pgSz w:w="11900" w:h="16838" w:orient="portrait"/>
          <w:cols w:equalWidth="0" w:num="1">
            <w:col w:w="11000"/>
          </w:cols>
          <w:pgMar w:left="440" w:top="274" w:right="459" w:bottom="1440" w:gutter="0" w:footer="0" w:header="0"/>
        </w:sectPr>
      </w:pPr>
    </w:p>
    <w:bookmarkStart w:id="4" w:name="page5"/>
    <w:bookmarkEnd w:id="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7"/>
    </w:lvl>
  </w:abstractNum>
  <w:abstractNum w:abstractNumId="1">
    <w:nsid w:val="66334873"/>
    <w:multiLevelType w:val="hybridMultilevel"/>
    <w:lvl w:ilvl="0">
      <w:lvlJc w:val="left"/>
      <w:lvlText w:val="%1."/>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2021-10-12T08:00:02Z</dcterms:created>
  <dcterms:modified xsi:type="dcterms:W3CDTF">2021-10-12T08:00:02Z</dcterms:modified>
</cp:coreProperties>
</file>