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68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VPC Impact Acquisition Holdings</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Sponsor, LLC</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right="340"/>
        <w:spacing w:after="0" w:line="292" w:lineRule="auto"/>
        <w:rPr>
          <w:sz w:val="20"/>
          <w:szCs w:val="20"/>
          <w:color w:val="auto"/>
        </w:rPr>
      </w:pPr>
      <w:r>
        <w:rPr>
          <w:rFonts w:ascii="Arial" w:cs="Arial" w:eastAsia="Arial" w:hAnsi="Arial"/>
          <w:sz w:val="17"/>
          <w:szCs w:val="17"/>
          <w:color w:val="0000FF"/>
        </w:rPr>
        <w:t>C/O VICTORY PARK CAPITAL ADVISORS, LLC</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150 NORTH RIVERSIDE PLAZA, SUITE 5200</w:t>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840" w:type="dxa"/>
            <w:vAlign w:val="bottom"/>
            <w:gridSpan w:val="3"/>
            <w:vMerge w:val="restart"/>
          </w:tcPr>
          <w:p>
            <w:pPr>
              <w:ind w:left="80"/>
              <w:spacing w:after="0"/>
              <w:rPr>
                <w:sz w:val="20"/>
                <w:szCs w:val="20"/>
                <w:color w:val="auto"/>
              </w:rPr>
            </w:pPr>
            <w:r>
              <w:rPr>
                <w:rFonts w:ascii="Arial" w:cs="Arial" w:eastAsia="Arial" w:hAnsi="Arial"/>
                <w:sz w:val="17"/>
                <w:szCs w:val="17"/>
                <w:color w:val="0000FF"/>
              </w:rPr>
              <w:t>04/14/2023</w:t>
            </w:r>
          </w:p>
        </w:tc>
        <w:tc>
          <w:tcPr>
            <w:tcW w:w="19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0"/>
          <w:szCs w:val="20"/>
          <w:color w:val="auto"/>
        </w:rPr>
      </w:pPr>
    </w:p>
    <w:p>
      <w:pPr>
        <w:ind w:left="340" w:right="42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210"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 par value</w:t>
            </w:r>
          </w:p>
        </w:tc>
        <w:tc>
          <w:tcPr>
            <w:tcW w:w="154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04/14/2023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0000FF"/>
                <w:w w:val="91"/>
              </w:rPr>
              <w:t>22,488</w:t>
            </w:r>
            <w:r>
              <w:rPr>
                <w:rFonts w:ascii="Arial" w:cs="Arial" w:eastAsia="Arial" w:hAnsi="Arial"/>
                <w:sz w:val="22"/>
                <w:szCs w:val="22"/>
                <w:color w:val="008000"/>
                <w:w w:val="91"/>
                <w:vertAlign w:val="superscript"/>
              </w:rPr>
              <w:t>(1)</w:t>
            </w:r>
          </w:p>
        </w:tc>
        <w:tc>
          <w:tcPr>
            <w:tcW w:w="440" w:type="dxa"/>
            <w:vAlign w:val="bottom"/>
            <w:vMerge w:val="restart"/>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1.5305</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7,456,557</w:t>
            </w:r>
          </w:p>
        </w:tc>
        <w:tc>
          <w:tcPr>
            <w:tcW w:w="920" w:type="dxa"/>
            <w:vAlign w:val="bottom"/>
            <w:vMerge w:val="restart"/>
          </w:tcPr>
          <w:p>
            <w:pPr>
              <w:ind w:left="2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$0.0001 per share</w:t>
            </w:r>
          </w:p>
        </w:tc>
        <w:tc>
          <w:tcPr>
            <w:tcW w:w="1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VPC Impact Acquisition Holdings Sponsor,</w:t>
        </w:r>
      </w:hyperlink>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LLC</w:t>
        </w:r>
      </w:hyperlink>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150 NORTH RIVERSIDE PLAZA, SUITE 5200</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1260" w:type="dxa"/>
            <w:vAlign w:val="bottom"/>
          </w:tcPr>
          <w:p>
            <w:pPr>
              <w:spacing w:after="0"/>
              <w:rPr>
                <w:sz w:val="20"/>
                <w:szCs w:val="20"/>
                <w:color w:val="auto"/>
              </w:rPr>
            </w:pPr>
            <w:r>
              <w:rPr>
                <w:rFonts w:ascii="Arial" w:cs="Arial" w:eastAsia="Arial" w:hAnsi="Arial"/>
                <w:sz w:val="17"/>
                <w:szCs w:val="17"/>
                <w:color w:val="0000FF"/>
              </w:rPr>
              <w:t>IL</w:t>
            </w:r>
          </w:p>
        </w:tc>
        <w:tc>
          <w:tcPr>
            <w:tcW w:w="1500" w:type="dxa"/>
            <w:vAlign w:val="bottom"/>
          </w:tcPr>
          <w:p>
            <w:pPr>
              <w:ind w:left="140"/>
              <w:spacing w:after="0"/>
              <w:rPr>
                <w:sz w:val="20"/>
                <w:szCs w:val="20"/>
                <w:color w:val="auto"/>
              </w:rPr>
            </w:pPr>
            <w:r>
              <w:rPr>
                <w:rFonts w:ascii="Arial" w:cs="Arial" w:eastAsia="Arial" w:hAnsi="Arial"/>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6"/>
              </w:rPr>
            </w:pPr>
            <w:hyperlink r:id="rId15">
              <w:r>
                <w:rPr>
                  <w:rFonts w:ascii="Arial" w:cs="Arial" w:eastAsia="Arial" w:hAnsi="Arial"/>
                  <w:sz w:val="21"/>
                  <w:szCs w:val="21"/>
                  <w:color w:val="0000EE"/>
                  <w:w w:val="96"/>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150 NORTH RIVERSIDE PLAZA, SUITE 5200</w:t>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CHICAGO</w:t>
            </w:r>
          </w:p>
        </w:tc>
        <w:tc>
          <w:tcPr>
            <w:tcW w:w="1200" w:type="dxa"/>
            <w:vAlign w:val="bottom"/>
          </w:tcPr>
          <w:p>
            <w:pPr>
              <w:ind w:left="300"/>
              <w:spacing w:after="0"/>
              <w:rPr>
                <w:sz w:val="20"/>
                <w:szCs w:val="20"/>
                <w:color w:val="auto"/>
              </w:rPr>
            </w:pPr>
            <w:r>
              <w:rPr>
                <w:rFonts w:ascii="Arial" w:cs="Arial" w:eastAsia="Arial" w:hAnsi="Arial"/>
                <w:sz w:val="17"/>
                <w:szCs w:val="17"/>
                <w:color w:val="0000FF"/>
              </w:rPr>
              <w:t>IL</w:t>
            </w:r>
          </w:p>
        </w:tc>
        <w:tc>
          <w:tcPr>
            <w:tcW w:w="1860" w:type="dxa"/>
            <w:vAlign w:val="bottom"/>
          </w:tcPr>
          <w:p>
            <w:pPr>
              <w:ind w:left="500"/>
              <w:spacing w:after="0"/>
              <w:rPr>
                <w:sz w:val="20"/>
                <w:szCs w:val="20"/>
                <w:color w:val="auto"/>
              </w:rPr>
            </w:pPr>
            <w:r>
              <w:rPr>
                <w:rFonts w:ascii="Arial" w:cs="Arial" w:eastAsia="Arial" w:hAnsi="Arial"/>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20" w:firstLine="7"/>
        <w:spacing w:after="0" w:line="358"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25" w:right="359" w:bottom="0" w:gutter="0" w:footer="0" w:header="0"/>
          <w:type w:val="continuous"/>
        </w:sectPr>
      </w:pPr>
    </w:p>
    <w:bookmarkStart w:id="1" w:name="page2"/>
    <w:bookmarkEnd w:id="1"/>
    <w:p>
      <w:pPr>
        <w:ind w:right="280"/>
        <w:spacing w:after="0" w:line="266" w:lineRule="auto"/>
        <w:rPr>
          <w:sz w:val="20"/>
          <w:szCs w:val="20"/>
          <w:color w:val="auto"/>
        </w:rPr>
      </w:pPr>
      <w:r>
        <w:rPr>
          <w:rFonts w:ascii="Arial" w:cs="Arial" w:eastAsia="Arial" w:hAnsi="Arial"/>
          <w:sz w:val="13"/>
          <w:szCs w:val="13"/>
          <w:color w:val="008000"/>
        </w:rPr>
        <w:t>from $1.530-1.535, inclusive. The reporting person hereby undertakes to provide upon request by the Securities Exchange Commission staff, the issuer, or a shareholder of the issuer, full information regarding the number of shares sold at each separate price.</w:t>
      </w:r>
    </w:p>
    <w:p>
      <w:pPr>
        <w:spacing w:after="0" w:line="15" w:lineRule="exact"/>
        <w:rPr>
          <w:sz w:val="20"/>
          <w:szCs w:val="20"/>
          <w:color w:val="auto"/>
        </w:rPr>
      </w:pPr>
    </w:p>
    <w:p>
      <w:pPr>
        <w:jc w:val="both"/>
        <w:ind w:right="3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3"/>
          <w:szCs w:val="13"/>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860"/>
          </w:cols>
          <w:pgMar w:left="500" w:top="131" w:right="539" w:bottom="1440" w:gutter="0" w:footer="0" w:header="0"/>
        </w:sectPr>
      </w:pPr>
    </w:p>
    <w:p>
      <w:pPr>
        <w:spacing w:after="0" w:line="4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04/18/2023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04/18/2023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8680" w:space="60"/>
            <w:col w:w="2120"/>
          </w:cols>
          <w:pgMar w:left="500" w:top="131"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31" w:right="539"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251"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251"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679"/>
        <w:spacing w:after="0" w:line="251" w:lineRule="auto"/>
        <w:rPr>
          <w:sz w:val="20"/>
          <w:szCs w:val="20"/>
          <w:color w:val="auto"/>
        </w:rPr>
      </w:pPr>
      <w:r>
        <w:rPr>
          <w:rFonts w:ascii="Courier New" w:cs="Courier New" w:eastAsia="Courier New" w:hAnsi="Courier New"/>
          <w:sz w:val="17"/>
          <w:szCs w:val="17"/>
          <w:color w:val="auto"/>
        </w:rPr>
        <w:t>VPC Impact Acquisition Holdings Sponsor , LLC</w:t>
      </w:r>
    </w:p>
    <w:p>
      <w:pPr>
        <w:spacing w:after="0" w:line="397"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(See Remarks)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04/14/2023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N. Levy</w:t>
      </w:r>
    </w:p>
    <w:p>
      <w:pPr>
        <w:spacing w:after="0" w:line="200" w:lineRule="exact"/>
        <w:rPr>
          <w:sz w:val="20"/>
          <w:szCs w:val="20"/>
          <w:color w:val="auto"/>
        </w:rPr>
      </w:pPr>
    </w:p>
    <w:p>
      <w:pPr>
        <w:spacing w:after="0" w:line="207"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(See Remarks)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04/14/2023</w:t>
      </w:r>
    </w:p>
    <w:sectPr>
      <w:pgSz w:w="11900" w:h="16838" w:orient="portrait"/>
      <w:cols w:equalWidth="0" w:num="2">
        <w:col w:w="3960" w:space="300"/>
        <w:col w:w="5739"/>
      </w:cols>
      <w:pgMar w:left="4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2023-04-18T15:17:55Z</dcterms:created>
  <dcterms:modified xsi:type="dcterms:W3CDTF">2023-04-18T15:17:55Z</dcterms:modified>
</cp:coreProperties>
</file>