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6061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06171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43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82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6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03/18/2024</w:t>
            </w: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1760" w:type="dxa"/>
            <w:vAlign w:val="bottom"/>
            <w:gridSpan w:val="2"/>
          </w:tcPr>
          <w:p>
            <w:pPr>
              <w:ind w:left="60"/>
              <w:spacing w:after="0" w:line="179" w:lineRule="exact"/>
              <w:rPr>
                <w:sz w:val="20"/>
                <w:szCs w:val="20"/>
                <w:color w:val="auto"/>
              </w:rPr>
            </w:pPr>
            <w:r>
              <w:rPr>
                <w:rFonts w:ascii="Times New Roman" w:cs="Times New Roman" w:eastAsia="Times New Roman" w:hAnsi="Times New Roman"/>
                <w:sz w:val="17"/>
                <w:szCs w:val="17"/>
                <w:color w:val="0000FF"/>
              </w:rPr>
              <w:t>03/20/2024</w:t>
            </w:r>
          </w:p>
        </w:tc>
        <w:tc>
          <w:tcPr>
            <w:tcW w:w="206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200" w:space="640"/>
            <w:col w:w="7240"/>
          </w:cols>
          <w:pgMar w:left="460" w:top="216" w:right="359" w:bottom="43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jc w:val="center"/>
              <w:ind w:left="585"/>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5"/>
              </w:rPr>
              <w:t>03/18/2024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20,334</w:t>
            </w:r>
            <w:r>
              <w:rPr>
                <w:rFonts w:ascii="Times New Roman" w:cs="Times New Roman" w:eastAsia="Times New Roman" w:hAnsi="Times New Roman"/>
                <w:sz w:val="21"/>
                <w:szCs w:val="21"/>
                <w:color w:val="008000"/>
                <w:w w:val="91"/>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586,964</w:t>
            </w:r>
            <w:r>
              <w:rPr>
                <w:rFonts w:ascii="Times New Roman" w:cs="Times New Roman" w:eastAsia="Times New Roman" w:hAnsi="Times New Roman"/>
                <w:sz w:val="21"/>
                <w:szCs w:val="21"/>
                <w:color w:val="008000"/>
                <w:w w:val="92"/>
                <w:vertAlign w:val="superscript"/>
              </w:rPr>
              <w:t>(2)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5"/>
              </w:rPr>
              <w:t>03/18/2024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8,894</w:t>
            </w:r>
            <w:r>
              <w:rPr>
                <w:rFonts w:ascii="Times New Roman" w:cs="Times New Roman" w:eastAsia="Times New Roman" w:hAnsi="Times New Roman"/>
                <w:sz w:val="21"/>
                <w:szCs w:val="21"/>
                <w:color w:val="008000"/>
                <w:w w:val="91"/>
                <w:vertAlign w:val="superscript"/>
              </w:rPr>
              <w:t>(3)</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595,858</w:t>
            </w:r>
            <w:r>
              <w:rPr>
                <w:rFonts w:ascii="Times New Roman" w:cs="Times New Roman" w:eastAsia="Times New Roman" w:hAnsi="Times New Roman"/>
                <w:sz w:val="21"/>
                <w:szCs w:val="21"/>
                <w:color w:val="008000"/>
                <w:w w:val="92"/>
                <w:vertAlign w:val="superscript"/>
              </w:rPr>
              <w:t>(2)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5"/>
              </w:rPr>
              <w:t>03/18/2024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14,645</w:t>
            </w:r>
            <w:r>
              <w:rPr>
                <w:rFonts w:ascii="Times New Roman" w:cs="Times New Roman" w:eastAsia="Times New Roman" w:hAnsi="Times New Roman"/>
                <w:sz w:val="21"/>
                <w:szCs w:val="21"/>
                <w:color w:val="008000"/>
                <w:w w:val="91"/>
                <w:vertAlign w:val="superscript"/>
              </w:rPr>
              <w:t>(4)</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610,503</w:t>
            </w:r>
            <w:r>
              <w:rPr>
                <w:rFonts w:ascii="Times New Roman" w:cs="Times New Roman" w:eastAsia="Times New Roman" w:hAnsi="Times New Roman"/>
                <w:sz w:val="21"/>
                <w:szCs w:val="21"/>
                <w:color w:val="008000"/>
                <w:w w:val="92"/>
                <w:vertAlign w:val="superscript"/>
              </w:rPr>
              <w:t>(2)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5"/>
              </w:rPr>
              <w:t>03/18/2024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29,297</w:t>
            </w:r>
            <w:r>
              <w:rPr>
                <w:rFonts w:ascii="Times New Roman" w:cs="Times New Roman" w:eastAsia="Times New Roman" w:hAnsi="Times New Roman"/>
                <w:sz w:val="21"/>
                <w:szCs w:val="21"/>
                <w:color w:val="008000"/>
                <w:w w:val="91"/>
                <w:vertAlign w:val="superscript"/>
              </w:rPr>
              <w:t>(5)</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639,800</w:t>
            </w:r>
            <w:r>
              <w:rPr>
                <w:rFonts w:ascii="Times New Roman" w:cs="Times New Roman" w:eastAsia="Times New Roman" w:hAnsi="Times New Roman"/>
                <w:sz w:val="21"/>
                <w:szCs w:val="21"/>
                <w:color w:val="008000"/>
                <w:w w:val="92"/>
                <w:vertAlign w:val="superscript"/>
              </w:rPr>
              <w:t>(6)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5"/>
              </w:rPr>
              <w:t>03/18/2024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563,816</w:t>
            </w:r>
            <w:r>
              <w:rPr>
                <w:rFonts w:ascii="Times New Roman" w:cs="Times New Roman" w:eastAsia="Times New Roman" w:hAnsi="Times New Roman"/>
                <w:sz w:val="21"/>
                <w:szCs w:val="21"/>
                <w:color w:val="008000"/>
                <w:w w:val="92"/>
                <w:vertAlign w:val="superscript"/>
              </w:rPr>
              <w:t>(7)</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1,203,616</w:t>
            </w:r>
            <w:r>
              <w:rPr>
                <w:rFonts w:ascii="Times New Roman" w:cs="Times New Roman" w:eastAsia="Times New Roman" w:hAnsi="Times New Roman"/>
                <w:sz w:val="21"/>
                <w:szCs w:val="21"/>
                <w:color w:val="008000"/>
                <w:w w:val="92"/>
                <w:vertAlign w:val="superscript"/>
              </w:rPr>
              <w:t>(8)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5"/>
              </w:rPr>
              <w:t>04/05/2024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13,095</w:t>
            </w:r>
            <w:r>
              <w:rPr>
                <w:rFonts w:ascii="Times New Roman" w:cs="Times New Roman" w:eastAsia="Times New Roman" w:hAnsi="Times New Roman"/>
                <w:sz w:val="21"/>
                <w:szCs w:val="21"/>
                <w:color w:val="008000"/>
                <w:w w:val="91"/>
                <w:vertAlign w:val="superscript"/>
              </w:rPr>
              <w:t>(9)</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0.5156</w:t>
            </w:r>
            <w:r>
              <w:rPr>
                <w:rFonts w:ascii="Times New Roman" w:cs="Times New Roman" w:eastAsia="Times New Roman" w:hAnsi="Times New Roman"/>
                <w:sz w:val="21"/>
                <w:szCs w:val="21"/>
                <w:color w:val="008000"/>
                <w:w w:val="93"/>
                <w:vertAlign w:val="superscript"/>
              </w:rPr>
              <w:t>(9)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1,190,521</w:t>
            </w:r>
            <w:r>
              <w:rPr>
                <w:rFonts w:ascii="Times New Roman" w:cs="Times New Roman" w:eastAsia="Times New Roman" w:hAnsi="Times New Roman"/>
                <w:sz w:val="21"/>
                <w:szCs w:val="21"/>
                <w:color w:val="008000"/>
                <w:w w:val="92"/>
                <w:vertAlign w:val="superscript"/>
              </w:rPr>
              <w:t>(8)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700" w:type="dxa"/>
            <w:vAlign w:val="bottom"/>
            <w:vMerge w:val="restart"/>
          </w:tcPr>
          <w:p>
            <w:pPr>
              <w:jc w:val="right"/>
              <w:ind w:right="184"/>
              <w:spacing w:after="0"/>
              <w:rPr>
                <w:sz w:val="20"/>
                <w:szCs w:val="20"/>
                <w:color w:val="auto"/>
              </w:rPr>
            </w:pPr>
            <w:r>
              <w:rPr>
                <w:rFonts w:ascii="Times New Roman" w:cs="Times New Roman" w:eastAsia="Times New Roman" w:hAnsi="Times New Roman"/>
                <w:sz w:val="11"/>
                <w:szCs w:val="11"/>
                <w:color w:val="008000"/>
              </w:rPr>
              <w:t>(11)</w:t>
            </w: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1,204,712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Opco</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rPr>
              <w:t>1,204,712</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performance stock units ("PSUs") granted on 01/21/2022 and the attainment of performance goals.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216,630 shares of Class A Common Stock subject to restricted stock units that remain subject to vesting.</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PSUs granted on 02/01/2022 and the attainment of performance goals.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PSUs granted on February 13, 2023 and the attainment of performance goals.</w:t>
      </w:r>
    </w:p>
    <w:p>
      <w:pPr>
        <w:spacing w:after="0" w:line="42" w:lineRule="exact"/>
        <w:rPr>
          <w:rFonts w:ascii="Times New Roman" w:cs="Times New Roman" w:eastAsia="Times New Roman" w:hAnsi="Times New Roman"/>
          <w:sz w:val="13"/>
          <w:szCs w:val="13"/>
          <w:color w:val="008000"/>
        </w:rPr>
      </w:pPr>
    </w:p>
    <w:p>
      <w:pPr>
        <w:ind w:left="40" w:right="28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PSUs resulting from attainment of performance goals. Each PSU represents a contingent right to receive one share of the issuer's Class A Common Stock. The PSUs shall vest in two equal annual installments on each anniversary of February 23, 2023, provided that the reporting person continues to be employed by the issuer as of each vesting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245,927 shares of Class A Common Stock subject to RSUs and PSUs that remain subject to vesting.</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two equal annual installments on the first two anniversaries of March 18, 2024, provided that the reporting person continues to be employed by the issuer as of each vesting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809,743 shares of Class A Common Stock subject to RSUs and PSUs that remain subject to vesting.</w:t>
      </w:r>
    </w:p>
    <w:p>
      <w:pPr>
        <w:spacing w:after="0" w:line="42" w:lineRule="exact"/>
        <w:rPr>
          <w:rFonts w:ascii="Times New Roman" w:cs="Times New Roman" w:eastAsia="Times New Roman" w:hAnsi="Times New Roman"/>
          <w:sz w:val="13"/>
          <w:szCs w:val="13"/>
          <w:color w:val="008000"/>
        </w:rPr>
      </w:pPr>
    </w:p>
    <w:p>
      <w:pPr>
        <w:ind w:left="40" w:right="38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PSUs on March 18, 2024, the issuer withheld Class A Common Stock that would otherwise have been issued to the reporting person to satisfy such person's tax withholding obligations. The number of shares withheld was determined based on the closing price per share of Class A Common Stock on March 18, 2024.</w:t>
      </w:r>
    </w:p>
    <w:p>
      <w:pPr>
        <w:spacing w:after="0" w:line="19" w:lineRule="exact"/>
        <w:rPr>
          <w:rFonts w:ascii="Times New Roman" w:cs="Times New Roman" w:eastAsia="Times New Roman" w:hAnsi="Times New Roman"/>
          <w:sz w:val="13"/>
          <w:szCs w:val="13"/>
          <w:color w:val="008000"/>
        </w:rPr>
      </w:pPr>
    </w:p>
    <w:p>
      <w:pPr>
        <w:ind w:left="40" w:right="160" w:firstLine="1"/>
        <w:spacing w:after="0" w:line="251" w:lineRule="auto"/>
        <w:tabs>
          <w:tab w:leader="none" w:pos="23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9" w:lineRule="exact"/>
        <w:rPr>
          <w:rFonts w:ascii="Times New Roman" w:cs="Times New Roman" w:eastAsia="Times New Roman" w:hAnsi="Times New Roman"/>
          <w:sz w:val="13"/>
          <w:szCs w:val="13"/>
          <w:color w:val="008000"/>
        </w:rPr>
      </w:pPr>
    </w:p>
    <w:p>
      <w:pPr>
        <w:ind w:left="40" w:right="260" w:firstLine="1"/>
        <w:spacing w:after="0" w:line="251" w:lineRule="auto"/>
        <w:tabs>
          <w:tab w:leader="none" w:pos="2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Marc D'Annunzio</w:t>
            </w:r>
          </w:p>
        </w:tc>
        <w:tc>
          <w:tcPr>
            <w:tcW w:w="6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04/09/2024</w:t>
            </w:r>
          </w:p>
        </w:tc>
      </w:tr>
      <w:tr>
        <w:trPr>
          <w:trHeight w:val="20"/>
        </w:trPr>
        <w:tc>
          <w:tcPr>
            <w:tcW w:w="1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2024-04-09T19:47:11Z</dcterms:created>
  <dcterms:modified xsi:type="dcterms:W3CDTF">2024-04-09T19:47:11Z</dcterms:modified>
</cp:coreProperties>
</file>