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50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511"/>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r>
      <w:tr>
        <w:trPr>
          <w:trHeight w:val="238"/>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tc>
      </w:tr>
    </w:tbl>
    <w:p>
      <w:pPr>
        <w:spacing w:after="0" w:line="200" w:lineRule="exact"/>
        <w:rPr>
          <w:sz w:val="24"/>
          <w:szCs w:val="24"/>
          <w:color w:val="auto"/>
        </w:rPr>
      </w:pP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190,726,638 Shares of Class A Common Stock Issuable Upon the Exchange of Paired Interests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32,500,000 Shares of Class A Common Stock issued in the PIPE Financing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5,184,300 Shares of Class A Common Stock Issued in Respect of Founder Shares</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777240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the Definitive Proxy Statement on Schedule 14A, filed with the Securities and Exchange Commission on April 28, 2022 (the “Definitive Proxy Statement”). Accordingly, we have attached the Definitive Proxy Statement to this prospectus supplement.</w:t>
      </w:r>
    </w:p>
    <w:p>
      <w:pPr>
        <w:spacing w:after="0" w:line="180" w:lineRule="exact"/>
        <w:rPr>
          <w:sz w:val="24"/>
          <w:szCs w:val="24"/>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(“NYSE”) under the symbol “BKKT” and our warrants to purchase Class A Common Stock (the “Warrants”) are listed on NYSE under the symbol “BKKT WS.” On April 27, 2022, the last quoted sale price for our Class A Common Stock as reported on NYSE was $4.12 per share and the last quoted sale price for our Warrants as reported on NYSE was $1.48 per warrant.</w:t>
      </w:r>
    </w:p>
    <w:p>
      <w:pPr>
        <w:spacing w:after="0" w:line="180" w:lineRule="exact"/>
        <w:rPr>
          <w:sz w:val="24"/>
          <w:szCs w:val="24"/>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58" w:lineRule="exact"/>
        <w:rPr>
          <w:sz w:val="24"/>
          <w:szCs w:val="24"/>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of the Prospectus.</w:t>
      </w:r>
    </w:p>
    <w:p>
      <w:pPr>
        <w:spacing w:after="0" w:line="155" w:lineRule="exact"/>
        <w:rPr>
          <w:sz w:val="24"/>
          <w:szCs w:val="24"/>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55"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1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0"/>
          <w:szCs w:val="20"/>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0"/>
          <w:szCs w:val="20"/>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20015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of 2021 Annual Meeting of Stockholders &amp; Proxy Statement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2021 was a critical year in growing the future of Bakkt. On behalf of our Board of Directors, and the entire team at Bakkt, we are proud of the work done to set up our company for long-term success. The team’s hard work in building new capabilities, signing and activating new partners, and completing our public listing in October – which provided us with almost $450 million in capital – sets us up for exciting opportunities in the near and medium-term. We are looking forward to delivering value for you, our stockholders, as we go on this journey together.</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are proud of the platform that Bakkt has created and excited to see the team build from a position of strength. Our institutional-grade capabilities, digital asset-native architecture, ability to scale and strong controls and compliance framework are some of our core differentiators. The team’s continued focus on our core pillars – crypto services, crypto rewards, paying with digital assets and powering loyalty programs – will be the drivers of our future growth. Bakkt’s leadership team continues to engage with the investing community on our vision and growth plans for the company, holding more than 150 meetings with stockholders and prospective holders in 2021. We look forward to continuing this engagement in 2022.</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our first months as a public company, we have strengthened our corporate governance practices with an emphasis on building effective oversight over Bakkt’s business and growth strategies. Our Board of Directors comes together from a unique set of backgrounds and experiences, reflecting both our commitment to diversity and an acknowledgement of the diversity of our business and capabilities.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Thank you for your investment in Bakkt. As an investor since the beginning in 2018, I take enormous pride in all that Bakkt has built over the last four years. I am looking forward to the next chapter of our growth trajectory.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80022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Sean Collins,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of 2021 Annual Meeting of Stockholders &amp; Proxy Statement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my first year as Chief Executive Officer, I am so proud of our team’s work to lay the foundation for our company’s vison – connecting the digital economy. Throughout the year, we built new capabilities, signed new partners and brought in new team members, and we expect our public listing will drive our investment in growing the business to create long-term shareholder value. I am pleased to have you all as part of the next phase of Bakkt’s growth.</w:t>
      </w:r>
    </w:p>
    <w:p>
      <w:pPr>
        <w:spacing w:after="0" w:line="180"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We believe our opportunity is large – connecting the digital economy across crypto, loyalty and payments. Our partner-led growth strategy will enable us to bring valuable experiences to consumers of our partner brands and appeal to new customer demographics with unique offerings powered by Bakkt.</w:t>
      </w:r>
    </w:p>
    <w:p>
      <w:pPr>
        <w:spacing w:after="0" w:line="14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platform continues to be at the core of everything we do. We have received positive feedback from new and existing partners about our platform approach and our flexibility in creating solutions that meet their customer needs. The core elements of our platform are differentiated – whether they be a full spectrum loyalty redemption offering for retailers and financial institutions, a secure custody enabling cryptocurrency buy/sell capabilities, or a payment with and into various digital assets. We will continue to invest in our products and capabilities to support existing and new partnerships across industries. Our scalable platform approach will enable us to expand at a rapid pace, building upon the momentum put forth in 2021. We believe there is significant opportunity on the horizon for Bakkt in 2022 and beyond.</w:t>
      </w:r>
    </w:p>
    <w:p>
      <w:pPr>
        <w:spacing w:after="0" w:line="18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the annual meeting of stockholders of Bakkt Holdings, Inc. The attached formal meeting notice and proxy statement contain details of the business to be conducted at the annual meeting.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attend the annual meeting, it is important that your shares be represented and voted. Therefore, we urge you to vote and submit your proxy promptly via the Internet, telephone or mail.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our Board of Directors, we would like to express our appreciation for your continued support of and interest in Bakkt.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1435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of 2021 Annual Meeting of Stockholders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10:00 a.m., Eastern Time, on Tuesday, June 14, 2022.</w:t>
            </w:r>
          </w:p>
        </w:tc>
      </w:tr>
      <w:tr>
        <w:trPr>
          <w:trHeight w:val="324"/>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Whitley Atlanta Buckhead, 3434 Peachtree Rd NE, Atlanta, GA 30326</w:t>
            </w: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6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elect Michelle J. Goldberg, Gavin Michael and Jill Simeone as Class I directors to hold office until</w:t>
            </w:r>
          </w:p>
        </w:tc>
      </w:tr>
      <w:tr>
        <w:trPr>
          <w:trHeight w:val="234"/>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our 2025 annual meeting of stockholders and until their respective successors are elected and qualified.</w:t>
            </w:r>
          </w:p>
        </w:tc>
      </w:tr>
      <w:tr>
        <w:trPr>
          <w:trHeight w:val="319"/>
        </w:trPr>
        <w:tc>
          <w:tcPr>
            <w:tcW w:w="278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ratify the appointment of Ernst &amp; Young LLP (“EY”) as our independent registered public</w:t>
            </w:r>
          </w:p>
        </w:tc>
      </w:tr>
      <w:tr>
        <w:trPr>
          <w:trHeight w:val="234"/>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firm for our fiscal year ending December 31, 2022.</w:t>
            </w:r>
          </w:p>
        </w:tc>
      </w:tr>
      <w:tr>
        <w:trPr>
          <w:trHeight w:val="319"/>
        </w:trPr>
        <w:tc>
          <w:tcPr>
            <w:tcW w:w="278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transact other business that may properly come before the annual meeting or any adjournments or</w:t>
            </w:r>
          </w:p>
        </w:tc>
      </w:tr>
      <w:tr>
        <w:trPr>
          <w:trHeight w:val="234"/>
        </w:trPr>
        <w:tc>
          <w:tcPr>
            <w:tcW w:w="2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postponements thereof.</w:t>
            </w:r>
          </w:p>
        </w:tc>
      </w:tr>
      <w:tr>
        <w:trPr>
          <w:trHeight w:val="3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April 21, 2022</w:t>
            </w:r>
          </w:p>
        </w:tc>
      </w:tr>
      <w:tr>
        <w:trPr>
          <w:trHeight w:val="338"/>
        </w:trPr>
        <w:tc>
          <w:tcPr>
            <w:tcW w:w="2780" w:type="dxa"/>
            <w:vAlign w:val="bottom"/>
          </w:tcPr>
          <w:p>
            <w:pPr>
              <w:spacing w:after="0"/>
              <w:rPr>
                <w:sz w:val="24"/>
                <w:szCs w:val="24"/>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Only stockholders of record as of April 21, 2022 are entitled to notice of and to vote at the annual meeting.</w:t>
            </w:r>
          </w:p>
        </w:tc>
      </w:tr>
      <w:tr>
        <w:trPr>
          <w:trHeight w:val="319"/>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Notice of Internet Availability of Proxy Materials containing instructions on how to access our proxy</w:t>
            </w:r>
          </w:p>
        </w:tc>
      </w:tr>
      <w:tr>
        <w:trPr>
          <w:trHeight w:val="216"/>
        </w:trPr>
        <w:tc>
          <w:tcPr>
            <w:tcW w:w="2780" w:type="dxa"/>
            <w:vAlign w:val="bottom"/>
          </w:tcPr>
          <w:p>
            <w:pPr>
              <w:spacing w:after="0"/>
              <w:rPr>
                <w:sz w:val="18"/>
                <w:szCs w:val="18"/>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statement, notice of annual meeting, form of proxy and our annual report, is first being sent or given on or</w:t>
            </w:r>
          </w:p>
        </w:tc>
      </w:tr>
      <w:tr>
        <w:trPr>
          <w:trHeight w:val="234"/>
        </w:trPr>
        <w:tc>
          <w:tcPr>
            <w:tcW w:w="2780" w:type="dxa"/>
            <w:vAlign w:val="bottom"/>
          </w:tcPr>
          <w:p>
            <w:pPr>
              <w:spacing w:after="0"/>
              <w:rPr>
                <w:sz w:val="20"/>
                <w:szCs w:val="20"/>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about April 28, 2022 to all stockholders entitled to vote at the annual meeting.</w:t>
            </w:r>
          </w:p>
        </w:tc>
      </w:tr>
      <w:tr>
        <w:trPr>
          <w:trHeight w:val="319"/>
        </w:trPr>
        <w:tc>
          <w:tcPr>
            <w:tcW w:w="2780" w:type="dxa"/>
            <w:vAlign w:val="bottom"/>
          </w:tcPr>
          <w:p>
            <w:pPr>
              <w:spacing w:after="0"/>
              <w:rPr>
                <w:sz w:val="24"/>
                <w:szCs w:val="24"/>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proxy materials and our annual report can be accessed as of April 28, 2022 by visiting</w:t>
            </w:r>
          </w:p>
        </w:tc>
      </w:tr>
      <w:tr>
        <w:trPr>
          <w:trHeight w:val="234"/>
        </w:trPr>
        <w:tc>
          <w:tcPr>
            <w:tcW w:w="2780" w:type="dxa"/>
            <w:vAlign w:val="bottom"/>
          </w:tcPr>
          <w:p>
            <w:pPr>
              <w:spacing w:after="0"/>
              <w:rPr>
                <w:sz w:val="20"/>
                <w:szCs w:val="20"/>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www.astproxyportal.com/ast/26751.</w:t>
            </w:r>
          </w:p>
        </w:tc>
      </w:tr>
      <w:tr>
        <w:trPr>
          <w:trHeight w:val="319"/>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Your vote is important</w:t>
            </w:r>
            <w:r>
              <w:rPr>
                <w:rFonts w:ascii="Times New Roman" w:cs="Times New Roman" w:eastAsia="Times New Roman" w:hAnsi="Times New Roman"/>
                <w:sz w:val="18"/>
                <w:szCs w:val="18"/>
                <w:color w:val="auto"/>
                <w:w w:val="99"/>
              </w:rPr>
              <w:t>. Whether or not you plan to attend the annual meeting, we urge you to submit your</w:t>
            </w:r>
          </w:p>
        </w:tc>
      </w:tr>
      <w:tr>
        <w:trPr>
          <w:trHeight w:val="234"/>
        </w:trPr>
        <w:tc>
          <w:tcPr>
            <w:tcW w:w="2780" w:type="dxa"/>
            <w:vAlign w:val="bottom"/>
          </w:tcPr>
          <w:p>
            <w:pPr>
              <w:spacing w:after="0"/>
              <w:rPr>
                <w:sz w:val="20"/>
                <w:szCs w:val="20"/>
                <w:color w:val="auto"/>
              </w:rPr>
            </w:pPr>
          </w:p>
        </w:tc>
        <w:tc>
          <w:tcPr>
            <w:tcW w:w="8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proxy or voting instructions via the Internet, telephone or mail as soon as possible.</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251585"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158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40"/>
            <w:vMerge w:val="restart"/>
          </w:tcPr>
          <w:p>
            <w:pPr>
              <w:spacing w:after="0"/>
              <w:rPr>
                <w:sz w:val="20"/>
                <w:szCs w:val="20"/>
                <w:color w:val="auto"/>
              </w:rPr>
            </w:pPr>
            <w:r>
              <w:rPr>
                <w:rFonts w:ascii="Times New Roman" w:cs="Times New Roman" w:eastAsia="Times New Roman" w:hAnsi="Times New Roman"/>
                <w:sz w:val="18"/>
                <w:szCs w:val="18"/>
                <w:color w:val="0000EE"/>
              </w:rPr>
              <w:t>Questions and Answers About the Proxy Materials and Our Annual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660" w:type="dxa"/>
            <w:vAlign w:val="bottom"/>
            <w:gridSpan w:val="4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Why am I receiving these materials?</w:t>
            </w:r>
          </w:p>
        </w:tc>
        <w:tc>
          <w:tcPr>
            <w:tcW w:w="516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on Board of Directors and Corporate Governance</w:t>
            </w:r>
          </w:p>
        </w:tc>
        <w:tc>
          <w:tcPr>
            <w:tcW w:w="62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Composition of the Board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Nominees for Director</w:t>
            </w:r>
          </w:p>
        </w:tc>
        <w:tc>
          <w:tcPr>
            <w:tcW w:w="260" w:type="dxa"/>
            <w:vAlign w:val="bottom"/>
            <w:tcBorders>
              <w:top w:val="single" w:sz="8" w:color="0000EE"/>
            </w:tcBorders>
            <w:gridSpan w:val="2"/>
          </w:tcPr>
          <w:p>
            <w:pPr>
              <w:spacing w:after="0"/>
              <w:rPr>
                <w:sz w:val="17"/>
                <w:szCs w:val="17"/>
                <w:color w:val="auto"/>
              </w:rPr>
            </w:pPr>
          </w:p>
        </w:tc>
        <w:tc>
          <w:tcPr>
            <w:tcW w:w="804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Continuing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340" w:type="dxa"/>
            <w:vAlign w:val="bottom"/>
            <w:tcBorders>
              <w:top w:val="single" w:sz="8" w:color="0000EE"/>
            </w:tcBorders>
            <w:gridSpan w:val="3"/>
          </w:tcPr>
          <w:p>
            <w:pPr>
              <w:spacing w:after="0"/>
              <w:rPr>
                <w:sz w:val="17"/>
                <w:szCs w:val="17"/>
                <w:color w:val="auto"/>
              </w:rPr>
            </w:pPr>
          </w:p>
        </w:tc>
        <w:tc>
          <w:tcPr>
            <w:tcW w:w="79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Role of Board in Risk Oversight Process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Attendance at Board and Stockholder Meetings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2040" w:type="dxa"/>
            <w:vAlign w:val="bottom"/>
            <w:tcBorders>
              <w:top w:val="single" w:sz="8" w:color="0000EE"/>
            </w:tcBorders>
            <w:gridSpan w:val="14"/>
          </w:tcPr>
          <w:p>
            <w:pPr>
              <w:spacing w:after="0"/>
              <w:rPr>
                <w:sz w:val="17"/>
                <w:szCs w:val="17"/>
                <w:color w:val="auto"/>
              </w:rPr>
            </w:pPr>
          </w:p>
        </w:tc>
        <w:tc>
          <w:tcPr>
            <w:tcW w:w="654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4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Sessions of Non-Employee Directors</w:t>
            </w:r>
          </w:p>
        </w:tc>
        <w:tc>
          <w:tcPr>
            <w:tcW w:w="65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4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4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Considerations in Evaluating Director Nominees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4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Recommendations and Nominations to our Board of Directors</w:t>
            </w:r>
          </w:p>
        </w:tc>
        <w:tc>
          <w:tcPr>
            <w:tcW w:w="45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552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Guidelines and Code of Business Conduct and Ethics</w:t>
            </w:r>
          </w:p>
        </w:tc>
        <w:tc>
          <w:tcPr>
            <w:tcW w:w="44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26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1: Election of Class I Directors</w:t>
            </w:r>
          </w:p>
        </w:tc>
        <w:tc>
          <w:tcPr>
            <w:tcW w:w="744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Nominees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Vote Required</w:t>
            </w:r>
          </w:p>
        </w:tc>
        <w:tc>
          <w:tcPr>
            <w:tcW w:w="890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06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Proposal No. 2:</w:t>
            </w:r>
          </w:p>
        </w:tc>
        <w:tc>
          <w:tcPr>
            <w:tcW w:w="848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6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Fees Paid to the Independent Registered Public Accounting Firm</w:t>
            </w:r>
          </w:p>
        </w:tc>
        <w:tc>
          <w:tcPr>
            <w:tcW w:w="5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Auditor Independence</w:t>
            </w:r>
          </w:p>
        </w:tc>
        <w:tc>
          <w:tcPr>
            <w:tcW w:w="834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6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Policy on Pre-Approval of Audit and Permissible Non-Audit Services of Independent Registered Public Accounting</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86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94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Processes and Procedures for Compensation Decisions</w:t>
            </w:r>
          </w:p>
        </w:tc>
        <w:tc>
          <w:tcPr>
            <w:tcW w:w="60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 for Fiscal 2021</w:t>
            </w:r>
          </w:p>
        </w:tc>
        <w:tc>
          <w:tcPr>
            <w:tcW w:w="658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7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Overview of Compensation Approach</w:t>
            </w:r>
          </w:p>
        </w:tc>
        <w:tc>
          <w:tcPr>
            <w:tcW w:w="72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2021 Year-End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380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61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21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Directors and Management</w:t>
            </w:r>
          </w:p>
        </w:tc>
        <w:tc>
          <w:tcPr>
            <w:tcW w:w="50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Related Person Transactions</w:t>
            </w:r>
          </w:p>
        </w:tc>
        <w:tc>
          <w:tcPr>
            <w:tcW w:w="86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80" w:type="dxa"/>
            <w:vAlign w:val="bottom"/>
            <w:gridSpan w:val="21"/>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994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Stockholder Proposals or Director Nominations for 2023 Annual Meeting</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30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Availability of Bylaws</w:t>
            </w:r>
          </w:p>
        </w:tc>
        <w:tc>
          <w:tcPr>
            <w:tcW w:w="4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2021 Annual Report</w:t>
            </w:r>
          </w:p>
        </w:tc>
        <w:tc>
          <w:tcPr>
            <w:tcW w:w="832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the Private Securities Litigation Reform Act of 1995, including statements regarding our platform’s capabilities, our commitments and our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Annual Report on Form 10-K. Other than as required by law, we assume no obligation to update any forward-looking statements or information, which speak as of their respective dates.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Proxy Statement Summary</w:t>
      </w:r>
    </w:p>
    <w:p>
      <w:pPr>
        <w:spacing w:after="0" w:line="11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proxy summary includes the governance, financial and compensation information described in more detail elsewhere in this proxy statement. This summary does not contain all the information that you should consider, and stockholders should read the entire proxy statement before voting.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Bakkt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Bakkt’s vision is to connect the digital economy. Our platform, which operates at the intersection of cryptoassets (“crypto”), loyalty and rewards, and payments, is uniquely positioned to enable consumers, brands, and financial institutions to better manage, transact with and monetize those assets in new ways.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to provide innovative, multi-faceted product solutions and grow with the evolving digital assets market. Our institutional grade technology platform is at the center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81" w:lineRule="exact"/>
        <w:rPr>
          <w:sz w:val="20"/>
          <w:szCs w:val="20"/>
          <w:color w:val="auto"/>
        </w:rPr>
      </w:pPr>
    </w:p>
    <w:p>
      <w:pPr>
        <w:ind w:left="1080" w:right="160" w:hanging="532"/>
        <w:spacing w:after="0" w:line="26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Enabling Crypto Services. </w:t>
      </w:r>
      <w:r>
        <w:rPr>
          <w:rFonts w:ascii="Times New Roman" w:cs="Times New Roman" w:eastAsia="Times New Roman" w:hAnsi="Times New Roman"/>
          <w:sz w:val="18"/>
          <w:szCs w:val="18"/>
          <w:color w:val="auto"/>
        </w:rPr>
        <w:t>Our platform provides consumers, businesses and institutions easy access to crypto buy and sell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enable businesses – particularly those not native to the crypto space, such as 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81"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Fueling Crypto Rewards. </w:t>
      </w:r>
      <w:r>
        <w:rPr>
          <w:rFonts w:ascii="Times New Roman" w:cs="Times New Roman" w:eastAsia="Times New Roman" w:hAnsi="Times New Roman"/>
          <w:sz w:val="17"/>
          <w:szCs w:val="17"/>
          <w:color w:val="auto"/>
        </w:rPr>
        <w:t>We are in the process of enabling merchants of all sizes to offer loyalty and rewards to their customers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of 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66" w:lineRule="exact"/>
        <w:rPr>
          <w:rFonts w:ascii="Times New Roman" w:cs="Times New Roman" w:eastAsia="Times New Roman" w:hAnsi="Times New Roman"/>
          <w:sz w:val="17"/>
          <w:szCs w:val="17"/>
          <w:color w:val="auto"/>
        </w:rPr>
      </w:pPr>
    </w:p>
    <w:p>
      <w:pPr>
        <w:ind w:left="1080" w:right="460" w:hanging="532"/>
        <w:spacing w:after="0" w:line="28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Paying with Digital Assets. </w:t>
      </w:r>
      <w:r>
        <w:rPr>
          <w:rFonts w:ascii="Times New Roman" w:cs="Times New Roman" w:eastAsia="Times New Roman" w:hAnsi="Times New Roman"/>
          <w:sz w:val="18"/>
          <w:szCs w:val="18"/>
          <w:color w:val="auto"/>
        </w:rPr>
        <w:t>We enable consumers to make everyday purchases using their existing rewards points or new assets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 Our solution enables assets to be easily converted at checkout, making merchant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integrations simple, fast, and flexible and facilitating settlement in fiat currency. Our payment capabilities also extend to enable companies to disburse payments in crypto (for instance, to gig economy or marketplace participants such as freelancers, content providers, and delivery workers).</w:t>
      </w:r>
    </w:p>
    <w:p>
      <w:pPr>
        <w:spacing w:after="0" w:line="77" w:lineRule="exact"/>
        <w:rPr>
          <w:sz w:val="20"/>
          <w:szCs w:val="20"/>
          <w:color w:val="auto"/>
        </w:rPr>
      </w:pPr>
    </w:p>
    <w:p>
      <w:pPr>
        <w:ind w:left="1080" w:right="120" w:hanging="532"/>
        <w:spacing w:after="0" w:line="25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Powering Loyalty. </w:t>
      </w:r>
      <w:r>
        <w:rPr>
          <w:rFonts w:ascii="Times New Roman" w:cs="Times New Roman" w:eastAsia="Times New Roman" w:hAnsi="Times New Roman"/>
          <w:sz w:val="18"/>
          <w:szCs w:val="18"/>
          <w:color w:val="auto"/>
        </w:rPr>
        <w:t>We offer a full spectrum of content that retailers and financial institutions can make available to their customers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redeeming loyalty currencies, driving consumer loyalty and engagement. Our redemption solutions span a variety of rewards categories including merchandise (such as 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thoughtfully built a unique and powerful platform, melding together institutional-grade loyalty services to complement our institutional grade crypto capabilities. Our platform capabilities include end-to-end services for our partners, which includes easily digestible technology services, 24/7 customer support and marketing playbooks. The power of these activities on our platform drives our vision – connecting the digital economy – for Bakkt and our partners.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Serve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customers include consumers, businesses and institutions.</w:t>
      </w:r>
    </w:p>
    <w:p>
      <w:pPr>
        <w:spacing w:after="0" w:line="11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enable consumers to access and use the digital assets they have earned or accumulated over time, and to acquire new types of digital assets, such as crypto. Our scalable platform creates new opportunities to access crypto, merchant offers, loyalty points and gift card discounts, thereby increasing consumer spending power and powering the digital economy. We are also building out the functionality to offer consumers the ability to earn crypto rewards or redeem rewards for crypto with our platform - unlocking the potential to achieve more value from their rewards and permitting rewards to work harder for customers.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business customers include merchants, retailers, and financial institutions. Our crypto-related capabilities facilitate new asset acquisition and reward opportunities for their customers. Our loyalty-related capabilities deepen their relationships with their customers by increasing redemption opportunities as their customers take advantage of these opportunities, it reduces merchants’, retailers’ and financial institutions’ financial liabilities related to unused rewards, and makes their programs more current by adding crypto capabilities.</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also enable institutional trading customers to trade crypto using our bitcoin futures contracts that are traded and cleared on ICE, and to store bitcoin and ether securely in our custody warehouse. Our platform uniquely leverages the technology and infrastructure products of ICE, providing greater regulatory clarity, better price discovery, and more effective risk management for financial institutions.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go to market using a partner-led, or “B2B2C” (business-to-business-to-consumer) strategy. This means that we expect to gain consumer end-users of our platform through relationships with third parties, including, but not limited to, financial institutions, business and brands, platform and technology providers, and gig economy or marketplace companies. We believe that this strategy will enable us to add transacting accounts and volume more quickly and more efficiently than a direct-to-consumer model, especially as a relatively young company operating in a space like crypto that may be novel to some users.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For partners desiring a ready-made experience, our capabilities around digital asset purchase, sales, redemption and payment come together in a seamless experience in our consumer app, which enables users to see and transact with their digital assets in one place.</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Our growth will come from adding customers and increasing transaction activity. Over time, we will continue to invest in our business to provide best-in-class products and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goal is to engage all consumers in the growing digital economy. By enabling our core services through our partners – including crypto buy and sell, crypto rewards, payment alternatives and loyalty redemption – we are making it easier for consumers to manage, spend and transact with their various digital assets. We seek to help consumers realize value across digital ecosystems – particularly value that they may not have known they had. We seek to do this within the brand experiences that consumers know and trust today – meeting consumers where they are and empowering them to find new ways to value and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145415</wp:posOffset>
            </wp:positionV>
            <wp:extent cx="5640705" cy="283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070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Business Highlights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2021 was a transformative year in building for Bakkt’s future growth. We focused on building the foundation for the company in advance of our public listing – signing and activating partners and building our team and our capabilities.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Bakkt platform is multi-faceted and robust. In 2021, we saw:</w:t>
      </w:r>
    </w:p>
    <w:p>
      <w:pPr>
        <w:spacing w:after="0" w:line="131"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billion points linked on our platform through the consumer app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88 billion points redeemed across our platform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82% quarterly growth in crypto trades and 250% quarterly increase in person-to-person sending of crypto</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base grew to almost 600, up more than 130% year over year – our team is helping to drive so much of this momentum.</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These metrics show the depth and breadth of our platform today. Bakkt is growing and scaling further from a position of strength, leveraging our existing partnerships with well-recognized and influential brands.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 &amp; Culture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people are essential in propelling our success. At Bakkt, we strive to challenge the status quo with new ideas, have open and honest communication and take ownership and accountability for delivering valuable results. Our future growth depends on our ability to operate with integrity, respect and reliability. Our team has deep knowledge across the digital asset landscape, with a focus on growth and innovation.</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are committed to diversity throughout our company. We embrace and encourage our employees’ differences, valuing a diverse, inclusive and safe workplace. We aim to promote diversity and inclusion through employee engagement events, internal and external speaker sessions and teaching seminars on relevant and important topics. Our teammates come from a wide variety of backgrounds to work toward a common vision for the company. We bring our teammates together in bi-weekly all hands calls and transparently share steps taken towards our company goals.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2021 was an important year in building the culture of our company. As the company continued to scale, we worked across our leadership team, our board of directors (our “Board”) and with external organizational and compensation consultants to refine our organizational approach. Towards the end of the year, we rolled out to all teammates an updated leveling and compensation approach, harmonizing our organization and providing clarity around talent and compensation processes. We created transparency for teammates into the expectations of levels and roles at the company, as well as company-wide targets for annual bonus and annual equity grants, for eligible positions.</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continue to support our teammates through these difficult times. Bakkt teammates worked largely in remote work environments throughout 2021. Recognizing the continued challenges of this environment, we continued to seek feedback from our teams through employee surveys and implemented new incentives such as “recharge” days off and shorter “Summer Fridays”. We also instituted a referral bonus program for eligible teammates to help attract top talent to our organization.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Bakkt, we strive to offer competitive benefits, including, but not limited to:</w:t>
      </w:r>
    </w:p>
    <w:p>
      <w:pPr>
        <w:spacing w:after="0" w:line="131"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medical, vision and dental programs, including additional employee benefits such as mental health and fitness resources;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matching for 401(k) plans of up to 6% of an employee’s salary;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gender-blind parental leave policy that is available to all employees;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floating holidays, in addition to set standard holidays, for use at employee discretion to celebrate moments most important to them.</w:t>
      </w:r>
    </w:p>
    <w:p>
      <w:pPr>
        <w:spacing w:after="0" w:line="162"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Our commitment to our teammates is reflected in our ability to attract and retain high-caliber talent, continuously innovate, and provide exceptional service and solutions to our partners and customers. We believe building a positive culture is an ongoing process, and our continued work will strengthen our company and enable our business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&amp; 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believe that our leadership team has the skills and qualifications needed to drive the future growth of Bakkt. We are proud of the diversity of gender, ethnicity and thought of our leadership team.</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officers are:</w:t>
      </w:r>
    </w:p>
    <w:p>
      <w:pPr>
        <w:spacing w:after="0" w:line="131"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Gavin Michael, Chief Executive Officer and President, leading Bakkt and our growth trajectory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LaBenne, Chief Financial Officer, leading our finance and risk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D’Annunzio, General Counsel and Corporate Secretary, leading our legal and compliance teams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members of our leadership team include:</w:t>
      </w:r>
    </w:p>
    <w:p>
      <w:pPr>
        <w:spacing w:after="0" w:line="13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Cabrera, Chief Product Officer leading our Payments team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Elliot, Chief Marketing Officer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Nancy Gordon, Chief Product Officer leading our Loyalty &amp; Rewards team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 Jacobs, Chief of Staff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Jimenez, Chief Human Resources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Klenert, Chief Design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O’Prey, Chief Product Officer leading our Digital Assets team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Lewis, Chief Engineering &amp; Operations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Sheela Zemlin, Chief Revenue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182880</wp:posOffset>
            </wp:positionV>
            <wp:extent cx="908685" cy="900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90043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173990</wp:posOffset>
            </wp:positionV>
            <wp:extent cx="908685" cy="908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182880</wp:posOffset>
            </wp:positionV>
            <wp:extent cx="908685" cy="900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90043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173990</wp:posOffset>
            </wp:positionV>
            <wp:extent cx="908685" cy="908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6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00"/>
        <w:spacing w:after="0"/>
        <w:tabs>
          <w:tab w:leader="none" w:pos="3920" w:val="left"/>
          <w:tab w:leader="none" w:pos="6560" w:val="left"/>
          <w:tab w:leader="none" w:pos="9360" w:val="left"/>
        </w:tabs>
        <w:rPr>
          <w:sz w:val="20"/>
          <w:szCs w:val="20"/>
          <w:color w:val="auto"/>
        </w:rPr>
      </w:pPr>
      <w:r>
        <w:rPr>
          <w:rFonts w:ascii="Times New Roman" w:cs="Times New Roman" w:eastAsia="Times New Roman" w:hAnsi="Times New Roman"/>
          <w:sz w:val="18"/>
          <w:szCs w:val="18"/>
          <w:color w:val="auto"/>
        </w:rPr>
        <w:t>Sean Collins</w:t>
      </w:r>
      <w:r>
        <w:rPr>
          <w:sz w:val="20"/>
          <w:szCs w:val="20"/>
          <w:color w:val="auto"/>
        </w:rPr>
        <w:tab/>
      </w:r>
      <w:r>
        <w:rPr>
          <w:rFonts w:ascii="Times New Roman" w:cs="Times New Roman" w:eastAsia="Times New Roman" w:hAnsi="Times New Roman"/>
          <w:sz w:val="18"/>
          <w:szCs w:val="18"/>
          <w:color w:val="auto"/>
        </w:rPr>
        <w:t>David Clifton</w:t>
      </w:r>
      <w:r>
        <w:rPr>
          <w:sz w:val="20"/>
          <w:szCs w:val="20"/>
          <w:color w:val="auto"/>
        </w:rPr>
        <w:tab/>
      </w:r>
      <w:r>
        <w:rPr>
          <w:rFonts w:ascii="Times New Roman" w:cs="Times New Roman" w:eastAsia="Times New Roman" w:hAnsi="Times New Roman"/>
          <w:sz w:val="18"/>
          <w:szCs w:val="18"/>
          <w:color w:val="auto"/>
        </w:rPr>
        <w:t>Kristyn A. Cook</w:t>
      </w:r>
      <w:r>
        <w:rPr>
          <w:sz w:val="20"/>
          <w:szCs w:val="20"/>
          <w:color w:val="auto"/>
        </w:rPr>
        <w:tab/>
      </w:r>
      <w:r>
        <w:rPr>
          <w:rFonts w:ascii="Times New Roman" w:cs="Times New Roman" w:eastAsia="Times New Roman" w:hAnsi="Times New Roman"/>
          <w:sz w:val="18"/>
          <w:szCs w:val="18"/>
          <w:color w:val="auto"/>
        </w:rPr>
        <w:t>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85725</wp:posOffset>
            </wp:positionV>
            <wp:extent cx="908685" cy="908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85725</wp:posOffset>
            </wp:positionV>
            <wp:extent cx="908685" cy="908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85725</wp:posOffset>
            </wp:positionV>
            <wp:extent cx="900430" cy="908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04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spacing w:after="0"/>
        <w:tabs>
          <w:tab w:leader="none" w:pos="3900" w:val="left"/>
          <w:tab w:leader="none" w:pos="6560" w:val="left"/>
          <w:tab w:leader="none" w:pos="9320" w:val="left"/>
        </w:tabs>
        <w:rPr>
          <w:sz w:val="20"/>
          <w:szCs w:val="20"/>
          <w:color w:val="auto"/>
        </w:rPr>
      </w:pPr>
      <w:r>
        <w:rPr>
          <w:rFonts w:ascii="Times New Roman" w:cs="Times New Roman" w:eastAsia="Times New Roman" w:hAnsi="Times New Roman"/>
          <w:sz w:val="18"/>
          <w:szCs w:val="18"/>
          <w:color w:val="auto"/>
        </w:rPr>
        <w:t>Michelle J. Goldberg</w:t>
      </w:r>
      <w:r>
        <w:rPr>
          <w:sz w:val="20"/>
          <w:szCs w:val="20"/>
          <w:color w:val="auto"/>
        </w:rPr>
        <w:tab/>
      </w:r>
      <w:r>
        <w:rPr>
          <w:rFonts w:ascii="Times New Roman" w:cs="Times New Roman" w:eastAsia="Times New Roman" w:hAnsi="Times New Roman"/>
          <w:sz w:val="18"/>
          <w:szCs w:val="18"/>
          <w:color w:val="auto"/>
        </w:rPr>
        <w:t>Richard Lumb</w:t>
      </w:r>
      <w:r>
        <w:rPr>
          <w:sz w:val="20"/>
          <w:szCs w:val="20"/>
          <w:color w:val="auto"/>
        </w:rPr>
        <w:tab/>
      </w:r>
      <w:r>
        <w:rPr>
          <w:rFonts w:ascii="Times New Roman" w:cs="Times New Roman" w:eastAsia="Times New Roman" w:hAnsi="Times New Roman"/>
          <w:sz w:val="18"/>
          <w:szCs w:val="18"/>
          <w:color w:val="auto"/>
        </w:rPr>
        <w:t>Andrew A. Main</w:t>
      </w:r>
      <w:r>
        <w:rPr>
          <w:sz w:val="20"/>
          <w:szCs w:val="20"/>
          <w:color w:val="auto"/>
        </w:rPr>
        <w:tab/>
      </w:r>
      <w:r>
        <w:rPr>
          <w:rFonts w:ascii="Times New Roman" w:cs="Times New Roman" w:eastAsia="Times New Roman" w:hAnsi="Times New Roman"/>
          <w:sz w:val="17"/>
          <w:szCs w:val="17"/>
          <w:color w:val="auto"/>
        </w:rPr>
        <w:t>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85725</wp:posOffset>
            </wp:positionV>
            <wp:extent cx="908685" cy="908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90868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94615</wp:posOffset>
            </wp:positionV>
            <wp:extent cx="908685" cy="899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980"/>
        <w:spacing w:after="0"/>
        <w:tabs>
          <w:tab w:leader="none" w:pos="6600" w:val="left"/>
        </w:tabs>
        <w:rPr>
          <w:sz w:val="20"/>
          <w:szCs w:val="20"/>
          <w:color w:val="auto"/>
        </w:rPr>
      </w:pPr>
      <w:r>
        <w:rPr>
          <w:rFonts w:ascii="Times New Roman" w:cs="Times New Roman" w:eastAsia="Times New Roman" w:hAnsi="Times New Roman"/>
          <w:sz w:val="18"/>
          <w:szCs w:val="18"/>
          <w:color w:val="auto"/>
        </w:rPr>
        <w:t>Jill Simeone</w:t>
      </w:r>
      <w:r>
        <w:rPr>
          <w:sz w:val="20"/>
          <w:szCs w:val="20"/>
          <w:color w:val="auto"/>
        </w:rPr>
        <w:tab/>
      </w:r>
      <w:r>
        <w:rPr>
          <w:rFonts w:ascii="Times New Roman" w:cs="Times New Roman" w:eastAsia="Times New Roman" w:hAnsi="Times New Roman"/>
          <w:sz w:val="17"/>
          <w:szCs w:val="17"/>
          <w:color w:val="auto"/>
        </w:rPr>
        <w:t>Gordon Watson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00"/>
          </w:cols>
          <w:pgMar w:left="320" w:top="455" w:right="1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provides summary information about each director nominee and continuing director. Please see pages 24 to 41 for more information.</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8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0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2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Director Nominees</w:t>
            </w:r>
          </w:p>
        </w:tc>
        <w:tc>
          <w:tcPr>
            <w:tcW w:w="24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Gavin Michael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Member</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0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Clifton</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Member</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Chair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Kristyn Cook</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De’Ana Dow</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Lumb</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Chair</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Main</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Yes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Member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173990</wp:posOffset>
            </wp:positionV>
            <wp:extent cx="6660515" cy="4345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0515"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addition to gender diversity as outlined above, a number of Bakkt’s directors have self-identified with other dimensions of diversity. These include:</w:t>
      </w:r>
    </w:p>
    <w:p>
      <w:pPr>
        <w:spacing w:after="0" w:line="142"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have self-identified as two or more races or ethnicities;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has self-identified as African-American or Black; and</w:t>
      </w:r>
    </w:p>
    <w:p>
      <w:pPr>
        <w:spacing w:after="0" w:line="130" w:lineRule="exact"/>
        <w:rPr>
          <w:rFonts w:ascii="Times New Roman" w:cs="Times New Roman" w:eastAsia="Times New Roman" w:hAnsi="Times New Roman"/>
          <w:sz w:val="18"/>
          <w:szCs w:val="18"/>
          <w:color w:val="auto"/>
        </w:rPr>
      </w:pPr>
    </w:p>
    <w:p>
      <w:pPr>
        <w:ind w:left="5580" w:right="4020" w:hanging="5032"/>
        <w:spacing w:after="0" w:line="454" w:lineRule="auto"/>
        <w:tabs>
          <w:tab w:leader="none" w:pos="10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have self-identifed as having citizenship outside the United States. 9</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Strengths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a newly public company, we are particularly focused on building effective corporate governance practices that work alongside our business model to promote the interests of our stockholders. Throughout 2021, we put in place a number of practices to manage and oversee our business, including:</w:t>
      </w:r>
    </w:p>
    <w:p>
      <w:pPr>
        <w:spacing w:after="0" w:line="67"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Board chair;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independent Board;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independent committee members;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engaged Board bringing a diversity of thought and experience to engaged discussions;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 “controlled company” because of our Voting Agreement with ICE;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roles by our Board in strategic planning, risk management and oversight.</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Management is grateful for the contributions of our Board in 2021 and is looking forward to continued active dialogue as all involved work to build for future growth.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Throughout 2021, Bakkt management maintained active dialogue with the investing community. We held over 150 meetings with current and potential stockholders, particularly leading up to finalizing the business combination. These discussions laid the groundwork for ongoing engagement with the investing community as we head into 2022, including leveraging a technology platform, Say Technologies, to engage with Bakkt’s retail investor base.</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and Meeting Information</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Bakkt Holdings, Inc. Proxy Statement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held at 10:00 a.m., Eastern Time, on Tuesday, June 14, 2022.</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66" w:lineRule="exact"/>
        <w:rPr>
          <w:sz w:val="20"/>
          <w:szCs w:val="20"/>
          <w:color w:val="auto"/>
        </w:rPr>
      </w:pPr>
    </w:p>
    <w:p>
      <w:pPr>
        <w:ind w:left="120" w:right="5040"/>
        <w:spacing w:after="0" w:line="378" w:lineRule="auto"/>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 Why am I receiving these materials?</w:t>
      </w: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proxy statement and the form of proxy are furnished in connection with the solicitation of proxies by our Board for use at the 2022 annual meeting of stockholders of Bakkt Holdings, Inc., a Delaware corporation (“Bakkt” or the “company”), and any postponements, adjournments or continuations thereof. The annual meeting will be held on Tuesday, June 14, 2022 at 10:00 a.m., Eastern Time at The Whitley Atlanta Buckhead, 3434 Peachtree Rd NE, Atlanta, GA 30326.</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28, 2022 to all stockholders of record as of April 21, 2022. The proxy materials and our annual report can be accessed as of April 28, 2022 by visiting www.astproxyportal.com/ast/26751.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proposals will be voted on at the annual meeting:</w:t>
      </w:r>
    </w:p>
    <w:p>
      <w:pPr>
        <w:spacing w:after="0" w:line="131" w:lineRule="exact"/>
        <w:rPr>
          <w:sz w:val="20"/>
          <w:szCs w:val="20"/>
          <w:color w:val="auto"/>
        </w:rPr>
      </w:pPr>
    </w:p>
    <w:p>
      <w:pPr>
        <w:ind w:left="1080" w:right="2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Michelle J. Goldberg, Gavin Michael and Jill Simeone as Class I directors to hold office until our 2025 annual meeting of stockholders and until their respective successors are elected and qualified;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our fiscal year ending December 31, 2022.</w:t>
      </w:r>
    </w:p>
    <w:p>
      <w:pPr>
        <w:spacing w:after="0" w:line="162"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management and board of directors were not aware of any other matters to be presented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these proposals?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Michelle J. Goldberg, Gavin Michael and Jill Simeone as Class I directors;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Holders of our common stock as of the close of business on April 21, 2022, the record date for the annual meeting, may vote at the annual meeting. As of the record date, there were 70,439,996 shares of Class A common stock and 193,292,359 shares of Class V common stock outstanding. Each share of common stock is entitled to one vote on each matter properly brought before the annual meeting. Stockholders are not permitted to cumulate votes with respect to the election of directors.</w:t>
      </w:r>
    </w:p>
    <w:p>
      <w:pPr>
        <w:spacing w:after="0" w:line="17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American Stock Transfer &amp; Trust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registered stockholders entitled to vote at the annual meeting?</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 list of registered stockholders entitled to vote at the annual meeting will be made available for examination by any stockholder for any purpose germane to the meeting for a period of at least ten days prior to the meeting, at Wilson Sonsini Goodrich &amp; Rosati, our outside counsel’s office, located at 900 S Capital of Texas Hwy., Austin, Texas 78746, between the hours of 9:00 a.m. and 5:00 p.m., local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Which proposals are considered “routine” or “non-routine”?</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Proposal 1, the election of Michelle J. Goldberg, Gavin Michael and Jill Simeone as Class I directors, is considered “non-routine,” and if you do not provide voting instructions, your shares will be treated as broker non-votes and, therefore, will have no effect on such proposals, other than having the practical effect of reducing the number of affirmative votes required to achieve a majority for each of such proposals by reducing the total number of shares from which the majority is calculated.</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Proposal 2, the ratification of the appointment of Ernst &amp; Young as our independent registered public accounting firm for our fiscal year ending December 31, 2022, is considered a “routine” proposal. As such, if you are a street name stockholder and you do not provide voting instructions, your broker, bank or other nominee may vote for this proposal in its discretion on your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31" w:lineRule="exact"/>
        <w:rPr>
          <w:sz w:val="20"/>
          <w:szCs w:val="20"/>
          <w:color w:val="auto"/>
        </w:rPr>
      </w:pPr>
    </w:p>
    <w:p>
      <w:pPr>
        <w:ind w:left="1080" w:right="20" w:hanging="424"/>
        <w:spacing w:after="0" w:line="26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Each director is elected by a plurality of the voting power of the shares present in person or represented by proxy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and entitled to vote on the election of directors. A plurality means that the nominees with the largest number of FOR votes are elected as directors. You may (1) vote FOR the election of all of the director nominees named herein,</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firstLine="1"/>
        <w:spacing w:after="0" w:line="261" w:lineRule="auto"/>
        <w:tabs>
          <w:tab w:leader="none" w:pos="13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The ratification of the appointment of Ernst &amp; Young LLP as our independent registered public accounting firm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2022 requires the affirmative vote of a majority of the voting power of the shares cast. You may vote FOR or AGAINST this proposal, or you may indicate that you wish to ABSTAIN from voting on this proposal. Abstentions will be counted for purposes of determining the presence or absence of a quorum. However, abstentions are not considered votes cast for or against a proposal, and thus will have no effect on the outcome of the vote on this proposal. Because this is a routine proposal, we do not expect any broker non-votes on this proposal.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the Company’s directors and officers have an interest in any of the matters to be acted upon at the annual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Members of our Board have an interest in Proposal 1, the election of the three director nominees to the Board as set forth herein, as each of the nominees is currently a member of our Board. Members of our Board and our executive officers do not have any interest in Proposal 2, the ratification of the appointment of our independent registered public accounting firm.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bylaws and Delaware law. The presence, in person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either the chairperson of the meeting or the stockholders entitled to vote at the meeting, present in person or represented by proxy, may adjourn the meeting to another time or place.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record holder and as a beneficial owner (i.e., holding shares in street name)?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If your shares are registered in your name with our transfer agent, American Stock Transfer &amp; Trust Company, LLC, you are the “record holder” of those shares. If you are a record holder, the Notice of Internet Availability has been provided directly to you by the company.</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your shares are held in a stock brokerage account, a bank or other holder of record, you are considered the “beneficial owner” of those shares held in “street name.” If your shares are held in street name, the Notice of Internet Availability was forwarded to you by that organization. The organization holding your account is considered to be the stockholder of record for purposes of voting at the annual meeting. As the beneficial owner, you have the right to instruct this organization on how to vote your shares. Because you are not the stockholder of record, you may not vote your shares electronically during the annual meeting unless you request and obtain a valid proxy issued in your name from the broker, bank or other nominee considered the stockholder of record of the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vote in one of the following ways:</w:t>
      </w:r>
    </w:p>
    <w:p>
      <w:pPr>
        <w:spacing w:after="0" w:line="133" w:lineRule="exact"/>
        <w:rPr>
          <w:sz w:val="20"/>
          <w:szCs w:val="20"/>
          <w:color w:val="auto"/>
        </w:rPr>
      </w:pPr>
    </w:p>
    <w:p>
      <w:pPr>
        <w:ind w:left="1080" w:right="3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www.voteproxy.com, 24 hours a day, 7 days a week, until 11:59pm, Eastern Time, on June 13, 2022 (have your Notice of Internet Availability or proxy card in hand when you visit the website);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1-800-PROXIES (1-800-776-9437) in the United States or 1-718-921-8500 from foreign countries, 24 hours a day, 7 days a week, until 11:59pm, Eastern Time, on June 13, 2022 (have your Notice of Internet Availability or proxy card in hand when you call);</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(if you received printed proxy materials), which must be received prior to the annual meeting;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your shares in person.</w:t>
      </w:r>
    </w:p>
    <w:p>
      <w:pPr>
        <w:spacing w:after="0" w:line="223"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instructions in the materials you receive. If your voting instruction form or Notice of Internet Availability indicates that you may vote your shares through the proxyvote.com website, then you may vote those shares at the annual meeting with the control number indicated on that voting instruction form or Notice of Internet Availability. Otherwise, you may not vote your shares at the annual meeting unless you obtain a legal proxy from your broker, bank or other nominee.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 voted:</w:t>
      </w:r>
    </w:p>
    <w:p>
      <w:pPr>
        <w:spacing w:after="0" w:line="133"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Michelle J. Goldberg, Gavin Michael and Jill Simeone as Class I directors;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2022.</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6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 customers are generally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2022.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can change your vote or revoke your proxy before the annual meeting by:</w:t>
      </w:r>
    </w:p>
    <w:p>
      <w:pPr>
        <w:spacing w:after="0" w:line="133"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Bakkt Holdings, Inc., 10000 Avalon Boulevard, Suite 1000, Alpharetta, Georgia 30009, Attention: Corporate Secretary, which must be received prior to the annual meeting;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(although attendance at the annual meeting will not, by itself, revoke a proxy).</w:t>
      </w:r>
    </w:p>
    <w:p>
      <w:pPr>
        <w:spacing w:after="0" w:line="223"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 you with instructions on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revoke your proxy.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get help voting my shares?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you need assistance or have questions about how to vote your shares, please contact American Stock Transfer &amp; Trust Company, LLC, toll-free at 1-800-PROXIES (1-800-776-9437) in the United States or 1-718-921-8500 from foreign countries.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our Board. Gavin Michael, our Chief Executive Officer and President, Andrew LaBenne, our Chief Financial Officer, and Marc D’Annunzio, our General Counsel and Secretary, and each of them, with full power of substitution and re-substitution, have been designated as proxy holders for the annual meeting by our Board.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annual meeting, then the proxy holders will use their own judgment to determine how to vote your shares. If</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320" w:top="455"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annual meeting is postponed or adjourned, then the proxy holders can vote your shares on the new meeting date, unless you have properly revoked your proxy,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representative of American Stock Transfer &amp; Trust Company, LLC, our transfer agent, will tabulate the votes and act as inspector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contact Bakkt’s transfer agent?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You may contact our transfer agent, American Stock Transfer &amp; Trust Company, LLC, by telephone at 1-800-937-5449 or 718-921-8124, by email at help@astfinancial.com or by writing American Stock Transfer &amp; Trust Company, LLC, at 6201 15th Avenue, Brooklyn, NY 11219. You may also access instructions with respect to certain stockholder matters (e.g., change of address) via the Internet at https://www.astfinancial.com/.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U.S. Securities and Exchange Commission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instead of a full set of proxy materials?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 or more than one set of printed proxy materials?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5"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on Board of Directors and Corporate Governance</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Bakkt’s business and affairs are managed under the direction of our Board. Our Board currently consists of ten directors, seven of whom are independent under the listing standards of the New York Stock Exchange, or NYSE. The number of directors is fixed by the Board, subject to the terms of our certificate of incorporation and bylaws. Each of our directors will continue to serve as a director until the election and qualification of his or her successor, or until his or her earlier death, resignation or removal.</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staggered three-year terms. Only one class of directors is elected at each annual meeting of our stockholders, with the other classes continuing for the remainder of their respective three-year terms. Thus, at each annual meeting of stockholders, a class of directors will be elected for a three-year term to succeed the class whose term is then expiring.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names, ages as of April 21, 2022, and certain other information for each of our directors and director nominees: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78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Term</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20" w:type="dxa"/>
            <w:vAlign w:val="bottom"/>
            <w:vMerge w:val="restart"/>
          </w:tcPr>
          <w:p>
            <w:pPr>
              <w:spacing w:after="0"/>
              <w:rPr>
                <w:sz w:val="12"/>
                <w:szCs w:val="12"/>
                <w:color w:val="auto"/>
              </w:rPr>
            </w:pPr>
          </w:p>
        </w:tc>
        <w:tc>
          <w:tcPr>
            <w:tcW w:w="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Which</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7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7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Expire</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171"/>
        </w:trPr>
        <w:tc>
          <w:tcPr>
            <w:tcW w:w="55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Nominees for Director</w:t>
            </w:r>
          </w:p>
        </w:tc>
        <w:tc>
          <w:tcPr>
            <w:tcW w:w="3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top w:val="single" w:sz="8" w:color="auto"/>
            </w:tcBorders>
            <w:vMerge w:val="restart"/>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Gavin Michael</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Director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vMerge w:val="restart"/>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J. Goldberg</w:t>
            </w:r>
            <w:r>
              <w:rPr>
                <w:rFonts w:ascii="Times New Roman" w:cs="Times New Roman" w:eastAsia="Times New Roman" w:hAnsi="Times New Roman"/>
                <w:sz w:val="15"/>
                <w:szCs w:val="15"/>
                <w:color w:val="auto"/>
              </w:rPr>
              <w:t>(1)(3)</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Pr>
          <w:p>
            <w:pPr>
              <w:jc w:val="center"/>
              <w:ind w:left="255"/>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vMerge w:val="restart"/>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Clifton</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r>
              <w:rPr>
                <w:rFonts w:ascii="Times New Roman" w:cs="Times New Roman" w:eastAsia="Times New Roman" w:hAnsi="Times New Roman"/>
                <w:sz w:val="15"/>
                <w:szCs w:val="15"/>
                <w:color w:val="auto"/>
              </w:rPr>
              <w:t>(1)(2)(3)</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Kristyn Cook</w:t>
            </w:r>
            <w:r>
              <w:rPr>
                <w:rFonts w:ascii="Times New Roman" w:cs="Times New Roman" w:eastAsia="Times New Roman" w:hAnsi="Times New Roman"/>
                <w:sz w:val="15"/>
                <w:szCs w:val="15"/>
                <w:color w:val="auto"/>
              </w:rPr>
              <w:t>(3)</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De’Ana Dow</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Lumb</w:t>
            </w:r>
            <w:r>
              <w:rPr>
                <w:rFonts w:ascii="Times New Roman" w:cs="Times New Roman" w:eastAsia="Times New Roman" w:hAnsi="Times New Roman"/>
                <w:sz w:val="15"/>
                <w:szCs w:val="15"/>
                <w:color w:val="auto"/>
              </w:rPr>
              <w:t>(1)</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Main</w:t>
            </w:r>
            <w:r>
              <w:rPr>
                <w:rFonts w:ascii="Times New Roman" w:cs="Times New Roman" w:eastAsia="Times New Roman" w:hAnsi="Times New Roman"/>
                <w:sz w:val="15"/>
                <w:szCs w:val="15"/>
                <w:color w:val="auto"/>
              </w:rPr>
              <w:t>(2)</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II</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1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Michelle J. Goldberg </w:t>
      </w:r>
      <w:r>
        <w:rPr>
          <w:rFonts w:ascii="Times New Roman" w:cs="Times New Roman" w:eastAsia="Times New Roman" w:hAnsi="Times New Roman"/>
          <w:sz w:val="18"/>
          <w:szCs w:val="18"/>
          <w:color w:val="auto"/>
        </w:rPr>
        <w:t>has been a member of our Board since the closing of our business combination with VPC Impact Acquisition Holdings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and has significant technology, investment, retail disruption, finance and digital media expertise. Ms. Goldberg was a partner at Ignition, an early stage enterprise software venture capital firm, from 2000 to 2020 and is now an advisor and limited partner to SoGal Ventures. Ms. Goldberg is a seasoned technology investor with strategic, financial and governance experience and a focus on consumer-facing, digital media and retail opportunities leveraging data analytics and investing in emerging consumer technologies, including Web 3.0. Ms. Goldberg has served as a member of the board of directors for Taubman Centers, Inc., Legg Mason and Plum Creek. Ms. Goldberg has M.A. from Harvard University and a B.A. from Columbia University.</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believe that Ms. Goldberg’s previous public board experience, including her focus on technology and environmental, social and governance (ESG) issues, provide her with the leadership experience and background to serve on our board.</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Gavin Michael </w:t>
      </w:r>
      <w:r>
        <w:rPr>
          <w:rFonts w:ascii="Times New Roman" w:cs="Times New Roman" w:eastAsia="Times New Roman" w:hAnsi="Times New Roman"/>
          <w:sz w:val="18"/>
          <w:szCs w:val="18"/>
          <w:color w:val="auto"/>
        </w:rPr>
        <w:t>has served as our Chief Executive Officer and a director since the Closing. Dr. Michael has served as our President since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Dr. Michael served in the same role at Bakkt Opco Holdings, LLC (f/k/a/ Bakkt Holdings, LLC (“Opco”)) from January 2021 until the Closing. Prior to joining Opco, from November 2016 until April 2021, Dr. Michael was the Head of Technology for Citi’s Global Consumer Bank, responsible for the long-term strategic direction, planning and management of Citi’s global technology organization, execution of its cloud architecture, data and service strategies, and driving digitization efforts to accelerate speed to market. Before joining Citi, from April 2013 until November 2016, Dr. Michael was Head of Digital for Consumer &amp; Community Banking at Chase, where he was responsible for all aspects of the digital business, including the Chase Mobile App and Chase Online. Dr.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Dr. Michael earned a Ph.D. in Computer Science from Australian National University and a bachelor’s degree from the University of Western Australia.</w:t>
      </w:r>
    </w:p>
    <w:p>
      <w:pPr>
        <w:spacing w:after="0" w:line="18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believe Dr. Michael is qualified to serve on our Board because of his deep knowledge of our business and strategy, and his extensive executive leadership and operational experience.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Jill Simeone </w:t>
      </w:r>
      <w:r>
        <w:rPr>
          <w:rFonts w:ascii="Times New Roman" w:cs="Times New Roman" w:eastAsia="Times New Roman" w:hAnsi="Times New Roman"/>
          <w:sz w:val="18"/>
          <w:szCs w:val="18"/>
          <w:color w:val="auto"/>
        </w:rPr>
        <w:t>has been a member of our Board since April 21, 2022. Ms. Simeone currently serves as Etsy’s Chief Legal Officer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Prior to becoming Etsy’s Chief Legal Officer and Corporate Secretary, Ms. Simeone served as Etsy’s General Counsel and Corporate Secretary. Ms. Simeone served as Etsy’s General Counsel from January 2017 to August 2020. From January 2016 to January 2017, Ms. Simeone was the Vice President, Senior Counsel, and Assistant Secretary at American Express Global Business Travel. From July 2013 to January 2016,</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Ms. Simeone was the General Counsel of KCAP Financial, Inc. an investment company. From 2001 to 2003, Ms. Simeone was General Counsel of CEMEX USA, and from 2003 to 2011, Ms. Simeone was North America General Counsel of CMEX S.A. de C.V., a Mexican multinational building materials company. Ms. Simeone received an undergraduate degree in American History and Literature from Harvard University and a Juris Doctorate from University of California, Hastings.</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believe Ms. Simeone is qualified to serve on our Board because of her over fifteen years of experience in international strategic advising, legal and compliance, and public company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Clifton </w:t>
      </w:r>
      <w:r>
        <w:rPr>
          <w:rFonts w:ascii="Times New Roman" w:cs="Times New Roman" w:eastAsia="Times New Roman" w:hAnsi="Times New Roman"/>
          <w:sz w:val="18"/>
          <w:szCs w:val="18"/>
          <w:color w:val="auto"/>
        </w:rPr>
        <w:t>served as Interim Chief Executive Officer for Opco from April 2020 to January 2021. While serving in this role, Mr. Clifton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the development of strategy and the assessment of its strategic alternatives, which resulted in our recent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8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believe that Mr. Clifton’s previous experience both with Opco and at ICE provide him with the strategic and management background to serve on the Board.</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Sean Collins </w:t>
      </w:r>
      <w:r>
        <w:rPr>
          <w:rFonts w:ascii="Times New Roman" w:cs="Times New Roman" w:eastAsia="Times New Roman" w:hAnsi="Times New Roman"/>
          <w:sz w:val="18"/>
          <w:szCs w:val="18"/>
          <w:color w:val="auto"/>
        </w:rPr>
        <w:t>served on the board of managers of Opco since its inception in December 2018 until the Closing. Mr. Collins has over twenty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investing, advising, operating and building companies focused on digital transformation. As co-founder and Managing Partner of Goldfinch Partners from December 2018 to present, he invests across industry verticals, including in enterprise software companies and fintechs. Prior to Goldfinch, Mr. Collins was the co-founder</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320" w:top="455"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and Chief Investment Officer of Boston Consulting Group (“BCG”)Digital Ventures, the division of BCG that partners with global leaders to help build new digital business units and spin out assets into new companies. In 2017, he was elected the youngest Senior Partner in the history of BCG. Prior to BCG DV, Mr. Collins held other roles, including service as a Senior Vice President of Marketing, E-Commerce and Strategy at Sports Authority, Inc., and before that was with McKinsey &amp; Company, where he was a member of the Marketing Practice. Mr. Collins holds a BA in Economics and Music (Classical Piano) from Whitman College.</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believe that Mr. Collins’ extensive experience across the financial services and retail industries, as well as functional depth in marketing and loyalty, provide him with the knowledge and background to serve as a director on the Board.</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Kristyn A. Cook </w:t>
      </w:r>
      <w:r>
        <w:rPr>
          <w:rFonts w:ascii="Times New Roman" w:cs="Times New Roman" w:eastAsia="Times New Roman" w:hAnsi="Times New Roman"/>
          <w:sz w:val="18"/>
          <w:szCs w:val="18"/>
          <w:color w:val="auto"/>
        </w:rPr>
        <w:t>has served as the Senior Vice President of Agency and Marketing at State Farm, an insurance agency since January 2019, where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 Sales at State Farm from January 2013 to July 2015. Ms. Cook has a B.A. from in Policy Studies from Syracuse University and a master’s degree in Public Administration (MPA) from the Syracuse Maxwell School of Citizenship and Public Affairs.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Ms. Cook’s roles in sales, marketing and leadership provide her with the experience needed to serve on the Board.</w:t>
      </w:r>
    </w:p>
    <w:p>
      <w:pPr>
        <w:spacing w:after="0" w:line="2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De’Ana Dow </w:t>
      </w:r>
      <w:r>
        <w:rPr>
          <w:rFonts w:ascii="Times New Roman" w:cs="Times New Roman" w:eastAsia="Times New Roman" w:hAnsi="Times New Roman"/>
          <w:sz w:val="18"/>
          <w:szCs w:val="18"/>
          <w:color w:val="auto"/>
        </w:rPr>
        <w:t>has been a member of our Board since April 21, 2022. Ms. Dow is partner and general counsel with Capital Counsel LLC, a full-service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relations firm, where she has served since August 2012. Her primary focus has been derivatives markets with many years of senior level experience in both technical and policy areas. Prior to Ms. Dow’s position with Capitol Counsel, from July 2010 to August 2012, Ms. Dow served as the Senior Vice President of Ogilvy Government Relations, Washington, D.C., which specializes in futures and derivatives markets. Before joining Ogilvy, from August 2008 through July 2010, Ms. Dow was the Managing Director for Government Affairs at CME Group, the world’s largest derivatives exchange. In that role, Ms. Dow managed the organization’s efforts related to the Dodd Frank financial market regulatory reform bill as it progressed through the House and the Senate, as well as the regulatory actions at the CFTC, Securities and Exchange Commission, Treasury Department and the Federal Reserve. From April 2005 through August 2008,</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Ms. Dow served as the Senior Vice President and Chief Legislative Counsel for the New York Mercantile Exchange (“NYMEX”), before NYMEX merged with the CME.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Ms. Dow is qualified to serve on our Board given her expertise on financial markets issues before federal agencies and departments.</w:t>
      </w:r>
    </w:p>
    <w:p>
      <w:pPr>
        <w:spacing w:after="0" w:line="221"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A. Lumb </w:t>
      </w:r>
      <w:r>
        <w:rPr>
          <w:rFonts w:ascii="Times New Roman" w:cs="Times New Roman" w:eastAsia="Times New Roman" w:hAnsi="Times New Roman"/>
          <w:sz w:val="18"/>
          <w:szCs w:val="18"/>
          <w:color w:val="auto"/>
        </w:rPr>
        <w:t>has served as an Industry Partner at Motive Partners, a private equity firm specializing in enterprise financial services,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8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believe that Mr. Lumb’s extensive experience across the financial services and technology industries provide him with the financial knowledge and background to serve on the Board.</w:t>
      </w:r>
    </w:p>
    <w:p>
      <w:pPr>
        <w:spacing w:after="0" w:line="158"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Andrew A. Main </w:t>
      </w:r>
      <w:r>
        <w:rPr>
          <w:rFonts w:ascii="Times New Roman" w:cs="Times New Roman" w:eastAsia="Times New Roman" w:hAnsi="Times New Roman"/>
          <w:sz w:val="18"/>
          <w:szCs w:val="18"/>
          <w:color w:val="auto"/>
        </w:rPr>
        <w:t>has served as the Chief Executive Officer of Ogilvy, an advertising, marketing and public relations agency since July 2020.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Ogilvy, Mr. Main was the Global Head of Deloitte Digital, the digital consultancy branch of Deloitte from June 2014 to July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Geography.We believe that Mr. Main’s experience helping brands grow and modernize and focus on digital consultancy provide him with the experience needed to serve as a director on the Board.</w:t>
      </w:r>
    </w:p>
    <w:p>
      <w:pPr>
        <w:spacing w:after="0" w:line="18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Gordon Watson </w:t>
      </w:r>
      <w:r>
        <w:rPr>
          <w:rFonts w:ascii="Times New Roman" w:cs="Times New Roman" w:eastAsia="Times New Roman" w:hAnsi="Times New Roman"/>
          <w:sz w:val="18"/>
          <w:szCs w:val="18"/>
          <w:color w:val="auto"/>
        </w:rPr>
        <w:t>serves as a Partner at Victory Park Capital, where he joined in 2014. Mr. Watson is a member of Victory Park’s investment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helps lead its</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320" w:top="455"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Fintech investing team. Mr. Watson is the Investment Manager for VIH Specialty Lending Investments PLC (LSE: VSL), a Victory Park-managed, U.K. publicly listed investment trust focused on opportunities in the Fintech market. Gordon is the Co-Chief Executive Officer of VPC Impact Acquisition Holdings II, a special purpose acquisition company, and VPC Impact Acquisition Holdings III, Inc., a special purpose acquisition company. Prior to the Business Combination, Mr. Watson served on our Board and as our President and Chief Operating Officer.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Mr. Watson received a B.A. in political science from Colgate University and an MBA from Columbia University.</w:t>
      </w:r>
    </w:p>
    <w:p>
      <w:pPr>
        <w:spacing w:after="0" w:line="1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believe that Mr. Watson’s experience in fintech and investments provide him with the financial knowledge and background to serve as a director on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believes that it is currently appropriate to separate the roles of chairperson and chief executive officer. Dr. Michael, our chief executive officer, is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 that our current leadership structure is appropriate and enhances the Board’s ability to effectively carry out its roles and responsibilities on behalf of our stockholders.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compensation and nominating and corporate governance committees be independent.</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Securities Exchange Act of 1934, as amended, or the Exchange Act, and NYSE listing rules applicable to audit committee members. Compensation committee members must also satisfy the additional independence criteria set forth in Rule 10C-1 under the Exchange Act and NYSE listing rules applicable to compensation committee members.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of our directors. Based on information provided by each director concerning his or her background, employment and affiliations, our Board has determined that Mr. Collins, Ms. Cook, Ms. Dow, Ms. Goldberg, Mr. Lumb, Mr. Main and Ms. Simeone, representing seven of our ten directors, do not have any material relationship with us (either directly or as a partner, stockholder or officer of an organization that has a relationship with us) and that each of these directors is an “independent director” as defined under the listing standards of the NYSE.</w:t>
      </w:r>
    </w:p>
    <w:p>
      <w:pPr>
        <w:spacing w:after="0" w:line="183"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committees of the Board also assist the Board in fulfilling its oversight responsibilities in certain areas of risk. The audit committee assists in fulfilling the oversight responsibilities with respect to management of major risk exposures, including in the areas of financial reporting and internal controls, and has general oversight over cybersecurity risks. Risk assessment reports are regularly provided by management to the audit committee. The compensation committee assists in fulfilling oversight responsibilities with respect to the management of risks arising from our compensation policies and programs. The nominating and corporate governance assists in fulfilling oversight responsibilities with respect to the management of risks associated with the Board’s organization, membership and structure and corporate governance. All of the committees report back to the Board as to the committees’ activities and matters discussed and reviewed at the committees’ meetings.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at Board and Stockholder Meetings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2021, and after the Closing (which occurred on October 15, 2021), our Board held one meeting (including regularly scheduled and special meetings), and each director attended at least 75% of the aggregate of (1) the total number of meetings of the Board held during the period for which he or she has been a director and (2) the total number of meetings held by all committees on which he or she served during the periods that he or she served.</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at the annual meetings of stockholders, we strongly encourage, but do not require, directors to attend.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Board has established the following standing committees of the Board: audit committee; compensation committee; and nominating and corporate governance committee. Members will serve on these committees until their resignation or until as otherwise determined by the Board. The composition and responsibilities of each of the committees of our Board is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audit committee consists of Richard Lumb, Sean Collins and Michelle J.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However, the members of the audit committee individually and collectively have extensive educational and business financial experience and training and, we believe, collectively hold the requisite expertise to perform the committee’s functions. The audit committee is responsible for, among other things:</w:t>
      </w:r>
    </w:p>
    <w:p>
      <w:pPr>
        <w:spacing w:after="0" w:line="9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and overseeing risk assessment and risk management, including enterprise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internal control policies and procedures and our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all audit and all permissible non-audit services, other than de minimis non-audit services, to be performed by the independent registered public accounting firm.</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the NYSE. A copy of the charter of our audit committee is available on our website at https://investors.bakkt.com/governance/governance-documents. During 2021, and after the Closing, our audit committee held three meetings.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Sean Collins and Andrew Main, with Sean Collins serving as the chair of the committee. Each of the members of the compensation committee meets the requirements for independence under the applicable rules and regulations of the SEC and rules of the NYSE. The compensation committee is responsible for, among other things:</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the compensation of our officers and key employees;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compensation and benefits, including equity awards, to directors for service on the Board or any committee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to the Board regarding equity-based compensation plans and non-equity based incentive compensation plans;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general policies relating to compensation and benefits of our employees.</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the NYSE. A copy of the charter of our compensation committee is available on our website at https://investors.bakkt.com/governance/governance-documents. During 2021, and after the Closing, our compensation committee held one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Michelle J. Goldberg, Sean Collins and Kristyn Cook, with Michelle J. Goldberg serving as the chair of the committee. Each of the members of the nominating and corporate governance committee meets the requirements for independence under the applicable rules and regulations of the SEC and rules of the NYSE. The nominating and corporate governance committee is responsible for, among other things:</w:t>
      </w:r>
    </w:p>
    <w:p>
      <w:pPr>
        <w:spacing w:after="0" w:line="85" w:lineRule="exact"/>
        <w:rPr>
          <w:sz w:val="20"/>
          <w:szCs w:val="20"/>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and making recommendations to the Board regarding, nominees for election to the Board and its committees;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and of individual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of the Board and its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other governance policies;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company’s corporate governance practices and reporting.</w:t>
      </w:r>
    </w:p>
    <w:p>
      <w:pPr>
        <w:spacing w:after="0" w:line="225"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Our nominating and corporate governance committee operates under a written charter that satisfies the applicable listing standards of the NYSE. A copy of the charter of our nominating and corporate governance committee is available on our website at https://investors.bakkt.com/governance/governance-documents. During 2021, and after the Closing, our nominating and corporate governance committee held one meeting.</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of Non-Employee Directors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encourage and enhance communication among non-employee directors, and as required under applicable NYSE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From and after the Closing through the end of 2021, the members of our compensation committee were Sean Collins and Andrew Main, and from January 1, 2021 until the Closing, the members of our compensation were Kurt Summers and Adrienne Harris. None of the members of our compensation committee is or has been an officer or employee of the company. None of our executive officers currently serves, or in the past fiscal year has served, as a member of our Board or compensation committee (or other board committee performing equivalent functions) of any entity that has one or more executive officers serving on our Board or compensation committee.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121"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and the needs of our Board and the respective committees of our Board and other director qualifications. While our board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does not maintain a specific policy with respect to board diversity, our Board believes that the Board should be a diverse body, and the nominating and corporate governance committee considers a broad range of perspectives, backgrounds and experiences.</w:t>
      </w:r>
    </w:p>
    <w:p>
      <w:pPr>
        <w:spacing w:after="0" w:line="19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assessing additional directors for the Board, the nominating and corporate governance committee and management have prioritized diversity of background, experience and thought. The nominating and corporate governance committee continuously reviews the current board and new potential directors from perspectives of ethnicity, gender, age and industry and skills, assessing opportunities to diversify the makeup of the Board and its committees. We aim for the Board to reflect our business commitments to diversity and inclusion. We celebrate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diversity of the people, experiences, and backgrounds that make up Bakkt, and we encourage each other to speak up and share perspectives, respectfully and thoughtfully. Our technology and platform is built to integrate into numerous different segments, businesses, institutions and brands and to be used by a wide array of people, so we strive to foster and embrace diversity throughout our business in delivering these solutions. The nominating and corporate governance committee identifies, reviews and makes recommendations of candidates to serve on our Board with this framework for our business in mind.</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and corporate governance committee also thoroughly reviews current diversity characteristics, experience and skills of the Board, as well as the qualification of new potential director candidates, identifying opportunities to expand the collective knowledge base of the Board or diversity in race, ethnicity, gender, age and/or experience.</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the director nominees for selection.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from stockholders in the same manner as candidates recommended to the nominating and corporate governance committee from other sources, so long as such recommendations and nominations comply with our certificate of incorporation and bylaws, all applicable company policies and all applicable laws, rules and regulations, including those promulgated by the SEC. Our nominating and corporate governance committee will evaluate such recommendations in accordance with its charter, our bylaws and corporate governance guidelines and the director nominee criteria described above.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should direct the recommendation in writing by letter to our corporate secretary at Bakkt Holdings, Inc., 10000 Avalon Boulevard, Suite 1000, Alpharetta, Georgia 30009,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be timely, a stockholder’s recommendations must be received by our corporate secretary at our principal executive offices no earlier than the 120th day and no later than the 90th day prior to the first anniversary of the preceding year’s annual meeting of stockholders. However, if no annual meeting of stockholders was held in the preceding year, or if the date of the applicable annual meeting has been changed by more than 30 days before or more than 70 days after the first anniversary of the preceding year’s annual meeting, then to be timely, such notice must be received by the secretary at the principal executive offices of the Company no earlier than the 120th day prior to the day of the annual meeting and no later than the later of (x) the 90th day before the meeting, or (y) the 10th day following the day on which public announcement of the date of the annual meeting was first made by the Company.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nominating and corporate governance committee has discretion to decide which individuals to recommend for nomination as directors.</w:t>
      </w:r>
    </w:p>
    <w:p>
      <w:pPr>
        <w:spacing w:after="0" w:line="225"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Proposals or Director Nominations for 2023 Annual Meeting</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General Counsel, Chief Financial Officer or Legal Department by mail to our principal executive offices at Bakkt Holdings, Inc., 10000 Avalon Boulevard, Suite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1000, Alpharetta, Georgia 30009. Our General Counsel, Chief Financial Officer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Chief Financial Officer or Legal Department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Under our insider trading policy, our employees, including our executive officers, and the members of our Board, among others,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w:t>
      </w:r>
    </w:p>
    <w:p>
      <w:pPr>
        <w:spacing w:after="0" w:line="2" w:lineRule="exact"/>
        <w:rPr>
          <w:sz w:val="20"/>
          <w:szCs w:val="20"/>
          <w:color w:val="auto"/>
        </w:rPr>
      </w:pPr>
    </w:p>
    <w:p>
      <w:pPr>
        <w:jc w:val="both"/>
        <w:ind w:left="120" w:right="40" w:hanging="4"/>
        <w:spacing w:after="0" w:line="253"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 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https://investors.bakkt.com/governance/governance-documents.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will post amendments to our code of business conduct and ethics or any waivers of our code of business conduct and ethics for directors and executive officers on the same website.</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In connection with the Closing in October 2021, we adopted an outside director compensation program (the “Outside Director Compensation Program”) for our non-employee directors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63"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per year for service as a non-employee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per year for service as non-executive chair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per year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per year for service as chair of the nominating and corporate governance committee;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nominating and corporate governance committee.</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non-employee director who serves as a committee chair will receive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non-employee director will automatically receive, on the date of each annual meeting of our stockholders, an annual award (the “Annual Equity Award”) of restricted stock units having a value of $200,000. Each non-employee director who joins the Board other than in conjunction with an annual meeting of our stockholders is expected to receive a prorated Annual Equity Award in conjunction with the next full Annual Equity Award granted to the other non-employee directors. Each Annual Equity Award, including each prorated award, is expected to be scheduled to vest at the earlier of the one-year anniversary of the grant date and the annual meeting, subject to continued services to us through the applicable vesting date. In the event of a change in control of the Company, as defined in the 2021 Omnibus Incentive Plan (the “Equity Incentive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Equity Incentive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Equity Incentive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Fiscal 2021</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for the fiscal year ended December 31, 2021. Directors who are also our employees receive no additional compensation for their service as directors. During 2021, Dr. Michael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Dr. Michael’s compensation. Ms. Dow and Ms. Simeone joined our board in 2022 and therefore, did not receive compensation in 2021 as directors.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Fees Paid or</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80" w:type="dxa"/>
            <w:vAlign w:val="bottom"/>
            <w:vMerge w:val="restart"/>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Earned in Cash</w:t>
            </w: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980" w:type="dxa"/>
            <w:vAlign w:val="bottom"/>
          </w:tcPr>
          <w:p>
            <w:pPr>
              <w:jc w:val="right"/>
              <w:ind w:right="3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54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 (2)</w:t>
            </w:r>
          </w:p>
        </w:tc>
        <w:tc>
          <w:tcPr>
            <w:tcW w:w="340" w:type="dxa"/>
            <w:vAlign w:val="bottom"/>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66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David Clifton </w:t>
            </w:r>
            <w:r>
              <w:rPr>
                <w:rFonts w:ascii="Times New Roman" w:cs="Times New Roman" w:eastAsia="Times New Roman" w:hAnsi="Times New Roman"/>
                <w:sz w:val="11"/>
                <w:szCs w:val="11"/>
                <w:b w:val="1"/>
                <w:bCs w:val="1"/>
                <w:color w:val="auto"/>
              </w:rPr>
              <w:t>(3)</w:t>
            </w:r>
          </w:p>
        </w:tc>
        <w:tc>
          <w:tcPr>
            <w:tcW w:w="9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46,250</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139,250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Kristyn Cook</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13,750</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106,750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18,000</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111,000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Lumb</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18,750</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111,750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A. Main</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15,625</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108,625</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12,500</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93,000</w:t>
            </w:r>
          </w:p>
        </w:tc>
        <w:tc>
          <w:tcPr>
            <w:tcW w:w="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105,500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2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this prospectus for a discussion of the assumptions made by us in determining the grant-date fair value of our RSU awards to non-employee directors.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RSU awards were granted pursuant to the 2021 Plan.</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only compensation received as a director. For information on Mr. Clifton’s compensation as interim Chief Executive Officer, please see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Narrative Disclosure to Summary Compensation Table—Elements of Compensation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20" w:type="dxa"/>
            <w:vAlign w:val="bottom"/>
            <w:vMerge w:val="restart"/>
          </w:tcPr>
          <w:p>
            <w:pPr>
              <w:spacing w:after="0"/>
              <w:rPr>
                <w:sz w:val="13"/>
                <w:szCs w:val="13"/>
                <w:color w:val="auto"/>
              </w:rPr>
            </w:pPr>
          </w:p>
        </w:tc>
        <w:tc>
          <w:tcPr>
            <w:tcW w:w="312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3120" w:type="dxa"/>
            <w:vAlign w:val="bottom"/>
            <w:gridSpan w:val="2"/>
          </w:tcPr>
          <w:p>
            <w:pPr>
              <w:jc w:val="right"/>
              <w:ind w:right="13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Stock Awards</w:t>
            </w:r>
            <w:r>
              <w:rPr>
                <w:rFonts w:ascii="Times New Roman" w:cs="Times New Roman" w:eastAsia="Times New Roman" w:hAnsi="Times New Roman"/>
                <w:sz w:val="8"/>
                <w:szCs w:val="8"/>
                <w:b w:val="1"/>
                <w:bCs w:val="1"/>
                <w:color w:val="auto"/>
              </w:rPr>
              <w:t>(1)</w:t>
            </w:r>
          </w:p>
        </w:tc>
        <w:tc>
          <w:tcPr>
            <w:tcW w:w="1920" w:type="dxa"/>
            <w:vAlign w:val="bottom"/>
            <w:gridSpan w:val="2"/>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Clifton</w:t>
            </w:r>
            <w:r>
              <w:rPr>
                <w:rFonts w:ascii="Times New Roman" w:cs="Times New Roman" w:eastAsia="Times New Roman" w:hAnsi="Times New Roman"/>
                <w:sz w:val="11"/>
                <w:szCs w:val="11"/>
                <w:color w:val="auto"/>
              </w:rPr>
              <w:t>(2)</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ind w:left="1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31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Kristyn Cook</w:t>
            </w:r>
          </w:p>
        </w:tc>
        <w:tc>
          <w:tcPr>
            <w:tcW w:w="312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31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Lumb</w:t>
            </w:r>
          </w:p>
        </w:tc>
        <w:tc>
          <w:tcPr>
            <w:tcW w:w="312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A. Main</w:t>
            </w:r>
          </w:p>
        </w:tc>
        <w:tc>
          <w:tcPr>
            <w:tcW w:w="312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312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10,000</w:t>
            </w:r>
          </w:p>
        </w:tc>
        <w:tc>
          <w:tcPr>
            <w:tcW w:w="19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540" w:right="3740" w:hanging="5424"/>
        <w:spacing w:after="0" w:line="454" w:lineRule="auto"/>
        <w:tabs>
          <w:tab w:leader="none" w:pos="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shall vest in full on the date of the Company’s 2022 annual meeting of stockholders. 38</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grant that Mr. Clifton received during his service as Opco’s interim Chief Executive Officer. For more information, see “</w:t>
      </w:r>
      <w:r>
        <w:rPr>
          <w:rFonts w:ascii="Times New Roman" w:cs="Times New Roman" w:eastAsia="Times New Roman" w:hAnsi="Times New Roman"/>
          <w:sz w:val="18"/>
          <w:szCs w:val="18"/>
          <w:i w:val="1"/>
          <w:iCs w:val="1"/>
          <w:color w:val="auto"/>
        </w:rPr>
        <w:t>Outstanding Equity Awards at Fiscal Year End</w:t>
      </w:r>
      <w:r>
        <w:rPr>
          <w:rFonts w:ascii="Times New Roman" w:cs="Times New Roman" w:eastAsia="Times New Roman" w:hAnsi="Times New Roman"/>
          <w:sz w:val="18"/>
          <w:szCs w:val="18"/>
          <w:color w:val="auto"/>
        </w:rPr>
        <w:t>” for Mr. Clifton’s outstanding equity awards as of December 31, 2021.</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320" w:top="455"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No. 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Election of Class I Directors</w:t>
      </w:r>
    </w:p>
    <w:p>
      <w:pPr>
        <w:spacing w:after="0" w:line="11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Board currently consists of ten directors and is divided into three classes with staggered three-year terms. At the annual meeting, three Class I directors, Michelle J. Goldberg, Gavin Michael and Jill Simeone,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has approved, Michelle J. Goldberg, Gavin Michael and Jill Simeone as nominees for election as Class I directors at the annual meeting. If elected, each of Mmes. Goldberg and Simeone and Dr. Michael will serve as a Class I director until the 2025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 Directors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Mmes. Goldberg and Simeone and Dr. Michael have each agreed to serve as a director if elected, and management has no reason to believe that he or she will be unavailable to serve. In the event a nominee is unable or declines to serve as a director at the time of the annual meeting, proxies will be voted for any nominee designated by the present board of directors to fill the vacancy.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ELECTION OF EACH OF THE DIRECTOR NOMINEES NAMED ABOVE.</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 of the Audit Committee</w:t>
      </w:r>
    </w:p>
    <w:p>
      <w:pPr>
        <w:spacing w:after="0" w:line="225"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audit committee is a committee of the Board comprised solely of independent directors as required by the NYSE listing rules and the rules and regulations of the SEC. The audit committee operates under a written charter adopted by the Board. This written charter is reviewed annually for changes, as appropriate. With respect to Bakkt’s financial reporting process, Bakkt’s management is responsible for (1) establishing and maintaining internal controls and (2) preparing Bakkt’s financial statements. Bakkt’s independent registered public accounting firm, EY, is responsible for performing an independent audit of Bakkt’s financial statements. It is the responsibility of the audit committee to oversee these activities. It is not the responsibility of the audit committee to prepare Bakkt’s financial statements. These are the fundamental responsibilities of management. In the performance of its oversight function, the audit committee has:</w:t>
      </w:r>
    </w:p>
    <w:p>
      <w:pPr>
        <w:spacing w:after="0" w:line="9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EY the matters that significantly impact our financial statements;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EY matters required under PCAOB and SEC standards, including EY’s practices for maintaining independence, received written communication from EY regarding its independence as required by the PCAOB, and has discussed with EY its independence.</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noted above, the audit committee recommended to the Board that the audited financial statements be included in Bakkt’s Annual Report on Form 10-K for the fiscal year ended December 31, 2021 for filing with the SEC.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Richard Lumb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Sean Collins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Michelle J. Goldberg</w:t>
      </w:r>
    </w:p>
    <w:p>
      <w:pPr>
        <w:spacing w:after="0" w:line="20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No. 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 Firm</w:t>
      </w:r>
    </w:p>
    <w:p>
      <w:pPr>
        <w:spacing w:after="0" w:line="11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audit committee has appointed Ernst &amp; Young LLP (“EY”) as our independent registered public accounting firm to audit our financial statements for our fiscal year ending December 31, 2022. EY served as our independent registered public accounting firm for the fiscal year ended December 31, 2021. Our audit committee considered EY’s qualifications, performance and independence in connection with its determination to retain EY as our independent registered accounting firm.</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EY as our independent registered public accounting firm for our fiscal year ending December 31, 2022. Our audit committee is submitting the appointment of EY to our stockholders because we value our stockholders’ views on our independent registered public accounting firm and as a matter of good corporate governance. Notwithstanding the appointment of EY,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EY, then our audit committee may reconsider the appointment. One or more representatives of EY are expected to be present at the annual meeting, and they will have an opportunity to make a statement and are expected to be available to respond to appropriate questions from our stockholders.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Certifying Accountant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previously reported on our Current Report on Form 8-K filed with the SEC on October 21, 2021, upon approval of the audit committee of our Board, WithumSmith+Brown (“Withum”) was dismissed as our independent registered public accounting firm and EY was engaged as our independent registered public accounting firm. Withum served as our independent registered public accounting firm since July 31, 2020, our inception, whereas EY served as the independent registered public accounting firm for Opco from its inception in 2018 through the Closing.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Withum’s report on VPC Impact Acquisition Holdings’ (“VIH”) financial statements as of December 31, 2020 and for the period from July 31, 2020 (inception) through December 31, 2020 and the period from January 1, 2021 through October 14, 2021, and the related statements of operations, changes in shareholders’ equity and cash flows for the period from July 31, 2020 (inception) through December 31, 2020 and the period from January 1, 2021 through October 14, 2021, did not contain any adverse opinion or disclaimer of opinion, nor were they qualified or modified as to uncertainty, audit scope or accounting principles, except for VIH’s restatements of its financial statements as described in the Explanatory Note to VIH’s</w:t>
      </w:r>
    </w:p>
    <w:p>
      <w:pPr>
        <w:spacing w:after="0" w:line="3"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Form 10-K/A, filed with the SEC on December 8, 2021, which resulted from the misapplication in the guidance around accounting for certain outstanding warrants to purchase Class A ordinary shares and presentation of Class A ordinary shares subject to redemption as permanent equity as of December 31, 2020.</w:t>
      </w:r>
    </w:p>
    <w:p>
      <w:pPr>
        <w:spacing w:after="0" w:line="186"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prior to the consummation of the business combination and appointment of the Company’s current officers and directors, Withum advised VIH of the following material weakness: a deficiency in VIH’s internal control over financial reporting existed related to the accounting for a significant and unusual transaction related to the warrants we issued in connection its initial public offering in September 2020 as of and for the year ended December 31, 2020.</w:t>
      </w:r>
    </w:p>
    <w:p>
      <w:pPr>
        <w:spacing w:after="0" w:line="17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From July 31, 2020 (inception)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 as that term is described in Item 304(a)</w:t>
      </w:r>
    </w:p>
    <w:p>
      <w:pPr>
        <w:spacing w:after="0" w:line="3"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(1)(iv) of Regulation S-K under the Exchange Act and the related instructions to Item 304 of Regulation S-K under the Exchange Act, or a reportable event, as that term is defined in Item 304(a)(1)(v) of Regulation S-K under the Exchange Act.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fees for professional audit services and other services rendered to us by Ernst &amp; Young LLP and by Withum for our fiscal year ended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to Ernst &amp; Young LLP</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48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8"/>
                <w:szCs w:val="8"/>
                <w:b w:val="1"/>
                <w:bCs w:val="1"/>
                <w:color w:val="auto"/>
              </w:rPr>
              <w:t>(5)</w:t>
            </w: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8"/>
                <w:szCs w:val="8"/>
                <w:b w:val="1"/>
                <w:bCs w:val="1"/>
                <w:color w:val="auto"/>
              </w:rPr>
              <w:t>(5)</w:t>
            </w:r>
          </w:p>
        </w:tc>
        <w:tc>
          <w:tcPr>
            <w:tcW w:w="60" w:type="dxa"/>
            <w:vAlign w:val="bottom"/>
          </w:tcPr>
          <w:p>
            <w:pPr>
              <w:spacing w:after="0"/>
              <w:rPr>
                <w:sz w:val="15"/>
                <w:szCs w:val="15"/>
                <w:color w:val="auto"/>
              </w:rPr>
            </w:pPr>
          </w:p>
        </w:tc>
      </w:tr>
      <w:tr>
        <w:trPr>
          <w:trHeight w:val="196"/>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8"/>
                <w:szCs w:val="8"/>
                <w:color w:val="auto"/>
              </w:rPr>
              <w:t>(1)</w:t>
            </w:r>
          </w:p>
        </w:tc>
        <w:tc>
          <w:tcPr>
            <w:tcW w:w="4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$4,649,250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$853,000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8"/>
                <w:szCs w:val="8"/>
                <w:color w:val="auto"/>
              </w:rPr>
              <w:t>(2)</w:t>
            </w: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35,000</w:t>
            </w: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8"/>
                <w:szCs w:val="8"/>
                <w:color w:val="auto"/>
              </w:rPr>
              <w:t>(3)</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145,100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8"/>
                <w:szCs w:val="8"/>
                <w:color w:val="auto"/>
              </w:rPr>
              <w:t>(4)</w:t>
            </w:r>
          </w:p>
        </w:tc>
        <w:tc>
          <w:tcPr>
            <w:tcW w:w="4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60" w:type="dxa"/>
            <w:vAlign w:val="bottom"/>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Fees</w:t>
            </w:r>
          </w:p>
        </w:tc>
        <w:tc>
          <w:tcPr>
            <w:tcW w:w="4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4,926,350</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888,000</w:t>
            </w:r>
          </w:p>
        </w:tc>
      </w:tr>
      <w:tr>
        <w:trPr>
          <w:trHeight w:val="20"/>
        </w:trPr>
        <w:tc>
          <w:tcPr>
            <w:tcW w:w="5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0" w:hanging="424"/>
        <w:spacing w:after="0" w:line="255"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fiscal years ended December 31, 2021 and 2020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spacing w:after="0" w:line="2"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for the fiscal years ended December 31, 2021 and 2020 consists of attestation services and reports as well as reports and consultations related to matters affecting future audit periods.</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the fiscal year ended December 31, 2021 consists of advisory services provided to VIH prior to the Closing on October 15,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the fiscal years ended December 31, 2021 and 2020 consist of publications and online subscriptions/content.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paid to Ernst &amp; Young LLP for services provided to Opco prior to the Closing on October 15, 2021.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to Withum</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8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c>
          <w:tcPr>
            <w:tcW w:w="6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r>
      <w:tr>
        <w:trPr>
          <w:trHeight w:val="196"/>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8"/>
                <w:szCs w:val="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165,025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81,370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9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165,025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81,370</w:t>
            </w:r>
          </w:p>
        </w:tc>
        <w:tc>
          <w:tcPr>
            <w:tcW w:w="6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0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VIH financial statements, reviews of VIH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our business combination including the related registration statement.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2021, there were no other professional services provided by EY, other than those listed above, that would have required our audit committee to consider their compatibility with maintaining the independence of EY.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Effective upon the consummation of our business combination,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Following the Closing on October, 15, 2021, all services provided by EY for our fiscal year ended December 31, 2021 were pre-approved by our audit committee.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The ratification of the appointment of EY as our independent registered public accounting firm for our fiscal year ending December 31, 2022 requires the affirmative vote of a majority of the voting power of the shares cast. Abstentions will have no effect on the outcome of the vote on this proposal.</w:t>
      </w:r>
    </w:p>
    <w:p>
      <w:pPr>
        <w:spacing w:after="0" w:line="13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RATIFICATION OF THE APPOINTMENT OF EY AS OUR INDEPENDENT REGISTERED PUBLIC ACCOUNTING FIRM FOR OUR FISCAL YEAR ENDING DECEMBER 31, 2022.</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April 21,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Gavin</w:t>
            </w:r>
          </w:p>
        </w:tc>
        <w:tc>
          <w:tcPr>
            <w:tcW w:w="52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Michael</w:t>
            </w:r>
          </w:p>
        </w:tc>
        <w:tc>
          <w:tcPr>
            <w:tcW w:w="2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6"/>
                <w:szCs w:val="16"/>
                <w:color w:val="auto"/>
              </w:rPr>
            </w:pPr>
          </w:p>
        </w:tc>
        <w:tc>
          <w:tcPr>
            <w:tcW w:w="5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President</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LaBenne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D’Annunzio</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Biographical information for </w:t>
      </w:r>
      <w:r>
        <w:rPr>
          <w:rFonts w:ascii="Times New Roman" w:cs="Times New Roman" w:eastAsia="Times New Roman" w:hAnsi="Times New Roman"/>
          <w:sz w:val="18"/>
          <w:szCs w:val="18"/>
          <w:b w:val="1"/>
          <w:bCs w:val="1"/>
          <w:color w:val="auto"/>
        </w:rPr>
        <w:t>Gavin Michael</w:t>
      </w:r>
      <w:r>
        <w:rPr>
          <w:rFonts w:ascii="Times New Roman" w:cs="Times New Roman" w:eastAsia="Times New Roman" w:hAnsi="Times New Roman"/>
          <w:sz w:val="18"/>
          <w:szCs w:val="18"/>
          <w:color w:val="auto"/>
        </w:rPr>
        <w:t xml:space="preserve"> is set forth under “</w:t>
      </w:r>
      <w:r>
        <w:rPr>
          <w:rFonts w:ascii="Times New Roman" w:cs="Times New Roman" w:eastAsia="Times New Roman" w:hAnsi="Times New Roman"/>
          <w:sz w:val="18"/>
          <w:szCs w:val="18"/>
          <w:i w:val="1"/>
          <w:iCs w:val="1"/>
          <w:color w:val="auto"/>
        </w:rPr>
        <w:t>Information on Board of Directors and Corporate Governance</w:t>
      </w:r>
      <w:r>
        <w:rPr>
          <w:rFonts w:ascii="Times New Roman" w:cs="Times New Roman" w:eastAsia="Times New Roman" w:hAnsi="Times New Roman"/>
          <w:sz w:val="18"/>
          <w:szCs w:val="18"/>
          <w:color w:val="auto"/>
        </w:rPr>
        <w:t>” above.</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Andrew LaBenne </w:t>
      </w:r>
      <w:r>
        <w:rPr>
          <w:rFonts w:ascii="Times New Roman" w:cs="Times New Roman" w:eastAsia="Times New Roman" w:hAnsi="Times New Roman"/>
          <w:sz w:val="18"/>
          <w:szCs w:val="18"/>
          <w:color w:val="auto"/>
        </w:rPr>
        <w:t>has served as our Chief Financial Officer since the Closing. Mr. LaBenne has also served in the same role for Opco since April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Opco, 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8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Marc D’Annunzio </w:t>
      </w:r>
      <w:r>
        <w:rPr>
          <w:rFonts w:ascii="Times New Roman" w:cs="Times New Roman" w:eastAsia="Times New Roman" w:hAnsi="Times New Roman"/>
          <w:sz w:val="18"/>
          <w:szCs w:val="18"/>
          <w:color w:val="auto"/>
        </w:rPr>
        <w:t>has served as our General Counsel and Secretary since the Closing. Prior to this role, Mr. D’Annunzio served as General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Secretary for Opco since May 2019. Mr. D’Annunzio is responsible for our legal, regulatory, compliance and governance matters. Mr. D’Annunzio joined Opco in May 2019 from Alston &amp; Bird LLP, an international law firm, where he practiced in its Payments group. Mr. D’Annunzio has more than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Compensation</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two most highly compensated executive officers (other than our principal executive officer), as of December 31, 2021, were:</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Gavin Michael, Chief Executive Officer and President;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LaBenne,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D’Annunzio, General Counsel and Secretary;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Clifton, Former Interim Chief Executive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eligible to leverage certain exemptions from various reporting requirements that are applicable to other public companies that are not smaller reporting companies or emerging growth companies. These include, but are not limited to,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 and our two other most highly compensated executive officers, which we refer to as our “named executive officers” or our “NEOs.”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62"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We believe our compensation program should promote the success of the company and align incentives with the long-term interests of our stockholders. Achievement of incentive compensation is determined leveraging targets and goals for the company, each team within the company and individual performance attributes. These goals include both quantitative and qualitative metrics that seek to capture progress towards growth for the company and our stockholders. As our needs evolve, we intend to continue to evaluate our philosophy and compensation programs as circumstances require.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compensation committee discharges the responsibilities of our Board relating to the compensation of our executive officers. Specifically, the committee reviews executive compensation plans and practices, and provides recommendation on approval for compensation decisions across the company.</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committee also works closely with our CEO, Chief Human Resources Officer and other members of management to review performance and compensation matters, including cash bonus and equity grant decisions for the year.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2021, Bakkt also engaged external organizational and compensation consultants to help inform compensation decisions, including: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on competitive market pay practices for senior executives and the organization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of and input into Bakkt’s leveling and compensation approach across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review and updating of our compensation peer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analysis of non-employee director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support on other ad hoc matters throughout the year.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20"/>
          </w:cols>
          <w:pgMar w:left="320" w:top="455"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2021</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fiscal 2021 and prior years, where applicable, as determined under SEC rules.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vMerge w:val="restart"/>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340" w:type="dxa"/>
            <w:vAlign w:val="bottom"/>
            <w:vMerge w:val="restart"/>
          </w:tcPr>
          <w:p>
            <w:pPr>
              <w:spacing w:after="0"/>
              <w:rPr>
                <w:sz w:val="12"/>
                <w:szCs w:val="12"/>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60" w:type="dxa"/>
            <w:vAlign w:val="bottom"/>
          </w:tcPr>
          <w:p>
            <w:pPr>
              <w:jc w:val="center"/>
              <w:ind w:right="94"/>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(2)</w:t>
            </w:r>
          </w:p>
        </w:tc>
        <w:tc>
          <w:tcPr>
            <w:tcW w:w="160" w:type="dxa"/>
            <w:vAlign w:val="bottom"/>
          </w:tcPr>
          <w:p>
            <w:pPr>
              <w:spacing w:after="0"/>
              <w:rPr>
                <w:sz w:val="15"/>
                <w:szCs w:val="15"/>
                <w:color w:val="auto"/>
              </w:rPr>
            </w:pPr>
          </w:p>
        </w:tc>
        <w:tc>
          <w:tcPr>
            <w:tcW w:w="7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(7)</w:t>
            </w:r>
          </w:p>
        </w:tc>
        <w:tc>
          <w:tcPr>
            <w:tcW w:w="160" w:type="dxa"/>
            <w:vAlign w:val="bottom"/>
          </w:tcPr>
          <w:p>
            <w:pPr>
              <w:spacing w:after="0"/>
              <w:rPr>
                <w:sz w:val="15"/>
                <w:szCs w:val="15"/>
                <w:color w:val="auto"/>
              </w:rPr>
            </w:pPr>
          </w:p>
        </w:tc>
        <w:tc>
          <w:tcPr>
            <w:tcW w:w="7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Gavin Michael</w:t>
            </w:r>
            <w:r>
              <w:rPr>
                <w:rFonts w:ascii="Times New Roman" w:cs="Times New Roman" w:eastAsia="Times New Roman" w:hAnsi="Times New Roman"/>
                <w:sz w:val="11"/>
                <w:szCs w:val="11"/>
                <w:b w:val="1"/>
                <w:bCs w:val="1"/>
                <w:color w:val="auto"/>
              </w:rPr>
              <w:t>(3)</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471,153</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6,370,920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1,042,000</w:t>
            </w:r>
          </w:p>
        </w:tc>
        <w:tc>
          <w:tcPr>
            <w:tcW w:w="340" w:type="dxa"/>
            <w:vAlign w:val="bottom"/>
            <w:tcBorders>
              <w:top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91"/>
              </w:rPr>
              <w:t>(8)</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447</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7,884,520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Andrew LaBenne</w:t>
            </w:r>
            <w:r>
              <w:rPr>
                <w:rFonts w:ascii="Times New Roman" w:cs="Times New Roman" w:eastAsia="Times New Roman" w:hAnsi="Times New Roman"/>
                <w:sz w:val="11"/>
                <w:szCs w:val="11"/>
                <w:b w:val="1"/>
                <w:bCs w:val="1"/>
                <w:color w:val="auto"/>
              </w:rPr>
              <w:t>(4)</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260,000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612,003</w:t>
            </w:r>
          </w:p>
        </w:tc>
        <w:tc>
          <w:tcPr>
            <w:tcW w:w="11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400,000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1,279,886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 D’Annunzio</w:t>
            </w:r>
            <w:r>
              <w:rPr>
                <w:rFonts w:ascii="Times New Roman" w:cs="Times New Roman" w:eastAsia="Times New Roman" w:hAnsi="Times New Roman"/>
                <w:sz w:val="11"/>
                <w:szCs w:val="11"/>
                <w:b w:val="1"/>
                <w:bCs w:val="1"/>
                <w:color w:val="auto"/>
              </w:rPr>
              <w:t>(5)</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402,590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400,000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11,469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814,059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973,750</w:t>
            </w:r>
          </w:p>
        </w:tc>
        <w:tc>
          <w:tcPr>
            <w:tcW w:w="112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1,415,850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Clifton</w:t>
            </w:r>
            <w:r>
              <w:rPr>
                <w:rFonts w:ascii="Times New Roman" w:cs="Times New Roman" w:eastAsia="Times New Roman" w:hAnsi="Times New Roman"/>
                <w:sz w:val="11"/>
                <w:szCs w:val="11"/>
                <w:b w:val="1"/>
                <w:bCs w:val="1"/>
                <w:color w:val="auto"/>
              </w:rPr>
              <w:t>(6)</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1,131,000</w:t>
            </w:r>
          </w:p>
        </w:tc>
        <w:tc>
          <w:tcPr>
            <w:tcW w:w="112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1,131,000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annual base salary earned during fiscal year 2020 or 2021.</w:t>
      </w:r>
    </w:p>
    <w:p>
      <w:pPr>
        <w:spacing w:after="0" w:line="27"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grant date fair value of equity-based awards granted in fiscal year 2020 and 2021, calculated in accordance with ASC 718, and do not necessarily correspond to the actual value that may be recognized from the equity-based awards. Assumptions used in the calculation of these amounts are described in </w:t>
      </w:r>
      <w:r>
        <w:rPr>
          <w:rFonts w:ascii="Times New Roman" w:cs="Times New Roman" w:eastAsia="Times New Roman" w:hAnsi="Times New Roman"/>
          <w:sz w:val="18"/>
          <w:szCs w:val="18"/>
          <w:i w:val="1"/>
          <w:iCs w:val="1"/>
          <w:color w:val="auto"/>
        </w:rPr>
        <w:t>Note 11—Share-Based and Unit-Based Compensation</w:t>
      </w:r>
      <w:r>
        <w:rPr>
          <w:rFonts w:ascii="Times New Roman" w:cs="Times New Roman" w:eastAsia="Times New Roman" w:hAnsi="Times New Roman"/>
          <w:sz w:val="18"/>
          <w:szCs w:val="18"/>
          <w:color w:val="auto"/>
        </w:rPr>
        <w:t xml:space="preserve"> of our audited consolidated financial statements included in this prospectus.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was not a named executive officer in 2020. Dr. Michael joined Opco as Chief Executive Officer on January 11,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LaBenne was not a named executive officer in 2020. Mr. LaBenne joined Opco as Chief Financial Officer on April 27,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D’Annunzio was not a named executive officer in 2020. Mr. D’Annunzio joined Opco as General Counsel and Secretary in May 2019.</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Clifton was Chief Executive Officer of Opco from April 2020 until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Times New Roman" w:cs="Times New Roman" w:eastAsia="Times New Roman" w:hAnsi="Times New Roman"/>
          <w:sz w:val="18"/>
          <w:szCs w:val="18"/>
          <w:color w:val="auto"/>
        </w:rPr>
      </w:pPr>
    </w:p>
    <w:p>
      <w:pPr>
        <w:jc w:val="both"/>
        <w:ind w:left="540" w:right="20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amounts include: (i) for Dr. Michael, life insurance premiums; (ii) for Mr. LaBenne, life insurance premiums and employer 401(k) plan contributions; and (iii) for Mr. D’Annunzio, (A) in 2021, life insurance premiums and employer 401(k) plan contributions and (B) in 2020, employer 401(k) plan contributions.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$542,000 sign on bonus.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Compensation Approach</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At Bakkt, we take a holistic approach to total compensation, including competitive base pay for each role based on scope, skills required and level and location, as well as short-term and long-term incentive programs in the form of annual cash bonuses and annual equity grants, for those roles eligible and based on market and competitor standards.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provide annual cash bonuses to our executive officers, including the named executive officers, based on performance for the completed fiscal year. Bonuses are determined based on achievement of goals relating to our financial and operating performance and each executive officer’s individual performance. The actual annual cash bonuses awarded to each of the named executive officers for 2021 performance are set forth above in the 2021 Summary Compensation Table in the column titled “</w:t>
      </w: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December 2021, the Company granted restricted stock units to each of Dr. Michael and Mr. LaBenne. The vesting terms of the awards are set forth in the “Outstanding Equity Awards at Fiscal Year End” table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the Named Executive Officers of Bakkt</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the year ended December 31, 2021, please refer to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2" w:lineRule="auto"/>
        <w:rPr>
          <w:sz w:val="20"/>
          <w:szCs w:val="20"/>
          <w:color w:val="auto"/>
        </w:rPr>
      </w:pPr>
      <w:r>
        <w:rPr>
          <w:rFonts w:ascii="Times New Roman" w:cs="Times New Roman" w:eastAsia="Times New Roman" w:hAnsi="Times New Roman"/>
          <w:sz w:val="17"/>
          <w:szCs w:val="17"/>
          <w:color w:val="auto"/>
        </w:rPr>
        <w:t>Dr. Michael, the Company and Opco entered into an employment agreement on January 9, 2021. The agreement sets forth Dr. Michael’s title, annual base salary, annual target bonus of 100% of base salary, terms of an initial grant, paid in 2022, of 4,164,000 Company time- and performance-based vesting restricted stock units, employee benefit plan eligibility and vacation accrual. The agreement provides a one (1) year term with automatic one</w:t>
      </w:r>
    </w:p>
    <w:p>
      <w:pPr>
        <w:spacing w:after="0" w:line="2" w:lineRule="exact"/>
        <w:rPr>
          <w:sz w:val="20"/>
          <w:szCs w:val="20"/>
          <w:color w:val="auto"/>
        </w:rPr>
      </w:pPr>
    </w:p>
    <w:p>
      <w:pPr>
        <w:ind w:left="120" w:hanging="4"/>
        <w:spacing w:after="0" w:line="251" w:lineRule="auto"/>
        <w:tabs>
          <w:tab w:leader="none" w:pos="3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extensions unless either party provides notice of non-renewal. If Dr. Michael’s employment is terminated by the Company other than for Cause or Disability or due to the Company’s non-renewal of the employment agreement, or Dr. Michael resigns for Good Reason and such termination is unrelated to a Change in Control (as such terms are defined in the employment agreement) Dr. Michael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Dr. Michael’s employment is terminated by the Company other than for Cause or Disability or due to the Company’s non-renewal of the employment agreement, or Dr. Michael resigns for Good Reason, in each case within two (2) years following a Change in Control, Dr. Michael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Dr. Michael. The agreement includes a confidential information agreement and one (1) year post-termination non-solicit and non-competition covenants.</w:t>
      </w:r>
    </w:p>
    <w:p>
      <w:pPr>
        <w:spacing w:after="0" w:line="19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Mr. LaBenne entered into an employment agreement with the Company and Opco on March 16, 2021. The agreement sets forth Mr. LaBenne’s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 (1) year extensions unless either party provides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notice of non-renewal. If Mr. LaBenne’s employment is terminated by the Company other than for Cause or Disability or due to the Company’s non-renewal of the employment agreement, or Mr. LaBenne resigns for Good Reason and such termination is unrelated to a Change in Control (as such terms are defined in the employment agreement) Mr. LaBenne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LaBenne’s employment is terminated by the Company other than for Cause or Disability or due to the Company’s non-renewal of the employment agreement, or Mr. LaBenne resigns for Good Reason, in each case within two (2) years following a Change in Control, Mr. LaBenne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LaBenne. The agreement includes a confidential information agreement and one (1) year post-termination non-solicit and non-competition covenants.</w:t>
      </w:r>
    </w:p>
    <w:p>
      <w:pPr>
        <w:spacing w:after="0" w:line="195"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Mr. D’Annunzio and the Company entered into an employment agreement on August 10, 2021. The agreement sets forth Mr. D’Annunzio’s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w:t>
      </w:r>
    </w:p>
    <w:p>
      <w:pPr>
        <w:spacing w:after="0" w:line="2" w:lineRule="exact"/>
        <w:rPr>
          <w:sz w:val="20"/>
          <w:szCs w:val="20"/>
          <w:color w:val="auto"/>
        </w:rPr>
      </w:pPr>
    </w:p>
    <w:p>
      <w:pPr>
        <w:ind w:left="120" w:right="220" w:hanging="4"/>
        <w:spacing w:after="0" w:line="255" w:lineRule="auto"/>
        <w:tabs>
          <w:tab w:leader="none" w:pos="3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extensions unless either party provides notice of non-renewal. If Mr. D’Annunzio’s employment is terminated by the Company other than for Cause or Disability or due to the Company’s non-renewal of the employment agreement, or Mr. D’Annunzio resigns for Good Reason and such termination is unrelated to a Change in Control (as such terms are defined in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employment agreement) Mr. D’Annunzio is entitled to (i) a lump sum payment equal to two times base salary; (ii) a lump sum payment equal to one</w:t>
      </w:r>
    </w:p>
    <w:p>
      <w:pPr>
        <w:spacing w:after="0" w:line="27" w:lineRule="exact"/>
        <w:rPr>
          <w:sz w:val="20"/>
          <w:szCs w:val="20"/>
          <w:color w:val="auto"/>
        </w:rPr>
      </w:pPr>
    </w:p>
    <w:p>
      <w:pPr>
        <w:ind w:left="120" w:right="20" w:hanging="4"/>
        <w:spacing w:after="0" w:line="251" w:lineRule="auto"/>
        <w:tabs>
          <w:tab w:leader="none" w:pos="3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D’Annunzio. The employment agreement includes a confidential information agreement and one (1) year post-termination non-solicit and non-competition covenants.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also granted equity awards in 2021 pursuant to the 2021 Omnibus Incentive Plan (the “2021 Plan”), which became effective immediately upon the Closing.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profit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stock</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profit</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profit</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interest units</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00" w:type="dxa"/>
            <w:vAlign w:val="bottom"/>
            <w:vMerge w:val="restart"/>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16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Gavin Michael</w:t>
            </w: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694,000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5,905,940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LaBenne</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66,667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567,336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 D’Annunzio</w:t>
            </w:r>
            <w:r>
              <w:rPr>
                <w:rFonts w:ascii="Times New Roman" w:cs="Times New Roman" w:eastAsia="Times New Roman" w:hAnsi="Times New Roman"/>
                <w:sz w:val="15"/>
                <w:szCs w:val="15"/>
                <w:b w:val="1"/>
                <w:bCs w:val="1"/>
                <w:color w:val="auto"/>
              </w:rPr>
              <w:t>(2)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518,237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4,410,197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1,036,475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8,820,402</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Clifton</w:t>
            </w:r>
            <w:r>
              <w:rPr>
                <w:rFonts w:ascii="Times New Roman" w:cs="Times New Roman" w:eastAsia="Times New Roman" w:hAnsi="Times New Roman"/>
                <w:sz w:val="15"/>
                <w:szCs w:val="15"/>
                <w:b w:val="1"/>
                <w:bCs w:val="1"/>
                <w:color w:val="auto"/>
              </w:rPr>
              <w:t>(3)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37,544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319,499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125,064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1,064,295</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18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units of stock based on the $8.51 per unit value of the Company’s Class A common stock as of December 31, 2021.</w:t>
      </w:r>
    </w:p>
    <w:p>
      <w:pPr>
        <w:ind w:left="540" w:right="10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D’Annunzio was granted profits interests in the form of preferred incentive units on May 17, 2019 and February 28, 2020, one-third of which vested at Closing, and one-third of which will vest on each of the first and second anniversaries of the Closing. At Closing, each profits interest was exchanged for the right to receive a Paired Interest.</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55"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Clifton was granted profits interests in the form of preferred incentive units on December 4, 2020, one-third of which vested at Closing, and one-third of which will vest on each of the first and second anniversaries of the Closing. At Closing, each profits interest was exchanged for the right to receive a Paired Interest.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80" w:type="dxa"/>
            <w:vAlign w:val="bottom"/>
            <w:gridSpan w:val="2"/>
          </w:tcPr>
          <w:p>
            <w:pPr>
              <w:jc w:val="center"/>
              <w:ind w:left="135"/>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0" w:type="dxa"/>
            <w:vAlign w:val="bottom"/>
          </w:tcPr>
          <w:p>
            <w:pPr>
              <w:spacing w:after="0"/>
              <w:rPr>
                <w:sz w:val="12"/>
                <w:szCs w:val="12"/>
                <w:color w:val="auto"/>
              </w:rPr>
            </w:pPr>
          </w:p>
        </w:tc>
        <w:tc>
          <w:tcPr>
            <w:tcW w:w="1620" w:type="dxa"/>
            <w:vAlign w:val="bottom"/>
            <w:gridSpan w:val="3"/>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64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7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360" w:type="dxa"/>
            <w:vAlign w:val="bottom"/>
          </w:tcPr>
          <w:p>
            <w:pPr>
              <w:spacing w:after="0"/>
              <w:rPr>
                <w:sz w:val="15"/>
                <w:szCs w:val="15"/>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67"/>
        </w:trPr>
        <w:tc>
          <w:tcPr>
            <w:tcW w:w="36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Equity compensation plans approved by</w:t>
            </w:r>
          </w:p>
        </w:tc>
        <w:tc>
          <w:tcPr>
            <w:tcW w:w="2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Bakkt Holdings, Inc. 2021 Omnibus Employee</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Incentive Plan</w:t>
            </w:r>
            <w:r>
              <w:rPr>
                <w:rFonts w:ascii="Times New Roman" w:cs="Times New Roman" w:eastAsia="Times New Roman" w:hAnsi="Times New Roman"/>
                <w:sz w:val="15"/>
                <w:szCs w:val="15"/>
                <w:color w:val="auto"/>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2,141,778</w:t>
            </w:r>
          </w:p>
        </w:tc>
        <w:tc>
          <w:tcPr>
            <w:tcW w:w="360" w:type="dxa"/>
            <w:vAlign w:val="bottom"/>
          </w:tcPr>
          <w:p>
            <w:pPr>
              <w:spacing w:after="0"/>
              <w:rPr>
                <w:sz w:val="20"/>
                <w:szCs w:val="20"/>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23,675,168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 Amended and Restated Bakkt Equity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Plan</w:t>
            </w:r>
            <w:r>
              <w:rPr>
                <w:rFonts w:ascii="Times New Roman" w:cs="Times New Roman" w:eastAsia="Times New Roman" w:hAnsi="Times New Roman"/>
                <w:sz w:val="15"/>
                <w:szCs w:val="15"/>
                <w:color w:val="auto"/>
              </w:rPr>
              <w:t>(2)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16,338,505</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 plans not approved by</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240" w:type="dxa"/>
            <w:vAlign w:val="bottom"/>
          </w:tcPr>
          <w:p>
            <w:pPr>
              <w:spacing w:after="0"/>
              <w:rPr>
                <w:sz w:val="20"/>
                <w:szCs w:val="20"/>
                <w:color w:val="auto"/>
              </w:rPr>
            </w:pPr>
          </w:p>
        </w:tc>
        <w:tc>
          <w:tcPr>
            <w:tcW w:w="134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18,480,283</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was approved by our stockholders in connection with the Business Combination.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Opco’s members in connection with its adoption prior to the Business Combination.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grants issued under these plans that have an exercise price.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260"/>
          </w:cols>
          <w:pgMar w:left="320" w:top="455"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Security Ownership of Certain Beneficial Owners, Directors and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April 21, 2022 by:</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70,439,996 shares of our Class A common stock and 193,292,359 shares of Class V common stock outstanding as of April 21, 2022. We have deemed shares of our common stock subject to stock options that are currently exercisable or exercisable within 60 days of April 21, 2022 or issuable pursuant to RSUs which are subject to vesting and settlement conditions expected to occur within 60 days of April 21, 2022,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8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Bakkt Holdings, Inc., 10000 Avalon Boulevard, Suite 1000, Alpharetta, Georgia 30009.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and Class V</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180" w:type="dxa"/>
            <w:vAlign w:val="bottom"/>
            <w:vMerge w:val="restart"/>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Paired</w:t>
            </w: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Paired</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2"/>
                <w:szCs w:val="12"/>
                <w:b w:val="1"/>
                <w:bCs w:val="1"/>
                <w:color w:val="auto"/>
              </w:rPr>
              <w:t>(1)</w:t>
            </w:r>
          </w:p>
        </w:tc>
        <w:tc>
          <w:tcPr>
            <w:tcW w:w="9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Interests</w:t>
            </w:r>
            <w:r>
              <w:rPr>
                <w:rFonts w:ascii="Times New Roman" w:cs="Times New Roman" w:eastAsia="Times New Roman" w:hAnsi="Times New Roman"/>
                <w:sz w:val="12"/>
                <w:szCs w:val="12"/>
                <w:b w:val="1"/>
                <w:bCs w:val="1"/>
                <w:color w:val="auto"/>
              </w:rPr>
              <w:t>(2)</w:t>
            </w:r>
          </w:p>
        </w:tc>
        <w:tc>
          <w:tcPr>
            <w:tcW w:w="9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13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r>
              <w:rPr>
                <w:rFonts w:ascii="Times New Roman" w:cs="Times New Roman" w:eastAsia="Times New Roman" w:hAnsi="Times New Roman"/>
                <w:sz w:val="12"/>
                <w:szCs w:val="12"/>
                <w:b w:val="1"/>
                <w:bCs w:val="1"/>
                <w:color w:val="auto"/>
                <w:w w:val="99"/>
              </w:rPr>
              <w:t>(3)</w:t>
            </w:r>
          </w:p>
        </w:tc>
        <w:tc>
          <w:tcPr>
            <w:tcW w:w="0" w:type="dxa"/>
            <w:vAlign w:val="bottom"/>
          </w:tcPr>
          <w:p>
            <w:pPr>
              <w:spacing w:after="0"/>
              <w:rPr>
                <w:sz w:val="1"/>
                <w:szCs w:val="1"/>
                <w:color w:val="auto"/>
              </w:rPr>
            </w:pPr>
          </w:p>
        </w:tc>
      </w:tr>
      <w:tr>
        <w:trPr>
          <w:trHeight w:val="190"/>
        </w:trPr>
        <w:tc>
          <w:tcPr>
            <w:tcW w:w="48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Intercontinental Exchange Holdings, Inc.</w:t>
            </w:r>
            <w:r>
              <w:rPr>
                <w:rFonts w:ascii="Times New Roman" w:cs="Times New Roman" w:eastAsia="Times New Roman" w:hAnsi="Times New Roman"/>
                <w:sz w:val="15"/>
                <w:szCs w:val="15"/>
                <w:color w:val="auto"/>
              </w:rPr>
              <w:t>(4)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4,714,336</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170,079,462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174,793,798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3,488,609</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3,488,609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VPC Impact Acquisition Holdings Sponsor, LLC</w:t>
            </w:r>
            <w:r>
              <w:rPr>
                <w:rFonts w:ascii="Times New Roman" w:cs="Times New Roman" w:eastAsia="Times New Roman" w:hAnsi="Times New Roman"/>
                <w:sz w:val="15"/>
                <w:szCs w:val="15"/>
                <w:color w:val="auto"/>
              </w:rPr>
              <w:t>(6)</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8,336,190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8,336,190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Gavin Michael</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340,002</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340,002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LaBenne</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32,923</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32,923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D’Annunzio</w:t>
            </w:r>
            <w:r>
              <w:rPr>
                <w:rFonts w:ascii="Times New Roman" w:cs="Times New Roman" w:eastAsia="Times New Roman" w:hAnsi="Times New Roman"/>
                <w:sz w:val="15"/>
                <w:szCs w:val="15"/>
                <w:color w:val="auto"/>
              </w:rPr>
              <w:t>(7)</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518,237</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518,237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De’Ana Dow</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Clifton</w:t>
            </w:r>
            <w:r>
              <w:rPr>
                <w:rFonts w:ascii="Times New Roman" w:cs="Times New Roman" w:eastAsia="Times New Roman" w:hAnsi="Times New Roman"/>
                <w:sz w:val="15"/>
                <w:szCs w:val="15"/>
                <w:color w:val="auto"/>
              </w:rPr>
              <w:t>(7)</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37,544</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37,544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Kristyn Cook</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r>
              <w:rPr>
                <w:rFonts w:ascii="Times New Roman" w:cs="Times New Roman" w:eastAsia="Times New Roman" w:hAnsi="Times New Roman"/>
                <w:sz w:val="15"/>
                <w:szCs w:val="15"/>
                <w:color w:val="auto"/>
              </w:rPr>
              <w:t>(8)</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592,323</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2,908,110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3,500,433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Lumb</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Main</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persons)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1,015,248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3,463,891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4,479,139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entitles the holder thereof to one vote per share.</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percentage of voting power of holders of Class A Common Stock and Class V Common Stock voting together as a single class.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on February 4, 2022, Invesco Ltd. in its capacity as a parent holding company to its investment advisers may be deemed to beneficially own 3,488,609 shares of Class A Common Stock, which are held of record by clients of Invesco Ltd. The address of Invesco Ltd. is 1555 Peachtree Street NE, Suite 1800, Atlanta, GA 30309.</w:t>
      </w:r>
    </w:p>
    <w:p>
      <w:pPr>
        <w:spacing w:after="0" w:line="1" w:lineRule="exact"/>
        <w:rPr>
          <w:rFonts w:ascii="Times New Roman" w:cs="Times New Roman" w:eastAsia="Times New Roman" w:hAnsi="Times New Roman"/>
          <w:sz w:val="18"/>
          <w:szCs w:val="18"/>
          <w:color w:val="auto"/>
        </w:rPr>
      </w:pPr>
    </w:p>
    <w:p>
      <w:pPr>
        <w:jc w:val="both"/>
        <w:ind w:left="540" w:right="340" w:hanging="424"/>
        <w:spacing w:after="0" w:line="255"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Times New Roman" w:cs="Times New Roman" w:eastAsia="Times New Roman" w:hAnsi="Times New Roman"/>
          <w:sz w:val="18"/>
          <w:szCs w:val="18"/>
          <w:color w:val="auto"/>
        </w:rPr>
      </w:pPr>
    </w:p>
    <w:p>
      <w:pPr>
        <w:ind w:left="540" w:right="440" w:hanging="424"/>
        <w:spacing w:after="0" w:line="253"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Goldfinch Co-Invest IC LP holds 582,323 shares of Class A Common Stock acquired from the Company in connection with the business combination. Paired Interests held 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5"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January 1, 2019, and each currently proposed transaction, in which:</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or are to be, or the Company or Opco was,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Related Person Transactions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August 2020, VPC Impact Acquisition Holdings Sponsor, LLC (the “Sponsor”) purchased 5,750,000 Class B ordinary shares of the Company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initial public offering (the “IPO”), the Sponsor forfeited 585,700 Class B Ordinary Shares, resulting in an aggregate of 5,184,300 Class B Ordinary Shares issued and outstanding. In connection with the Closing, such Class B Ordinary Shares automatically converted into shares of Class A common stock on a one-for-one basis.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Sponsor purchased an aggregate of 6,147,440 warrants (“Private Placement Warrants”), at a price of $1.00 per warrant for an aggregate purchase price of $6,147,440 in a private placement that closed simultaneously with the closing of the IPO. Prior to the effectiveness of the deregistration under the Cayman Islands Company Law (2020 Revision) and a domestication under Section 388 of the Delaware General Corporation Law (“DGCL”), pursuant to which the Company’s jurisdiction of incorporation was changed from the Cayman Islands to the State of Delaware (the “Domestication”), each Private Placement Warrant entitled the holder upon exercise to purchase one Class B ordinary share of the Company (“Class A Ordinary Share”) at a price of $11.50 per share, subject to adjustment. On November 17, 2021, in accordance with the terms of the Warrant Agreement, dated as of September 22, 2020, between the Company and the warrant agent named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therein (the “Warrant Agreement”), the Company issued and delivered to the Sponsor 3,967,362 shares of Class A common stock upon the exercise of the Private Placement Warrants (the “Private Warrant Shares”) in satisfaction of the “cashless exercise” of all 6,147,440 of the Private Placement Warrants. The Company received no consideration from the delivery of the Private Warrant Shares.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Sponsor loaned the Company $82,729, which was used for a portion of the expenses of the IPO. This loan was repaid upon the closing of the IPO.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Letter Agreement</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September 22, 2020, the Sponsor, the Company, and the Insiders entered into a letter agreement (as amended, the “Insider Letter Agreement”) in relation to the IPO. Simultaneously with the execution of that certain Agreement and Plan of Merger (the “Merger Agreement”), on January 11, 2021, the Insider Letter Agreement was amended to add Opco as a party and include certain provisions with respect to the Merger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Insider Letter Agreement, the Sponsor and the Insiders agreed to waive certain anti-dilution rights under the</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Company’s Cayman-law constitutional documents that otherwise may have been triggered upon the completion of the transactions contemplated by the Merger Agreement.</w:t>
      </w:r>
    </w:p>
    <w:p>
      <w:pPr>
        <w:spacing w:after="0" w:line="18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320" w:top="455" w:right="5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Opco 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10, 2021, Opco entered into the Transition Services Agreement, which provides for the transition to Opco of services previously provided by Intercontinental Exchange, Inc. (“ICE”) to Opco, including technology and data center services, which historically have been provided under the intercompany services agreement (“ISA”), which was amended, restated and superseded by the Transition Services Agreement. The Transition Services Agreement is expected to remain in place through June 2023, with the possibility to be extended until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Triparty Agreement</w:t>
      </w:r>
    </w:p>
    <w:p>
      <w:pPr>
        <w:spacing w:after="0" w:line="12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On August 29, 2019, Bakkt Trust entered the Triparty Agreement with ICE Futures U.S., Inc. (“IFUS”) and ICE Clear US, Inc.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6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Opco entered into the Singapore Triparty Agreement with ICE Futures Singapore (“IFS”) and ICE Clear Singapore (“ICS”) on March 11, 2020, in connection with certain bitcoin cash-settled futures contract traded on IFS. Pursuant to the Singapore Triparty Agreement, IFS provides services related to the listing for trading one or more cash-settled digital currency futures and/or options contracts (“digital currency contracts”), ICS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Letter Agreement</w:t>
      </w:r>
    </w:p>
    <w:p>
      <w:pPr>
        <w:spacing w:after="0" w:line="119"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Simultaneously with the execution of the Merger Agreement, Opco became a party to the Inside Letter Agreement, as described in more detail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Related Person Transactions—Insider Letter 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Opco LLC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9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76"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Opco LLC Agreement provides for tax-related cash distributions to the holders of Opco Common Units (“tax distributions”). Generally, tax distributions will be the pro rata distribution amount necessary to permit the Company to receive an aggregate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annual tax distribution that is not less than the sum of (a) our U.S. federal, state, local and non-U.S. income tax liabilities plus (b) the amount necessary to satisfy our payment obligations pursuant to the Tax Receivable Agreement (as defined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entered into a Registration Rights Agreement (the “Registration Rights Agreement”) with the Sponsor, the Opco equity holders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the Closing, we, the Sponsor and the Opco Equity Holders entered into a Stockholders Agreement (the “Stockholders Agreement”),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Furthermore, if prior to the second annual meeting of our stockholders following the Closing at which directors are elected, a vacancy is created at any time by the death, retirement, removal or resignation of either the director 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Intercontinental Exchange Holdings, Inc. (“ICEH”), if ICEH holds at least five percent (5%) of the then-issued and outstanding shares of Class A common stock at such time.</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after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At the Closing, we entered into a Voting Agreement (the “Voting Agreement”)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120" w:right="80"/>
        <w:spacing w:after="0" w:line="257" w:lineRule="auto"/>
        <w:rPr>
          <w:sz w:val="20"/>
          <w:szCs w:val="20"/>
          <w:color w:val="auto"/>
        </w:rPr>
      </w:pPr>
      <w:r>
        <w:rPr>
          <w:rFonts w:ascii="Times New Roman" w:cs="Times New Roman" w:eastAsia="Times New Roman" w:hAnsi="Times New Roman"/>
          <w:sz w:val="18"/>
          <w:szCs w:val="18"/>
          <w:color w:val="auto"/>
        </w:rPr>
        <w:t>At the Closing, we, and certain Opco Equity Holders entered into a Tax Receivable Agreement (the “Tax Receivable Agreement”).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6"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At the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76"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 transactions available to all employees generally.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Matters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2023 Annual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2023 annual meeting pursuant to Rule 14a-8 of the Exchange Act, then the proposal must be received by our corporate secretary at our principal executive offices on or before March 17, 2023.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2023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February 15, 2023,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17, 2023.</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2023 annual meeting more than 30 days before, or more than 70 days following,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120th day prior to the day of our 2023 annual meeting,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(x) the 90th day before the meeting or (y) the 10th day following the day on which public announcement of the date of the annual meeting is first made by 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19"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A copy of our bylaws may be obtained by accessing our filings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Annual Report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financial statements for our fiscal year ended December 31, 2021 are included in our annual report, which we will make available to stockholders at the same time as this proxy statement. Our proxy materials and our annual report are available at www.astproxyportal.com/ast/26751.</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You may also obtain a copy of our annual report, free of charge, by sending a written request to Bakkt Holdings, Inc., 10000 Avalon Boulevard, Suite 1000, Alpharetta, Georgia 30009, Attention: Investor Relations.</w:t>
      </w:r>
    </w:p>
    <w:p>
      <w:pPr>
        <w:spacing w:after="0" w:line="15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21"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Therefore, we urge you to vote as promptly as possible to ensure your vote is recorded.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of Bakkt Holdings, Inc.</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28, 2022</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139"/>
          </w:cols>
          <w:pgMar w:left="320" w:top="455" w:right="1440" w:bottom="555"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5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sectPr>
      <w:pgSz w:w="11900" w:h="16838" w:orient="portrait"/>
      <w:cols w:equalWidth="0" w:num="1">
        <w:col w:w="10139"/>
      </w:cols>
      <w:pgMar w:left="320" w:top="455" w:right="1440" w:bottom="5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lvl w:ilvl="1">
      <w:lvlJc w:val="left"/>
      <w:lvlText w:val="(%2)"/>
      <w:numFmt w:val="decimal"/>
      <w:start w:val="2"/>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3"/>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2"/>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7"/>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2022-04-28T18:15:15Z</dcterms:created>
  <dcterms:modified xsi:type="dcterms:W3CDTF">2022-04-28T18:15:15Z</dcterms:modified>
</cp:coreProperties>
</file>