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ans-serif" w:hAnsi="Times New Roman;sans-serif"/>
          <w:b/>
          <w:color w:val="000000"/>
          <w:sz w:val="36"/>
        </w:rPr>
      </w:pPr>
      <w:r>
        <w:rPr>
          <w:rFonts w:ascii="Times New Roman;sans-serif" w:hAnsi="Times New Roman;sans-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June 6, 2023</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ans-serif" w:hAnsi="Times New Roman;sans-serif"/>
          <w:b/>
          <w:color w:val="000000"/>
          <w:sz w:val="40"/>
        </w:rPr>
      </w:pPr>
      <w:r>
        <w:rPr>
          <w:rFonts w:ascii="Times New Roman;sans-serif" w:hAnsi="Times New Roman;sans-serif"/>
          <w:b/>
          <w:color w:val="000000"/>
          <w:sz w:val="40"/>
        </w:rPr>
        <w:t>Bakkt Holdings, Inc.</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98-1550750</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tbl>
      <w:tblPr>
        <w:tblW w:w="4525" w:type="dxa"/>
        <w:jc w:val="center"/>
        <w:tblInd w:w="0" w:type="dxa"/>
        <w:tblLayout w:type="fixed"/>
        <w:tblCellMar>
          <w:top w:w="28" w:type="dxa"/>
          <w:left w:w="28" w:type="dxa"/>
          <w:bottom w:w="28" w:type="dxa"/>
          <w:right w:w="28" w:type="dxa"/>
        </w:tblCellMar>
      </w:tblPr>
      <w:tblGrid>
        <w:gridCol w:w="1183"/>
        <w:gridCol w:w="1040"/>
        <w:gridCol w:w="1046"/>
        <w:gridCol w:w="109"/>
        <w:gridCol w:w="109"/>
        <w:gridCol w:w="109"/>
        <w:gridCol w:w="272"/>
        <w:gridCol w:w="272"/>
        <w:gridCol w:w="385"/>
      </w:tblGrid>
      <w:tr>
        <w:trPr/>
        <w:tc>
          <w:tcPr>
            <w:tcW w:w="118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10000 Avalon Boulevard, Suite 1000,</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Alpharetta,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30009</w:t>
            </w:r>
          </w:p>
        </w:tc>
      </w:tr>
      <w:tr>
        <w:trPr/>
        <w:tc>
          <w:tcPr>
            <w:tcW w:w="32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(678) 534-5849</w:t>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92"/>
        <w:gridCol w:w="516"/>
        <w:gridCol w:w="516"/>
        <w:gridCol w:w="545"/>
        <w:gridCol w:w="516"/>
        <w:gridCol w:w="516"/>
        <w:gridCol w:w="516"/>
        <w:gridCol w:w="516"/>
        <w:gridCol w:w="516"/>
        <w:gridCol w:w="707"/>
        <w:gridCol w:w="516"/>
        <w:gridCol w:w="516"/>
        <w:gridCol w:w="516"/>
        <w:gridCol w:w="516"/>
        <w:gridCol w:w="516"/>
        <w:gridCol w:w="818"/>
        <w:gridCol w:w="516"/>
        <w:gridCol w:w="735"/>
      </w:tblGrid>
      <w:tr>
        <w:trPr/>
        <w:tc>
          <w:tcPr>
            <w:tcW w:w="69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 pursuant to Rule 425 under the Securities Act (17 CFR 230.425)</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ind w:left="0" w:right="0" w:hanging="1530"/>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120"/>
              <w:ind w:left="0" w:right="0" w:firstLine="14"/>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Name of each exchange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330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$0.0001 per share</w:t>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BKKT</w:t>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New York Stock Exchange</w:t>
            </w:r>
          </w:p>
        </w:tc>
      </w:tr>
      <w:tr>
        <w:trPr/>
        <w:tc>
          <w:tcPr>
            <w:tcW w:w="330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Warrants to purchase Class A Common Stock</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BKKT WS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New York Stock Exchange</w:t>
            </w:r>
          </w:p>
        </w:tc>
      </w:tr>
    </w:tbl>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Item 5.07 Submission of Matters to a Vote of Security Holders.</w:t>
      </w:r>
    </w:p>
    <w:p>
      <w:pPr>
        <w:pStyle w:val="TextBody"/>
        <w:bidi w:val="0"/>
        <w:spacing w:before="0" w:after="0"/>
        <w:jc w:val="both"/>
        <w:rPr/>
      </w:pPr>
      <w:r>
        <w:rPr/>
      </w:r>
    </w:p>
    <w:p>
      <w:pPr>
        <w:pStyle w:val="TextBody"/>
        <w:bidi w:val="0"/>
        <w:spacing w:lineRule="auto" w:line="26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June 6, 2023, Bakkt Holdings, Inc. (the “Company”) held its 2023 Annual Meeting of Stockholders (the “Annual Meeting”). At the Annual Meeting, 37,840,689 shares of the Company’s Class A common stock and 183,279,887 shares of the Company’s Class V common stock, together representing 83.2% of the voting power of all issued and outstanding shares of common stock of the Company as of April 10, 2023, the record date for the Annual Meeting, and constituting a quorum for the transaction of business, were present in person or by proxy and voted on the following three proposals, each of which is described in more detail in the Company’s definitive proxy statement for the Annual Meeting filed with the Securities and Exchange Commission on April 24, 2023.</w:t>
      </w:r>
    </w:p>
    <w:p>
      <w:pPr>
        <w:pStyle w:val="TextBody"/>
        <w:bidi w:val="0"/>
        <w:spacing w:lineRule="auto" w:line="26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1. The stockholders elected the three individuals listed below as directors to serve on the Board of Directors of the Company, each to serve until the 2026 annual meeting of stockholders or until her or his successor is duly elected and qualified or until her or his earlier death, resignation or removal. The voting results were as follows:</w:t>
      </w:r>
    </w:p>
    <w:tbl>
      <w:tblPr>
        <w:tblW w:w="5811" w:type="dxa"/>
        <w:jc w:val="left"/>
        <w:tblInd w:w="0" w:type="dxa"/>
        <w:tblLayout w:type="fixed"/>
        <w:tblCellMar>
          <w:top w:w="28" w:type="dxa"/>
          <w:left w:w="28" w:type="dxa"/>
          <w:bottom w:w="28" w:type="dxa"/>
          <w:right w:w="28" w:type="dxa"/>
        </w:tblCellMar>
      </w:tblPr>
      <w:tblGrid>
        <w:gridCol w:w="504"/>
        <w:gridCol w:w="442"/>
        <w:gridCol w:w="448"/>
        <w:gridCol w:w="109"/>
        <w:gridCol w:w="109"/>
        <w:gridCol w:w="109"/>
        <w:gridCol w:w="379"/>
        <w:gridCol w:w="379"/>
        <w:gridCol w:w="383"/>
        <w:gridCol w:w="109"/>
        <w:gridCol w:w="109"/>
        <w:gridCol w:w="109"/>
        <w:gridCol w:w="404"/>
        <w:gridCol w:w="404"/>
        <w:gridCol w:w="406"/>
        <w:gridCol w:w="109"/>
        <w:gridCol w:w="109"/>
        <w:gridCol w:w="109"/>
        <w:gridCol w:w="316"/>
        <w:gridCol w:w="316"/>
        <w:gridCol w:w="449"/>
      </w:tblGrid>
      <w:tr>
        <w:trPr/>
        <w:tc>
          <w:tcPr>
            <w:tcW w:w="50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Votes 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Broker </w:t>
              <w:br/>
              <w:t>Non-Votes</w:t>
            </w:r>
          </w:p>
        </w:tc>
      </w:tr>
      <w:tr>
        <w:trPr/>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Clifton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185,296,602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19,032,743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16,791,231</w:t>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De'Ana Dow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188,350,912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15,978,433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16,791,231</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Gordon Watson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185,300,933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19,028,412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16,791,231</w:t>
            </w:r>
          </w:p>
        </w:tc>
      </w:tr>
    </w:tbl>
    <w:p>
      <w:pPr>
        <w:pStyle w:val="TextBody"/>
        <w:bidi w:val="0"/>
        <w:spacing w:lineRule="auto" w:line="26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 The stockholders ratified the appointment of Ernst &amp; Young LLP as the Company’s independent registered public accounting firm for the fiscal year ending December 31, 2023. The voting results were as follows:</w:t>
      </w:r>
    </w:p>
    <w:tbl>
      <w:tblPr>
        <w:tblW w:w="5662" w:type="dxa"/>
        <w:jc w:val="left"/>
        <w:tblInd w:w="0" w:type="dxa"/>
        <w:tblLayout w:type="fixed"/>
        <w:tblCellMar>
          <w:top w:w="28" w:type="dxa"/>
          <w:left w:w="28" w:type="dxa"/>
          <w:bottom w:w="28" w:type="dxa"/>
          <w:right w:w="28" w:type="dxa"/>
        </w:tblCellMar>
      </w:tblPr>
      <w:tblGrid>
        <w:gridCol w:w="417"/>
        <w:gridCol w:w="367"/>
        <w:gridCol w:w="372"/>
        <w:gridCol w:w="109"/>
        <w:gridCol w:w="109"/>
        <w:gridCol w:w="109"/>
        <w:gridCol w:w="369"/>
        <w:gridCol w:w="369"/>
        <w:gridCol w:w="371"/>
        <w:gridCol w:w="109"/>
        <w:gridCol w:w="109"/>
        <w:gridCol w:w="109"/>
        <w:gridCol w:w="315"/>
        <w:gridCol w:w="315"/>
        <w:gridCol w:w="316"/>
        <w:gridCol w:w="109"/>
        <w:gridCol w:w="109"/>
        <w:gridCol w:w="109"/>
        <w:gridCol w:w="430"/>
        <w:gridCol w:w="430"/>
        <w:gridCol w:w="610"/>
      </w:tblGrid>
      <w:tr>
        <w:trPr/>
        <w:tc>
          <w:tcPr>
            <w:tcW w:w="4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Broker Non-Votes</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219,890,212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909,165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6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 The stockholders approved an amendment to the Company’s 2021 Omnibus Incentive Plan to authorize 26,590,466 additional shares. The voting results were as follows:</w:t>
      </w:r>
    </w:p>
    <w:tbl>
      <w:tblPr>
        <w:tblW w:w="5662" w:type="dxa"/>
        <w:jc w:val="left"/>
        <w:tblInd w:w="0" w:type="dxa"/>
        <w:tblLayout w:type="fixed"/>
        <w:tblCellMar>
          <w:top w:w="28" w:type="dxa"/>
          <w:left w:w="28" w:type="dxa"/>
          <w:bottom w:w="28" w:type="dxa"/>
          <w:right w:w="28" w:type="dxa"/>
        </w:tblCellMar>
      </w:tblPr>
      <w:tblGrid>
        <w:gridCol w:w="417"/>
        <w:gridCol w:w="367"/>
        <w:gridCol w:w="372"/>
        <w:gridCol w:w="109"/>
        <w:gridCol w:w="109"/>
        <w:gridCol w:w="109"/>
        <w:gridCol w:w="369"/>
        <w:gridCol w:w="369"/>
        <w:gridCol w:w="371"/>
        <w:gridCol w:w="109"/>
        <w:gridCol w:w="109"/>
        <w:gridCol w:w="109"/>
        <w:gridCol w:w="315"/>
        <w:gridCol w:w="315"/>
        <w:gridCol w:w="316"/>
        <w:gridCol w:w="109"/>
        <w:gridCol w:w="109"/>
        <w:gridCol w:w="109"/>
        <w:gridCol w:w="430"/>
        <w:gridCol w:w="430"/>
        <w:gridCol w:w="610"/>
      </w:tblGrid>
      <w:tr>
        <w:trPr/>
        <w:tc>
          <w:tcPr>
            <w:tcW w:w="4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Broker Non-Votes</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184,177,525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20,069,821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81,999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16,791,231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Dated: June 9, 2023</w:t>
      </w:r>
    </w:p>
    <w:p>
      <w:pPr>
        <w:pStyle w:val="TextBody"/>
        <w:bidi w:val="0"/>
        <w:spacing w:before="0" w:after="0"/>
        <w:jc w:val="left"/>
        <w:rPr/>
      </w:pPr>
      <w:r>
        <w:rPr/>
      </w:r>
    </w:p>
    <w:tbl>
      <w:tblPr>
        <w:tblW w:w="4596" w:type="dxa"/>
        <w:jc w:val="left"/>
        <w:tblInd w:w="0" w:type="dxa"/>
        <w:tblLayout w:type="fixed"/>
        <w:tblCellMar>
          <w:top w:w="28" w:type="dxa"/>
          <w:left w:w="28" w:type="dxa"/>
          <w:bottom w:w="28" w:type="dxa"/>
          <w:right w:w="28" w:type="dxa"/>
        </w:tblCellMar>
      </w:tblPr>
      <w:tblGrid>
        <w:gridCol w:w="124"/>
        <w:gridCol w:w="109"/>
        <w:gridCol w:w="109"/>
        <w:gridCol w:w="255"/>
        <w:gridCol w:w="255"/>
        <w:gridCol w:w="255"/>
        <w:gridCol w:w="283"/>
        <w:gridCol w:w="283"/>
        <w:gridCol w:w="283"/>
        <w:gridCol w:w="760"/>
        <w:gridCol w:w="760"/>
        <w:gridCol w:w="11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BAKKT HOLDINGS,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54"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Marc D'Annunzio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 D’Annunzio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 and Secretary</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657</Words>
  <Characters>3600</Characters>
  <CharactersWithSpaces>4179</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