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O: 650.493.9300</w:t>
      </w:r>
    </w:p>
    <w:p>
      <w:pPr>
        <w:spacing w:after="0" w:line="2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F: 866.974.7329</w:t>
      </w:r>
    </w:p>
    <w:p>
      <w:pPr>
        <w:spacing w:after="0" w:line="200" w:lineRule="exact"/>
        <w:rPr>
          <w:sz w:val="24"/>
          <w:szCs w:val="24"/>
          <w:color w:val="auto"/>
        </w:rPr>
      </w:pPr>
    </w:p>
    <w:p>
      <w:pPr>
        <w:spacing w:after="0" w:line="23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 Amendment No. 2 to Registration Statement on Form S-3 Filed February 14, 2024 (File No. 333-271361)</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Ms. Berkheimer and Mr. Lin:</w:t>
      </w:r>
    </w:p>
    <w:p>
      <w:pPr>
        <w:spacing w:after="0" w:line="117" w:lineRule="exact"/>
        <w:rPr>
          <w:sz w:val="24"/>
          <w:szCs w:val="24"/>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On behalf of Bakkt Holdings, Inc. (including its subsidiaries as the context requires,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the responses below,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submit this letter containing consolidated responses to the comment letter, dated February 14,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regarding the above-reference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For ease of review, each of the comments from your letter relating to the Registration Statement are set forth below, followed by the Company’s responses.</w:t>
      </w: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 Dated February 13, 2024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4"/>
          <w:szCs w:val="24"/>
          <w:color w:val="auto"/>
        </w:rPr>
      </w:pPr>
    </w:p>
    <w:p>
      <w:pPr>
        <w:ind w:left="424" w:hanging="424"/>
        <w:spacing w:after="0" w:line="257" w:lineRule="auto"/>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While we do not have any further comments at this time regarding your disclosure or the responses that you have provided to our prior comments, please confirm your understanding that our decision not to issue additional comments should not be interpreted to mean that we either agree or disagree with your disclosure or responses. Please also confirm your understanding that, with respect to your business operations, and in particular the Bakkt Crypto and Bakkt Marketplace platforms and the crypto assets you make available for trading on those platforms, our decision not to issue additional comments does not mean that we either agree or disagree with any conclusions you have made, positions you have taken or practices you have engaged in or may engage in.</w:t>
      </w:r>
    </w:p>
    <w:p>
      <w:pPr>
        <w:spacing w:after="0" w:line="28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4"/>
          <w:szCs w:val="24"/>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confirms and acknowledges that the Staff’s decision not to issue additional comments should not be interpreted to mean that the Staff either agrees or disagrees with the Company’s disclosure or responses. Further, the Company acknowledges and confirms that, with respect to the Company’s business operations, and in particular the</w:t>
      </w:r>
    </w:p>
    <w:p>
      <w:pPr>
        <w:spacing w:after="0" w:line="108" w:lineRule="exact"/>
        <w:rPr>
          <w:sz w:val="24"/>
          <w:szCs w:val="24"/>
          <w:color w:val="auto"/>
        </w:rPr>
      </w:pPr>
    </w:p>
    <w:p>
      <w:pPr>
        <w:ind w:left="4" w:right="80" w:firstLine="112"/>
        <w:spacing w:after="0" w:line="282" w:lineRule="auto"/>
        <w:rPr>
          <w:sz w:val="20"/>
          <w:szCs w:val="20"/>
          <w:color w:val="auto"/>
        </w:rPr>
      </w:pPr>
      <w:r>
        <w:rPr>
          <w:rFonts w:ascii="Times New Roman" w:cs="Times New Roman" w:eastAsia="Times New Roman" w:hAnsi="Times New Roman"/>
          <w:sz w:val="18"/>
          <w:szCs w:val="18"/>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10984"/>
          </w:cols>
          <w:pgMar w:left="436" w:top="229"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Bakkt Crypto and Bakkt Marketplace platforms and the crypto assets the Company makes available for trading on those platforms, the Staff’s decision not to issue additional comments does not mean that the Staff either agrees or disagrees with any conclusions the Company has made, positions the Company has taken, or practices the Company has engaged in or may engage in.</w:t>
      </w:r>
    </w:p>
    <w:p>
      <w:pPr>
        <w:spacing w:after="0" w:line="176" w:lineRule="exact"/>
        <w:rPr>
          <w:sz w:val="20"/>
          <w:szCs w:val="20"/>
          <w:color w:val="auto"/>
        </w:rPr>
      </w:pPr>
    </w:p>
    <w:p>
      <w:pPr>
        <w:ind w:left="4" w:right="1100"/>
        <w:spacing w:after="0" w:line="282" w:lineRule="auto"/>
        <w:rPr>
          <w:sz w:val="20"/>
          <w:szCs w:val="20"/>
          <w:color w:val="auto"/>
        </w:rPr>
      </w:pPr>
      <w:r>
        <w:rPr>
          <w:rFonts w:ascii="Times New Roman" w:cs="Times New Roman" w:eastAsia="Times New Roman" w:hAnsi="Times New Roman"/>
          <w:sz w:val="18"/>
          <w:szCs w:val="18"/>
          <w:color w:val="auto"/>
        </w:rPr>
        <w:t>Please direct any questions regarding the Company’s responses or the Registration Statement to J. Matthew Lyons at (512) 338-5411 or mlyons@wsgr.com or Austin D. March at (512) 338-5410 or amarch@wsgr.com.</w:t>
      </w:r>
    </w:p>
    <w:p>
      <w:pPr>
        <w:sectPr>
          <w:pgSz w:w="11900" w:h="16838" w:orient="portrait"/>
          <w:cols w:equalWidth="0" w:num="1">
            <w:col w:w="10844"/>
          </w:cols>
          <w:pgMar w:left="436" w:top="81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4" w:right="1400" w:hanging="444"/>
        <w:spacing w:after="0" w:line="289"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Gavin Michael, Bakkt Holdings, Inc. Marc D’Annunzio, Bakkt Holdings, Inc. Paul Simmons, Bakkt Holdings,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 Wilson Sonsini Goodrich &amp; Rosati, Professional</w:t>
      </w:r>
    </w:p>
    <w:p>
      <w:pPr>
        <w:spacing w:after="0" w:line="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2">
        <w:col w:w="4744" w:space="720"/>
        <w:col w:w="5380"/>
      </w:cols>
      <w:pgMar w:left="436" w:top="81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2024-03-14T23:11:09Z</dcterms:created>
  <dcterms:modified xsi:type="dcterms:W3CDTF">2024-03-14T23:11:09Z</dcterms:modified>
</cp:coreProperties>
</file>