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3.jpeg" ContentType="image/jpeg"/>
  <Override PartName="/word/media/image2.jpeg" ContentType="image/jpeg"/>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Heading5"/>
        <w:spacing w:before="120" w:after="60"/>
        <w:jc w:val="left"/>
        <w:rPr/>
      </w:pPr>
      <w:hyperlink w:anchor="toc">
        <w:bookmarkStart w:id="0" w:name="d485936ds3.htm"/>
        <w:bookmarkStart w:id="1" w:name="ksd485936ds3"/>
        <w:bookmarkEnd w:id="0"/>
        <w:bookmarkEnd w:id="1"/>
        <w:r>
          <w:rPr>
            <w:rStyle w:val="InternetLink"/>
          </w:rPr>
          <w:t>Table of Contents</w:t>
        </w:r>
      </w:hyperlink>
    </w:p>
    <w:p>
      <w:pPr>
        <w:pStyle w:val="TextBody"/>
        <w:spacing w:before="0" w:after="0"/>
        <w:jc w:val="center"/>
        <w:rPr>
          <w:rFonts w:ascii="Times New Roman" w:hAnsi="Times New Roman"/>
          <w:b/>
          <w:sz w:val="16"/>
        </w:rPr>
      </w:pPr>
      <w:r>
        <w:rPr>
          <w:rFonts w:ascii="Times New Roman" w:hAnsi="Times New Roman"/>
          <w:b/>
          <w:sz w:val="16"/>
        </w:rPr>
        <w:t xml:space="preserve">As filed with the Securities and Exchange Commission on April 25, 2023 </w:t>
      </w:r>
    </w:p>
    <w:p>
      <w:pPr>
        <w:pStyle w:val="TextBody"/>
        <w:spacing w:before="0" w:after="0"/>
        <w:jc w:val="right"/>
        <w:rPr>
          <w:rFonts w:ascii="Times New Roman" w:hAnsi="Times New Roman"/>
          <w:b/>
          <w:sz w:val="16"/>
        </w:rPr>
      </w:pPr>
      <w:r>
        <w:rPr>
          <w:rFonts w:ascii="Times New Roman" w:hAnsi="Times New Roman"/>
          <w:b/>
          <w:sz w:val="16"/>
        </w:rPr>
        <w:t xml:space="preserve">Registration No. 333-             </w:t>
      </w:r>
    </w:p>
    <w:p>
      <w:pPr>
        <w:pStyle w:val="TextBody"/>
        <w:spacing w:before="0" w:after="0"/>
        <w:jc w:val="left"/>
        <w:rPr/>
      </w:pPr>
      <w:r>
        <w:rPr/>
        <w:t> </w:t>
      </w:r>
    </w:p>
    <w:p>
      <w:pPr>
        <w:pStyle w:val="TextBody"/>
        <w:pBdr>
          <w:bottom w:val="single" w:sz="2" w:space="1" w:color="000000"/>
        </w:pBdr>
        <w:spacing w:lineRule="atLeast" w:line="141" w:before="0" w:after="0"/>
        <w:jc w:val="left"/>
        <w:rPr/>
      </w:pPr>
      <w:r>
        <w:rPr/>
        <w:t> </w:t>
      </w:r>
    </w:p>
    <w:p>
      <w:pPr>
        <w:pStyle w:val="TextBody"/>
        <w:pBdr>
          <w:bottom w:val="single" w:sz="2" w:space="1" w:color="000000"/>
        </w:pBdr>
        <w:spacing w:lineRule="atLeast" w:line="141" w:before="0" w:after="40"/>
        <w:jc w:val="left"/>
        <w:rPr/>
      </w:pPr>
      <w:r>
        <w:rPr/>
        <w:t> </w:t>
      </w:r>
    </w:p>
    <w:p>
      <w:pPr>
        <w:pStyle w:val="TextBody"/>
        <w:spacing w:before="40" w:after="0"/>
        <w:jc w:val="center"/>
        <w:rPr>
          <w:rFonts w:ascii="Times New Roman" w:hAnsi="Times New Roman"/>
          <w:b/>
          <w:sz w:val="32"/>
        </w:rPr>
      </w:pPr>
      <w:r>
        <w:rPr>
          <w:rFonts w:ascii="Times New Roman" w:hAnsi="Times New Roman"/>
          <w:b/>
          <w:sz w:val="32"/>
        </w:rPr>
        <w:t xml:space="preserve">UNITED STATES </w:t>
      </w:r>
    </w:p>
    <w:p>
      <w:pPr>
        <w:pStyle w:val="TextBody"/>
        <w:spacing w:before="0" w:after="0"/>
        <w:jc w:val="center"/>
        <w:rPr>
          <w:rFonts w:ascii="Times New Roman" w:hAnsi="Times New Roman"/>
          <w:b/>
          <w:sz w:val="32"/>
        </w:rPr>
      </w:pPr>
      <w:r>
        <w:rPr>
          <w:rFonts w:ascii="Times New Roman" w:hAnsi="Times New Roman"/>
          <w:b/>
          <w:sz w:val="32"/>
        </w:rPr>
        <w:t xml:space="preserve">SECURITIES AND EXCHANGE COMMISSION </w:t>
      </w:r>
    </w:p>
    <w:p>
      <w:pPr>
        <w:pStyle w:val="TextBody"/>
        <w:spacing w:before="0" w:after="0"/>
        <w:jc w:val="center"/>
        <w:rPr>
          <w:rFonts w:ascii="Times New Roman" w:hAnsi="Times New Roman"/>
          <w:b/>
          <w:sz w:val="22"/>
        </w:rPr>
      </w:pPr>
      <w:r>
        <w:rPr>
          <w:rFonts w:ascii="Times New Roman" w:hAnsi="Times New Roman"/>
          <w:b/>
          <w:sz w:val="22"/>
        </w:rPr>
        <w:t xml:space="preserve">Washington, D.C. 20549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40" w:after="0"/>
        <w:jc w:val="center"/>
        <w:rPr>
          <w:rFonts w:ascii="Times New Roman" w:hAnsi="Times New Roman"/>
          <w:b/>
          <w:sz w:val="32"/>
        </w:rPr>
      </w:pPr>
      <w:r>
        <w:rPr>
          <w:rFonts w:ascii="Times New Roman" w:hAnsi="Times New Roman"/>
          <w:b/>
          <w:sz w:val="32"/>
        </w:rPr>
        <w:t xml:space="preserve">FORM S-3 </w:t>
      </w:r>
    </w:p>
    <w:p>
      <w:pPr>
        <w:pStyle w:val="TextBody"/>
        <w:spacing w:before="0" w:after="0"/>
        <w:jc w:val="center"/>
        <w:rPr>
          <w:rFonts w:ascii="Times New Roman" w:hAnsi="Times New Roman"/>
          <w:b/>
          <w:sz w:val="32"/>
        </w:rPr>
      </w:pPr>
      <w:r>
        <w:rPr>
          <w:rFonts w:ascii="Times New Roman" w:hAnsi="Times New Roman"/>
          <w:b/>
          <w:sz w:val="32"/>
        </w:rPr>
        <w:t xml:space="preserve">REGISTRATION STATEMENT </w:t>
      </w:r>
    </w:p>
    <w:p>
      <w:pPr>
        <w:pStyle w:val="TextBody"/>
        <w:spacing w:before="0" w:after="0"/>
        <w:jc w:val="center"/>
        <w:rPr>
          <w:rFonts w:ascii="Times New Roman" w:hAnsi="Times New Roman"/>
          <w:b/>
          <w:i/>
          <w:sz w:val="22"/>
        </w:rPr>
      </w:pPr>
      <w:r>
        <w:rPr>
          <w:rFonts w:ascii="Times New Roman" w:hAnsi="Times New Roman"/>
          <w:b/>
          <w:i/>
          <w:sz w:val="22"/>
        </w:rPr>
        <w:t xml:space="preserve">UNDER </w:t>
      </w:r>
    </w:p>
    <w:p>
      <w:pPr>
        <w:pStyle w:val="TextBody"/>
        <w:spacing w:before="0" w:after="0"/>
        <w:jc w:val="center"/>
        <w:rPr>
          <w:rFonts w:ascii="Times New Roman" w:hAnsi="Times New Roman"/>
          <w:b/>
          <w:i/>
          <w:sz w:val="22"/>
        </w:rPr>
      </w:pPr>
      <w:r>
        <w:rPr>
          <w:rFonts w:ascii="Times New Roman" w:hAnsi="Times New Roman"/>
          <w:b/>
          <w:i/>
          <w:sz w:val="22"/>
        </w:rPr>
        <w:t xml:space="preserve">THE SECURITIES ACT OF 1933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40" w:after="0"/>
        <w:jc w:val="center"/>
        <w:rPr>
          <w:rFonts w:ascii="Times New Roman" w:hAnsi="Times New Roman"/>
          <w:b/>
          <w:sz w:val="44"/>
        </w:rPr>
      </w:pPr>
      <w:r>
        <w:rPr>
          <w:rFonts w:ascii="Times New Roman" w:hAnsi="Times New Roman"/>
          <w:b/>
          <w:sz w:val="44"/>
        </w:rPr>
        <w:t xml:space="preserve">Bakkt Holdings, Inc. </w:t>
      </w:r>
    </w:p>
    <w:p>
      <w:pPr>
        <w:pStyle w:val="TextBody"/>
        <w:spacing w:before="0" w:after="0"/>
        <w:jc w:val="center"/>
        <w:rPr>
          <w:rFonts w:ascii="Times New Roman" w:hAnsi="Times New Roman"/>
          <w:b/>
          <w:sz w:val="16"/>
        </w:rPr>
      </w:pPr>
      <w:r>
        <w:rPr>
          <w:rFonts w:ascii="Times New Roman" w:hAnsi="Times New Roman"/>
          <w:b/>
          <w:sz w:val="16"/>
        </w:rPr>
        <w:t xml:space="preserve">(Exact name of registrant as specified in its charter)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5154"/>
        <w:gridCol w:w="102"/>
        <w:gridCol w:w="4949"/>
      </w:tblGrid>
      <w:tr>
        <w:trPr/>
        <w:tc>
          <w:tcPr>
            <w:tcW w:w="5154"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4949" w:type="dxa"/>
            <w:tcBorders/>
            <w:shd w:fill="auto" w:val="clear"/>
            <w:vAlign w:val="center"/>
          </w:tcPr>
          <w:p>
            <w:pPr>
              <w:pStyle w:val="TableContents"/>
              <w:spacing w:before="0" w:after="283"/>
              <w:rPr>
                <w:sz w:val="4"/>
                <w:szCs w:val="4"/>
              </w:rPr>
            </w:pPr>
            <w:r>
              <w:rPr>
                <w:sz w:val="4"/>
                <w:szCs w:val="4"/>
              </w:rPr>
            </w:r>
          </w:p>
        </w:tc>
      </w:tr>
      <w:tr>
        <w:trPr/>
        <w:tc>
          <w:tcPr>
            <w:tcW w:w="5154" w:type="dxa"/>
            <w:tcBorders/>
            <w:shd w:fill="auto" w:val="clear"/>
          </w:tcPr>
          <w:p>
            <w:pPr>
              <w:pStyle w:val="TableContents"/>
              <w:spacing w:before="0" w:after="283"/>
              <w:jc w:val="center"/>
              <w:rPr>
                <w:b/>
              </w:rPr>
            </w:pPr>
            <w:r>
              <w:rPr>
                <w:b/>
              </w:rPr>
              <w:t>Delaware</w:t>
            </w:r>
          </w:p>
        </w:tc>
        <w:tc>
          <w:tcPr>
            <w:tcW w:w="102" w:type="dxa"/>
            <w:tcBorders/>
            <w:shd w:fill="auto" w:val="clear"/>
            <w:vAlign w:val="bottom"/>
          </w:tcPr>
          <w:p>
            <w:pPr>
              <w:pStyle w:val="TableContents"/>
              <w:spacing w:before="0" w:after="283"/>
              <w:rPr/>
            </w:pPr>
            <w:r>
              <w:rPr/>
              <w:t> </w:t>
            </w:r>
          </w:p>
        </w:tc>
        <w:tc>
          <w:tcPr>
            <w:tcW w:w="4949" w:type="dxa"/>
            <w:tcBorders/>
            <w:shd w:fill="auto" w:val="clear"/>
          </w:tcPr>
          <w:p>
            <w:pPr>
              <w:pStyle w:val="TableContents"/>
              <w:spacing w:before="0" w:after="283"/>
              <w:jc w:val="center"/>
              <w:rPr>
                <w:b/>
              </w:rPr>
            </w:pPr>
            <w:r>
              <w:rPr>
                <w:b/>
              </w:rPr>
              <w:t>98-1550750</w:t>
            </w:r>
          </w:p>
        </w:tc>
      </w:tr>
      <w:tr>
        <w:trPr/>
        <w:tc>
          <w:tcPr>
            <w:tcW w:w="5154" w:type="dxa"/>
            <w:tcBorders/>
            <w:shd w:fill="auto" w:val="clear"/>
          </w:tcPr>
          <w:p>
            <w:pPr>
              <w:pStyle w:val="TableContents"/>
              <w:spacing w:before="0" w:after="283"/>
              <w:jc w:val="center"/>
              <w:rPr>
                <w:b/>
              </w:rPr>
            </w:pPr>
            <w:r>
              <w:rPr>
                <w:b/>
              </w:rPr>
              <w:t xml:space="preserve">(State or other jurisdiction of </w:t>
              <w:br/>
              <w:t>incorporation or organization)</w:t>
            </w:r>
          </w:p>
        </w:tc>
        <w:tc>
          <w:tcPr>
            <w:tcW w:w="102" w:type="dxa"/>
            <w:tcBorders/>
            <w:shd w:fill="auto" w:val="clear"/>
            <w:vAlign w:val="bottom"/>
          </w:tcPr>
          <w:p>
            <w:pPr>
              <w:pStyle w:val="TableContents"/>
              <w:spacing w:before="0" w:after="283"/>
              <w:rPr/>
            </w:pPr>
            <w:r>
              <w:rPr/>
              <w:t> </w:t>
            </w:r>
          </w:p>
        </w:tc>
        <w:tc>
          <w:tcPr>
            <w:tcW w:w="4949" w:type="dxa"/>
            <w:tcBorders/>
            <w:shd w:fill="auto" w:val="clear"/>
          </w:tcPr>
          <w:p>
            <w:pPr>
              <w:pStyle w:val="TableContents"/>
              <w:spacing w:before="0" w:after="283"/>
              <w:jc w:val="center"/>
              <w:rPr>
                <w:b/>
              </w:rPr>
            </w:pPr>
            <w:r>
              <w:rPr>
                <w:b/>
              </w:rPr>
              <w:t>(I.R.S. Employer</w:t>
              <w:br/>
              <w:t>Identification Number)</w:t>
            </w:r>
          </w:p>
        </w:tc>
      </w:tr>
    </w:tbl>
    <w:p>
      <w:pPr>
        <w:pStyle w:val="TextBody"/>
        <w:spacing w:before="40" w:after="0"/>
        <w:jc w:val="center"/>
        <w:rPr>
          <w:rFonts w:ascii="Times New Roman" w:hAnsi="Times New Roman"/>
          <w:b/>
          <w:sz w:val="16"/>
        </w:rPr>
      </w:pPr>
      <w:r>
        <w:rPr>
          <w:rFonts w:ascii="Times New Roman" w:hAnsi="Times New Roman"/>
          <w:b/>
          <w:sz w:val="16"/>
        </w:rPr>
        <w:t xml:space="preserve">10000 Avalon Boulevard, Suite 1000 </w:t>
      </w:r>
    </w:p>
    <w:p>
      <w:pPr>
        <w:pStyle w:val="TextBody"/>
        <w:spacing w:before="0" w:after="0"/>
        <w:jc w:val="center"/>
        <w:rPr>
          <w:rFonts w:ascii="Times New Roman" w:hAnsi="Times New Roman"/>
          <w:b/>
          <w:sz w:val="16"/>
        </w:rPr>
      </w:pPr>
      <w:r>
        <w:rPr>
          <w:rFonts w:ascii="Times New Roman" w:hAnsi="Times New Roman"/>
          <w:b/>
          <w:sz w:val="16"/>
        </w:rPr>
        <w:t xml:space="preserve">Alpharetta, Georgia 30009 </w:t>
      </w:r>
    </w:p>
    <w:p>
      <w:pPr>
        <w:pStyle w:val="TextBody"/>
        <w:spacing w:before="0" w:after="0"/>
        <w:jc w:val="center"/>
        <w:rPr>
          <w:rFonts w:ascii="Times New Roman" w:hAnsi="Times New Roman"/>
          <w:b/>
          <w:sz w:val="16"/>
        </w:rPr>
      </w:pPr>
      <w:r>
        <w:rPr>
          <w:rFonts w:ascii="Times New Roman" w:hAnsi="Times New Roman"/>
          <w:b/>
          <w:sz w:val="16"/>
        </w:rPr>
        <w:t xml:space="preserve">(678) 534-5849 </w:t>
      </w:r>
    </w:p>
    <w:p>
      <w:pPr>
        <w:pStyle w:val="TextBody"/>
        <w:spacing w:before="0" w:after="0"/>
        <w:jc w:val="center"/>
        <w:rPr>
          <w:rFonts w:ascii="Times New Roman" w:hAnsi="Times New Roman"/>
          <w:b/>
          <w:sz w:val="14"/>
        </w:rPr>
      </w:pPr>
      <w:r>
        <w:rPr>
          <w:rFonts w:ascii="Times New Roman" w:hAnsi="Times New Roman"/>
          <w:b/>
          <w:sz w:val="14"/>
        </w:rPr>
        <w:t xml:space="preserve">(Address, including zip code, and telephone number, including area code, of registrants principal executive offices)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40" w:after="0"/>
        <w:jc w:val="center"/>
        <w:rPr>
          <w:rFonts w:ascii="Times New Roman" w:hAnsi="Times New Roman"/>
          <w:b/>
          <w:sz w:val="16"/>
        </w:rPr>
      </w:pPr>
      <w:r>
        <w:rPr>
          <w:rFonts w:ascii="Times New Roman" w:hAnsi="Times New Roman"/>
          <w:b/>
          <w:sz w:val="16"/>
        </w:rPr>
        <w:t xml:space="preserve">Gavin Michael </w:t>
      </w:r>
    </w:p>
    <w:p>
      <w:pPr>
        <w:pStyle w:val="TextBody"/>
        <w:spacing w:before="0" w:after="0"/>
        <w:jc w:val="center"/>
        <w:rPr>
          <w:rFonts w:ascii="Times New Roman" w:hAnsi="Times New Roman"/>
          <w:b/>
          <w:sz w:val="16"/>
        </w:rPr>
      </w:pPr>
      <w:r>
        <w:rPr>
          <w:rFonts w:ascii="Times New Roman" w:hAnsi="Times New Roman"/>
          <w:b/>
          <w:sz w:val="16"/>
        </w:rPr>
        <w:t xml:space="preserve">Chief Executive Officer </w:t>
      </w:r>
    </w:p>
    <w:p>
      <w:pPr>
        <w:pStyle w:val="TextBody"/>
        <w:spacing w:before="0" w:after="0"/>
        <w:jc w:val="center"/>
        <w:rPr>
          <w:rFonts w:ascii="Times New Roman" w:hAnsi="Times New Roman"/>
          <w:b/>
          <w:sz w:val="16"/>
        </w:rPr>
      </w:pPr>
      <w:r>
        <w:rPr>
          <w:rFonts w:ascii="Times New Roman" w:hAnsi="Times New Roman"/>
          <w:b/>
          <w:sz w:val="16"/>
        </w:rPr>
        <w:t xml:space="preserve">10000 Avalon Boulevard, Suite 1000 </w:t>
      </w:r>
    </w:p>
    <w:p>
      <w:pPr>
        <w:pStyle w:val="TextBody"/>
        <w:spacing w:before="0" w:after="0"/>
        <w:jc w:val="center"/>
        <w:rPr>
          <w:rFonts w:ascii="Times New Roman" w:hAnsi="Times New Roman"/>
          <w:b/>
          <w:sz w:val="16"/>
        </w:rPr>
      </w:pPr>
      <w:r>
        <w:rPr>
          <w:rFonts w:ascii="Times New Roman" w:hAnsi="Times New Roman"/>
          <w:b/>
          <w:sz w:val="16"/>
        </w:rPr>
        <w:t xml:space="preserve">Alpharetta, Georgia 30009 </w:t>
      </w:r>
    </w:p>
    <w:p>
      <w:pPr>
        <w:pStyle w:val="TextBody"/>
        <w:spacing w:before="0" w:after="0"/>
        <w:jc w:val="center"/>
        <w:rPr>
          <w:rFonts w:ascii="Times New Roman" w:hAnsi="Times New Roman"/>
          <w:b/>
          <w:sz w:val="16"/>
        </w:rPr>
      </w:pPr>
      <w:r>
        <w:rPr>
          <w:rFonts w:ascii="Times New Roman" w:hAnsi="Times New Roman"/>
          <w:b/>
          <w:sz w:val="16"/>
        </w:rPr>
        <w:t xml:space="preserve">(678) 534-5849 </w:t>
      </w:r>
    </w:p>
    <w:p>
      <w:pPr>
        <w:pStyle w:val="TextBody"/>
        <w:spacing w:before="0" w:after="0"/>
        <w:jc w:val="center"/>
        <w:rPr>
          <w:rFonts w:ascii="Times New Roman" w:hAnsi="Times New Roman"/>
          <w:b/>
          <w:sz w:val="14"/>
        </w:rPr>
      </w:pPr>
      <w:r>
        <w:rPr>
          <w:rFonts w:ascii="Times New Roman" w:hAnsi="Times New Roman"/>
          <w:b/>
          <w:sz w:val="14"/>
        </w:rPr>
        <w:t xml:space="preserve">(Name, address, including zip code, and telephone number, including area code, of agent for service) </w:t>
      </w:r>
    </w:p>
    <w:p>
      <w:pPr>
        <w:pStyle w:val="TextBody"/>
        <w:spacing w:before="40" w:after="0"/>
        <w:jc w:val="center"/>
        <w:rPr>
          <w:rFonts w:ascii="Times New Roman" w:hAnsi="Times New Roman"/>
          <w:b/>
          <w:i/>
          <w:sz w:val="16"/>
        </w:rPr>
      </w:pPr>
      <w:r>
        <w:rPr>
          <w:rFonts w:ascii="Times New Roman" w:hAnsi="Times New Roman"/>
          <w:b/>
          <w:i/>
          <w:sz w:val="16"/>
        </w:rPr>
        <w:t xml:space="preserve">Copies to: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5154"/>
        <w:gridCol w:w="102"/>
        <w:gridCol w:w="4949"/>
      </w:tblGrid>
      <w:tr>
        <w:trPr/>
        <w:tc>
          <w:tcPr>
            <w:tcW w:w="5154"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4949" w:type="dxa"/>
            <w:tcBorders/>
            <w:shd w:fill="auto" w:val="clear"/>
            <w:vAlign w:val="center"/>
          </w:tcPr>
          <w:p>
            <w:pPr>
              <w:pStyle w:val="TableContents"/>
              <w:spacing w:before="0" w:after="283"/>
              <w:rPr>
                <w:sz w:val="4"/>
                <w:szCs w:val="4"/>
              </w:rPr>
            </w:pPr>
            <w:r>
              <w:rPr>
                <w:sz w:val="4"/>
                <w:szCs w:val="4"/>
              </w:rPr>
            </w:r>
          </w:p>
        </w:tc>
      </w:tr>
      <w:tr>
        <w:trPr/>
        <w:tc>
          <w:tcPr>
            <w:tcW w:w="5154" w:type="dxa"/>
            <w:tcBorders/>
            <w:shd w:fill="auto" w:val="clear"/>
          </w:tcPr>
          <w:p>
            <w:pPr>
              <w:pStyle w:val="TableContents"/>
              <w:spacing w:before="0" w:after="0"/>
              <w:jc w:val="center"/>
              <w:rPr>
                <w:rFonts w:ascii="Times New Roman" w:hAnsi="Times New Roman"/>
                <w:b/>
                <w:sz w:val="16"/>
              </w:rPr>
            </w:pPr>
            <w:r>
              <w:rPr>
                <w:rFonts w:ascii="Times New Roman" w:hAnsi="Times New Roman"/>
                <w:b/>
                <w:sz w:val="16"/>
              </w:rPr>
              <w:t>J. Matthew Lyons</w:t>
            </w:r>
          </w:p>
          <w:p>
            <w:pPr>
              <w:pStyle w:val="TableContents"/>
              <w:spacing w:before="0" w:after="0"/>
              <w:jc w:val="center"/>
              <w:rPr>
                <w:rFonts w:ascii="Times New Roman" w:hAnsi="Times New Roman"/>
                <w:b/>
                <w:sz w:val="16"/>
              </w:rPr>
            </w:pPr>
            <w:r>
              <w:rPr>
                <w:rFonts w:ascii="Times New Roman" w:hAnsi="Times New Roman"/>
                <w:b/>
                <w:sz w:val="16"/>
              </w:rPr>
              <w:t>Austin D. March</w:t>
            </w:r>
          </w:p>
          <w:p>
            <w:pPr>
              <w:pStyle w:val="TableContents"/>
              <w:spacing w:before="0" w:after="0"/>
              <w:jc w:val="center"/>
              <w:rPr>
                <w:rFonts w:ascii="Times New Roman" w:hAnsi="Times New Roman"/>
                <w:b/>
                <w:sz w:val="16"/>
              </w:rPr>
            </w:pPr>
            <w:r>
              <w:rPr>
                <w:rFonts w:ascii="Times New Roman" w:hAnsi="Times New Roman"/>
                <w:b/>
                <w:sz w:val="16"/>
              </w:rPr>
              <w:t>Wilson Sonsini Goodrich &amp; Rosati,</w:t>
            </w:r>
          </w:p>
          <w:p>
            <w:pPr>
              <w:pStyle w:val="TableContents"/>
              <w:spacing w:before="0" w:after="0"/>
              <w:jc w:val="center"/>
              <w:rPr>
                <w:rFonts w:ascii="Times New Roman" w:hAnsi="Times New Roman"/>
                <w:b/>
                <w:sz w:val="16"/>
              </w:rPr>
            </w:pPr>
            <w:r>
              <w:rPr>
                <w:rFonts w:ascii="Times New Roman" w:hAnsi="Times New Roman"/>
                <w:b/>
                <w:sz w:val="16"/>
              </w:rPr>
              <w:t>Professional Corporation</w:t>
            </w:r>
          </w:p>
          <w:p>
            <w:pPr>
              <w:pStyle w:val="TableContents"/>
              <w:spacing w:before="0" w:after="0"/>
              <w:jc w:val="center"/>
              <w:rPr>
                <w:rFonts w:ascii="Times New Roman" w:hAnsi="Times New Roman"/>
                <w:b/>
                <w:sz w:val="16"/>
              </w:rPr>
            </w:pPr>
            <w:r>
              <w:rPr>
                <w:rFonts w:ascii="Times New Roman" w:hAnsi="Times New Roman"/>
                <w:b/>
                <w:sz w:val="16"/>
              </w:rPr>
              <w:t>900 S. Capital of Texas Highway</w:t>
            </w:r>
          </w:p>
          <w:p>
            <w:pPr>
              <w:pStyle w:val="TableContents"/>
              <w:spacing w:before="0" w:after="0"/>
              <w:jc w:val="center"/>
              <w:rPr>
                <w:rFonts w:ascii="Times New Roman" w:hAnsi="Times New Roman"/>
                <w:b/>
                <w:sz w:val="16"/>
              </w:rPr>
            </w:pPr>
            <w:r>
              <w:rPr>
                <w:rFonts w:ascii="Times New Roman" w:hAnsi="Times New Roman"/>
                <w:b/>
                <w:sz w:val="16"/>
              </w:rPr>
              <w:t>Las Cimas IV, 5th Floor</w:t>
            </w:r>
          </w:p>
          <w:p>
            <w:pPr>
              <w:pStyle w:val="TableContents"/>
              <w:spacing w:before="0" w:after="0"/>
              <w:jc w:val="center"/>
              <w:rPr>
                <w:rFonts w:ascii="Times New Roman" w:hAnsi="Times New Roman"/>
                <w:b/>
                <w:sz w:val="16"/>
              </w:rPr>
            </w:pPr>
            <w:r>
              <w:rPr>
                <w:rFonts w:ascii="Times New Roman" w:hAnsi="Times New Roman"/>
                <w:b/>
                <w:sz w:val="16"/>
              </w:rPr>
              <w:t>Austin, TX 78746</w:t>
            </w:r>
          </w:p>
          <w:p>
            <w:pPr>
              <w:pStyle w:val="TableContents"/>
              <w:spacing w:before="0" w:after="20"/>
              <w:jc w:val="center"/>
              <w:rPr>
                <w:rFonts w:ascii="Times New Roman" w:hAnsi="Times New Roman"/>
                <w:b/>
                <w:sz w:val="16"/>
              </w:rPr>
            </w:pPr>
            <w:r>
              <w:rPr>
                <w:rFonts w:ascii="Times New Roman" w:hAnsi="Times New Roman"/>
                <w:b/>
                <w:sz w:val="16"/>
              </w:rPr>
              <w:t>(512) 338-5400</w:t>
            </w:r>
          </w:p>
        </w:tc>
        <w:tc>
          <w:tcPr>
            <w:tcW w:w="102" w:type="dxa"/>
            <w:tcBorders/>
            <w:shd w:fill="auto" w:val="clear"/>
            <w:vAlign w:val="bottom"/>
          </w:tcPr>
          <w:p>
            <w:pPr>
              <w:pStyle w:val="TableContents"/>
              <w:spacing w:before="0" w:after="283"/>
              <w:rPr/>
            </w:pPr>
            <w:r>
              <w:rPr/>
              <w:t> </w:t>
            </w:r>
          </w:p>
        </w:tc>
        <w:tc>
          <w:tcPr>
            <w:tcW w:w="4949" w:type="dxa"/>
            <w:tcBorders/>
            <w:shd w:fill="auto" w:val="clear"/>
          </w:tcPr>
          <w:p>
            <w:pPr>
              <w:pStyle w:val="TableContents"/>
              <w:spacing w:before="0" w:after="0"/>
              <w:jc w:val="center"/>
              <w:rPr>
                <w:rFonts w:ascii="Times New Roman" w:hAnsi="Times New Roman"/>
                <w:b/>
                <w:sz w:val="16"/>
              </w:rPr>
            </w:pPr>
            <w:r>
              <w:rPr>
                <w:rFonts w:ascii="Times New Roman" w:hAnsi="Times New Roman"/>
                <w:b/>
                <w:sz w:val="16"/>
              </w:rPr>
              <w:t>Marc DAnnunzio</w:t>
            </w:r>
          </w:p>
          <w:p>
            <w:pPr>
              <w:pStyle w:val="TableContents"/>
              <w:spacing w:before="0" w:after="0"/>
              <w:jc w:val="center"/>
              <w:rPr>
                <w:rFonts w:ascii="Times New Roman" w:hAnsi="Times New Roman"/>
                <w:b/>
                <w:sz w:val="16"/>
              </w:rPr>
            </w:pPr>
            <w:r>
              <w:rPr>
                <w:rFonts w:ascii="Times New Roman" w:hAnsi="Times New Roman"/>
                <w:b/>
                <w:sz w:val="16"/>
              </w:rPr>
              <w:t>General Counsel</w:t>
            </w:r>
          </w:p>
          <w:p>
            <w:pPr>
              <w:pStyle w:val="TableContents"/>
              <w:spacing w:before="0" w:after="0"/>
              <w:jc w:val="center"/>
              <w:rPr>
                <w:rFonts w:ascii="Times New Roman" w:hAnsi="Times New Roman"/>
                <w:b/>
                <w:sz w:val="16"/>
              </w:rPr>
            </w:pPr>
            <w:r>
              <w:rPr>
                <w:rFonts w:ascii="Times New Roman" w:hAnsi="Times New Roman"/>
                <w:b/>
                <w:sz w:val="16"/>
              </w:rPr>
              <w:t>10000 Avalon Boulevard, Suite 1000</w:t>
            </w:r>
          </w:p>
          <w:p>
            <w:pPr>
              <w:pStyle w:val="TableContents"/>
              <w:spacing w:before="0" w:after="0"/>
              <w:jc w:val="center"/>
              <w:rPr>
                <w:rFonts w:ascii="Times New Roman" w:hAnsi="Times New Roman"/>
                <w:b/>
                <w:sz w:val="16"/>
              </w:rPr>
            </w:pPr>
            <w:r>
              <w:rPr>
                <w:rFonts w:ascii="Times New Roman" w:hAnsi="Times New Roman"/>
                <w:b/>
                <w:sz w:val="16"/>
              </w:rPr>
              <w:t>Alpharetta, Georgia 30009</w:t>
            </w:r>
          </w:p>
          <w:p>
            <w:pPr>
              <w:pStyle w:val="TableContents"/>
              <w:spacing w:before="0" w:after="20"/>
              <w:jc w:val="center"/>
              <w:rPr>
                <w:rFonts w:ascii="Times New Roman" w:hAnsi="Times New Roman"/>
                <w:b/>
                <w:sz w:val="16"/>
              </w:rPr>
            </w:pPr>
            <w:r>
              <w:rPr>
                <w:rFonts w:ascii="Times New Roman" w:hAnsi="Times New Roman"/>
                <w:b/>
                <w:sz w:val="16"/>
              </w:rPr>
              <w:t>(678) 534-5849</w:t>
            </w:r>
          </w:p>
        </w:tc>
      </w:tr>
    </w:tbl>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40" w:after="0"/>
        <w:jc w:val="center"/>
        <w:rPr>
          <w:rFonts w:ascii="Times New Roman" w:hAnsi="Times New Roman"/>
          <w:b/>
          <w:sz w:val="16"/>
        </w:rPr>
      </w:pPr>
      <w:r>
        <w:rPr>
          <w:rFonts w:ascii="Times New Roman" w:hAnsi="Times New Roman"/>
          <w:b/>
          <w:sz w:val="16"/>
        </w:rPr>
        <w:t xml:space="preserve">From time to time after the effective date of this registration statement. </w:t>
      </w:r>
    </w:p>
    <w:p>
      <w:pPr>
        <w:pStyle w:val="TextBody"/>
        <w:spacing w:before="0" w:after="0"/>
        <w:jc w:val="center"/>
        <w:rPr>
          <w:rFonts w:ascii="Times New Roman" w:hAnsi="Times New Roman"/>
          <w:sz w:val="16"/>
        </w:rPr>
      </w:pPr>
      <w:r>
        <w:rPr>
          <w:rFonts w:ascii="Times New Roman" w:hAnsi="Times New Roman"/>
          <w:sz w:val="16"/>
        </w:rPr>
        <w:t xml:space="preserve">(Approximate date of commencement of proposed sale to the public)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40" w:after="0"/>
        <w:jc w:val="left"/>
        <w:rPr>
          <w:rFonts w:ascii="Times New Roman" w:hAnsi="Times New Roman"/>
          <w:sz w:val="16"/>
        </w:rPr>
      </w:pPr>
      <w:r>
        <w:rPr>
          <w:rFonts w:ascii="Times New Roman" w:hAnsi="Times New Roman"/>
          <w:sz w:val="16"/>
        </w:rPr>
        <w:t xml:space="preserve">If the only securities being registered on this Form are being offered pursuant to dividend or interest reinvestment plans, please check the following box:  ☐ </w:t>
      </w:r>
    </w:p>
    <w:p>
      <w:pPr>
        <w:pStyle w:val="TextBody"/>
        <w:spacing w:before="40" w:after="0"/>
        <w:jc w:val="left"/>
        <w:rPr>
          <w:rFonts w:ascii="Times New Roman" w:hAnsi="Times New Roman"/>
          <w:sz w:val="16"/>
        </w:rPr>
      </w:pPr>
      <w:r>
        <w:rPr>
          <w:rFonts w:ascii="Times New Roman" w:hAnsi="Times New Roman"/>
          <w:sz w:val="16"/>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 </w:t>
      </w:r>
    </w:p>
    <w:p>
      <w:pPr>
        <w:pStyle w:val="TextBody"/>
        <w:spacing w:before="40" w:after="0"/>
        <w:jc w:val="left"/>
        <w:rPr>
          <w:rFonts w:ascii="Times New Roman" w:hAnsi="Times New Roman"/>
          <w:sz w:val="16"/>
        </w:rPr>
      </w:pPr>
      <w:r>
        <w:rPr>
          <w:rFonts w:ascii="Times New Roman" w:hAnsi="Times New Roman"/>
          <w:sz w:val="16"/>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 </w:t>
      </w:r>
    </w:p>
    <w:p>
      <w:pPr>
        <w:pStyle w:val="TextBody"/>
        <w:spacing w:before="40" w:after="0"/>
        <w:jc w:val="left"/>
        <w:rPr>
          <w:rFonts w:ascii="Times New Roman" w:hAnsi="Times New Roman"/>
          <w:sz w:val="16"/>
        </w:rPr>
      </w:pPr>
      <w:r>
        <w:rPr>
          <w:rFonts w:ascii="Times New Roman" w:hAnsi="Times New Roman"/>
          <w:sz w:val="16"/>
        </w:rPr>
        <w:t xml:space="preserve">If this Form is a post-effective amendment filed pursuant to Rule 462(c) under the Securities Act, please check the following box and list the Securities Act registration statement number of the earlier effective registration statement for the same offering.  ☐ </w:t>
      </w:r>
    </w:p>
    <w:p>
      <w:pPr>
        <w:pStyle w:val="TextBody"/>
        <w:spacing w:before="40" w:after="0"/>
        <w:jc w:val="left"/>
        <w:rPr>
          <w:rFonts w:ascii="Times New Roman" w:hAnsi="Times New Roman"/>
          <w:sz w:val="16"/>
        </w:rPr>
      </w:pPr>
      <w:r>
        <w:rPr>
          <w:rFonts w:ascii="Times New Roman" w:hAnsi="Times New Roman"/>
          <w:sz w:val="16"/>
        </w:rPr>
        <w:t xml:space="preserve">If this Form is a registration statement pursuant to General Instruction I.D. or a post-effective amendment thereto that shall become effective upon filing with the Commission pursuant to Rule 462(e) under the Securities Act, check the following box.  ☐ </w:t>
      </w:r>
    </w:p>
    <w:p>
      <w:pPr>
        <w:pStyle w:val="TextBody"/>
        <w:spacing w:before="40" w:after="0"/>
        <w:jc w:val="left"/>
        <w:rPr>
          <w:rFonts w:ascii="Times New Roman" w:hAnsi="Times New Roman"/>
          <w:sz w:val="16"/>
        </w:rPr>
      </w:pPr>
      <w:r>
        <w:rPr>
          <w:rFonts w:ascii="Times New Roman" w:hAnsi="Times New Roman"/>
          <w:sz w:val="16"/>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 </w:t>
      </w:r>
    </w:p>
    <w:p>
      <w:pPr>
        <w:pStyle w:val="TextBody"/>
        <w:spacing w:before="40" w:after="0"/>
        <w:jc w:val="left"/>
        <w:rPr>
          <w:rFonts w:ascii="Times New Roman" w:hAnsi="Times New Roman"/>
          <w:sz w:val="16"/>
        </w:rPr>
      </w:pPr>
      <w:r>
        <w:rPr>
          <w:rFonts w:ascii="Times New Roman" w:hAnsi="Times New Roman"/>
          <w:sz w:val="16"/>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2119"/>
        <w:gridCol w:w="103"/>
        <w:gridCol w:w="4861"/>
        <w:gridCol w:w="127"/>
        <w:gridCol w:w="2636"/>
        <w:gridCol w:w="103"/>
        <w:gridCol w:w="256"/>
      </w:tblGrid>
      <w:tr>
        <w:trPr/>
        <w:tc>
          <w:tcPr>
            <w:tcW w:w="2119" w:type="dxa"/>
            <w:tcBorders/>
            <w:shd w:fill="auto" w:val="clear"/>
            <w:vAlign w:val="center"/>
          </w:tcPr>
          <w:p>
            <w:pPr>
              <w:pStyle w:val="TableContents"/>
              <w:spacing w:before="0" w:after="283"/>
              <w:rPr>
                <w:sz w:val="4"/>
                <w:szCs w:val="4"/>
              </w:rPr>
            </w:pPr>
            <w:r>
              <w:rPr>
                <w:sz w:val="4"/>
                <w:szCs w:val="4"/>
              </w:rPr>
            </w:r>
          </w:p>
        </w:tc>
        <w:tc>
          <w:tcPr>
            <w:tcW w:w="103" w:type="dxa"/>
            <w:tcBorders/>
            <w:shd w:fill="auto" w:val="clear"/>
            <w:vAlign w:val="bottom"/>
          </w:tcPr>
          <w:p>
            <w:pPr>
              <w:pStyle w:val="TableContents"/>
              <w:spacing w:before="0" w:after="283"/>
              <w:rPr>
                <w:sz w:val="4"/>
                <w:szCs w:val="4"/>
              </w:rPr>
            </w:pPr>
            <w:r>
              <w:rPr>
                <w:sz w:val="4"/>
                <w:szCs w:val="4"/>
              </w:rPr>
            </w:r>
          </w:p>
        </w:tc>
        <w:tc>
          <w:tcPr>
            <w:tcW w:w="4861"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bottom"/>
          </w:tcPr>
          <w:p>
            <w:pPr>
              <w:pStyle w:val="TableContents"/>
              <w:spacing w:before="0" w:after="283"/>
              <w:rPr>
                <w:sz w:val="4"/>
                <w:szCs w:val="4"/>
              </w:rPr>
            </w:pPr>
            <w:r>
              <w:rPr>
                <w:sz w:val="4"/>
                <w:szCs w:val="4"/>
              </w:rPr>
            </w:r>
          </w:p>
        </w:tc>
        <w:tc>
          <w:tcPr>
            <w:tcW w:w="2636" w:type="dxa"/>
            <w:tcBorders/>
            <w:shd w:fill="auto" w:val="clear"/>
            <w:vAlign w:val="center"/>
          </w:tcPr>
          <w:p>
            <w:pPr>
              <w:pStyle w:val="TableContents"/>
              <w:spacing w:before="0" w:after="283"/>
              <w:rPr>
                <w:sz w:val="4"/>
                <w:szCs w:val="4"/>
              </w:rPr>
            </w:pPr>
            <w:r>
              <w:rPr>
                <w:sz w:val="4"/>
                <w:szCs w:val="4"/>
              </w:rPr>
            </w:r>
          </w:p>
        </w:tc>
        <w:tc>
          <w:tcPr>
            <w:tcW w:w="103" w:type="dxa"/>
            <w:tcBorders/>
            <w:shd w:fill="auto" w:val="clear"/>
            <w:vAlign w:val="bottom"/>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r>
      <w:tr>
        <w:trPr/>
        <w:tc>
          <w:tcPr>
            <w:tcW w:w="2119" w:type="dxa"/>
            <w:tcBorders/>
            <w:shd w:fill="auto" w:val="clear"/>
            <w:vAlign w:val="bottom"/>
          </w:tcPr>
          <w:p>
            <w:pPr>
              <w:pStyle w:val="TableContents"/>
              <w:spacing w:before="0" w:after="283"/>
              <w:rPr/>
            </w:pPr>
            <w:r>
              <w:rPr/>
              <w:t>Large accelerated filer</w:t>
            </w:r>
          </w:p>
        </w:tc>
        <w:tc>
          <w:tcPr>
            <w:tcW w:w="103" w:type="dxa"/>
            <w:tcBorders/>
            <w:shd w:fill="auto" w:val="clear"/>
            <w:vAlign w:val="bottom"/>
          </w:tcPr>
          <w:p>
            <w:pPr>
              <w:pStyle w:val="TableContents"/>
              <w:spacing w:before="0" w:after="283"/>
              <w:rPr/>
            </w:pPr>
            <w:r>
              <w:rPr/>
              <w:t> </w:t>
            </w:r>
          </w:p>
        </w:tc>
        <w:tc>
          <w:tcPr>
            <w:tcW w:w="4861" w:type="dxa"/>
            <w:tcBorders/>
            <w:shd w:fill="auto" w:val="clear"/>
            <w:vAlign w:val="bottom"/>
          </w:tcPr>
          <w:p>
            <w:pPr>
              <w:pStyle w:val="TableContents"/>
              <w:spacing w:before="0" w:after="283"/>
              <w:rPr/>
            </w:pPr>
            <w:r>
              <w:rPr/>
              <w:t>☐</w:t>
            </w:r>
          </w:p>
        </w:tc>
        <w:tc>
          <w:tcPr>
            <w:tcW w:w="127" w:type="dxa"/>
            <w:tcBorders/>
            <w:shd w:fill="auto" w:val="clear"/>
            <w:vAlign w:val="bottom"/>
          </w:tcPr>
          <w:p>
            <w:pPr>
              <w:pStyle w:val="TableContents"/>
              <w:spacing w:before="0" w:after="283"/>
              <w:rPr/>
            </w:pPr>
            <w:r>
              <w:rPr/>
              <w:t>  </w:t>
            </w:r>
          </w:p>
        </w:tc>
        <w:tc>
          <w:tcPr>
            <w:tcW w:w="2636" w:type="dxa"/>
            <w:tcBorders/>
            <w:shd w:fill="auto" w:val="clear"/>
            <w:vAlign w:val="bottom"/>
          </w:tcPr>
          <w:p>
            <w:pPr>
              <w:pStyle w:val="TableContents"/>
              <w:spacing w:before="0" w:after="283"/>
              <w:rPr/>
            </w:pPr>
            <w:r>
              <w:rPr/>
              <w:t>Accelerated filer</w:t>
            </w:r>
          </w:p>
        </w:tc>
        <w:tc>
          <w:tcPr>
            <w:tcW w:w="103" w:type="dxa"/>
            <w:tcBorders/>
            <w:shd w:fill="auto" w:val="clear"/>
            <w:vAlign w:val="bottom"/>
          </w:tcPr>
          <w:p>
            <w:pPr>
              <w:pStyle w:val="TableContents"/>
              <w:spacing w:before="0" w:after="283"/>
              <w:rPr/>
            </w:pPr>
            <w:r>
              <w:rPr/>
              <w:t> </w:t>
            </w:r>
          </w:p>
        </w:tc>
        <w:tc>
          <w:tcPr>
            <w:tcW w:w="256" w:type="dxa"/>
            <w:tcBorders/>
            <w:shd w:fill="auto" w:val="clear"/>
            <w:vAlign w:val="bottom"/>
          </w:tcPr>
          <w:p>
            <w:pPr>
              <w:pStyle w:val="TableContents"/>
              <w:spacing w:before="0" w:after="283"/>
              <w:rPr/>
            </w:pPr>
            <w:r>
              <w:rPr/>
              <w:t>☐</w:t>
            </w:r>
          </w:p>
        </w:tc>
      </w:tr>
      <w:tr>
        <w:trPr>
          <w:trHeight w:val="15" w:hRule="atLeast"/>
        </w:trPr>
        <w:tc>
          <w:tcPr>
            <w:tcW w:w="2119" w:type="dxa"/>
            <w:tcBorders/>
            <w:shd w:fill="auto" w:val="clear"/>
            <w:vAlign w:val="center"/>
          </w:tcPr>
          <w:p>
            <w:pPr>
              <w:pStyle w:val="TableContents"/>
              <w:spacing w:before="0" w:after="283"/>
              <w:rPr>
                <w:sz w:val="4"/>
                <w:szCs w:val="4"/>
              </w:rPr>
            </w:pPr>
            <w:r>
              <w:rPr>
                <w:sz w:val="4"/>
                <w:szCs w:val="4"/>
              </w:rPr>
            </w:r>
          </w:p>
        </w:tc>
        <w:tc>
          <w:tcPr>
            <w:tcW w:w="4964" w:type="dxa"/>
            <w:gridSpan w:val="2"/>
            <w:tcBorders/>
            <w:shd w:fill="auto" w:val="clear"/>
            <w:vAlign w:val="center"/>
          </w:tcPr>
          <w:p>
            <w:pPr>
              <w:pStyle w:val="TableContents"/>
              <w:spacing w:before="0" w:after="283"/>
              <w:rPr>
                <w:sz w:val="4"/>
                <w:szCs w:val="4"/>
              </w:rPr>
            </w:pPr>
            <w:r>
              <w:rPr>
                <w:sz w:val="4"/>
                <w:szCs w:val="4"/>
              </w:rPr>
            </w:r>
          </w:p>
        </w:tc>
        <w:tc>
          <w:tcPr>
            <w:tcW w:w="2763" w:type="dxa"/>
            <w:gridSpan w:val="2"/>
            <w:tcBorders/>
            <w:shd w:fill="auto" w:val="clear"/>
            <w:vAlign w:val="center"/>
          </w:tcPr>
          <w:p>
            <w:pPr>
              <w:pStyle w:val="TableContents"/>
              <w:spacing w:before="0" w:after="283"/>
              <w:rPr>
                <w:sz w:val="4"/>
                <w:szCs w:val="4"/>
              </w:rPr>
            </w:pPr>
            <w:r>
              <w:rPr>
                <w:sz w:val="4"/>
                <w:szCs w:val="4"/>
              </w:rPr>
            </w:r>
          </w:p>
        </w:tc>
        <w:tc>
          <w:tcPr>
            <w:tcW w:w="359" w:type="dxa"/>
            <w:gridSpan w:val="2"/>
            <w:tcBorders/>
            <w:shd w:fill="auto" w:val="clear"/>
            <w:vAlign w:val="center"/>
          </w:tcPr>
          <w:p>
            <w:pPr>
              <w:pStyle w:val="TableContents"/>
              <w:spacing w:before="0" w:after="283"/>
              <w:rPr>
                <w:sz w:val="4"/>
                <w:szCs w:val="4"/>
              </w:rPr>
            </w:pPr>
            <w:r>
              <w:rPr>
                <w:sz w:val="4"/>
                <w:szCs w:val="4"/>
              </w:rPr>
            </w:r>
          </w:p>
        </w:tc>
      </w:tr>
      <w:tr>
        <w:trPr/>
        <w:tc>
          <w:tcPr>
            <w:tcW w:w="2119" w:type="dxa"/>
            <w:tcBorders/>
            <w:shd w:fill="auto" w:val="clear"/>
            <w:vAlign w:val="bottom"/>
          </w:tcPr>
          <w:p>
            <w:pPr>
              <w:pStyle w:val="TableContents"/>
              <w:spacing w:before="0" w:after="283"/>
              <w:rPr/>
            </w:pPr>
            <w:r>
              <w:rPr/>
              <w:t>Non-accelerated filer</w:t>
            </w:r>
          </w:p>
        </w:tc>
        <w:tc>
          <w:tcPr>
            <w:tcW w:w="103" w:type="dxa"/>
            <w:tcBorders/>
            <w:shd w:fill="auto" w:val="clear"/>
            <w:vAlign w:val="bottom"/>
          </w:tcPr>
          <w:p>
            <w:pPr>
              <w:pStyle w:val="TableContents"/>
              <w:spacing w:before="0" w:after="283"/>
              <w:rPr/>
            </w:pPr>
            <w:r>
              <w:rPr/>
              <w:t> </w:t>
            </w:r>
          </w:p>
        </w:tc>
        <w:tc>
          <w:tcPr>
            <w:tcW w:w="4861" w:type="dxa"/>
            <w:tcBorders/>
            <w:shd w:fill="auto" w:val="clear"/>
            <w:vAlign w:val="bottom"/>
          </w:tcPr>
          <w:p>
            <w:pPr>
              <w:pStyle w:val="TableContents"/>
              <w:spacing w:before="0" w:after="283"/>
              <w:rPr/>
            </w:pPr>
            <w:r>
              <w:rPr/>
              <w:t>☒</w:t>
            </w:r>
          </w:p>
        </w:tc>
        <w:tc>
          <w:tcPr>
            <w:tcW w:w="127" w:type="dxa"/>
            <w:tcBorders/>
            <w:shd w:fill="auto" w:val="clear"/>
            <w:vAlign w:val="bottom"/>
          </w:tcPr>
          <w:p>
            <w:pPr>
              <w:pStyle w:val="TableContents"/>
              <w:spacing w:before="0" w:after="283"/>
              <w:rPr/>
            </w:pPr>
            <w:r>
              <w:rPr/>
              <w:t>  </w:t>
            </w:r>
          </w:p>
        </w:tc>
        <w:tc>
          <w:tcPr>
            <w:tcW w:w="2636" w:type="dxa"/>
            <w:tcBorders/>
            <w:shd w:fill="auto" w:val="clear"/>
            <w:vAlign w:val="bottom"/>
          </w:tcPr>
          <w:p>
            <w:pPr>
              <w:pStyle w:val="TableContents"/>
              <w:spacing w:before="0" w:after="283"/>
              <w:rPr/>
            </w:pPr>
            <w:r>
              <w:rPr/>
              <w:t>Smaller reporting company</w:t>
            </w:r>
          </w:p>
        </w:tc>
        <w:tc>
          <w:tcPr>
            <w:tcW w:w="103" w:type="dxa"/>
            <w:tcBorders/>
            <w:shd w:fill="auto" w:val="clear"/>
            <w:vAlign w:val="bottom"/>
          </w:tcPr>
          <w:p>
            <w:pPr>
              <w:pStyle w:val="TableContents"/>
              <w:spacing w:before="0" w:after="283"/>
              <w:rPr/>
            </w:pPr>
            <w:r>
              <w:rPr/>
              <w:t> </w:t>
            </w:r>
          </w:p>
        </w:tc>
        <w:tc>
          <w:tcPr>
            <w:tcW w:w="256" w:type="dxa"/>
            <w:tcBorders/>
            <w:shd w:fill="auto" w:val="clear"/>
            <w:vAlign w:val="bottom"/>
          </w:tcPr>
          <w:p>
            <w:pPr>
              <w:pStyle w:val="TableContents"/>
              <w:spacing w:before="0" w:after="283"/>
              <w:rPr/>
            </w:pPr>
            <w:r>
              <w:rPr/>
              <w:t>☒</w:t>
            </w:r>
          </w:p>
        </w:tc>
      </w:tr>
      <w:tr>
        <w:trPr>
          <w:trHeight w:val="15" w:hRule="atLeast"/>
        </w:trPr>
        <w:tc>
          <w:tcPr>
            <w:tcW w:w="2119" w:type="dxa"/>
            <w:tcBorders/>
            <w:shd w:fill="auto" w:val="clear"/>
            <w:vAlign w:val="center"/>
          </w:tcPr>
          <w:p>
            <w:pPr>
              <w:pStyle w:val="TableContents"/>
              <w:spacing w:before="0" w:after="283"/>
              <w:rPr>
                <w:sz w:val="4"/>
                <w:szCs w:val="4"/>
              </w:rPr>
            </w:pPr>
            <w:r>
              <w:rPr>
                <w:sz w:val="4"/>
                <w:szCs w:val="4"/>
              </w:rPr>
            </w:r>
          </w:p>
        </w:tc>
        <w:tc>
          <w:tcPr>
            <w:tcW w:w="4964" w:type="dxa"/>
            <w:gridSpan w:val="2"/>
            <w:tcBorders/>
            <w:shd w:fill="auto" w:val="clear"/>
            <w:vAlign w:val="center"/>
          </w:tcPr>
          <w:p>
            <w:pPr>
              <w:pStyle w:val="TableContents"/>
              <w:spacing w:before="0" w:after="283"/>
              <w:rPr>
                <w:sz w:val="4"/>
                <w:szCs w:val="4"/>
              </w:rPr>
            </w:pPr>
            <w:r>
              <w:rPr>
                <w:sz w:val="4"/>
                <w:szCs w:val="4"/>
              </w:rPr>
            </w:r>
          </w:p>
        </w:tc>
        <w:tc>
          <w:tcPr>
            <w:tcW w:w="2763" w:type="dxa"/>
            <w:gridSpan w:val="2"/>
            <w:tcBorders/>
            <w:shd w:fill="auto" w:val="clear"/>
            <w:vAlign w:val="center"/>
          </w:tcPr>
          <w:p>
            <w:pPr>
              <w:pStyle w:val="TableContents"/>
              <w:spacing w:before="0" w:after="283"/>
              <w:rPr>
                <w:sz w:val="4"/>
                <w:szCs w:val="4"/>
              </w:rPr>
            </w:pPr>
            <w:r>
              <w:rPr>
                <w:sz w:val="4"/>
                <w:szCs w:val="4"/>
              </w:rPr>
            </w:r>
          </w:p>
        </w:tc>
        <w:tc>
          <w:tcPr>
            <w:tcW w:w="359" w:type="dxa"/>
            <w:gridSpan w:val="2"/>
            <w:tcBorders/>
            <w:shd w:fill="auto" w:val="clear"/>
            <w:vAlign w:val="center"/>
          </w:tcPr>
          <w:p>
            <w:pPr>
              <w:pStyle w:val="TableContents"/>
              <w:spacing w:before="0" w:after="283"/>
              <w:rPr>
                <w:sz w:val="4"/>
                <w:szCs w:val="4"/>
              </w:rPr>
            </w:pPr>
            <w:r>
              <w:rPr>
                <w:sz w:val="4"/>
                <w:szCs w:val="4"/>
              </w:rPr>
            </w:r>
          </w:p>
        </w:tc>
      </w:tr>
      <w:tr>
        <w:trPr/>
        <w:tc>
          <w:tcPr>
            <w:tcW w:w="2119" w:type="dxa"/>
            <w:tcBorders/>
            <w:shd w:fill="auto" w:val="clear"/>
            <w:vAlign w:val="bottom"/>
          </w:tcPr>
          <w:p>
            <w:pPr>
              <w:pStyle w:val="TableContents"/>
              <w:spacing w:before="0" w:after="283"/>
              <w:rPr>
                <w:sz w:val="4"/>
                <w:szCs w:val="4"/>
              </w:rPr>
            </w:pPr>
            <w:r>
              <w:rPr>
                <w:sz w:val="4"/>
                <w:szCs w:val="4"/>
              </w:rPr>
            </w:r>
          </w:p>
        </w:tc>
        <w:tc>
          <w:tcPr>
            <w:tcW w:w="103" w:type="dxa"/>
            <w:tcBorders/>
            <w:shd w:fill="auto" w:val="clear"/>
            <w:vAlign w:val="bottom"/>
          </w:tcPr>
          <w:p>
            <w:pPr>
              <w:pStyle w:val="TableContents"/>
              <w:spacing w:before="0" w:after="283"/>
              <w:rPr/>
            </w:pPr>
            <w:r>
              <w:rPr/>
              <w:t> </w:t>
            </w:r>
          </w:p>
        </w:tc>
        <w:tc>
          <w:tcPr>
            <w:tcW w:w="4861" w:type="dxa"/>
            <w:tcBorders/>
            <w:shd w:fill="auto" w:val="clear"/>
            <w:vAlign w:val="bottom"/>
          </w:tcPr>
          <w:p>
            <w:pPr>
              <w:pStyle w:val="TableContents"/>
              <w:spacing w:before="0" w:after="283"/>
              <w:rPr>
                <w:sz w:val="4"/>
                <w:szCs w:val="4"/>
              </w:rPr>
            </w:pPr>
            <w:r>
              <w:rPr>
                <w:sz w:val="4"/>
                <w:szCs w:val="4"/>
              </w:rPr>
            </w:r>
          </w:p>
        </w:tc>
        <w:tc>
          <w:tcPr>
            <w:tcW w:w="127" w:type="dxa"/>
            <w:tcBorders/>
            <w:shd w:fill="auto" w:val="clear"/>
            <w:vAlign w:val="bottom"/>
          </w:tcPr>
          <w:p>
            <w:pPr>
              <w:pStyle w:val="TableContents"/>
              <w:spacing w:before="0" w:after="283"/>
              <w:rPr/>
            </w:pPr>
            <w:r>
              <w:rPr/>
              <w:t>  </w:t>
            </w:r>
          </w:p>
        </w:tc>
        <w:tc>
          <w:tcPr>
            <w:tcW w:w="2636" w:type="dxa"/>
            <w:tcBorders/>
            <w:shd w:fill="auto" w:val="clear"/>
            <w:vAlign w:val="bottom"/>
          </w:tcPr>
          <w:p>
            <w:pPr>
              <w:pStyle w:val="TableContents"/>
              <w:spacing w:before="0" w:after="283"/>
              <w:rPr/>
            </w:pPr>
            <w:r>
              <w:rPr/>
              <w:t>Emerging growth company</w:t>
            </w:r>
          </w:p>
        </w:tc>
        <w:tc>
          <w:tcPr>
            <w:tcW w:w="103" w:type="dxa"/>
            <w:tcBorders/>
            <w:shd w:fill="auto" w:val="clear"/>
            <w:vAlign w:val="bottom"/>
          </w:tcPr>
          <w:p>
            <w:pPr>
              <w:pStyle w:val="TableContents"/>
              <w:spacing w:before="0" w:after="283"/>
              <w:rPr/>
            </w:pPr>
            <w:r>
              <w:rPr/>
              <w:t> </w:t>
            </w:r>
          </w:p>
        </w:tc>
        <w:tc>
          <w:tcPr>
            <w:tcW w:w="256" w:type="dxa"/>
            <w:tcBorders/>
            <w:shd w:fill="auto" w:val="clear"/>
            <w:vAlign w:val="bottom"/>
          </w:tcPr>
          <w:p>
            <w:pPr>
              <w:pStyle w:val="TableContents"/>
              <w:spacing w:before="0" w:after="283"/>
              <w:rPr/>
            </w:pPr>
            <w:r>
              <w:rPr/>
              <w:t>☒</w:t>
            </w:r>
          </w:p>
        </w:tc>
      </w:tr>
    </w:tbl>
    <w:p>
      <w:pPr>
        <w:pStyle w:val="TextBody"/>
        <w:spacing w:before="40" w:after="0"/>
        <w:jc w:val="left"/>
        <w:rPr>
          <w:rFonts w:ascii="Times New Roman" w:hAnsi="Times New Roman"/>
          <w:sz w:val="16"/>
        </w:rPr>
      </w:pPr>
      <w:r>
        <w:rPr>
          <w:rFonts w:ascii="Times New Roman" w:hAnsi="Times New Roman"/>
          <w:sz w:val="16"/>
        </w:rPr>
        <w:t xml:space="preserve">If an emerging growth company, indicate by check mark if the registrant has elected not to use the extended transition period for complying with any new or revised financial accounting standards provided pursuant to Section 7(a)(2)(B) of Securities Act.  ☐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40" w:after="0"/>
        <w:jc w:val="left"/>
        <w:rPr>
          <w:rFonts w:ascii="Times New Roman" w:hAnsi="Times New Roman"/>
          <w:b/>
          <w:sz w:val="16"/>
        </w:rPr>
      </w:pPr>
      <w:r>
        <w:rPr>
          <w:rFonts w:ascii="Times New Roman" w:hAnsi="Times New Roman"/>
          <w:b/>
          <w:sz w:val="16"/>
        </w:rPr>
        <w:t xml:space="preserve">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 </w:t>
      </w:r>
    </w:p>
    <w:p>
      <w:pPr>
        <w:pStyle w:val="TextBody"/>
        <w:spacing w:before="0" w:after="0"/>
        <w:jc w:val="left"/>
        <w:rPr/>
      </w:pPr>
      <w:r>
        <w:rPr/>
        <w:t> </w:t>
      </w:r>
    </w:p>
    <w:p>
      <w:pPr>
        <w:pStyle w:val="TextBody"/>
        <w:pBdr>
          <w:bottom w:val="single" w:sz="2" w:space="1" w:color="000000"/>
        </w:pBdr>
        <w:spacing w:lineRule="atLeast" w:line="141" w:before="0" w:after="0"/>
        <w:jc w:val="left"/>
        <w:rPr/>
      </w:pPr>
      <w:r>
        <w:rPr/>
        <w:t> </w:t>
      </w:r>
    </w:p>
    <w:p>
      <w:pPr>
        <w:pStyle w:val="TextBody"/>
        <w:pBdr>
          <w:bottom w:val="single" w:sz="2" w:space="1" w:color="000000"/>
        </w:pBdr>
        <w:spacing w:lineRule="atLeast" w:line="141" w:before="0" w:after="40"/>
        <w:jc w:val="left"/>
        <w:rPr/>
      </w:pPr>
      <w:r>
        <w:rPr/>
        <w:t>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Arial Narrow" w:hAnsi="Arial Narrow"/>
          <w:b/>
          <w:color w:val="FF4338"/>
          <w:sz w:val="20"/>
        </w:rPr>
      </w:pPr>
      <w:r>
        <w:rPr>
          <w:rFonts w:ascii="Arial Narrow" w:hAnsi="Arial Narrow"/>
          <w:b/>
          <w:color w:val="FF4338"/>
          <w:sz w:val="20"/>
        </w:rPr>
        <w:t xml:space="preserve">The information in this prospectus is not complete and may be changed. The securities may not be sold until the registration statement filed with the Securities and Exchange Commission is effective. This prospectus is not an offer to sell these securities and it is not soliciting an offer to buy these securities in any state where the offer or sale is not permitted. </w:t>
      </w:r>
    </w:p>
    <w:p>
      <w:pPr>
        <w:pStyle w:val="TextBody"/>
        <w:spacing w:before="0" w:after="0"/>
        <w:jc w:val="left"/>
        <w:rPr/>
      </w:pPr>
      <w:r>
        <w:rPr/>
        <w:t> </w:t>
      </w:r>
    </w:p>
    <w:p>
      <w:pPr>
        <w:pStyle w:val="TextBody"/>
        <w:spacing w:before="0" w:after="0"/>
        <w:jc w:val="center"/>
        <w:rPr>
          <w:rFonts w:ascii="Times New Roman" w:hAnsi="Times New Roman"/>
          <w:b/>
          <w:color w:val="FF4338"/>
          <w:sz w:val="20"/>
        </w:rPr>
      </w:pPr>
      <w:r>
        <w:rPr>
          <w:rFonts w:ascii="Times New Roman" w:hAnsi="Times New Roman"/>
          <w:b/>
          <w:color w:val="FF4338"/>
          <w:sz w:val="20"/>
        </w:rPr>
        <w:t xml:space="preserve">Subject to Completion, dated April 25, 2023 </w:t>
      </w:r>
    </w:p>
    <w:p>
      <w:pPr>
        <w:pStyle w:val="TextBody"/>
        <w:spacing w:before="120" w:after="0"/>
        <w:jc w:val="left"/>
        <w:rPr>
          <w:rFonts w:ascii="Times New Roman" w:hAnsi="Times New Roman"/>
          <w:b/>
          <w:sz w:val="20"/>
        </w:rPr>
      </w:pPr>
      <w:r>
        <w:rPr>
          <w:rFonts w:ascii="Times New Roman" w:hAnsi="Times New Roman"/>
          <w:b/>
          <w:sz w:val="20"/>
        </w:rPr>
        <w:t xml:space="preserve">PROSPECTUS </w:t>
      </w:r>
    </w:p>
    <w:p>
      <w:pPr>
        <w:pStyle w:val="TextBody"/>
        <w:spacing w:before="0" w:after="0"/>
        <w:jc w:val="left"/>
        <w:rPr/>
      </w:pPr>
      <w:r>
        <w:rPr/>
        <w:t> </w:t>
      </w:r>
    </w:p>
    <w:p>
      <w:pPr>
        <w:pStyle w:val="TextBody"/>
        <w:spacing w:before="0" w:after="0"/>
        <w:jc w:val="center"/>
        <w:rPr/>
      </w:pPr>
      <w:r>
        <w:rPr/>
        <w:drawing>
          <wp:inline distT="0" distB="0" distL="0" distR="0">
            <wp:extent cx="100330" cy="381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00330" cy="38100"/>
                    </a:xfrm>
                    <a:prstGeom prst="rect">
                      <a:avLst/>
                    </a:prstGeom>
                  </pic:spPr>
                </pic:pic>
              </a:graphicData>
            </a:graphic>
          </wp:inline>
        </w:drawing>
      </w:r>
      <w:r>
        <w:rPr/>
        <w:t xml:space="preserve"> </w:t>
      </w:r>
    </w:p>
    <w:p>
      <w:pPr>
        <w:pStyle w:val="TextBody"/>
        <w:spacing w:before="240" w:after="0"/>
        <w:jc w:val="center"/>
        <w:rPr>
          <w:rFonts w:ascii="Times New Roman" w:hAnsi="Times New Roman"/>
          <w:b/>
          <w:sz w:val="48"/>
        </w:rPr>
      </w:pPr>
      <w:r>
        <w:rPr>
          <w:rFonts w:ascii="Times New Roman" w:hAnsi="Times New Roman"/>
          <w:b/>
          <w:sz w:val="48"/>
        </w:rPr>
        <w:t xml:space="preserve">Bakkt Holdings, Inc. </w:t>
      </w:r>
    </w:p>
    <w:p>
      <w:pPr>
        <w:pStyle w:val="TextBody"/>
        <w:spacing w:before="240" w:after="0"/>
        <w:jc w:val="center"/>
        <w:rPr>
          <w:rFonts w:ascii="Times New Roman" w:hAnsi="Times New Roman"/>
          <w:b/>
          <w:sz w:val="28"/>
        </w:rPr>
      </w:pPr>
      <w:r>
        <w:rPr>
          <w:rFonts w:ascii="Times New Roman" w:hAnsi="Times New Roman"/>
          <w:b/>
          <w:sz w:val="28"/>
        </w:rPr>
        <w:t xml:space="preserve">52,543,013 SHARES OF CLASS A COMMON STOCK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40" w:after="0"/>
        <w:jc w:val="left"/>
        <w:rPr>
          <w:rFonts w:ascii="Times New Roman" w:hAnsi="Times New Roman"/>
          <w:sz w:val="20"/>
        </w:rPr>
      </w:pPr>
      <w:r>
        <w:rPr>
          <w:rFonts w:ascii="Times New Roman" w:hAnsi="Times New Roman"/>
          <w:sz w:val="20"/>
        </w:rPr>
        <w:t xml:space="preserve">This prospectus relates to the potential resale from time to time of up to 52,543,013 shares (Resale Shares) of Class A common stock, par value $0.0001 per share (Class A Common Stock) of Bakkt Holdings, Inc. (Company or Bakkt) by the selling stockholder named in this prospectus. The Resale Shares consist of (i) 6,140,610 shares of Class A Common Stock (the Initial Contingent Shares) issued as the first earnout payment under the Purchase Agreement (as defined below); and (ii) up to 46,402,403 shares of Class A Common Stock that may be issued to the selling stockholder as earnout payments under the Purchase Agreement (the Additional Contingent Shares). </w:t>
      </w:r>
    </w:p>
    <w:p>
      <w:pPr>
        <w:pStyle w:val="TextBody"/>
        <w:spacing w:before="240" w:after="0"/>
        <w:jc w:val="left"/>
        <w:rPr>
          <w:rFonts w:ascii="Times New Roman" w:hAnsi="Times New Roman"/>
          <w:sz w:val="20"/>
        </w:rPr>
      </w:pPr>
      <w:r>
        <w:rPr>
          <w:rFonts w:ascii="Times New Roman" w:hAnsi="Times New Roman"/>
          <w:sz w:val="20"/>
        </w:rPr>
        <w:t xml:space="preserve">The actual number of Additional Contingent Shares issuable to the selling stockholder as earnout payments, if any, could be materially less than the 46,402,403 Additional Contingent Shares, depending on (a) the performance of certain crypto facilitation clients and non-fungible token facilitation business of the Company, as described below, and (b) the actual closing prices of our Class A Common Stock over the relevant evaluation periods. As such, we may not issue all of the Additional Contingent Shares registered for resale in the registration statement of which this prospectus forms a part. This presentation is not intended to constitute an indication or prediction of whether any of the future milestones will be achieved. </w:t>
      </w:r>
    </w:p>
    <w:p>
      <w:pPr>
        <w:pStyle w:val="TextBody"/>
        <w:spacing w:before="240" w:after="0"/>
        <w:jc w:val="left"/>
        <w:rPr>
          <w:rFonts w:ascii="Times New Roman" w:hAnsi="Times New Roman"/>
          <w:sz w:val="20"/>
        </w:rPr>
      </w:pPr>
      <w:r>
        <w:rPr>
          <w:rFonts w:ascii="Times New Roman" w:hAnsi="Times New Roman"/>
          <w:sz w:val="20"/>
        </w:rPr>
        <w:t xml:space="preserve">We will pay the expenses of registering the Resale Shares; however, we will not receive any of the proceeds from the sale of the Resale Shares. </w:t>
      </w:r>
    </w:p>
    <w:p>
      <w:pPr>
        <w:pStyle w:val="TextBody"/>
        <w:spacing w:before="240" w:after="0"/>
        <w:jc w:val="left"/>
        <w:rPr>
          <w:rFonts w:ascii="Times New Roman" w:hAnsi="Times New Roman"/>
          <w:sz w:val="20"/>
        </w:rPr>
      </w:pPr>
      <w:r>
        <w:rPr>
          <w:rFonts w:ascii="Times New Roman" w:hAnsi="Times New Roman"/>
          <w:sz w:val="20"/>
        </w:rPr>
        <w:t xml:space="preserve">The selling stockholder identified in this prospectus may offer the shares from time to time through public or private transactions at fixed prices, at prevailing market prices at the time of sale, at prices related to the prevailing market price, at varying prices determined at the time of sale, or at negotiated prices. The registration of the Resale Shares on behalf of the selling stockholder, however, does not necessarily mean that the selling stockholder will offer or sell its Resale Shares under this registration statement at all or at any time in the future. </w:t>
      </w:r>
    </w:p>
    <w:p>
      <w:pPr>
        <w:pStyle w:val="TextBody"/>
        <w:spacing w:before="240" w:after="0"/>
        <w:jc w:val="left"/>
        <w:rPr>
          <w:rFonts w:ascii="Times New Roman" w:hAnsi="Times New Roman"/>
          <w:sz w:val="20"/>
        </w:rPr>
      </w:pPr>
      <w:r>
        <w:rPr>
          <w:rFonts w:ascii="Times New Roman" w:hAnsi="Times New Roman"/>
          <w:sz w:val="20"/>
        </w:rPr>
        <w:t xml:space="preserve">Our Class A Common Stock and our public warrants to purchase Class A Common Stock are listed on the New York Stock Exchange (NYSE) under the symbols BKKT and BKKT WS, respectively. On April 24, 2023, the last reported sale price for our Class A Common Stock was $1.34 per share. </w:t>
      </w:r>
    </w:p>
    <w:p>
      <w:pPr>
        <w:pStyle w:val="TextBody"/>
        <w:spacing w:before="240" w:after="0"/>
        <w:jc w:val="left"/>
        <w:rPr>
          <w:rFonts w:ascii="Times New Roman" w:hAnsi="Times New Roman"/>
          <w:sz w:val="20"/>
        </w:rPr>
      </w:pPr>
      <w:r>
        <w:rPr>
          <w:rFonts w:ascii="Times New Roman" w:hAnsi="Times New Roman"/>
          <w:sz w:val="20"/>
        </w:rPr>
        <w:t xml:space="preserve">We are an emerging growth company as defined under the federal securities laws, and, as such, may elect to comply with certain reduced public company reporting requirements for this and future filings.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40" w:after="0"/>
        <w:jc w:val="left"/>
        <w:rPr/>
      </w:pPr>
      <w:r>
        <w:rPr>
          <w:rFonts w:ascii="Times New Roman" w:hAnsi="Times New Roman"/>
          <w:b/>
          <w:sz w:val="24"/>
        </w:rPr>
        <w:t>Investing in these securities involves risks. Please carefully read the information under the headings </w:t>
      </w:r>
      <w:hyperlink w:anchor="tx485936_4">
        <w:r>
          <w:rPr>
            <w:rStyle w:val="InternetLink"/>
            <w:rFonts w:ascii="Times New Roman" w:hAnsi="Times New Roman"/>
            <w:b/>
            <w:i/>
            <w:sz w:val="24"/>
          </w:rPr>
          <w:t>Risk Factors</w:t>
        </w:r>
      </w:hyperlink>
      <w:r>
        <w:rPr>
          <w:rFonts w:ascii="Times New Roman" w:hAnsi="Times New Roman"/>
          <w:b/>
          <w:sz w:val="24"/>
        </w:rPr>
        <w:t> beginning on page 3 of this prospectus and </w:t>
      </w:r>
      <w:r>
        <w:rPr>
          <w:rFonts w:ascii="Times New Roman" w:hAnsi="Times New Roman"/>
          <w:b/>
          <w:i/>
          <w:sz w:val="24"/>
        </w:rPr>
        <w:t>Item 1A  Risk Factors</w:t>
      </w:r>
      <w:r>
        <w:rPr>
          <w:rFonts w:ascii="Times New Roman" w:hAnsi="Times New Roman"/>
          <w:b/>
          <w:sz w:val="24"/>
        </w:rPr>
        <w:t xml:space="preserve"> of our most recent Annual Report on Form 10-K and any Quarterly Report on Form 10-Q filed subsequently to such Form 10-K that is incorporated by reference in this prospectus before you invest in our securities. </w:t>
      </w:r>
    </w:p>
    <w:p>
      <w:pPr>
        <w:pStyle w:val="TextBody"/>
        <w:spacing w:before="240" w:after="0"/>
        <w:jc w:val="left"/>
        <w:rPr>
          <w:rFonts w:ascii="Times New Roman" w:hAnsi="Times New Roman"/>
          <w:b/>
          <w:sz w:val="20"/>
        </w:rPr>
      </w:pPr>
      <w:r>
        <w:rPr>
          <w:rFonts w:ascii="Times New Roman" w:hAnsi="Times New Roman"/>
          <w:b/>
          <w:sz w:val="20"/>
        </w:rPr>
        <w:t xml:space="preserve">Neither the Securities and Exchange Commission nor any state securities commission has approved or disapproved of these securities or passed upon the adequacy or accuracy of this prospectus. Any representation to the contrary is a criminal offense.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40" w:after="0"/>
        <w:jc w:val="center"/>
        <w:rPr>
          <w:rFonts w:ascii="Times New Roman" w:hAnsi="Times New Roman"/>
          <w:b/>
          <w:sz w:val="20"/>
        </w:rPr>
      </w:pPr>
      <w:r>
        <w:rPr>
          <w:rFonts w:ascii="Times New Roman" w:hAnsi="Times New Roman"/>
          <w:b/>
          <w:sz w:val="20"/>
        </w:rPr>
        <w:t xml:space="preserve">The date of this prospectus is     , 2023.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9274"/>
        <w:gridCol w:w="352"/>
        <w:gridCol w:w="96"/>
        <w:gridCol w:w="420"/>
        <w:gridCol w:w="63"/>
      </w:tblGrid>
      <w:tr>
        <w:trPr/>
        <w:tc>
          <w:tcPr>
            <w:tcW w:w="9274" w:type="dxa"/>
            <w:tcBorders/>
            <w:shd w:fill="auto" w:val="clear"/>
            <w:vAlign w:val="center"/>
          </w:tcPr>
          <w:p>
            <w:pPr>
              <w:pStyle w:val="TableContents"/>
              <w:spacing w:before="0" w:after="283"/>
              <w:rPr>
                <w:sz w:val="4"/>
                <w:szCs w:val="4"/>
              </w:rPr>
            </w:pPr>
            <w:r>
              <w:rPr>
                <w:sz w:val="4"/>
                <w:szCs w:val="4"/>
              </w:rPr>
            </w:r>
          </w:p>
        </w:tc>
        <w:tc>
          <w:tcPr>
            <w:tcW w:w="352" w:type="dxa"/>
            <w:tcBorders/>
            <w:shd w:fill="auto" w:val="clear"/>
            <w:vAlign w:val="bottom"/>
          </w:tcPr>
          <w:p>
            <w:pPr>
              <w:pStyle w:val="TableContents"/>
              <w:spacing w:before="0" w:after="283"/>
              <w:rPr>
                <w:sz w:val="4"/>
                <w:szCs w:val="4"/>
              </w:rPr>
            </w:pPr>
            <w:r>
              <w:rPr>
                <w:sz w:val="4"/>
                <w:szCs w:val="4"/>
              </w:rPr>
            </w:r>
          </w:p>
        </w:tc>
        <w:tc>
          <w:tcPr>
            <w:tcW w:w="96" w:type="dxa"/>
            <w:tcBorders/>
            <w:shd w:fill="auto" w:val="clear"/>
            <w:vAlign w:val="center"/>
          </w:tcPr>
          <w:p>
            <w:pPr>
              <w:pStyle w:val="TableContents"/>
              <w:spacing w:before="0" w:after="283"/>
              <w:rPr>
                <w:sz w:val="4"/>
                <w:szCs w:val="4"/>
              </w:rPr>
            </w:pPr>
            <w:r>
              <w:rPr>
                <w:sz w:val="4"/>
                <w:szCs w:val="4"/>
              </w:rPr>
            </w:r>
          </w:p>
        </w:tc>
        <w:tc>
          <w:tcPr>
            <w:tcW w:w="420" w:type="dxa"/>
            <w:tcBorders/>
            <w:shd w:fill="auto" w:val="clear"/>
            <w:vAlign w:val="center"/>
          </w:tcPr>
          <w:p>
            <w:pPr>
              <w:pStyle w:val="TableContents"/>
              <w:spacing w:before="0" w:after="283"/>
              <w:rPr>
                <w:sz w:val="4"/>
                <w:szCs w:val="4"/>
              </w:rPr>
            </w:pPr>
            <w:r>
              <w:rPr>
                <w:sz w:val="4"/>
                <w:szCs w:val="4"/>
              </w:rPr>
            </w:r>
          </w:p>
        </w:tc>
        <w:tc>
          <w:tcPr>
            <w:tcW w:w="63" w:type="dxa"/>
            <w:tcBorders/>
            <w:shd w:fill="auto" w:val="clear"/>
            <w:vAlign w:val="center"/>
          </w:tcPr>
          <w:p>
            <w:pPr>
              <w:pStyle w:val="TableContents"/>
              <w:spacing w:before="0" w:after="283"/>
              <w:rPr>
                <w:sz w:val="4"/>
                <w:szCs w:val="4"/>
              </w:rPr>
            </w:pPr>
            <w:r>
              <w:rPr>
                <w:sz w:val="4"/>
                <w:szCs w:val="4"/>
              </w:rPr>
            </w:r>
          </w:p>
        </w:tc>
      </w:tr>
      <w:tr>
        <w:trPr/>
        <w:tc>
          <w:tcPr>
            <w:tcW w:w="9274" w:type="dxa"/>
            <w:tcBorders/>
            <w:shd w:fill="auto" w:val="clear"/>
            <w:vAlign w:val="bottom"/>
          </w:tcPr>
          <w:p>
            <w:pPr>
              <w:pStyle w:val="TableContents"/>
              <w:spacing w:before="0" w:after="283"/>
              <w:rPr/>
            </w:pPr>
            <w:r>
              <w:rPr/>
              <w:t> </w:t>
            </w:r>
          </w:p>
        </w:tc>
        <w:tc>
          <w:tcPr>
            <w:tcW w:w="352" w:type="dxa"/>
            <w:tcBorders/>
            <w:shd w:fill="auto" w:val="clear"/>
            <w:vAlign w:val="bottom"/>
          </w:tcPr>
          <w:p>
            <w:pPr>
              <w:pStyle w:val="TableContents"/>
              <w:spacing w:before="0" w:after="283"/>
              <w:rPr/>
            </w:pPr>
            <w:r>
              <w:rPr/>
              <w:t>  </w:t>
            </w:r>
          </w:p>
        </w:tc>
        <w:tc>
          <w:tcPr>
            <w:tcW w:w="516"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Page</w:t>
            </w:r>
          </w:p>
        </w:tc>
        <w:tc>
          <w:tcPr>
            <w:tcW w:w="63" w:type="dxa"/>
            <w:tcBorders/>
            <w:shd w:fill="auto" w:val="clear"/>
            <w:vAlign w:val="bottom"/>
          </w:tcPr>
          <w:p>
            <w:pPr>
              <w:pStyle w:val="TableContents"/>
              <w:spacing w:before="0" w:after="283"/>
              <w:rPr/>
            </w:pPr>
            <w:r>
              <w:rPr/>
              <w:t> </w:t>
            </w:r>
          </w:p>
        </w:tc>
      </w:tr>
      <w:tr>
        <w:trPr/>
        <w:tc>
          <w:tcPr>
            <w:tcW w:w="9274" w:type="dxa"/>
            <w:tcBorders/>
            <w:shd w:fill="auto" w:val="clear"/>
            <w:vAlign w:val="bottom"/>
          </w:tcPr>
          <w:p>
            <w:pPr>
              <w:pStyle w:val="TableContents"/>
              <w:spacing w:before="0" w:after="0"/>
              <w:rPr/>
            </w:pPr>
            <w:hyperlink w:anchor="tx485936_1">
              <w:r>
                <w:rPr>
                  <w:rStyle w:val="InternetLink"/>
                  <w:rFonts w:ascii="Times New Roman" w:hAnsi="Times New Roman"/>
                  <w:sz w:val="20"/>
                </w:rPr>
                <w:t>About This Prospectus</w:t>
              </w:r>
            </w:hyperlink>
          </w:p>
        </w:tc>
        <w:tc>
          <w:tcPr>
            <w:tcW w:w="352"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0" w:type="dxa"/>
            <w:tcBorders/>
            <w:shd w:fill="auto" w:val="clear"/>
            <w:vAlign w:val="bottom"/>
          </w:tcPr>
          <w:p>
            <w:pPr>
              <w:pStyle w:val="TableContents"/>
              <w:spacing w:before="0" w:after="283"/>
              <w:jc w:val="right"/>
              <w:rPr/>
            </w:pPr>
            <w:r>
              <w:rPr/>
              <w:t>i</w:t>
            </w:r>
          </w:p>
        </w:tc>
        <w:tc>
          <w:tcPr>
            <w:tcW w:w="63" w:type="dxa"/>
            <w:tcBorders/>
            <w:shd w:fill="auto" w:val="clear"/>
            <w:vAlign w:val="bottom"/>
          </w:tcPr>
          <w:p>
            <w:pPr>
              <w:pStyle w:val="TableContents"/>
              <w:spacing w:before="0" w:after="283"/>
              <w:rPr/>
            </w:pPr>
            <w:r>
              <w:rPr/>
              <w:t> </w:t>
            </w:r>
          </w:p>
        </w:tc>
      </w:tr>
      <w:tr>
        <w:trPr/>
        <w:tc>
          <w:tcPr>
            <w:tcW w:w="9274" w:type="dxa"/>
            <w:tcBorders/>
            <w:shd w:fill="auto" w:val="clear"/>
            <w:vAlign w:val="bottom"/>
          </w:tcPr>
          <w:p>
            <w:pPr>
              <w:pStyle w:val="TableContents"/>
              <w:spacing w:before="0" w:after="0"/>
              <w:rPr/>
            </w:pPr>
            <w:hyperlink w:anchor="tx485936_2">
              <w:r>
                <w:rPr>
                  <w:rStyle w:val="InternetLink"/>
                  <w:rFonts w:ascii="Times New Roman" w:hAnsi="Times New Roman"/>
                  <w:sz w:val="20"/>
                </w:rPr>
                <w:t>Prospectus Summary</w:t>
              </w:r>
            </w:hyperlink>
          </w:p>
        </w:tc>
        <w:tc>
          <w:tcPr>
            <w:tcW w:w="352"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0" w:type="dxa"/>
            <w:tcBorders/>
            <w:shd w:fill="auto" w:val="clear"/>
            <w:vAlign w:val="bottom"/>
          </w:tcPr>
          <w:p>
            <w:pPr>
              <w:pStyle w:val="TableContents"/>
              <w:spacing w:before="0" w:after="283"/>
              <w:jc w:val="right"/>
              <w:rPr/>
            </w:pPr>
            <w:r>
              <w:rPr/>
              <w:t>1</w:t>
            </w:r>
          </w:p>
        </w:tc>
        <w:tc>
          <w:tcPr>
            <w:tcW w:w="63" w:type="dxa"/>
            <w:tcBorders/>
            <w:shd w:fill="auto" w:val="clear"/>
            <w:vAlign w:val="bottom"/>
          </w:tcPr>
          <w:p>
            <w:pPr>
              <w:pStyle w:val="TableContents"/>
              <w:spacing w:before="0" w:after="283"/>
              <w:rPr/>
            </w:pPr>
            <w:r>
              <w:rPr/>
              <w:t> </w:t>
            </w:r>
          </w:p>
        </w:tc>
      </w:tr>
      <w:tr>
        <w:trPr/>
        <w:tc>
          <w:tcPr>
            <w:tcW w:w="9274" w:type="dxa"/>
            <w:tcBorders/>
            <w:shd w:fill="auto" w:val="clear"/>
            <w:vAlign w:val="bottom"/>
          </w:tcPr>
          <w:p>
            <w:pPr>
              <w:pStyle w:val="TableContents"/>
              <w:spacing w:before="0" w:after="0"/>
              <w:rPr/>
            </w:pPr>
            <w:hyperlink w:anchor="tx485936_3">
              <w:r>
                <w:rPr>
                  <w:rStyle w:val="InternetLink"/>
                  <w:rFonts w:ascii="Times New Roman" w:hAnsi="Times New Roman"/>
                  <w:sz w:val="20"/>
                </w:rPr>
                <w:t>The Offering</w:t>
              </w:r>
            </w:hyperlink>
          </w:p>
        </w:tc>
        <w:tc>
          <w:tcPr>
            <w:tcW w:w="352"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0" w:type="dxa"/>
            <w:tcBorders/>
            <w:shd w:fill="auto" w:val="clear"/>
            <w:vAlign w:val="bottom"/>
          </w:tcPr>
          <w:p>
            <w:pPr>
              <w:pStyle w:val="TableContents"/>
              <w:spacing w:before="0" w:after="283"/>
              <w:jc w:val="right"/>
              <w:rPr/>
            </w:pPr>
            <w:r>
              <w:rPr/>
              <w:t>2</w:t>
            </w:r>
          </w:p>
        </w:tc>
        <w:tc>
          <w:tcPr>
            <w:tcW w:w="63" w:type="dxa"/>
            <w:tcBorders/>
            <w:shd w:fill="auto" w:val="clear"/>
            <w:vAlign w:val="bottom"/>
          </w:tcPr>
          <w:p>
            <w:pPr>
              <w:pStyle w:val="TableContents"/>
              <w:spacing w:before="0" w:after="283"/>
              <w:rPr/>
            </w:pPr>
            <w:r>
              <w:rPr/>
              <w:t> </w:t>
            </w:r>
          </w:p>
        </w:tc>
      </w:tr>
      <w:tr>
        <w:trPr/>
        <w:tc>
          <w:tcPr>
            <w:tcW w:w="9274" w:type="dxa"/>
            <w:tcBorders/>
            <w:shd w:fill="auto" w:val="clear"/>
            <w:vAlign w:val="bottom"/>
          </w:tcPr>
          <w:p>
            <w:pPr>
              <w:pStyle w:val="TableContents"/>
              <w:spacing w:before="0" w:after="0"/>
              <w:rPr/>
            </w:pPr>
            <w:hyperlink w:anchor="tx485936_4">
              <w:r>
                <w:rPr>
                  <w:rStyle w:val="InternetLink"/>
                  <w:rFonts w:ascii="Times New Roman" w:hAnsi="Times New Roman"/>
                  <w:sz w:val="20"/>
                </w:rPr>
                <w:t>Risk Factors</w:t>
              </w:r>
            </w:hyperlink>
          </w:p>
        </w:tc>
        <w:tc>
          <w:tcPr>
            <w:tcW w:w="352"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0" w:type="dxa"/>
            <w:tcBorders/>
            <w:shd w:fill="auto" w:val="clear"/>
            <w:vAlign w:val="bottom"/>
          </w:tcPr>
          <w:p>
            <w:pPr>
              <w:pStyle w:val="TableContents"/>
              <w:spacing w:before="0" w:after="283"/>
              <w:jc w:val="right"/>
              <w:rPr/>
            </w:pPr>
            <w:r>
              <w:rPr/>
              <w:t>3</w:t>
            </w:r>
          </w:p>
        </w:tc>
        <w:tc>
          <w:tcPr>
            <w:tcW w:w="63" w:type="dxa"/>
            <w:tcBorders/>
            <w:shd w:fill="auto" w:val="clear"/>
            <w:vAlign w:val="bottom"/>
          </w:tcPr>
          <w:p>
            <w:pPr>
              <w:pStyle w:val="TableContents"/>
              <w:spacing w:before="0" w:after="283"/>
              <w:rPr/>
            </w:pPr>
            <w:r>
              <w:rPr/>
              <w:t> </w:t>
            </w:r>
          </w:p>
        </w:tc>
      </w:tr>
      <w:tr>
        <w:trPr/>
        <w:tc>
          <w:tcPr>
            <w:tcW w:w="9274" w:type="dxa"/>
            <w:tcBorders/>
            <w:shd w:fill="auto" w:val="clear"/>
            <w:vAlign w:val="bottom"/>
          </w:tcPr>
          <w:p>
            <w:pPr>
              <w:pStyle w:val="TableContents"/>
              <w:spacing w:before="0" w:after="0"/>
              <w:rPr/>
            </w:pPr>
            <w:hyperlink w:anchor="tx485936_5">
              <w:r>
                <w:rPr>
                  <w:rStyle w:val="InternetLink"/>
                  <w:rFonts w:ascii="Times New Roman" w:hAnsi="Times New Roman"/>
                  <w:sz w:val="20"/>
                </w:rPr>
                <w:t>Forward-Looking Statements</w:t>
              </w:r>
            </w:hyperlink>
          </w:p>
        </w:tc>
        <w:tc>
          <w:tcPr>
            <w:tcW w:w="352"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0" w:type="dxa"/>
            <w:tcBorders/>
            <w:shd w:fill="auto" w:val="clear"/>
            <w:vAlign w:val="bottom"/>
          </w:tcPr>
          <w:p>
            <w:pPr>
              <w:pStyle w:val="TableContents"/>
              <w:spacing w:before="0" w:after="283"/>
              <w:jc w:val="right"/>
              <w:rPr/>
            </w:pPr>
            <w:r>
              <w:rPr/>
              <w:t>4</w:t>
            </w:r>
          </w:p>
        </w:tc>
        <w:tc>
          <w:tcPr>
            <w:tcW w:w="63" w:type="dxa"/>
            <w:tcBorders/>
            <w:shd w:fill="auto" w:val="clear"/>
            <w:vAlign w:val="bottom"/>
          </w:tcPr>
          <w:p>
            <w:pPr>
              <w:pStyle w:val="TableContents"/>
              <w:spacing w:before="0" w:after="283"/>
              <w:rPr/>
            </w:pPr>
            <w:r>
              <w:rPr/>
              <w:t> </w:t>
            </w:r>
          </w:p>
        </w:tc>
      </w:tr>
      <w:tr>
        <w:trPr/>
        <w:tc>
          <w:tcPr>
            <w:tcW w:w="9274" w:type="dxa"/>
            <w:tcBorders/>
            <w:shd w:fill="auto" w:val="clear"/>
            <w:vAlign w:val="bottom"/>
          </w:tcPr>
          <w:p>
            <w:pPr>
              <w:pStyle w:val="TableContents"/>
              <w:spacing w:before="0" w:after="0"/>
              <w:rPr/>
            </w:pPr>
            <w:hyperlink w:anchor="tx485936_6">
              <w:r>
                <w:rPr>
                  <w:rStyle w:val="InternetLink"/>
                  <w:rFonts w:ascii="Times New Roman" w:hAnsi="Times New Roman"/>
                  <w:sz w:val="20"/>
                </w:rPr>
                <w:t>Use of Proceeds</w:t>
              </w:r>
            </w:hyperlink>
          </w:p>
        </w:tc>
        <w:tc>
          <w:tcPr>
            <w:tcW w:w="352"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0" w:type="dxa"/>
            <w:tcBorders/>
            <w:shd w:fill="auto" w:val="clear"/>
            <w:vAlign w:val="bottom"/>
          </w:tcPr>
          <w:p>
            <w:pPr>
              <w:pStyle w:val="TableContents"/>
              <w:spacing w:before="0" w:after="283"/>
              <w:jc w:val="right"/>
              <w:rPr/>
            </w:pPr>
            <w:r>
              <w:rPr/>
              <w:t>6</w:t>
            </w:r>
          </w:p>
        </w:tc>
        <w:tc>
          <w:tcPr>
            <w:tcW w:w="63" w:type="dxa"/>
            <w:tcBorders/>
            <w:shd w:fill="auto" w:val="clear"/>
            <w:vAlign w:val="bottom"/>
          </w:tcPr>
          <w:p>
            <w:pPr>
              <w:pStyle w:val="TableContents"/>
              <w:spacing w:before="0" w:after="283"/>
              <w:rPr/>
            </w:pPr>
            <w:r>
              <w:rPr/>
              <w:t> </w:t>
            </w:r>
          </w:p>
        </w:tc>
      </w:tr>
      <w:tr>
        <w:trPr/>
        <w:tc>
          <w:tcPr>
            <w:tcW w:w="9274" w:type="dxa"/>
            <w:tcBorders/>
            <w:shd w:fill="auto" w:val="clear"/>
            <w:vAlign w:val="bottom"/>
          </w:tcPr>
          <w:p>
            <w:pPr>
              <w:pStyle w:val="TableContents"/>
              <w:spacing w:before="0" w:after="0"/>
              <w:rPr/>
            </w:pPr>
            <w:hyperlink w:anchor="tx485936_7">
              <w:r>
                <w:rPr>
                  <w:rStyle w:val="InternetLink"/>
                  <w:rFonts w:ascii="Times New Roman" w:hAnsi="Times New Roman"/>
                  <w:sz w:val="20"/>
                </w:rPr>
                <w:t>Description of Capital Stock</w:t>
              </w:r>
            </w:hyperlink>
          </w:p>
        </w:tc>
        <w:tc>
          <w:tcPr>
            <w:tcW w:w="352"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0" w:type="dxa"/>
            <w:tcBorders/>
            <w:shd w:fill="auto" w:val="clear"/>
            <w:vAlign w:val="bottom"/>
          </w:tcPr>
          <w:p>
            <w:pPr>
              <w:pStyle w:val="TableContents"/>
              <w:spacing w:before="0" w:after="283"/>
              <w:jc w:val="right"/>
              <w:rPr/>
            </w:pPr>
            <w:r>
              <w:rPr/>
              <w:t>7</w:t>
            </w:r>
          </w:p>
        </w:tc>
        <w:tc>
          <w:tcPr>
            <w:tcW w:w="63" w:type="dxa"/>
            <w:tcBorders/>
            <w:shd w:fill="auto" w:val="clear"/>
            <w:vAlign w:val="bottom"/>
          </w:tcPr>
          <w:p>
            <w:pPr>
              <w:pStyle w:val="TableContents"/>
              <w:spacing w:before="0" w:after="283"/>
              <w:rPr/>
            </w:pPr>
            <w:r>
              <w:rPr/>
              <w:t> </w:t>
            </w:r>
          </w:p>
        </w:tc>
      </w:tr>
      <w:tr>
        <w:trPr/>
        <w:tc>
          <w:tcPr>
            <w:tcW w:w="9274" w:type="dxa"/>
            <w:tcBorders/>
            <w:shd w:fill="auto" w:val="clear"/>
            <w:vAlign w:val="bottom"/>
          </w:tcPr>
          <w:p>
            <w:pPr>
              <w:pStyle w:val="TableContents"/>
              <w:spacing w:before="0" w:after="0"/>
              <w:rPr/>
            </w:pPr>
            <w:hyperlink w:anchor="tx485936_8">
              <w:r>
                <w:rPr>
                  <w:rStyle w:val="InternetLink"/>
                  <w:rFonts w:ascii="Times New Roman" w:hAnsi="Times New Roman"/>
                  <w:sz w:val="20"/>
                </w:rPr>
                <w:t>Selling Stockholder</w:t>
              </w:r>
            </w:hyperlink>
          </w:p>
        </w:tc>
        <w:tc>
          <w:tcPr>
            <w:tcW w:w="352"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0" w:type="dxa"/>
            <w:tcBorders/>
            <w:shd w:fill="auto" w:val="clear"/>
            <w:vAlign w:val="bottom"/>
          </w:tcPr>
          <w:p>
            <w:pPr>
              <w:pStyle w:val="TableContents"/>
              <w:spacing w:before="0" w:after="283"/>
              <w:jc w:val="right"/>
              <w:rPr/>
            </w:pPr>
            <w:r>
              <w:rPr/>
              <w:t>8</w:t>
            </w:r>
          </w:p>
        </w:tc>
        <w:tc>
          <w:tcPr>
            <w:tcW w:w="63" w:type="dxa"/>
            <w:tcBorders/>
            <w:shd w:fill="auto" w:val="clear"/>
            <w:vAlign w:val="bottom"/>
          </w:tcPr>
          <w:p>
            <w:pPr>
              <w:pStyle w:val="TableContents"/>
              <w:spacing w:before="0" w:after="283"/>
              <w:rPr/>
            </w:pPr>
            <w:r>
              <w:rPr/>
              <w:t> </w:t>
            </w:r>
          </w:p>
        </w:tc>
      </w:tr>
      <w:tr>
        <w:trPr/>
        <w:tc>
          <w:tcPr>
            <w:tcW w:w="9274" w:type="dxa"/>
            <w:tcBorders/>
            <w:shd w:fill="auto" w:val="clear"/>
            <w:vAlign w:val="bottom"/>
          </w:tcPr>
          <w:p>
            <w:pPr>
              <w:pStyle w:val="TableContents"/>
              <w:spacing w:before="0" w:after="0"/>
              <w:rPr/>
            </w:pPr>
            <w:hyperlink w:anchor="tx485936_9">
              <w:r>
                <w:rPr>
                  <w:rStyle w:val="InternetLink"/>
                  <w:rFonts w:ascii="Times New Roman" w:hAnsi="Times New Roman"/>
                  <w:sz w:val="20"/>
                </w:rPr>
                <w:t>Plan of Distribution</w:t>
              </w:r>
            </w:hyperlink>
          </w:p>
        </w:tc>
        <w:tc>
          <w:tcPr>
            <w:tcW w:w="352"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0" w:type="dxa"/>
            <w:tcBorders/>
            <w:shd w:fill="auto" w:val="clear"/>
            <w:vAlign w:val="bottom"/>
          </w:tcPr>
          <w:p>
            <w:pPr>
              <w:pStyle w:val="TableContents"/>
              <w:spacing w:before="0" w:after="283"/>
              <w:jc w:val="right"/>
              <w:rPr/>
            </w:pPr>
            <w:r>
              <w:rPr/>
              <w:t>10</w:t>
            </w:r>
          </w:p>
        </w:tc>
        <w:tc>
          <w:tcPr>
            <w:tcW w:w="63" w:type="dxa"/>
            <w:tcBorders/>
            <w:shd w:fill="auto" w:val="clear"/>
            <w:vAlign w:val="bottom"/>
          </w:tcPr>
          <w:p>
            <w:pPr>
              <w:pStyle w:val="TableContents"/>
              <w:spacing w:before="0" w:after="283"/>
              <w:rPr/>
            </w:pPr>
            <w:r>
              <w:rPr/>
              <w:t> </w:t>
            </w:r>
          </w:p>
        </w:tc>
      </w:tr>
      <w:tr>
        <w:trPr/>
        <w:tc>
          <w:tcPr>
            <w:tcW w:w="9274" w:type="dxa"/>
            <w:tcBorders/>
            <w:shd w:fill="auto" w:val="clear"/>
            <w:vAlign w:val="bottom"/>
          </w:tcPr>
          <w:p>
            <w:pPr>
              <w:pStyle w:val="TableContents"/>
              <w:spacing w:before="0" w:after="0"/>
              <w:rPr/>
            </w:pPr>
            <w:hyperlink w:anchor="tx485936_10">
              <w:r>
                <w:rPr>
                  <w:rStyle w:val="InternetLink"/>
                  <w:rFonts w:ascii="Times New Roman" w:hAnsi="Times New Roman"/>
                  <w:sz w:val="20"/>
                </w:rPr>
                <w:t>Legal Matters</w:t>
              </w:r>
            </w:hyperlink>
          </w:p>
        </w:tc>
        <w:tc>
          <w:tcPr>
            <w:tcW w:w="352"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0" w:type="dxa"/>
            <w:tcBorders/>
            <w:shd w:fill="auto" w:val="clear"/>
            <w:vAlign w:val="bottom"/>
          </w:tcPr>
          <w:p>
            <w:pPr>
              <w:pStyle w:val="TableContents"/>
              <w:spacing w:before="0" w:after="283"/>
              <w:jc w:val="right"/>
              <w:rPr/>
            </w:pPr>
            <w:r>
              <w:rPr/>
              <w:t>14</w:t>
            </w:r>
          </w:p>
        </w:tc>
        <w:tc>
          <w:tcPr>
            <w:tcW w:w="63" w:type="dxa"/>
            <w:tcBorders/>
            <w:shd w:fill="auto" w:val="clear"/>
            <w:vAlign w:val="bottom"/>
          </w:tcPr>
          <w:p>
            <w:pPr>
              <w:pStyle w:val="TableContents"/>
              <w:spacing w:before="0" w:after="283"/>
              <w:rPr/>
            </w:pPr>
            <w:r>
              <w:rPr/>
              <w:t> </w:t>
            </w:r>
          </w:p>
        </w:tc>
      </w:tr>
      <w:tr>
        <w:trPr/>
        <w:tc>
          <w:tcPr>
            <w:tcW w:w="9274" w:type="dxa"/>
            <w:tcBorders/>
            <w:shd w:fill="auto" w:val="clear"/>
            <w:vAlign w:val="bottom"/>
          </w:tcPr>
          <w:p>
            <w:pPr>
              <w:pStyle w:val="TableContents"/>
              <w:spacing w:before="0" w:after="0"/>
              <w:rPr/>
            </w:pPr>
            <w:hyperlink w:anchor="tx485936_11">
              <w:r>
                <w:rPr>
                  <w:rStyle w:val="InternetLink"/>
                  <w:rFonts w:ascii="Times New Roman" w:hAnsi="Times New Roman"/>
                  <w:sz w:val="20"/>
                </w:rPr>
                <w:t>Experts</w:t>
              </w:r>
            </w:hyperlink>
          </w:p>
        </w:tc>
        <w:tc>
          <w:tcPr>
            <w:tcW w:w="352"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0" w:type="dxa"/>
            <w:tcBorders/>
            <w:shd w:fill="auto" w:val="clear"/>
            <w:vAlign w:val="bottom"/>
          </w:tcPr>
          <w:p>
            <w:pPr>
              <w:pStyle w:val="TableContents"/>
              <w:spacing w:before="0" w:after="283"/>
              <w:jc w:val="right"/>
              <w:rPr/>
            </w:pPr>
            <w:r>
              <w:rPr/>
              <w:t>14</w:t>
            </w:r>
          </w:p>
        </w:tc>
        <w:tc>
          <w:tcPr>
            <w:tcW w:w="63" w:type="dxa"/>
            <w:tcBorders/>
            <w:shd w:fill="auto" w:val="clear"/>
            <w:vAlign w:val="bottom"/>
          </w:tcPr>
          <w:p>
            <w:pPr>
              <w:pStyle w:val="TableContents"/>
              <w:spacing w:before="0" w:after="283"/>
              <w:rPr/>
            </w:pPr>
            <w:r>
              <w:rPr/>
              <w:t> </w:t>
            </w:r>
          </w:p>
        </w:tc>
      </w:tr>
      <w:tr>
        <w:trPr/>
        <w:tc>
          <w:tcPr>
            <w:tcW w:w="9274" w:type="dxa"/>
            <w:tcBorders/>
            <w:shd w:fill="auto" w:val="clear"/>
            <w:vAlign w:val="bottom"/>
          </w:tcPr>
          <w:p>
            <w:pPr>
              <w:pStyle w:val="TableContents"/>
              <w:spacing w:before="0" w:after="0"/>
              <w:rPr/>
            </w:pPr>
            <w:hyperlink w:anchor="tx485936_12">
              <w:r>
                <w:rPr>
                  <w:rStyle w:val="InternetLink"/>
                  <w:rFonts w:ascii="Times New Roman" w:hAnsi="Times New Roman"/>
                  <w:sz w:val="20"/>
                </w:rPr>
                <w:t>Where You Can Find More Information</w:t>
              </w:r>
            </w:hyperlink>
          </w:p>
        </w:tc>
        <w:tc>
          <w:tcPr>
            <w:tcW w:w="352"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0" w:type="dxa"/>
            <w:tcBorders/>
            <w:shd w:fill="auto" w:val="clear"/>
            <w:vAlign w:val="bottom"/>
          </w:tcPr>
          <w:p>
            <w:pPr>
              <w:pStyle w:val="TableContents"/>
              <w:spacing w:before="0" w:after="283"/>
              <w:jc w:val="right"/>
              <w:rPr/>
            </w:pPr>
            <w:r>
              <w:rPr/>
              <w:t>14</w:t>
            </w:r>
          </w:p>
        </w:tc>
        <w:tc>
          <w:tcPr>
            <w:tcW w:w="63" w:type="dxa"/>
            <w:tcBorders/>
            <w:shd w:fill="auto" w:val="clear"/>
            <w:vAlign w:val="bottom"/>
          </w:tcPr>
          <w:p>
            <w:pPr>
              <w:pStyle w:val="TableContents"/>
              <w:spacing w:before="0" w:after="283"/>
              <w:rPr/>
            </w:pPr>
            <w:r>
              <w:rPr/>
              <w:t> </w:t>
            </w:r>
          </w:p>
        </w:tc>
      </w:tr>
      <w:tr>
        <w:trPr/>
        <w:tc>
          <w:tcPr>
            <w:tcW w:w="9274" w:type="dxa"/>
            <w:tcBorders/>
            <w:shd w:fill="auto" w:val="clear"/>
            <w:vAlign w:val="bottom"/>
          </w:tcPr>
          <w:p>
            <w:pPr>
              <w:pStyle w:val="TableContents"/>
              <w:spacing w:before="0" w:after="0"/>
              <w:rPr/>
            </w:pPr>
            <w:hyperlink w:anchor="tx485936_13">
              <w:r>
                <w:rPr>
                  <w:rStyle w:val="InternetLink"/>
                  <w:rFonts w:ascii="Times New Roman" w:hAnsi="Times New Roman"/>
                  <w:sz w:val="20"/>
                </w:rPr>
                <w:t>Incorporation by Reference</w:t>
              </w:r>
            </w:hyperlink>
          </w:p>
        </w:tc>
        <w:tc>
          <w:tcPr>
            <w:tcW w:w="352"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0" w:type="dxa"/>
            <w:tcBorders/>
            <w:shd w:fill="auto" w:val="clear"/>
            <w:vAlign w:val="bottom"/>
          </w:tcPr>
          <w:p>
            <w:pPr>
              <w:pStyle w:val="TableContents"/>
              <w:spacing w:before="0" w:after="283"/>
              <w:jc w:val="right"/>
              <w:rPr/>
            </w:pPr>
            <w:r>
              <w:rPr/>
              <w:t>15</w:t>
            </w:r>
          </w:p>
        </w:tc>
        <w:tc>
          <w:tcPr>
            <w:tcW w:w="63" w:type="dxa"/>
            <w:tcBorders/>
            <w:shd w:fill="auto" w:val="clear"/>
            <w:vAlign w:val="bottom"/>
          </w:tcPr>
          <w:p>
            <w:pPr>
              <w:pStyle w:val="TableContents"/>
              <w:spacing w:before="0" w:after="283"/>
              <w:rPr/>
            </w:pPr>
            <w:r>
              <w:rPr/>
              <w:t> </w:t>
            </w:r>
          </w:p>
        </w:tc>
      </w:tr>
    </w:tbl>
    <w:p>
      <w:pPr>
        <w:pStyle w:val="TextBody"/>
        <w:spacing w:before="480" w:after="0"/>
        <w:jc w:val="center"/>
        <w:rPr>
          <w:rFonts w:ascii="Times New Roman" w:hAnsi="Times New Roman"/>
          <w:b/>
          <w:sz w:val="20"/>
        </w:rPr>
      </w:pPr>
      <w:bookmarkStart w:id="3" w:name="tx485936_1"/>
      <w:bookmarkEnd w:id="3"/>
      <w:r>
        <w:rPr>
          <w:rFonts w:ascii="Times New Roman" w:hAnsi="Times New Roman"/>
          <w:b/>
          <w:sz w:val="20"/>
        </w:rPr>
        <w:t xml:space="preserve">ABOUT THIS PROSPECTUS </w:t>
      </w:r>
    </w:p>
    <w:p>
      <w:pPr>
        <w:pStyle w:val="TextBody"/>
        <w:spacing w:before="240" w:after="0"/>
        <w:jc w:val="left"/>
        <w:rPr>
          <w:rFonts w:ascii="Times New Roman" w:hAnsi="Times New Roman"/>
          <w:sz w:val="20"/>
        </w:rPr>
      </w:pPr>
      <w:r>
        <w:rPr>
          <w:rFonts w:ascii="Times New Roman" w:hAnsi="Times New Roman"/>
          <w:sz w:val="20"/>
        </w:rPr>
        <w:t>This prospectus is part of a registration statement on Form S-3 that we filed with the Securities and Exchange Commission (the SEC) using a shelf registration process. Under this shelf registration process, the selling stockholder and its permitted transferees may, from time to time, sell the securities offered by them described in this prospectus in one or more offerings through any means described in the section entitled </w:t>
      </w:r>
      <w:r>
        <w:rPr>
          <w:rFonts w:ascii="Times New Roman" w:hAnsi="Times New Roman"/>
          <w:i/>
          <w:sz w:val="20"/>
        </w:rPr>
        <w:t>Plan of Distribution</w:t>
      </w:r>
      <w:r>
        <w:rPr>
          <w:rFonts w:ascii="Times New Roman" w:hAnsi="Times New Roman"/>
          <w:sz w:val="20"/>
        </w:rPr>
        <w:t xml:space="preserve">. We will not receive any proceeds from the sale by the selling stockholder of the securities offered by it described in this prospectus. </w:t>
      </w:r>
    </w:p>
    <w:p>
      <w:pPr>
        <w:pStyle w:val="TextBody"/>
        <w:spacing w:before="240" w:after="0"/>
        <w:jc w:val="left"/>
        <w:rPr>
          <w:rFonts w:ascii="Times New Roman" w:hAnsi="Times New Roman"/>
          <w:sz w:val="20"/>
        </w:rPr>
      </w:pPr>
      <w:r>
        <w:rPr>
          <w:rFonts w:ascii="Times New Roman" w:hAnsi="Times New Roman"/>
          <w:sz w:val="20"/>
        </w:rPr>
        <w:t>This prospectus provides you with a general description of the securities that may be offered. To the extent necessary, each time that the selling stockholder offers and sells securities, we or the selling stockholder may provide a prospectus supplement to this prospectus that contains specific information about the securities being offered and sold and the specific terms of that offering. To the extent permitted by law, we may also authorize one or more free writing prospectuses that may contain material information relating to these offerings. Each such prospectus supplement or free writing prospectus may also add, update or change information contained in this prospectus with respect to that offering. If there is any inconsistency between the information in this prospectus and the applicable prospectus supplement or free writing prospectus, you should rely on the prospectus supplement or free writing prospectus, as applicable. Before purchasing any securities, you should carefully read both this prospectus and any applicable prospectus supplement (and any applicable free writing prospectuses), together with the additional information described under the heading </w:t>
      </w:r>
      <w:r>
        <w:rPr>
          <w:rFonts w:ascii="Times New Roman" w:hAnsi="Times New Roman"/>
          <w:i/>
          <w:sz w:val="20"/>
        </w:rPr>
        <w:t>Where You Can Find Additional Information</w:t>
      </w:r>
      <w:r>
        <w:rPr>
          <w:rFonts w:ascii="Times New Roman" w:hAnsi="Times New Roman"/>
          <w:sz w:val="20"/>
        </w:rPr>
        <w:t> and </w:t>
      </w:r>
      <w:r>
        <w:rPr>
          <w:rFonts w:ascii="Times New Roman" w:hAnsi="Times New Roman"/>
          <w:i/>
          <w:sz w:val="20"/>
        </w:rPr>
        <w:t>Incorporation by Reference</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Neither we nor the selling stockholder have authorized anyone to provide you with any information or to make any representations other than those contained, or incorporated by reference, in this prospectus, any applicable prospectus supplement or in any related free writing prospectus. Neither we nor the selling stockholder take any responsibility for, nor provide any assurance as to the reliability of, any other information that others may give you. This prospectus and any applicable prospectus supplement or any related free writing prospectus do not constitute an offer to sell or the solicitation of an offer to buy any securities other than the securities described in the applicable prospectus supplement or an offer to sell or the solicitation of an offer to buy such securities in any circumstances in which such offer or solicitation is unlawful. You should assume that the information appearing in this prospectus and any applicable prospectus supplement to this prospectus is accurate only as of the date on the respective cover, that the information appearing in any applicable free writing prospectus is accurate only as of the date of that free writing prospectus, and that any information incorporated by reference is accurate only as of the date of the document incorporated by reference, unless we indicate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otherwise. Our business, financial condition, results of operations and prospects may have changed materially since those dates. </w:t>
      </w:r>
    </w:p>
    <w:p>
      <w:pPr>
        <w:pStyle w:val="TextBody"/>
        <w:spacing w:before="240" w:after="0"/>
        <w:jc w:val="left"/>
        <w:rPr>
          <w:rFonts w:ascii="Times New Roman" w:hAnsi="Times New Roman"/>
          <w:sz w:val="20"/>
        </w:rPr>
      </w:pPr>
      <w:r>
        <w:rPr>
          <w:rFonts w:ascii="Times New Roman" w:hAnsi="Times New Roman"/>
          <w:sz w:val="20"/>
        </w:rPr>
        <w:t>This prospectus, any prospectus supplement or free writing prospectus, and the documents incorporated by reference therein, contain summaries of certain provisions contained in some of the documents described or incorporated by reference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the section titled </w:t>
      </w:r>
      <w:r>
        <w:rPr>
          <w:rFonts w:ascii="Times New Roman" w:hAnsi="Times New Roman"/>
          <w:i/>
          <w:sz w:val="20"/>
        </w:rPr>
        <w:t>Where You Can Find Additional Information</w:t>
      </w:r>
      <w:r>
        <w:rPr>
          <w:rFonts w:ascii="Times New Roman" w:hAnsi="Times New Roman"/>
          <w:sz w:val="20"/>
        </w:rPr>
        <w:t xml:space="preserv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ind w:left="0" w:right="0" w:hanging="0"/>
        <w:jc w:val="center"/>
        <w:rPr>
          <w:rFonts w:ascii="Times New Roman" w:hAnsi="Times New Roman"/>
          <w:b/>
          <w:sz w:val="20"/>
          <w:bdr w:val="single" w:sz="8" w:space="1" w:color="000000"/>
        </w:rPr>
      </w:pPr>
      <w:bookmarkStart w:id="4" w:name="tx485936_2"/>
      <w:bookmarkEnd w:id="4"/>
      <w:r>
        <w:rPr>
          <w:rFonts w:ascii="Times New Roman" w:hAnsi="Times New Roman"/>
          <w:b/>
          <w:sz w:val="20"/>
          <w:bdr w:val="single" w:sz="8" w:space="1" w:color="000000"/>
        </w:rPr>
        <w:t xml:space="preserve">PROSPECTUS SUMMARY </w:t>
      </w:r>
    </w:p>
    <w:p>
      <w:pPr>
        <w:pStyle w:val="TextBody"/>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This summary highlights selected information that is presented in greater detail elsewhere, or incorporated by reference, in this prospectus. It does not contain all of the information that may be important to you and your investment decision. Before investing in our securities, you should carefully read this entire prospectus, including the matters set forth under the section of this prospectus captioned Risk Factors and the financial statements and related notes and other information that we incorporate by reference herein, including our most recent Annual Report on Form 10-K and our Quarterly Reports on Form 10-Q filed subsequently to such Form 10-K. Unless the context indicates otherwise, references in this prospectus to Bakkt Holdings, Inc., Bakkt, the Company, we, our and us refer, collectively, to Bakkt Holdings, Inc., a Delaware corporation, and its consolidated subsidiaries taken as a whole. </w:t>
      </w:r>
    </w:p>
    <w:p>
      <w:pPr>
        <w:pStyle w:val="TextBody"/>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Overview </w:t>
      </w:r>
    </w:p>
    <w:p>
      <w:pPr>
        <w:pStyle w:val="TextBody"/>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Founded in 2018, Bakkt operates technology that connects the digital economy by offering a platform for crypto and redeeming loyalty points. We enable our clients to deliver new opportunities to their customers through an interactive web experience or application programming interfaces (API) solutions that unlock crypto and drive loyalty. The global market for crypto, while nascent, is rapidly evolving and expanding. We believe we are well-positioned to provide secure, licensed product solutions and grow with this evolving market. We believe our platform is well positioned to power commerce by enabling consumers, brands, and financial institutions to better manage, transact with and monetize crypto in exciting new ways. </w:t>
      </w:r>
    </w:p>
    <w:p>
      <w:pPr>
        <w:pStyle w:val="TextBody"/>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provide, or are working to provide, simplified solutions focused in the following areas: </w:t>
      </w:r>
    </w:p>
    <w:p>
      <w:pPr>
        <w:pStyle w:val="TextBody"/>
        <w:spacing w:before="12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Crypto </w:t>
      </w:r>
    </w:p>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09"/>
        <w:gridCol w:w="306"/>
        <w:gridCol w:w="102"/>
        <w:gridCol w:w="9288"/>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i/>
                <w:sz w:val="20"/>
              </w:rPr>
              <w:t>Custody</w:t>
            </w:r>
            <w:r>
              <w:rPr>
                <w:rFonts w:ascii="Times New Roman" w:hAnsi="Times New Roman"/>
                <w:sz w:val="20"/>
              </w:rPr>
              <w:t xml:space="preserve">. Our institutional-grade qualified custody solution caters to more experienced market participants, offering a highly secure and compliance-focused infrastructure.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i/>
                <w:sz w:val="20"/>
              </w:rPr>
              <w:t>Crypto Connect</w:t>
            </w:r>
            <w:r>
              <w:rPr>
                <w:rFonts w:ascii="Times New Roman" w:hAnsi="Times New Roman"/>
                <w:sz w:val="20"/>
              </w:rPr>
              <w:t xml:space="preserve">. Our platform provides consumers, businesses and institutions with the ability to buy, sell and store crypto in a simple, intuitive digital experience accessed via APIs or embedded web experience.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i/>
                <w:sz w:val="20"/>
              </w:rPr>
              <w:t>Crypto Rewards</w:t>
            </w:r>
            <w:r>
              <w:rPr>
                <w:rFonts w:ascii="Times New Roman" w:hAnsi="Times New Roman"/>
                <w:sz w:val="20"/>
              </w:rPr>
              <w:t xml:space="preserve">. We are in the process of enabling clients of all sizes to offer loyalty and rewards to their customers in the form of crypto  either by earning crypto rewards, or by redeeming existing reward currencies, such as points or miles, into crypto.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i/>
                <w:sz w:val="20"/>
              </w:rPr>
              <w:t>Crypto Payouts</w:t>
            </w:r>
            <w:r>
              <w:rPr>
                <w:rFonts w:ascii="Times New Roman" w:hAnsi="Times New Roman"/>
                <w:sz w:val="20"/>
              </w:rPr>
              <w:t xml:space="preserve">. We are in the process of enabling consumers to automatically invest a portion of payments into crypto. Crypto payouts allow for new cases (for instance, for gig economy or marketplace participants such as freelancers, content providers, and delivery workers to receive their wages in crypto). </w:t>
            </w:r>
          </w:p>
        </w:tc>
      </w:tr>
    </w:tbl>
    <w:p>
      <w:pPr>
        <w:pStyle w:val="TextBody"/>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Loyalty </w:t>
      </w:r>
    </w:p>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09"/>
        <w:gridCol w:w="306"/>
        <w:gridCol w:w="100"/>
        <w:gridCol w:w="9290"/>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0"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We offer a full spectrum of content that clients can make available to their customers when redeeming loyalty currencies, thus driving consumer loyalty and engagement. Our redemption solutions span a variety of rewards categories including merchandise (such as Apple products and services), gift cards and digital experiences. </w:t>
            </w:r>
          </w:p>
        </w:tc>
      </w:tr>
    </w:tbl>
    <w:p>
      <w:pPr>
        <w:pStyle w:val="TextBody"/>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Corporate Information </w:t>
      </w:r>
    </w:p>
    <w:p>
      <w:pPr>
        <w:pStyle w:val="TextBody"/>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principal executive offices are located at 10000 Avalon Boulevard, Suite 1000, Alpharetta, Georgia 30009. Our telephone number is (678) 534-5849. Our website is </w:t>
      </w:r>
      <w:r>
        <w:rPr>
          <w:rFonts w:ascii="Times New Roman" w:hAnsi="Times New Roman"/>
          <w:i/>
          <w:sz w:val="20"/>
          <w:bdr w:val="single" w:sz="8" w:space="1" w:color="000000"/>
        </w:rPr>
        <w:t>https://www.bakkt.com</w:t>
      </w:r>
      <w:r>
        <w:rPr>
          <w:rFonts w:ascii="Times New Roman" w:hAnsi="Times New Roman"/>
          <w:sz w:val="20"/>
          <w:bdr w:val="single" w:sz="8" w:space="1" w:color="000000"/>
        </w:rPr>
        <w:t xml:space="preserve">. Information contained on, or that can be accessed through, our website is not a part of, and is not incorporated into, this prospectus, and the inclusion of our website address in this prospectus is an inactive textual reference only.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5" w:name="tx485936_3"/>
      <w:bookmarkEnd w:id="5"/>
      <w:r>
        <w:rPr>
          <w:rFonts w:ascii="Times New Roman" w:hAnsi="Times New Roman"/>
          <w:b/>
          <w:sz w:val="20"/>
        </w:rPr>
        <w:t xml:space="preserve">THE OFFERING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3877"/>
        <w:gridCol w:w="6328"/>
      </w:tblGrid>
      <w:tr>
        <w:trPr/>
        <w:tc>
          <w:tcPr>
            <w:tcW w:w="3877" w:type="dxa"/>
            <w:tcBorders/>
            <w:shd w:fill="auto" w:val="clear"/>
          </w:tcPr>
          <w:p>
            <w:pPr>
              <w:pStyle w:val="TableContents"/>
              <w:spacing w:before="0" w:after="20"/>
              <w:rPr>
                <w:rFonts w:ascii="Times New Roman" w:hAnsi="Times New Roman"/>
                <w:sz w:val="20"/>
              </w:rPr>
            </w:pPr>
            <w:r>
              <w:rPr>
                <w:rFonts w:ascii="Times New Roman" w:hAnsi="Times New Roman"/>
                <w:sz w:val="20"/>
              </w:rPr>
              <w:t xml:space="preserve">Common Stock Offered by Selling Stockholder </w:t>
            </w:r>
          </w:p>
        </w:tc>
        <w:tc>
          <w:tcPr>
            <w:tcW w:w="6328" w:type="dxa"/>
            <w:tcBorders/>
            <w:shd w:fill="auto" w:val="clear"/>
          </w:tcPr>
          <w:p>
            <w:pPr>
              <w:pStyle w:val="TableContents"/>
              <w:spacing w:before="0" w:after="283"/>
              <w:rPr/>
            </w:pPr>
            <w:r>
              <w:rPr/>
              <w:t xml:space="preserve">Up to 52,543,013 shares of Class A Common Stock, comprised of (i) 6,140,610 shares of Class A Common Stock issued as the first earnout payment under the Purchase Agreement; and (ii) up to 46,402,403 shares of Class A Common Stock that may be issued to the selling stockholder as additional earnout payments under the Purchase Agreement.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3877"/>
        <w:gridCol w:w="6328"/>
      </w:tblGrid>
      <w:tr>
        <w:trPr/>
        <w:tc>
          <w:tcPr>
            <w:tcW w:w="3877" w:type="dxa"/>
            <w:tcBorders/>
            <w:shd w:fill="auto" w:val="clear"/>
          </w:tcPr>
          <w:p>
            <w:pPr>
              <w:pStyle w:val="TableContents"/>
              <w:spacing w:before="0" w:after="20"/>
              <w:rPr>
                <w:rFonts w:ascii="Times New Roman" w:hAnsi="Times New Roman"/>
                <w:sz w:val="20"/>
              </w:rPr>
            </w:pPr>
            <w:r>
              <w:rPr>
                <w:rFonts w:ascii="Times New Roman" w:hAnsi="Times New Roman"/>
                <w:sz w:val="20"/>
              </w:rPr>
              <w:t xml:space="preserve">Use of Proceeds </w:t>
            </w:r>
          </w:p>
        </w:tc>
        <w:tc>
          <w:tcPr>
            <w:tcW w:w="6328" w:type="dxa"/>
            <w:tcBorders/>
            <w:shd w:fill="auto" w:val="clear"/>
          </w:tcPr>
          <w:p>
            <w:pPr>
              <w:pStyle w:val="TableContents"/>
              <w:spacing w:before="0" w:after="283"/>
              <w:rPr/>
            </w:pPr>
            <w:r>
              <w:rPr/>
              <w:t xml:space="preserve">We will not receive any proceeds from the sale of shares of Class A Common Stock by the selling stockholder. Offering Price The selling stockholder may sell all or a portion of its shares through public or private transactions at prevailing market prices or at privately negotiated prices.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3877"/>
        <w:gridCol w:w="6328"/>
      </w:tblGrid>
      <w:tr>
        <w:trPr/>
        <w:tc>
          <w:tcPr>
            <w:tcW w:w="3877" w:type="dxa"/>
            <w:tcBorders/>
            <w:shd w:fill="auto" w:val="clear"/>
          </w:tcPr>
          <w:p>
            <w:pPr>
              <w:pStyle w:val="TableContents"/>
              <w:spacing w:before="0" w:after="20"/>
              <w:rPr>
                <w:rFonts w:ascii="Times New Roman" w:hAnsi="Times New Roman"/>
                <w:sz w:val="20"/>
              </w:rPr>
            </w:pPr>
            <w:r>
              <w:rPr>
                <w:rFonts w:ascii="Times New Roman" w:hAnsi="Times New Roman"/>
                <w:sz w:val="20"/>
              </w:rPr>
              <w:t xml:space="preserve">Risk Factors </w:t>
            </w:r>
          </w:p>
        </w:tc>
        <w:tc>
          <w:tcPr>
            <w:tcW w:w="6328" w:type="dxa"/>
            <w:tcBorders/>
            <w:shd w:fill="auto" w:val="clear"/>
          </w:tcPr>
          <w:p>
            <w:pPr>
              <w:pStyle w:val="TableContents"/>
              <w:spacing w:before="0" w:after="283"/>
              <w:rPr/>
            </w:pPr>
            <w:r>
              <w:rPr/>
              <w:t>You should read the </w:t>
            </w:r>
            <w:r>
              <w:rPr>
                <w:i/>
              </w:rPr>
              <w:t>Risk Factors</w:t>
            </w:r>
            <w:r>
              <w:rPr/>
              <w:t xml:space="preserve"> section included in, and the risk factors incorporated by reference in this prospectus for a discussion of factors to consider carefully before deciding to invest in shares of our Class A Common Stock.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3877"/>
        <w:gridCol w:w="6328"/>
      </w:tblGrid>
      <w:tr>
        <w:trPr/>
        <w:tc>
          <w:tcPr>
            <w:tcW w:w="3877" w:type="dxa"/>
            <w:tcBorders/>
            <w:shd w:fill="auto" w:val="clear"/>
          </w:tcPr>
          <w:p>
            <w:pPr>
              <w:pStyle w:val="TableContents"/>
              <w:spacing w:before="0" w:after="20"/>
              <w:rPr>
                <w:rFonts w:ascii="Times New Roman" w:hAnsi="Times New Roman"/>
                <w:sz w:val="20"/>
              </w:rPr>
            </w:pPr>
            <w:r>
              <w:rPr>
                <w:rFonts w:ascii="Times New Roman" w:hAnsi="Times New Roman"/>
                <w:sz w:val="20"/>
              </w:rPr>
              <w:t xml:space="preserve">NYSE symbol </w:t>
            </w:r>
          </w:p>
        </w:tc>
        <w:tc>
          <w:tcPr>
            <w:tcW w:w="6328" w:type="dxa"/>
            <w:tcBorders/>
            <w:shd w:fill="auto" w:val="clear"/>
          </w:tcPr>
          <w:p>
            <w:pPr>
              <w:pStyle w:val="TableContents"/>
              <w:spacing w:before="0" w:after="283"/>
              <w:rPr/>
            </w:pPr>
            <w:r>
              <w:rPr/>
              <w:t xml:space="preserve">BKKT for our Class A Common Stock.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6" w:name="tx485936_4"/>
      <w:bookmarkEnd w:id="6"/>
      <w:r>
        <w:rPr>
          <w:rFonts w:ascii="Times New Roman" w:hAnsi="Times New Roman"/>
          <w:b/>
          <w:sz w:val="20"/>
        </w:rPr>
        <w:t xml:space="preserve">RISK FACTORS </w:t>
      </w:r>
    </w:p>
    <w:p>
      <w:pPr>
        <w:pStyle w:val="TextBody"/>
        <w:spacing w:before="240" w:after="0"/>
        <w:jc w:val="left"/>
        <w:rPr>
          <w:rFonts w:ascii="Times New Roman" w:hAnsi="Times New Roman"/>
          <w:sz w:val="20"/>
        </w:rPr>
      </w:pPr>
      <w:r>
        <w:rPr>
          <w:rFonts w:ascii="Times New Roman" w:hAnsi="Times New Roman"/>
          <w:sz w:val="20"/>
        </w:rPr>
        <w:t>Investing in our securities involves a high degree of risk. Before making an investment decision, you should consider carefully the risks, uncertainties and assumptions discussed under </w:t>
      </w:r>
      <w:r>
        <w:rPr>
          <w:rFonts w:ascii="Times New Roman" w:hAnsi="Times New Roman"/>
          <w:i/>
          <w:sz w:val="20"/>
        </w:rPr>
        <w:t>Part IItem 1ARisk Factors</w:t>
      </w:r>
      <w:r>
        <w:rPr>
          <w:rFonts w:ascii="Times New Roman" w:hAnsi="Times New Roman"/>
          <w:sz w:val="20"/>
        </w:rPr>
        <w:t> of our most recent Annual Report on Form 10-K and in </w:t>
      </w:r>
      <w:r>
        <w:rPr>
          <w:rFonts w:ascii="Times New Roman" w:hAnsi="Times New Roman"/>
          <w:i/>
          <w:sz w:val="20"/>
        </w:rPr>
        <w:t>Part IIItem 1ARisk Factors</w:t>
      </w:r>
      <w:r>
        <w:rPr>
          <w:rFonts w:ascii="Times New Roman" w:hAnsi="Times New Roman"/>
          <w:sz w:val="20"/>
        </w:rPr>
        <w:t> in our Quarterly Reports on Form 10-Q filed subsequently to such Form 10-K that are incorporated herein by reference, as may be amended, supplemented or superseded from time to time by other reports we file with the SEC in the future, and all other information contained or incorporated by reference into this prospectus, as updated by our subsequent filings under the Securities and Exchange Act of 1934, as amended (the Exchange Act), and the risk factors and other information contained in any applicable prospectus supplement and any applicable free writing prospectus. The risks described in these documents are not the only ones we face</w:t>
      </w:r>
      <w:r>
        <w:rPr>
          <w:rFonts w:ascii="Times New Roman" w:hAnsi="Times New Roman"/>
          <w:i/>
          <w:sz w:val="20"/>
        </w:rPr>
        <w:t xml:space="preserve">. </w:t>
      </w:r>
      <w:r>
        <w:rPr>
          <w:rFonts w:ascii="Times New Roman" w:hAnsi="Times New Roman"/>
          <w:sz w:val="20"/>
        </w:rPr>
        <w:t>Our business, operating results, financial condition or prospects could also be harmed by risks and uncertainties not currently known to us or that we currently do not believe are material. If any of the risks actually occur, our business, operating results, financial condition and prospects could be adversely affected. In that event, the market price of our securities could decline, and you could lose part or all of your investment. Please also carefully read the section titled </w:t>
      </w:r>
      <w:r>
        <w:rPr>
          <w:rFonts w:ascii="Times New Roman" w:hAnsi="Times New Roman"/>
          <w:i/>
          <w:sz w:val="20"/>
        </w:rPr>
        <w:t>Forward-Looking Statements</w:t>
      </w:r>
      <w:r>
        <w:rPr>
          <w:rFonts w:ascii="Times New Roman" w:hAnsi="Times New Roman"/>
          <w:sz w:val="20"/>
        </w:rPr>
        <w:t> and </w:t>
      </w:r>
      <w:r>
        <w:rPr>
          <w:rFonts w:ascii="Times New Roman" w:hAnsi="Times New Roman"/>
          <w:i/>
          <w:sz w:val="20"/>
        </w:rPr>
        <w:t>Incorporation by Reference</w:t>
      </w:r>
      <w:r>
        <w:rPr>
          <w:rFonts w:ascii="Times New Roman" w:hAnsi="Times New Roman"/>
          <w:sz w:val="20"/>
        </w:rPr>
        <w:t xml:space="preserv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7" w:name="tx485936_5"/>
      <w:bookmarkEnd w:id="7"/>
      <w:r>
        <w:rPr>
          <w:rFonts w:ascii="Times New Roman" w:hAnsi="Times New Roman"/>
          <w:b/>
          <w:sz w:val="20"/>
        </w:rPr>
        <w:t xml:space="preserve">FORWARD-LOOKING STATEMENTS </w:t>
      </w:r>
    </w:p>
    <w:p>
      <w:pPr>
        <w:pStyle w:val="TextBody"/>
        <w:spacing w:before="240" w:after="0"/>
        <w:jc w:val="left"/>
        <w:rPr>
          <w:rFonts w:ascii="Times New Roman" w:hAnsi="Times New Roman"/>
          <w:sz w:val="20"/>
        </w:rPr>
      </w:pPr>
      <w:r>
        <w:rPr>
          <w:rFonts w:ascii="Times New Roman" w:hAnsi="Times New Roman"/>
          <w:sz w:val="20"/>
        </w:rPr>
        <w:t xml:space="preserve">This prospectus, any accompanying prospectus supplement and the documents incorporated by reference herein and therein contain forward-looking statements within the meaning of the federal securities laws, which statements involve substantial risks and uncertainties. Forward-looking statements generally relate to future events or our future financial or operating performance. You can identify forward-looking statements because they contain words such as anticipate, believe, continue, could, estimate, expect, intends, may, might, plan, possible, potential, predict, project, should, will, would, the negative of such terms, and other similar expressions are intended to identify forward-looking statements. These forward-looking statements are based on managements current expectations, assumptions, hopes, beliefs, intentions and strategies regarding future events and are based on currently available information as to the outcome and timing of future events. We caution you that these forward-looking statements are subject to all of the risks and uncertainties, most of which are difficult to predict and many of which are beyond our control, incident to our business. Forward-looking statements included or incorporated by reference into this prospectus may include, for example, statements about: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our future financial performance;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2"/>
        <w:gridCol w:w="9288"/>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changes in the market for our products and services;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impact of our acquisition of Apex Crypto, LLC (Apex Crypto);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expansion plans and opportunities. </w:t>
            </w:r>
          </w:p>
        </w:tc>
      </w:tr>
    </w:tbl>
    <w:p>
      <w:pPr>
        <w:pStyle w:val="TextBody"/>
        <w:spacing w:before="240" w:after="0"/>
        <w:jc w:val="left"/>
        <w:rPr>
          <w:rFonts w:ascii="Times New Roman" w:hAnsi="Times New Roman"/>
          <w:sz w:val="20"/>
        </w:rPr>
      </w:pPr>
      <w:r>
        <w:rPr>
          <w:rFonts w:ascii="Times New Roman" w:hAnsi="Times New Roman"/>
          <w:sz w:val="20"/>
        </w:rPr>
        <w:t xml:space="preserve">These forward-looking statements are based on information available as of the date they were made and reflect managements expectations, forecasts and assumptions as of such date, and involve a number of judgments, known and/ or unknown risks and uncertainties. Accordingly, forward-looking statements should not be relied upon as representing our views as of any subsequent date. We do not undertake any obligation to update any forward-looking statement to reflect events or circumstances after the date they were made, whether as a result of new information, future events or otherwise, except as may be required under applicable law. </w:t>
      </w:r>
    </w:p>
    <w:p>
      <w:pPr>
        <w:pStyle w:val="TextBody"/>
        <w:spacing w:before="240" w:after="0"/>
        <w:jc w:val="left"/>
        <w:rPr>
          <w:rFonts w:ascii="Times New Roman" w:hAnsi="Times New Roman"/>
          <w:sz w:val="20"/>
        </w:rPr>
      </w:pPr>
      <w:r>
        <w:rPr>
          <w:rFonts w:ascii="Times New Roman" w:hAnsi="Times New Roman"/>
          <w:sz w:val="20"/>
        </w:rPr>
        <w:t xml:space="preserve">You should not place undue reliance on these forward-looking statements. Should one or more of a number of known and unknown risks and uncertainties materialize, or should any of our assumptions prove incorrect, our actual results or performance may be materially different from those expressed or implied by these forward-looking statements. Some factors that could cause actual results to differ include, but are not limited to: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our ability to grow and manage growth profitably;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2"/>
        <w:gridCol w:w="9288"/>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changes in our business strategy;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changes in the market in which we compete, including with respect to our competitive landscape, technology evolution or changes in applicable laws or regulations;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changes in the markets that we target;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disruptions in the crypto market that subject us to additional risks, including the risk that banks may not provide banking services to us;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possibility that we may be adversely affected by other economic, business, and/or competitive factors;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inability to launch new services and products or to profitably expand into new markets and services;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6"/>
        <w:gridCol w:w="102"/>
        <w:gridCol w:w="9287"/>
      </w:tblGrid>
      <w:tr>
        <w:trPr/>
        <w:tc>
          <w:tcPr>
            <w:tcW w:w="510"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inability to execute our growth strategies, including identifying and executing acquisitions and our initiatives to add new clients;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6"/>
        <w:gridCol w:w="102"/>
        <w:gridCol w:w="9287"/>
      </w:tblGrid>
      <w:tr>
        <w:trPr/>
        <w:tc>
          <w:tcPr>
            <w:tcW w:w="510"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our ability to successfully integrate the Apex Crypto business and employees, and to achieve the expected benefits from the acquisition;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our failure to comply with extensive government regulation, oversight, licensure and appraisals;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uncertain regulatory regime governing blockchain technologies and crypto;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2"/>
        <w:gridCol w:w="9288"/>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inability to develop and maintain effective internal controls and procedures;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6"/>
        <w:gridCol w:w="102"/>
        <w:gridCol w:w="9287"/>
      </w:tblGrid>
      <w:tr>
        <w:trPr/>
        <w:tc>
          <w:tcPr>
            <w:tcW w:w="510"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exposure to any liability, protracted and costly litigation or reputational damage relating to our data security;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impact of any goodwill or other intangible assets impairments on our operating results;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impact of any pandemics or other public health emergencies;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2"/>
        <w:gridCol w:w="9288"/>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our inability to maintain the listing of our securities on the NYSE;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other risks and uncertainties indicated in this prospectus, including those set forth under </w:t>
            </w:r>
            <w:r>
              <w:rPr>
                <w:rFonts w:ascii="Times New Roman" w:hAnsi="Times New Roman"/>
                <w:i/>
                <w:sz w:val="20"/>
              </w:rPr>
              <w:t>Risk Factors</w:t>
            </w:r>
            <w:r>
              <w:rPr>
                <w:rFonts w:ascii="Times New Roman" w:hAnsi="Times New Roman"/>
                <w:sz w:val="20"/>
              </w:rPr>
              <w:t xml:space="preserve"> and any risk factors described in any amendments or supplements to this prospectus and in the documents incorporated by reference herein.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8" w:name="tx485936_6"/>
      <w:bookmarkEnd w:id="8"/>
      <w:r>
        <w:rPr>
          <w:rFonts w:ascii="Times New Roman" w:hAnsi="Times New Roman"/>
          <w:b/>
          <w:sz w:val="20"/>
        </w:rPr>
        <w:t xml:space="preserve">USE OF PROCEEDS </w:t>
      </w:r>
    </w:p>
    <w:p>
      <w:pPr>
        <w:pStyle w:val="TextBody"/>
        <w:spacing w:before="240" w:after="0"/>
        <w:jc w:val="left"/>
        <w:rPr>
          <w:rFonts w:ascii="Times New Roman" w:hAnsi="Times New Roman"/>
          <w:sz w:val="20"/>
        </w:rPr>
      </w:pPr>
      <w:r>
        <w:rPr>
          <w:rFonts w:ascii="Times New Roman" w:hAnsi="Times New Roman"/>
          <w:sz w:val="20"/>
        </w:rPr>
        <w:t xml:space="preserve">The net proceeds from any disposition of the Resale Shares covered hereby will be received by the selling stockholder. We will not receive any of the proceeds from any such Resale Shares offered by this prospectus.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9" w:name="tx485936_7"/>
      <w:bookmarkEnd w:id="9"/>
      <w:r>
        <w:rPr>
          <w:rFonts w:ascii="Times New Roman" w:hAnsi="Times New Roman"/>
          <w:b/>
          <w:sz w:val="20"/>
        </w:rPr>
        <w:t xml:space="preserve">DESCRIPTION OF CAPITAL STOCK </w:t>
      </w:r>
    </w:p>
    <w:p>
      <w:pPr>
        <w:pStyle w:val="TextBody"/>
        <w:spacing w:before="240" w:after="0"/>
        <w:jc w:val="left"/>
        <w:rPr>
          <w:rFonts w:ascii="Times New Roman" w:hAnsi="Times New Roman"/>
          <w:sz w:val="20"/>
        </w:rPr>
      </w:pPr>
      <w:r>
        <w:rPr>
          <w:rFonts w:ascii="Times New Roman" w:hAnsi="Times New Roman"/>
          <w:sz w:val="20"/>
        </w:rPr>
        <w:t xml:space="preserve">The description of our capital stock is incorporated by reference to Exhibit 4.7 to our Annual Report on Form 10-K for the fiscal year ended December 31, 2022, filed with the SEC on March 24, 2023.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10" w:name="tx485936_8"/>
      <w:bookmarkEnd w:id="10"/>
      <w:r>
        <w:rPr>
          <w:rFonts w:ascii="Times New Roman" w:hAnsi="Times New Roman"/>
          <w:b/>
          <w:sz w:val="20"/>
        </w:rPr>
        <w:t xml:space="preserve">SELLING STOCKHOLDER </w:t>
      </w:r>
    </w:p>
    <w:p>
      <w:pPr>
        <w:pStyle w:val="TextBody"/>
        <w:spacing w:before="240" w:after="0"/>
        <w:jc w:val="left"/>
        <w:rPr>
          <w:rFonts w:ascii="Times New Roman" w:hAnsi="Times New Roman"/>
          <w:sz w:val="20"/>
        </w:rPr>
      </w:pPr>
      <w:r>
        <w:rPr>
          <w:rFonts w:ascii="Times New Roman" w:hAnsi="Times New Roman"/>
          <w:sz w:val="20"/>
        </w:rPr>
        <w:t xml:space="preserve">This prospectus relates to the offering of up to 52,543,013 shares of our Class A Common Stock issued or to be issued to the selling stockholder named below pursuant to the terms of a Membership Interest Purchase Agreement (as amended, the Purchase Agreement), dated as of November 2, 2022, by and among Bakkt, the selling stockholder and the other parties named therein, which shares of Class A Common Stock include (i) 6,140,610 shares of Class A Common Stock issued as the first earnout payment under the Purchase Agreement; and (ii) up to 46,402,403 shares of Class A Common Stock that may be issued to the selling stockholder as additional earnout payments under the Purchase Agreement. Capitalized terms used in this prospectus but not otherwise defined herein have the meanings given to them in the Purchase Agreement, a copy of which has been filed with the registration statement of which this prospectus forms a part. </w:t>
      </w:r>
    </w:p>
    <w:p>
      <w:pPr>
        <w:pStyle w:val="TextBody"/>
        <w:spacing w:before="240" w:after="0"/>
        <w:jc w:val="left"/>
        <w:rPr>
          <w:rFonts w:ascii="Times New Roman" w:hAnsi="Times New Roman"/>
          <w:sz w:val="20"/>
        </w:rPr>
      </w:pPr>
      <w:r>
        <w:rPr>
          <w:rFonts w:ascii="Times New Roman" w:hAnsi="Times New Roman"/>
          <w:sz w:val="20"/>
        </w:rPr>
        <w:t xml:space="preserve">Under the Purchase Agreement, based on the achievement by Apex Crypto of certain gross profit metrics in respect of the fourth quarter of 2022, the selling stockholder received the Initial Contingent Shares on April 18, 2023. Because the earnout in respect of the fourth quarter of 2022 was not fully achieved, however, additional shares of Class A Common Stock may be issuable in respect of certain catch-up provisions if the acquired business achieves certain future gross profit metrics in 2023. </w:t>
      </w:r>
    </w:p>
    <w:p>
      <w:pPr>
        <w:pStyle w:val="TextBody"/>
        <w:spacing w:before="240" w:after="0"/>
        <w:jc w:val="left"/>
        <w:rPr>
          <w:rFonts w:ascii="Times New Roman" w:hAnsi="Times New Roman"/>
          <w:sz w:val="20"/>
        </w:rPr>
      </w:pPr>
      <w:r>
        <w:rPr>
          <w:rFonts w:ascii="Times New Roman" w:hAnsi="Times New Roman"/>
          <w:sz w:val="20"/>
        </w:rPr>
        <w:t xml:space="preserve">Furthermore, the selling stockholder is eligible to receive additional contingent consideration in shares of Class A Common Stock based on the performance of certain crypto facilitation clients in 2023 and 2024, with no amount being paid if a minimum level of gross profitability growth (adjusted for certain crypto delisting events) is not achieved. If the selling stockholder does not receive contingent consideration valued at $145.0 million, the selling stockholder will also be eligible to receive additional contingent consideration in shares of Class A Common Stock of up to $12.0 million based on the performance of a non-fungible token facilitation business attributable to the acquired businesss clients and prospects, provided that the total earnout consideration payable under the Purchase Agreement does not exceed $145.0 million. </w:t>
      </w:r>
    </w:p>
    <w:p>
      <w:pPr>
        <w:pStyle w:val="TextBody"/>
        <w:spacing w:before="240" w:after="0"/>
        <w:jc w:val="left"/>
        <w:rPr>
          <w:rFonts w:ascii="Times New Roman" w:hAnsi="Times New Roman"/>
          <w:sz w:val="20"/>
        </w:rPr>
      </w:pPr>
      <w:r>
        <w:rPr>
          <w:rFonts w:ascii="Times New Roman" w:hAnsi="Times New Roman"/>
          <w:sz w:val="20"/>
        </w:rPr>
        <w:t xml:space="preserve">The aggregate number of shares of Class A Common Stock that may be issued under the Purchase Agreement may not exceed 19.9% of the sum of the number of shares of Class A Common Stock plus the number of shares of the Companys Class V common stock, par value $0.0001 per share (Class V Common Stock), each outstanding as of November 2, 2022, which is the number of shares of Class A Common Stock registered for resale by the registration statement of which this prospectus forms a part. </w:t>
      </w:r>
    </w:p>
    <w:p>
      <w:pPr>
        <w:pStyle w:val="TextBody"/>
        <w:spacing w:before="240" w:after="0"/>
        <w:jc w:val="left"/>
        <w:rPr>
          <w:rFonts w:ascii="Times New Roman" w:hAnsi="Times New Roman"/>
          <w:sz w:val="20"/>
        </w:rPr>
      </w:pPr>
      <w:r>
        <w:rPr>
          <w:rFonts w:ascii="Times New Roman" w:hAnsi="Times New Roman"/>
          <w:sz w:val="20"/>
        </w:rPr>
        <w:t xml:space="preserve">The actual number of Additional Contingent Shares issuable to the selling stockholder as earnout payments, if any, could be materially less than 46,402,403 shares of Class A Common Stock depending on (a) the performance of the crypto facilitation clients and non-fungible token facilitation business, as described above, and (b) the actual closing prices of our Class A Common Stock over the relevant evaluation periods. As such, the Company may not issue all of the Additional Contingent Shares registered for resale in the registration statement of which this prospectus forms a part. This presentation is not intended to constitute an indication or prediction of whether any of the future milestones will be achieved. The foregoing description of the Purchase Agreement is qualified in its entirety by the full text of the Purchase Agreement, a copy of which is filed as an exhibit to the registration statement of which this prospectus forms a part and is incorporated herein by reference. </w:t>
      </w:r>
    </w:p>
    <w:p>
      <w:pPr>
        <w:pStyle w:val="TextBody"/>
        <w:spacing w:before="240" w:after="0"/>
        <w:jc w:val="left"/>
        <w:rPr>
          <w:rFonts w:ascii="Times New Roman" w:hAnsi="Times New Roman"/>
          <w:sz w:val="20"/>
        </w:rPr>
      </w:pPr>
      <w:r>
        <w:rPr>
          <w:rFonts w:ascii="Times New Roman" w:hAnsi="Times New Roman"/>
          <w:sz w:val="20"/>
        </w:rPr>
        <w:t xml:space="preserve">The selling stockholder may from time to time offer and sell any or all of the Class A Common Stock set forth below pursuant to this prospectus and any accompanying prospectus supplement. When we refer to the selling stockholder in this prospectus, unless the context otherwise requires, we mean the person listed in the table below, including those aggregated as part of a group, and the pledgees, distributees, donees, transferees, assignees, successors, designees and others who later come to hold any of the selling stockholders interest in the Class A Common Stock other than through a public sale. We cannot advise you as to whether the selling stockholder will in fact sell any or all of such Class A Common Stock. In addition, the selling stockholder may sell, transfer or otherwise dispose of, at any time and from time to time, the Class A Common Stock in transactions exempt from the registration requirements of the Securities Act of 1933, as amended (the Securities Act), after the date of this prospectus.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For information regarding transactions between us and the selling stockholder, please review our Current Reports on Form 8-K that we filed with the SEC on November 3, 2022 and April 3, 2023 that describe, among other things, the Stockholders Agreement, dated November 2, 2022, and the Registration Rights Agreement, dated April 1, 2023 (the Registration Rights Agreement), that we and the selling stockholder, among others, are each party to. Such descriptions are incorporated by reference herein. </w:t>
      </w:r>
    </w:p>
    <w:p>
      <w:pPr>
        <w:pStyle w:val="TextBody"/>
        <w:spacing w:before="240" w:after="0"/>
        <w:jc w:val="left"/>
        <w:rPr>
          <w:rFonts w:ascii="Times New Roman" w:hAnsi="Times New Roman"/>
          <w:sz w:val="20"/>
        </w:rPr>
      </w:pPr>
      <w:r>
        <w:rPr>
          <w:rFonts w:ascii="Times New Roman" w:hAnsi="Times New Roman"/>
          <w:sz w:val="20"/>
        </w:rPr>
        <w:t xml:space="preserve">We have determined beneficial ownership in accordance with the rules of the SEC and the information is not necessarily indicative of beneficial ownership for any other purpose. Unless otherwise indicated below, to our knowledge, the selling stockholder has sole voting and sole investment power with respect to the Class A Common Stock set forth below. </w:t>
      </w:r>
    </w:p>
    <w:p>
      <w:pPr>
        <w:pStyle w:val="TextBody"/>
        <w:spacing w:before="240" w:after="0"/>
        <w:jc w:val="left"/>
        <w:rPr>
          <w:rFonts w:ascii="Times New Roman" w:hAnsi="Times New Roman"/>
          <w:sz w:val="20"/>
        </w:rPr>
      </w:pPr>
      <w:r>
        <w:rPr>
          <w:rFonts w:ascii="Times New Roman" w:hAnsi="Times New Roman"/>
          <w:sz w:val="20"/>
        </w:rPr>
        <w:t>The selling stockholder may sell or otherwise transfer all, some or none of such shares in this offering. See </w:t>
      </w:r>
      <w:r>
        <w:rPr>
          <w:rFonts w:ascii="Times New Roman" w:hAnsi="Times New Roman"/>
          <w:i/>
          <w:sz w:val="20"/>
        </w:rPr>
        <w:t>Plan of Distribution</w:t>
      </w:r>
      <w:r>
        <w:rPr>
          <w:rFonts w:ascii="Times New Roman" w:hAnsi="Times New Roman"/>
          <w:sz w:val="20"/>
        </w:rPr>
        <w:t xml:space="preserve"> for more information. </w:t>
      </w:r>
    </w:p>
    <w:p>
      <w:pPr>
        <w:pStyle w:val="TextBody"/>
        <w:spacing w:before="240" w:after="0"/>
        <w:jc w:val="left"/>
        <w:rPr>
          <w:rFonts w:ascii="Times New Roman" w:hAnsi="Times New Roman"/>
          <w:sz w:val="20"/>
        </w:rPr>
      </w:pPr>
      <w:r>
        <w:rPr>
          <w:rFonts w:ascii="Times New Roman" w:hAnsi="Times New Roman"/>
          <w:sz w:val="20"/>
        </w:rPr>
        <w:t xml:space="preserve">The following table sets forth, as of April 14, 2023, the name of the selling stockholder, the aggregate number of shares of Class A Common Stock that the selling stockholder may offer pursuant to this prospectus, the beneficial ownership of the selling stockholder both before and after the offering, and the shares of Class A Common Stock being offered by the selling stockholder. The following table does not reflect any other securities of the Company that the selling stockholder may own, beneficially or otherwise. For purposes of this table, we have assumed that the selling stockholder will have sold all of the Resale Shares covered by this prospectus upon the completion of the offering.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1915"/>
        <w:gridCol w:w="200"/>
        <w:gridCol w:w="60"/>
        <w:gridCol w:w="1120"/>
        <w:gridCol w:w="60"/>
        <w:gridCol w:w="200"/>
        <w:gridCol w:w="153"/>
        <w:gridCol w:w="1146"/>
        <w:gridCol w:w="60"/>
        <w:gridCol w:w="200"/>
        <w:gridCol w:w="103"/>
        <w:gridCol w:w="775"/>
        <w:gridCol w:w="60"/>
        <w:gridCol w:w="200"/>
        <w:gridCol w:w="261"/>
        <w:gridCol w:w="882"/>
        <w:gridCol w:w="69"/>
        <w:gridCol w:w="219"/>
        <w:gridCol w:w="384"/>
        <w:gridCol w:w="908"/>
        <w:gridCol w:w="70"/>
        <w:gridCol w:w="219"/>
        <w:gridCol w:w="262"/>
        <w:gridCol w:w="610"/>
        <w:gridCol w:w="69"/>
      </w:tblGrid>
      <w:tr>
        <w:trPr/>
        <w:tc>
          <w:tcPr>
            <w:tcW w:w="1915"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bottom"/>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146"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bottom"/>
          </w:tcPr>
          <w:p>
            <w:pPr>
              <w:pStyle w:val="TableContents"/>
              <w:spacing w:before="0" w:after="283"/>
              <w:rPr>
                <w:sz w:val="4"/>
                <w:szCs w:val="4"/>
              </w:rPr>
            </w:pPr>
            <w:r>
              <w:rPr>
                <w:sz w:val="4"/>
                <w:szCs w:val="4"/>
              </w:rPr>
            </w:r>
          </w:p>
        </w:tc>
        <w:tc>
          <w:tcPr>
            <w:tcW w:w="103" w:type="dxa"/>
            <w:tcBorders/>
            <w:shd w:fill="auto" w:val="clear"/>
            <w:vAlign w:val="center"/>
          </w:tcPr>
          <w:p>
            <w:pPr>
              <w:pStyle w:val="TableContents"/>
              <w:spacing w:before="0" w:after="283"/>
              <w:rPr>
                <w:sz w:val="4"/>
                <w:szCs w:val="4"/>
              </w:rPr>
            </w:pPr>
            <w:r>
              <w:rPr>
                <w:sz w:val="4"/>
                <w:szCs w:val="4"/>
              </w:rPr>
            </w:r>
          </w:p>
        </w:tc>
        <w:tc>
          <w:tcPr>
            <w:tcW w:w="7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bottom"/>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882" w:type="dxa"/>
            <w:tcBorders/>
            <w:shd w:fill="auto" w:val="clear"/>
            <w:vAlign w:val="center"/>
          </w:tcPr>
          <w:p>
            <w:pPr>
              <w:pStyle w:val="TableContents"/>
              <w:spacing w:before="0" w:after="283"/>
              <w:rPr>
                <w:sz w:val="4"/>
                <w:szCs w:val="4"/>
              </w:rPr>
            </w:pPr>
            <w:r>
              <w:rPr>
                <w:sz w:val="4"/>
                <w:szCs w:val="4"/>
              </w:rPr>
            </w:r>
          </w:p>
        </w:tc>
        <w:tc>
          <w:tcPr>
            <w:tcW w:w="69"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bottom"/>
          </w:tcPr>
          <w:p>
            <w:pPr>
              <w:pStyle w:val="TableContents"/>
              <w:spacing w:before="0" w:after="283"/>
              <w:rPr>
                <w:sz w:val="4"/>
                <w:szCs w:val="4"/>
              </w:rPr>
            </w:pPr>
            <w:r>
              <w:rPr>
                <w:sz w:val="4"/>
                <w:szCs w:val="4"/>
              </w:rPr>
            </w:r>
          </w:p>
        </w:tc>
        <w:tc>
          <w:tcPr>
            <w:tcW w:w="384" w:type="dxa"/>
            <w:tcBorders/>
            <w:shd w:fill="auto" w:val="clear"/>
            <w:vAlign w:val="center"/>
          </w:tcPr>
          <w:p>
            <w:pPr>
              <w:pStyle w:val="TableContents"/>
              <w:spacing w:before="0" w:after="283"/>
              <w:rPr>
                <w:sz w:val="4"/>
                <w:szCs w:val="4"/>
              </w:rPr>
            </w:pPr>
            <w:r>
              <w:rPr>
                <w:sz w:val="4"/>
                <w:szCs w:val="4"/>
              </w:rPr>
            </w:r>
          </w:p>
        </w:tc>
        <w:tc>
          <w:tcPr>
            <w:tcW w:w="908" w:type="dxa"/>
            <w:tcBorders/>
            <w:shd w:fill="auto" w:val="clear"/>
            <w:vAlign w:val="center"/>
          </w:tcPr>
          <w:p>
            <w:pPr>
              <w:pStyle w:val="TableContents"/>
              <w:spacing w:before="0" w:after="283"/>
              <w:rPr>
                <w:sz w:val="4"/>
                <w:szCs w:val="4"/>
              </w:rPr>
            </w:pPr>
            <w:r>
              <w:rPr>
                <w:sz w:val="4"/>
                <w:szCs w:val="4"/>
              </w:rPr>
            </w:r>
          </w:p>
        </w:tc>
        <w:tc>
          <w:tcPr>
            <w:tcW w:w="70"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bottom"/>
          </w:tcPr>
          <w:p>
            <w:pPr>
              <w:pStyle w:val="TableContents"/>
              <w:spacing w:before="0" w:after="283"/>
              <w:rPr>
                <w:sz w:val="4"/>
                <w:szCs w:val="4"/>
              </w:rPr>
            </w:pPr>
            <w:r>
              <w:rPr>
                <w:sz w:val="4"/>
                <w:szCs w:val="4"/>
              </w:rPr>
            </w:r>
          </w:p>
        </w:tc>
        <w:tc>
          <w:tcPr>
            <w:tcW w:w="262" w:type="dxa"/>
            <w:tcBorders/>
            <w:shd w:fill="auto" w:val="clear"/>
            <w:vAlign w:val="center"/>
          </w:tcPr>
          <w:p>
            <w:pPr>
              <w:pStyle w:val="TableContents"/>
              <w:spacing w:before="0" w:after="283"/>
              <w:rPr>
                <w:sz w:val="4"/>
                <w:szCs w:val="4"/>
              </w:rPr>
            </w:pPr>
            <w:r>
              <w:rPr>
                <w:sz w:val="4"/>
                <w:szCs w:val="4"/>
              </w:rPr>
            </w:r>
          </w:p>
        </w:tc>
        <w:tc>
          <w:tcPr>
            <w:tcW w:w="610" w:type="dxa"/>
            <w:tcBorders/>
            <w:shd w:fill="auto" w:val="clear"/>
            <w:vAlign w:val="center"/>
          </w:tcPr>
          <w:p>
            <w:pPr>
              <w:pStyle w:val="TableContents"/>
              <w:spacing w:before="0" w:after="283"/>
              <w:rPr>
                <w:sz w:val="4"/>
                <w:szCs w:val="4"/>
              </w:rPr>
            </w:pPr>
            <w:r>
              <w:rPr>
                <w:sz w:val="4"/>
                <w:szCs w:val="4"/>
              </w:rPr>
            </w:r>
          </w:p>
        </w:tc>
        <w:tc>
          <w:tcPr>
            <w:tcW w:w="69" w:type="dxa"/>
            <w:tcBorders/>
            <w:shd w:fill="auto" w:val="clear"/>
            <w:vAlign w:val="center"/>
          </w:tcPr>
          <w:p>
            <w:pPr>
              <w:pStyle w:val="TableContents"/>
              <w:spacing w:before="0" w:after="283"/>
              <w:rPr>
                <w:sz w:val="4"/>
                <w:szCs w:val="4"/>
              </w:rPr>
            </w:pPr>
            <w:r>
              <w:rPr>
                <w:sz w:val="4"/>
                <w:szCs w:val="4"/>
              </w:rPr>
            </w:r>
          </w:p>
        </w:tc>
      </w:tr>
      <w:tr>
        <w:trPr/>
        <w:tc>
          <w:tcPr>
            <w:tcW w:w="1915"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3877" w:type="dxa"/>
            <w:gridSpan w:val="10"/>
            <w:tcBorders>
              <w:bottom w:val="single" w:sz="8" w:space="0" w:color="000000"/>
            </w:tcBorders>
            <w:shd w:fill="auto" w:val="clear"/>
            <w:tcMar>
              <w:bottom w:w="28" w:type="dxa"/>
            </w:tcMar>
            <w:vAlign w:val="bottom"/>
          </w:tcPr>
          <w:p>
            <w:pPr>
              <w:pStyle w:val="TableContents"/>
              <w:spacing w:before="0" w:after="283"/>
              <w:jc w:val="center"/>
              <w:rPr>
                <w:b/>
              </w:rPr>
            </w:pPr>
            <w:r>
              <w:rPr>
                <w:b/>
              </w:rPr>
              <w:t>Shares Beneficially Owned</w:t>
              <w:br/>
              <w:t>Prior to the Offering(1)</w:t>
            </w:r>
          </w:p>
        </w:tc>
        <w:tc>
          <w:tcPr>
            <w:tcW w:w="60"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3884" w:type="dxa"/>
            <w:gridSpan w:val="10"/>
            <w:tcBorders>
              <w:bottom w:val="single" w:sz="8" w:space="0" w:color="000000"/>
            </w:tcBorders>
            <w:shd w:fill="auto" w:val="clear"/>
            <w:tcMar>
              <w:bottom w:w="28" w:type="dxa"/>
            </w:tcMar>
            <w:vAlign w:val="bottom"/>
          </w:tcPr>
          <w:p>
            <w:pPr>
              <w:pStyle w:val="TableContents"/>
              <w:spacing w:before="0" w:after="283"/>
              <w:jc w:val="center"/>
              <w:rPr>
                <w:b/>
              </w:rPr>
            </w:pPr>
            <w:r>
              <w:rPr>
                <w:b/>
              </w:rPr>
              <w:t>Shares Beneficially Owned</w:t>
              <w:br/>
              <w:t>After the Offering(1)</w:t>
            </w:r>
          </w:p>
        </w:tc>
        <w:tc>
          <w:tcPr>
            <w:tcW w:w="69" w:type="dxa"/>
            <w:tcBorders/>
            <w:shd w:fill="auto" w:val="clear"/>
            <w:vAlign w:val="bottom"/>
          </w:tcPr>
          <w:p>
            <w:pPr>
              <w:pStyle w:val="TableContents"/>
              <w:spacing w:before="0" w:after="283"/>
              <w:rPr/>
            </w:pPr>
            <w:r>
              <w:rPr/>
              <w:t> </w:t>
            </w:r>
          </w:p>
        </w:tc>
      </w:tr>
      <w:tr>
        <w:trPr/>
        <w:tc>
          <w:tcPr>
            <w:tcW w:w="1915" w:type="dxa"/>
            <w:tcBorders/>
            <w:shd w:fill="auto" w:val="clear"/>
            <w:vAlign w:val="bottom"/>
          </w:tcPr>
          <w:p>
            <w:pPr>
              <w:pStyle w:val="TableContents"/>
              <w:spacing w:before="0" w:after="283"/>
              <w:rPr>
                <w:b/>
              </w:rPr>
            </w:pPr>
            <w:r>
              <w:rPr>
                <w:b/>
              </w:rPr>
              <w:t>Name of Selling Stockholder</w:t>
            </w:r>
          </w:p>
        </w:tc>
        <w:tc>
          <w:tcPr>
            <w:tcW w:w="200" w:type="dxa"/>
            <w:tcBorders/>
            <w:shd w:fill="auto" w:val="clear"/>
            <w:vAlign w:val="bottom"/>
          </w:tcPr>
          <w:p>
            <w:pPr>
              <w:pStyle w:val="TableContents"/>
              <w:spacing w:before="0" w:after="283"/>
              <w:rPr/>
            </w:pPr>
            <w:r>
              <w:rPr/>
              <w:t>  </w:t>
            </w:r>
          </w:p>
        </w:tc>
        <w:tc>
          <w:tcPr>
            <w:tcW w:w="118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Number of</w:t>
              <w:br/>
              <w:t>Shares of</w:t>
              <w:br/>
              <w:t>Class A</w:t>
              <w:br/>
              <w:t>Common</w:t>
              <w:br/>
              <w:t>Stock</w:t>
            </w:r>
          </w:p>
        </w:tc>
        <w:tc>
          <w:tcPr>
            <w:tcW w:w="60"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1299"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w:t>
              <w:br/>
              <w:t>Outstanding</w:t>
              <w:br/>
              <w:t>of Class A</w:t>
              <w:br/>
              <w:t>Common</w:t>
              <w:br/>
              <w:t>Stock(2)</w:t>
            </w:r>
          </w:p>
        </w:tc>
        <w:tc>
          <w:tcPr>
            <w:tcW w:w="60"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878"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 Total</w:t>
              <w:br/>
              <w:t>Voting</w:t>
              <w:br/>
              <w:t>Power(2)</w:t>
            </w:r>
          </w:p>
        </w:tc>
        <w:tc>
          <w:tcPr>
            <w:tcW w:w="60"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1143"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Number of</w:t>
              <w:br/>
              <w:t>Shares of</w:t>
              <w:br/>
              <w:t>Class A</w:t>
              <w:br/>
              <w:t>Common</w:t>
              <w:br/>
              <w:t>Stock</w:t>
            </w:r>
          </w:p>
        </w:tc>
        <w:tc>
          <w:tcPr>
            <w:tcW w:w="69" w:type="dxa"/>
            <w:tcBorders/>
            <w:shd w:fill="auto" w:val="clear"/>
            <w:vAlign w:val="bottom"/>
          </w:tcPr>
          <w:p>
            <w:pPr>
              <w:pStyle w:val="TableContents"/>
              <w:spacing w:before="0" w:after="283"/>
              <w:rPr/>
            </w:pPr>
            <w:r>
              <w:rPr/>
              <w:t> </w:t>
            </w:r>
          </w:p>
        </w:tc>
        <w:tc>
          <w:tcPr>
            <w:tcW w:w="219" w:type="dxa"/>
            <w:tcBorders/>
            <w:shd w:fill="auto" w:val="clear"/>
            <w:vAlign w:val="bottom"/>
          </w:tcPr>
          <w:p>
            <w:pPr>
              <w:pStyle w:val="TableContents"/>
              <w:spacing w:before="0" w:after="283"/>
              <w:rPr/>
            </w:pPr>
            <w:r>
              <w:rPr/>
              <w:t>  </w:t>
            </w:r>
          </w:p>
        </w:tc>
        <w:tc>
          <w:tcPr>
            <w:tcW w:w="1292"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w:t>
              <w:br/>
              <w:t>Outstanding</w:t>
              <w:br/>
              <w:t>of Class A</w:t>
              <w:br/>
              <w:t>Common</w:t>
              <w:br/>
              <w:t>Stock(2)</w:t>
            </w:r>
          </w:p>
        </w:tc>
        <w:tc>
          <w:tcPr>
            <w:tcW w:w="70" w:type="dxa"/>
            <w:tcBorders/>
            <w:shd w:fill="auto" w:val="clear"/>
            <w:vAlign w:val="bottom"/>
          </w:tcPr>
          <w:p>
            <w:pPr>
              <w:pStyle w:val="TableContents"/>
              <w:spacing w:before="0" w:after="283"/>
              <w:rPr/>
            </w:pPr>
            <w:r>
              <w:rPr/>
              <w:t> </w:t>
            </w:r>
          </w:p>
        </w:tc>
        <w:tc>
          <w:tcPr>
            <w:tcW w:w="219" w:type="dxa"/>
            <w:tcBorders/>
            <w:shd w:fill="auto" w:val="clear"/>
            <w:vAlign w:val="bottom"/>
          </w:tcPr>
          <w:p>
            <w:pPr>
              <w:pStyle w:val="TableContents"/>
              <w:spacing w:before="0" w:after="283"/>
              <w:rPr/>
            </w:pPr>
            <w:r>
              <w:rPr/>
              <w:t>  </w:t>
            </w:r>
          </w:p>
        </w:tc>
        <w:tc>
          <w:tcPr>
            <w:tcW w:w="872"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 Total</w:t>
              <w:br/>
              <w:t>Voting</w:t>
              <w:br/>
              <w:t>Power(2)</w:t>
            </w:r>
          </w:p>
        </w:tc>
        <w:tc>
          <w:tcPr>
            <w:tcW w:w="69" w:type="dxa"/>
            <w:tcBorders/>
            <w:shd w:fill="auto" w:val="clear"/>
            <w:vAlign w:val="bottom"/>
          </w:tcPr>
          <w:p>
            <w:pPr>
              <w:pStyle w:val="TableContents"/>
              <w:spacing w:before="0" w:after="283"/>
              <w:rPr/>
            </w:pPr>
            <w:r>
              <w:rPr/>
              <w:t> </w:t>
            </w:r>
          </w:p>
        </w:tc>
      </w:tr>
      <w:tr>
        <w:trPr/>
        <w:tc>
          <w:tcPr>
            <w:tcW w:w="1915" w:type="dxa"/>
            <w:tcBorders/>
            <w:shd w:fill="CCEEFF" w:val="clear"/>
          </w:tcPr>
          <w:p>
            <w:pPr>
              <w:pStyle w:val="TableContents"/>
              <w:spacing w:before="0" w:after="0"/>
              <w:rPr>
                <w:rFonts w:ascii="Times New Roman" w:hAnsi="Times New Roman"/>
                <w:sz w:val="20"/>
              </w:rPr>
            </w:pPr>
            <w:r>
              <w:rPr>
                <w:rFonts w:ascii="Times New Roman" w:hAnsi="Times New Roman"/>
                <w:sz w:val="20"/>
              </w:rPr>
              <w:t>Apex Fintech Solutions Inc.(3)</w:t>
            </w:r>
          </w:p>
        </w:tc>
        <w:tc>
          <w:tcPr>
            <w:tcW w:w="20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20" w:type="dxa"/>
            <w:tcBorders/>
            <w:shd w:fill="CCEEFF" w:val="clear"/>
            <w:vAlign w:val="bottom"/>
          </w:tcPr>
          <w:p>
            <w:pPr>
              <w:pStyle w:val="TableContents"/>
              <w:spacing w:before="0" w:after="283"/>
              <w:jc w:val="right"/>
              <w:rPr/>
            </w:pPr>
            <w:r>
              <w:rPr/>
              <w:t>52,543,012</w:t>
            </w:r>
          </w:p>
        </w:tc>
        <w:tc>
          <w:tcPr>
            <w:tcW w:w="60" w:type="dxa"/>
            <w:tcBorders/>
            <w:shd w:fill="CCEEFF" w:val="clear"/>
            <w:vAlign w:val="bottom"/>
          </w:tcPr>
          <w:p>
            <w:pPr>
              <w:pStyle w:val="TableContents"/>
              <w:spacing w:before="0" w:after="283"/>
              <w:rPr/>
            </w:pPr>
            <w:r>
              <w:rPr/>
              <w:t> </w:t>
            </w:r>
          </w:p>
        </w:tc>
        <w:tc>
          <w:tcPr>
            <w:tcW w:w="200"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1146" w:type="dxa"/>
            <w:tcBorders/>
            <w:shd w:fill="CCEEFF" w:val="clear"/>
            <w:vAlign w:val="bottom"/>
          </w:tcPr>
          <w:p>
            <w:pPr>
              <w:pStyle w:val="TableContents"/>
              <w:spacing w:before="0" w:after="283"/>
              <w:jc w:val="right"/>
              <w:rPr/>
            </w:pPr>
            <w:r>
              <w:rPr/>
              <w:t>63.6</w:t>
            </w:r>
          </w:p>
        </w:tc>
        <w:tc>
          <w:tcPr>
            <w:tcW w:w="60" w:type="dxa"/>
            <w:tcBorders/>
            <w:shd w:fill="CCEEFF" w:val="clear"/>
            <w:vAlign w:val="bottom"/>
          </w:tcPr>
          <w:p>
            <w:pPr>
              <w:pStyle w:val="TableContents"/>
              <w:spacing w:before="0" w:after="283"/>
              <w:rPr/>
            </w:pPr>
            <w:r>
              <w:rPr/>
              <w:t> </w:t>
            </w:r>
          </w:p>
        </w:tc>
        <w:tc>
          <w:tcPr>
            <w:tcW w:w="200"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775" w:type="dxa"/>
            <w:tcBorders/>
            <w:shd w:fill="CCEEFF" w:val="clear"/>
            <w:vAlign w:val="bottom"/>
          </w:tcPr>
          <w:p>
            <w:pPr>
              <w:pStyle w:val="TableContents"/>
              <w:spacing w:before="0" w:after="283"/>
              <w:jc w:val="right"/>
              <w:rPr/>
            </w:pPr>
            <w:r>
              <w:rPr/>
              <w:t>19.8</w:t>
            </w:r>
          </w:p>
        </w:tc>
        <w:tc>
          <w:tcPr>
            <w:tcW w:w="60" w:type="dxa"/>
            <w:tcBorders/>
            <w:shd w:fill="CCEEFF" w:val="clear"/>
            <w:vAlign w:val="bottom"/>
          </w:tcPr>
          <w:p>
            <w:pPr>
              <w:pStyle w:val="TableContents"/>
              <w:spacing w:before="0" w:after="283"/>
              <w:rPr/>
            </w:pPr>
            <w:r>
              <w:rPr/>
              <w:t> </w:t>
            </w:r>
          </w:p>
        </w:tc>
        <w:tc>
          <w:tcPr>
            <w:tcW w:w="200" w:type="dxa"/>
            <w:tcBorders/>
            <w:shd w:fill="CCEEFF" w:val="clear"/>
            <w:vAlign w:val="bottom"/>
          </w:tcPr>
          <w:p>
            <w:pPr>
              <w:pStyle w:val="TableContents"/>
              <w:spacing w:before="0" w:after="283"/>
              <w:rPr/>
            </w:pPr>
            <w:r>
              <w:rPr/>
              <w:t>  </w:t>
            </w:r>
          </w:p>
        </w:tc>
        <w:tc>
          <w:tcPr>
            <w:tcW w:w="261" w:type="dxa"/>
            <w:tcBorders/>
            <w:shd w:fill="CCEEFF" w:val="clear"/>
            <w:vAlign w:val="bottom"/>
          </w:tcPr>
          <w:p>
            <w:pPr>
              <w:pStyle w:val="TableContents"/>
              <w:spacing w:before="0" w:after="283"/>
              <w:rPr/>
            </w:pPr>
            <w:r>
              <w:rPr/>
              <w:t> </w:t>
            </w:r>
          </w:p>
        </w:tc>
        <w:tc>
          <w:tcPr>
            <w:tcW w:w="882" w:type="dxa"/>
            <w:tcBorders/>
            <w:shd w:fill="CCEEFF" w:val="clear"/>
            <w:vAlign w:val="bottom"/>
          </w:tcPr>
          <w:p>
            <w:pPr>
              <w:pStyle w:val="TableContents"/>
              <w:spacing w:before="0" w:after="283"/>
              <w:jc w:val="right"/>
              <w:rPr/>
            </w:pPr>
            <w:r>
              <w:rPr/>
              <w:t></w:t>
            </w:r>
          </w:p>
        </w:tc>
        <w:tc>
          <w:tcPr>
            <w:tcW w:w="69" w:type="dxa"/>
            <w:tcBorders/>
            <w:shd w:fill="CCEEFF" w:val="clear"/>
            <w:vAlign w:val="bottom"/>
          </w:tcPr>
          <w:p>
            <w:pPr>
              <w:pStyle w:val="TableContents"/>
              <w:spacing w:before="0" w:after="283"/>
              <w:rPr/>
            </w:pPr>
            <w:r>
              <w:rPr/>
              <w:t> </w:t>
            </w:r>
          </w:p>
        </w:tc>
        <w:tc>
          <w:tcPr>
            <w:tcW w:w="219" w:type="dxa"/>
            <w:tcBorders/>
            <w:shd w:fill="CCEEFF" w:val="clear"/>
            <w:vAlign w:val="bottom"/>
          </w:tcPr>
          <w:p>
            <w:pPr>
              <w:pStyle w:val="TableContents"/>
              <w:spacing w:before="0" w:after="283"/>
              <w:rPr/>
            </w:pPr>
            <w:r>
              <w:rPr/>
              <w:t>  </w:t>
            </w:r>
          </w:p>
        </w:tc>
        <w:tc>
          <w:tcPr>
            <w:tcW w:w="384" w:type="dxa"/>
            <w:tcBorders/>
            <w:shd w:fill="CCEEFF" w:val="clear"/>
            <w:vAlign w:val="bottom"/>
          </w:tcPr>
          <w:p>
            <w:pPr>
              <w:pStyle w:val="TableContents"/>
              <w:spacing w:before="0" w:after="283"/>
              <w:rPr/>
            </w:pPr>
            <w:r>
              <w:rPr/>
              <w:t> </w:t>
            </w:r>
          </w:p>
        </w:tc>
        <w:tc>
          <w:tcPr>
            <w:tcW w:w="908" w:type="dxa"/>
            <w:tcBorders/>
            <w:shd w:fill="CCEEFF" w:val="clear"/>
            <w:vAlign w:val="bottom"/>
          </w:tcPr>
          <w:p>
            <w:pPr>
              <w:pStyle w:val="TableContents"/>
              <w:spacing w:before="0" w:after="283"/>
              <w:jc w:val="right"/>
              <w:rPr/>
            </w:pPr>
            <w:r>
              <w:rPr/>
              <w:t>*</w:t>
            </w:r>
          </w:p>
        </w:tc>
        <w:tc>
          <w:tcPr>
            <w:tcW w:w="70" w:type="dxa"/>
            <w:tcBorders/>
            <w:shd w:fill="CCEEFF" w:val="clear"/>
            <w:vAlign w:val="bottom"/>
          </w:tcPr>
          <w:p>
            <w:pPr>
              <w:pStyle w:val="TableContents"/>
              <w:spacing w:before="0" w:after="283"/>
              <w:rPr/>
            </w:pPr>
            <w:r>
              <w:rPr/>
              <w:t> </w:t>
            </w:r>
          </w:p>
        </w:tc>
        <w:tc>
          <w:tcPr>
            <w:tcW w:w="219" w:type="dxa"/>
            <w:tcBorders/>
            <w:shd w:fill="CCEEFF" w:val="clear"/>
            <w:vAlign w:val="bottom"/>
          </w:tcPr>
          <w:p>
            <w:pPr>
              <w:pStyle w:val="TableContents"/>
              <w:spacing w:before="0" w:after="283"/>
              <w:rPr/>
            </w:pPr>
            <w:r>
              <w:rPr/>
              <w:t>  </w:t>
            </w:r>
          </w:p>
        </w:tc>
        <w:tc>
          <w:tcPr>
            <w:tcW w:w="262" w:type="dxa"/>
            <w:tcBorders/>
            <w:shd w:fill="CCEEFF" w:val="clear"/>
            <w:vAlign w:val="bottom"/>
          </w:tcPr>
          <w:p>
            <w:pPr>
              <w:pStyle w:val="TableContents"/>
              <w:spacing w:before="0" w:after="283"/>
              <w:rPr/>
            </w:pPr>
            <w:r>
              <w:rPr/>
              <w:t> </w:t>
            </w:r>
          </w:p>
        </w:tc>
        <w:tc>
          <w:tcPr>
            <w:tcW w:w="610" w:type="dxa"/>
            <w:tcBorders/>
            <w:shd w:fill="CCEEFF" w:val="clear"/>
            <w:vAlign w:val="bottom"/>
          </w:tcPr>
          <w:p>
            <w:pPr>
              <w:pStyle w:val="TableContents"/>
              <w:spacing w:before="0" w:after="283"/>
              <w:jc w:val="right"/>
              <w:rPr/>
            </w:pPr>
            <w:r>
              <w:rPr/>
              <w:t>*</w:t>
            </w:r>
          </w:p>
        </w:tc>
        <w:tc>
          <w:tcPr>
            <w:tcW w:w="69" w:type="dxa"/>
            <w:tcBorders/>
            <w:shd w:fill="CCEEFF" w:val="clear"/>
            <w:vAlign w:val="bottom"/>
          </w:tcPr>
          <w:p>
            <w:pPr>
              <w:pStyle w:val="TableContents"/>
              <w:spacing w:before="0" w:after="283"/>
              <w:rPr/>
            </w:pPr>
            <w:r>
              <w:rPr/>
              <w:t> </w:t>
            </w:r>
          </w:p>
        </w:tc>
      </w:tr>
      <w:tr>
        <w:trPr/>
        <w:tc>
          <w:tcPr>
            <w:tcW w:w="1915" w:type="dxa"/>
            <w:tcBorders/>
            <w:shd w:fill="auto" w:val="clear"/>
          </w:tcPr>
          <w:p>
            <w:pPr>
              <w:pStyle w:val="TableContents"/>
              <w:spacing w:before="0" w:after="0"/>
              <w:rPr>
                <w:rFonts w:ascii="Times New Roman" w:hAnsi="Times New Roman"/>
                <w:b/>
                <w:sz w:val="20"/>
              </w:rPr>
            </w:pPr>
            <w:r>
              <w:rPr>
                <w:rFonts w:ascii="Times New Roman" w:hAnsi="Times New Roman"/>
                <w:b/>
                <w:sz w:val="20"/>
              </w:rPr>
              <w:t>Total</w:t>
            </w:r>
          </w:p>
        </w:tc>
        <w:tc>
          <w:tcPr>
            <w:tcW w:w="20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20" w:type="dxa"/>
            <w:tcBorders/>
            <w:shd w:fill="auto" w:val="clear"/>
            <w:vAlign w:val="bottom"/>
          </w:tcPr>
          <w:p>
            <w:pPr>
              <w:pStyle w:val="TableContents"/>
              <w:spacing w:before="0" w:after="283"/>
              <w:jc w:val="right"/>
              <w:rPr/>
            </w:pPr>
            <w:r>
              <w:rPr/>
              <w:t>52,543,012</w:t>
            </w:r>
          </w:p>
        </w:tc>
        <w:tc>
          <w:tcPr>
            <w:tcW w:w="60"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1146" w:type="dxa"/>
            <w:tcBorders/>
            <w:shd w:fill="auto" w:val="clear"/>
            <w:vAlign w:val="bottom"/>
          </w:tcPr>
          <w:p>
            <w:pPr>
              <w:pStyle w:val="TableContents"/>
              <w:spacing w:before="0" w:after="283"/>
              <w:jc w:val="right"/>
              <w:rPr/>
            </w:pPr>
            <w:r>
              <w:rPr/>
              <w:t>63.6</w:t>
            </w:r>
          </w:p>
        </w:tc>
        <w:tc>
          <w:tcPr>
            <w:tcW w:w="60"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775" w:type="dxa"/>
            <w:tcBorders/>
            <w:shd w:fill="auto" w:val="clear"/>
            <w:vAlign w:val="bottom"/>
          </w:tcPr>
          <w:p>
            <w:pPr>
              <w:pStyle w:val="TableContents"/>
              <w:spacing w:before="0" w:after="283"/>
              <w:jc w:val="right"/>
              <w:rPr/>
            </w:pPr>
            <w:r>
              <w:rPr/>
              <w:t>19.8</w:t>
            </w:r>
          </w:p>
        </w:tc>
        <w:tc>
          <w:tcPr>
            <w:tcW w:w="60"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261" w:type="dxa"/>
            <w:tcBorders/>
            <w:shd w:fill="auto" w:val="clear"/>
            <w:vAlign w:val="bottom"/>
          </w:tcPr>
          <w:p>
            <w:pPr>
              <w:pStyle w:val="TableContents"/>
              <w:spacing w:before="0" w:after="283"/>
              <w:rPr/>
            </w:pPr>
            <w:r>
              <w:rPr/>
              <w:t> </w:t>
            </w:r>
          </w:p>
        </w:tc>
        <w:tc>
          <w:tcPr>
            <w:tcW w:w="882" w:type="dxa"/>
            <w:tcBorders/>
            <w:shd w:fill="auto" w:val="clear"/>
            <w:vAlign w:val="bottom"/>
          </w:tcPr>
          <w:p>
            <w:pPr>
              <w:pStyle w:val="TableContents"/>
              <w:spacing w:before="0" w:after="283"/>
              <w:jc w:val="right"/>
              <w:rPr/>
            </w:pPr>
            <w:r>
              <w:rPr/>
              <w:t></w:t>
            </w:r>
          </w:p>
        </w:tc>
        <w:tc>
          <w:tcPr>
            <w:tcW w:w="69" w:type="dxa"/>
            <w:tcBorders/>
            <w:shd w:fill="auto" w:val="clear"/>
            <w:vAlign w:val="bottom"/>
          </w:tcPr>
          <w:p>
            <w:pPr>
              <w:pStyle w:val="TableContents"/>
              <w:spacing w:before="0" w:after="283"/>
              <w:rPr/>
            </w:pPr>
            <w:r>
              <w:rPr/>
              <w:t> </w:t>
            </w:r>
          </w:p>
        </w:tc>
        <w:tc>
          <w:tcPr>
            <w:tcW w:w="219" w:type="dxa"/>
            <w:tcBorders/>
            <w:shd w:fill="auto" w:val="clear"/>
            <w:vAlign w:val="bottom"/>
          </w:tcPr>
          <w:p>
            <w:pPr>
              <w:pStyle w:val="TableContents"/>
              <w:spacing w:before="0" w:after="283"/>
              <w:rPr/>
            </w:pPr>
            <w:r>
              <w:rPr/>
              <w:t>  </w:t>
            </w:r>
          </w:p>
        </w:tc>
        <w:tc>
          <w:tcPr>
            <w:tcW w:w="384" w:type="dxa"/>
            <w:tcBorders/>
            <w:shd w:fill="auto" w:val="clear"/>
            <w:vAlign w:val="bottom"/>
          </w:tcPr>
          <w:p>
            <w:pPr>
              <w:pStyle w:val="TableContents"/>
              <w:spacing w:before="0" w:after="283"/>
              <w:rPr/>
            </w:pPr>
            <w:r>
              <w:rPr/>
              <w:t> </w:t>
            </w:r>
          </w:p>
        </w:tc>
        <w:tc>
          <w:tcPr>
            <w:tcW w:w="908" w:type="dxa"/>
            <w:tcBorders/>
            <w:shd w:fill="auto" w:val="clear"/>
            <w:vAlign w:val="bottom"/>
          </w:tcPr>
          <w:p>
            <w:pPr>
              <w:pStyle w:val="TableContents"/>
              <w:spacing w:before="0" w:after="283"/>
              <w:jc w:val="right"/>
              <w:rPr/>
            </w:pPr>
            <w:r>
              <w:rPr/>
              <w:t>*</w:t>
            </w:r>
          </w:p>
        </w:tc>
        <w:tc>
          <w:tcPr>
            <w:tcW w:w="70" w:type="dxa"/>
            <w:tcBorders/>
            <w:shd w:fill="auto" w:val="clear"/>
            <w:vAlign w:val="bottom"/>
          </w:tcPr>
          <w:p>
            <w:pPr>
              <w:pStyle w:val="TableContents"/>
              <w:spacing w:before="0" w:after="283"/>
              <w:rPr/>
            </w:pPr>
            <w:r>
              <w:rPr/>
              <w:t> </w:t>
            </w:r>
          </w:p>
        </w:tc>
        <w:tc>
          <w:tcPr>
            <w:tcW w:w="219" w:type="dxa"/>
            <w:tcBorders/>
            <w:shd w:fill="auto" w:val="clear"/>
            <w:vAlign w:val="bottom"/>
          </w:tcPr>
          <w:p>
            <w:pPr>
              <w:pStyle w:val="TableContents"/>
              <w:spacing w:before="0" w:after="283"/>
              <w:rPr/>
            </w:pPr>
            <w:r>
              <w:rPr/>
              <w:t>  </w:t>
            </w:r>
          </w:p>
        </w:tc>
        <w:tc>
          <w:tcPr>
            <w:tcW w:w="262" w:type="dxa"/>
            <w:tcBorders/>
            <w:shd w:fill="auto" w:val="clear"/>
            <w:vAlign w:val="bottom"/>
          </w:tcPr>
          <w:p>
            <w:pPr>
              <w:pStyle w:val="TableContents"/>
              <w:spacing w:before="0" w:after="283"/>
              <w:rPr/>
            </w:pPr>
            <w:r>
              <w:rPr/>
              <w:t> </w:t>
            </w:r>
          </w:p>
        </w:tc>
        <w:tc>
          <w:tcPr>
            <w:tcW w:w="610" w:type="dxa"/>
            <w:tcBorders/>
            <w:shd w:fill="auto" w:val="clear"/>
            <w:vAlign w:val="bottom"/>
          </w:tcPr>
          <w:p>
            <w:pPr>
              <w:pStyle w:val="TableContents"/>
              <w:spacing w:before="0" w:after="283"/>
              <w:jc w:val="right"/>
              <w:rPr/>
            </w:pPr>
            <w:r>
              <w:rPr/>
              <w:t>*</w:t>
            </w:r>
          </w:p>
        </w:tc>
        <w:tc>
          <w:tcPr>
            <w:tcW w:w="69" w:type="dxa"/>
            <w:tcBorders/>
            <w:shd w:fill="auto" w:val="clear"/>
            <w:vAlign w:val="bottom"/>
          </w:tcPr>
          <w:p>
            <w:pPr>
              <w:pStyle w:val="TableContents"/>
              <w:spacing w:before="0" w:after="283"/>
              <w:rPr/>
            </w:pPr>
            <w:r>
              <w:rPr/>
              <w: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Represents beneficial ownership of less than 1%. </w:t>
            </w:r>
          </w:p>
        </w:tc>
      </w:tr>
    </w:tbl>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(1)</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We have calculated the maximum number of Resale Shares that could potentially become saleable by the selling stockholder pursuant to this prospectus, assuming the selling stockholder receives the maximum number of shares of Class A Common Stock issuable to the selling stockholder under the Purchase Agreement. While the actual number of shares issued to the selling stockholder as earnout payments could be materially less, we have assumed that all of the Resale Shares issued or issuable to the selling stockholder covered by this prospectus will be sold and that the selling stockholder will not acquire any additional shares of common stock before the completion of this offering. </w:t>
            </w:r>
          </w:p>
        </w:tc>
      </w:tr>
    </w:tbl>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(2)</w:t>
            </w:r>
          </w:p>
        </w:tc>
        <w:tc>
          <w:tcPr>
            <w:tcW w:w="979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Calculated based on 82,624,773 shares of our Class A Common Stock and 183,279,887 shares of Class V Common Stock outstanding as of April 14, 2023. Apex Fintech Solutions Inc. does not own any shares of Class V Common Stock as of April 14, 2023. </w:t>
            </w:r>
          </w:p>
        </w:tc>
      </w:tr>
    </w:tbl>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(3)</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selling stockholder is an affiliate of Apex Clearing Corporation, CODA Markets Inc., Electronic Transaction Clearing, Inc., PEAK6 Capital Management LLC, PEAK6 Trading LLC and HarcastleTrading USA L.L.C., each of which is a registered broker-dealer, but the selling stockholder is not itself a broker-dealer. The selling stockholder received or will receive the securities identified in the table as beneficially owned by it in the ordinary course of business pursuant to the Purchase Agreement and, at the time of entering into the Purchase Agreement, had no agreements or understandings, directly or indirectly, with any person to distribute those securities.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11" w:name="tx485936_9"/>
      <w:bookmarkEnd w:id="11"/>
      <w:r>
        <w:rPr>
          <w:rFonts w:ascii="Times New Roman" w:hAnsi="Times New Roman"/>
          <w:b/>
          <w:sz w:val="20"/>
        </w:rPr>
        <w:t xml:space="preserve">PLAN OF DISTRIBUTION </w:t>
      </w:r>
    </w:p>
    <w:p>
      <w:pPr>
        <w:pStyle w:val="TextBody"/>
        <w:spacing w:before="240" w:after="0"/>
        <w:jc w:val="left"/>
        <w:rPr>
          <w:rFonts w:ascii="Times New Roman" w:hAnsi="Times New Roman"/>
          <w:sz w:val="20"/>
        </w:rPr>
      </w:pPr>
      <w:r>
        <w:rPr>
          <w:rFonts w:ascii="Times New Roman" w:hAnsi="Times New Roman"/>
          <w:sz w:val="20"/>
        </w:rPr>
        <w:t xml:space="preserve">This prospectus relates to the issuance by us, and the resale by the selling stockholder, of up to 52,543,013 shares of Class A Common Stock, consisting of (i) 6,140,610 shares of Class A Common Stock issued as the first earnout payment under the Purchase Agreement; and (ii) up to 46,402,403 shares of Class A Common Stock that may be issued to the selling stockholder as additional earnout payments under the Purchase Agreement. </w:t>
      </w:r>
    </w:p>
    <w:p>
      <w:pPr>
        <w:pStyle w:val="TextBody"/>
        <w:spacing w:before="240" w:after="0"/>
        <w:jc w:val="left"/>
        <w:rPr>
          <w:rFonts w:ascii="Times New Roman" w:hAnsi="Times New Roman"/>
          <w:sz w:val="20"/>
        </w:rPr>
      </w:pPr>
      <w:r>
        <w:rPr>
          <w:rFonts w:ascii="Times New Roman" w:hAnsi="Times New Roman"/>
          <w:sz w:val="20"/>
        </w:rPr>
        <w:t xml:space="preserve">All of the Resale Shares offered by the selling stockholder pursuant to this prospectus will be sold by the selling stockholder for its account. We will not receive any of the proceeds from the sale of the securities hereunder. </w:t>
      </w:r>
    </w:p>
    <w:p>
      <w:pPr>
        <w:pStyle w:val="TextBody"/>
        <w:spacing w:before="240" w:after="0"/>
        <w:jc w:val="left"/>
        <w:rPr>
          <w:rFonts w:ascii="Times New Roman" w:hAnsi="Times New Roman"/>
          <w:sz w:val="20"/>
        </w:rPr>
      </w:pPr>
      <w:r>
        <w:rPr>
          <w:rFonts w:ascii="Times New Roman" w:hAnsi="Times New Roman"/>
          <w:sz w:val="20"/>
        </w:rPr>
        <w:t xml:space="preserve">With respect to the registration of all shares of Class A Common Stock offered by the selling stockholder pursuant to this prospectus, the selling stockholder will pay any underwriting discounts and commissions and expenses incurred by it for brokerage, accounting, tax or legal services or any other expenses incurred by it in disposing of the securities. We will bear all other costs, fees and expenses incurred in effecting the registration of the securities covered by this prospectus, including, without limitation, all registration and filing fees, NYSE listing fees, and fees of our counsel and our independent registered public accountants. </w:t>
      </w:r>
    </w:p>
    <w:p>
      <w:pPr>
        <w:pStyle w:val="TextBody"/>
        <w:spacing w:before="240" w:after="0"/>
        <w:jc w:val="left"/>
        <w:rPr>
          <w:rFonts w:ascii="Times New Roman" w:hAnsi="Times New Roman"/>
          <w:sz w:val="20"/>
        </w:rPr>
      </w:pPr>
      <w:r>
        <w:rPr>
          <w:rFonts w:ascii="Times New Roman" w:hAnsi="Times New Roman"/>
          <w:sz w:val="20"/>
        </w:rPr>
        <w:t xml:space="preserve">The securities beneficially owned by the selling stockholder covered by this prospectus may be offered and sold from time to time by the selling stockholder. The term selling stockholder includes distributees, donees, pledgees, transferees or other successors in interest selling securities received after the date of this prospectus from the selling stockholder as a gift, pledge, partnership distribution or other transfer. The selling stockholder will act independently of us in making decisions with respect to the timing, manner and size of each sale. Such sales may be made on one or more exchanges or in the over-the-counter market or otherwise, at prices and under terms then prevailing or at prices related to the then current market price or in negotiated transactions. The selling stockholder reserves the right to accept and, together with its agents, to reject, any proposed purchase of securities to be made directly or through agents. The selling stockholder and any of its permitted transferees may sell their securities offered by this prospectus on any stock exchange, market or trading facility on which the securities are traded or in private transactions. If underwriters are used in the sale, such underwriters will acquire the shares for their own account. These sales may be at a fixed price or varying prices, which may be changed, or at market prices prevailing at the time of sale, at prices relating to prevailing market prices or at negotiated prices. The securities may be offered to the public through underwriting syndicates represented by managing underwriters or by underwriters without a syndicate. The obligations of the underwriters to purchase the securities may subject to certain conditions. The underwriters may be obligated to purchase all the securities offered if any of the securities are purchased. </w:t>
      </w:r>
    </w:p>
    <w:p>
      <w:pPr>
        <w:pStyle w:val="TextBody"/>
        <w:spacing w:before="240" w:after="0"/>
        <w:jc w:val="left"/>
        <w:rPr>
          <w:rFonts w:ascii="Times New Roman" w:hAnsi="Times New Roman"/>
          <w:sz w:val="20"/>
        </w:rPr>
      </w:pPr>
      <w:r>
        <w:rPr>
          <w:rFonts w:ascii="Times New Roman" w:hAnsi="Times New Roman"/>
          <w:sz w:val="20"/>
        </w:rPr>
        <w:t xml:space="preserve">Subject to the limitations set forth in the Registration Rights Agreement, the selling stockholder may use any one or more of the following methods when selling the securities offered by this prospectus: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purchases by a broker-dealer as principal and resale by such broker-dealer for its own account pursuant to this prospectus;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ordinary brokerage transactions and transactions in which the broker solicits the purchaser;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block trades in which the broker-dealer so engaged will attempt to sell the securities as agent but may position and resell a portion of the block as principal to facilitate the transaction;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an over-the-counter distribution in accordance with the rules of the NYSE;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through trading plans entered into by the selling stockholder pursuant to Rule 10b5-1 under the Exchange Act that are in place at the time of an offering pursuant to this prospectus and any applicable prospectus supplement hereto that provide for periodic sales of their securities on the basis of parameters described in such trading plans;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0"/>
        <w:gridCol w:w="9290"/>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0"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through one or more underwritten offerings on a firm commitment or best efforts basis;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settlement of short sales entered into after the date of this prospectus;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509"/>
        <w:gridCol w:w="305"/>
        <w:gridCol w:w="100"/>
        <w:gridCol w:w="9291"/>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0" w:type="dxa"/>
            <w:tcBorders/>
            <w:shd w:fill="auto" w:val="clear"/>
          </w:tcPr>
          <w:p>
            <w:pPr>
              <w:pStyle w:val="TableContents"/>
              <w:spacing w:before="0" w:after="283"/>
              <w:rPr/>
            </w:pPr>
            <w:r>
              <w:rPr/>
              <w:t> </w:t>
            </w:r>
          </w:p>
        </w:tc>
        <w:tc>
          <w:tcPr>
            <w:tcW w:w="9291"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agreements with broker-dealers to sell a specified number of the securities at a stipulated price per share;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in at the market offerings, as defined in Rule 415 under the Securities Act, at negotiated prices, at prices prevailing at the time of sale or at prices related to such prevailing market prices, including sales made directly on a national securities exchange or sales made through a market maker other than on an exchange or other similar offerings through sales agents;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directly to purchasers, including through a specific bidding, auction or other process or in privately negotiated transactions;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6"/>
        <w:gridCol w:w="102"/>
        <w:gridCol w:w="9287"/>
      </w:tblGrid>
      <w:tr>
        <w:trPr/>
        <w:tc>
          <w:tcPr>
            <w:tcW w:w="510"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through the writing or settlement of options or other hedging transactions, whether through an options exchange or otherwise;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0"/>
        <w:gridCol w:w="9290"/>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0"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through a combination of any of the above methods of sale; or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any other method permitted pursuant to applicable law. </w:t>
            </w:r>
          </w:p>
        </w:tc>
      </w:tr>
    </w:tbl>
    <w:p>
      <w:pPr>
        <w:pStyle w:val="TextBody"/>
        <w:spacing w:before="240" w:after="0"/>
        <w:jc w:val="left"/>
        <w:rPr>
          <w:rFonts w:ascii="Times New Roman" w:hAnsi="Times New Roman"/>
          <w:sz w:val="20"/>
        </w:rPr>
      </w:pPr>
      <w:r>
        <w:rPr>
          <w:rFonts w:ascii="Times New Roman" w:hAnsi="Times New Roman"/>
          <w:sz w:val="20"/>
        </w:rPr>
        <w:t xml:space="preserve">In addition, because the selling stockholder is an entity, it may elect to make an in-kind distribution of securities to its members, partners or stockholders pursuant to the registration statement of which this prospectus is a part by delivering a prospectus with a plan of distribution. Such members, partners or stockholders would thereby receive freely tradeable securities pursuant to the distribution through a registration statement. To the extent a distributee is an affiliate of ours (or to the extent otherwise required by law), we may file a prospectus supplement in order to permit the distributees to use the prospectus to resell the securities acquired in the distribution. </w:t>
      </w:r>
    </w:p>
    <w:p>
      <w:pPr>
        <w:pStyle w:val="TextBody"/>
        <w:spacing w:before="240" w:after="0"/>
        <w:jc w:val="left"/>
        <w:rPr>
          <w:rFonts w:ascii="Times New Roman" w:hAnsi="Times New Roman"/>
          <w:sz w:val="20"/>
        </w:rPr>
      </w:pPr>
      <w:r>
        <w:rPr>
          <w:rFonts w:ascii="Times New Roman" w:hAnsi="Times New Roman"/>
          <w:sz w:val="20"/>
        </w:rPr>
        <w:t xml:space="preserve">There can be no assurance that the selling stockholder will sell all or any of the securities offered by this prospectus. In addition, the selling stockholder may also sell securities under Rule 144 under the Securities Act, if available, or in other transactions exempt from registration, rather than under this prospectus. The selling stockholder has the sole and absolute discretion not to accept any purchase offer or make any sale of securities if it deems the purchase price to be unsatisfactory at any particular time. </w:t>
      </w:r>
    </w:p>
    <w:p>
      <w:pPr>
        <w:pStyle w:val="TextBody"/>
        <w:spacing w:before="240" w:after="0"/>
        <w:jc w:val="left"/>
        <w:rPr>
          <w:rFonts w:ascii="Times New Roman" w:hAnsi="Times New Roman"/>
          <w:sz w:val="20"/>
        </w:rPr>
      </w:pPr>
      <w:r>
        <w:rPr>
          <w:rFonts w:ascii="Times New Roman" w:hAnsi="Times New Roman"/>
          <w:sz w:val="20"/>
        </w:rPr>
        <w:t xml:space="preserve">The selling stockholder also may transfer the securities in other circumstances, in which case the transferees, distributees, pledgees or other successors-in-interest will be the selling beneficial owners for purposes of this prospectus. Upon being notified by the selling stockholder that a donee, pledgee, transferee, or other successor-in-interest intends to sell our securities, we will, to the extent required, promptly file a supplement to this prospectus to name specifically such person as a selling stockholder. </w:t>
      </w:r>
    </w:p>
    <w:p>
      <w:pPr>
        <w:pStyle w:val="TextBody"/>
        <w:spacing w:before="240" w:after="0"/>
        <w:jc w:val="left"/>
        <w:rPr>
          <w:rFonts w:ascii="Times New Roman" w:hAnsi="Times New Roman"/>
          <w:sz w:val="20"/>
        </w:rPr>
      </w:pPr>
      <w:r>
        <w:rPr>
          <w:rFonts w:ascii="Times New Roman" w:hAnsi="Times New Roman"/>
          <w:sz w:val="20"/>
        </w:rPr>
        <w:t xml:space="preserve">With respect to a particular offering of the securities held by the selling stockholder, to the extent required, an accompanying prospectus supplement or, if appropriate, a post-effective amendment to the registration statement of which this prospectus is part, will be prepared and will set forth the following information: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settlement of short sales entered into after the date of this prospectus;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names of any participating agents, broker-dealers or underwriters;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any applicable commissions, discounts, concessions and other items constituting compensation from the selling stockholder. </w:t>
            </w:r>
          </w:p>
        </w:tc>
      </w:tr>
    </w:tbl>
    <w:p>
      <w:pPr>
        <w:pStyle w:val="TextBody"/>
        <w:spacing w:before="240" w:after="0"/>
        <w:jc w:val="left"/>
        <w:rPr>
          <w:rFonts w:ascii="Times New Roman" w:hAnsi="Times New Roman"/>
          <w:sz w:val="20"/>
        </w:rPr>
      </w:pPr>
      <w:r>
        <w:rPr>
          <w:rFonts w:ascii="Times New Roman" w:hAnsi="Times New Roman"/>
          <w:sz w:val="20"/>
        </w:rPr>
        <w:t xml:space="preserve">In connection with distributions of the securities or otherwise, the selling stockholder may enter into hedging transactions with broker-dealers or other financial institutions. In connection with such transactions, broker-dealers or other financial institutions may engage in short sales of the securities in the course of hedging the positions they assume with selling stockholder. The selling stockholder may also sell the securities short and redeliver the securities to close out such short positions. The selling stockholder may also enter into option or other transactions with broker-dealers or other financial institutions that require the delivery to such broker-dealer or other financial institution of securities offered by this prospectus, which securities such broker-dealer or other financial institution may resell pursuant to this prospectus (as supplemented or amended to reflect such transaction). The selling stockholder may also pledge securities to a broker-dealer or other financial institution, and, upon a default, such broker-dealer or other financial institution, may effect sales of the pledged securities pursuant to this prospectus (as supplemented or amended to reflect such transaction).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In order to facilitate the offering of the securities, any underwriters or agents, as the case may be, involved in the offering of such securities may engage in transactions that stabilize, maintain or otherwise affect the price of our securities. Specifically, the underwriters or agents, as the case may be, may overallot in connection with the offering, creating a short position in our securities for their own account. In addition, to cover overallotments or to stabilize the price of our securities, the underwriters or agents, as the case may be, may bid for, and purchase, such securities in the open market. Finally, in any offering of securities through a syndicate of underwriters, the underwriting syndicate may reclaim selling concessions allotted to an underwriter or a broker-dealer for distributing such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The underwriters or agents, as the case may be, are not required to engage in these activities, and may end any of these activities at any time. </w:t>
      </w:r>
    </w:p>
    <w:p>
      <w:pPr>
        <w:pStyle w:val="TextBody"/>
        <w:spacing w:before="240" w:after="0"/>
        <w:jc w:val="left"/>
        <w:rPr>
          <w:rFonts w:ascii="Times New Roman" w:hAnsi="Times New Roman"/>
          <w:sz w:val="20"/>
        </w:rPr>
      </w:pPr>
      <w:r>
        <w:rPr>
          <w:rFonts w:ascii="Times New Roman" w:hAnsi="Times New Roman"/>
          <w:sz w:val="20"/>
        </w:rPr>
        <w:t xml:space="preserve">The selling stockholder may solicit offers to purchase the securities directly from, and it may sell such securities directly to, institutional investors or others. In this case, no underwriters or agents would be involved. The terms of any of those sales, including the terms of any bidding or auction process, if utilized, will be described in the applicable prospectus supplement. </w:t>
      </w:r>
    </w:p>
    <w:p>
      <w:pPr>
        <w:pStyle w:val="TextBody"/>
        <w:spacing w:before="240" w:after="0"/>
        <w:jc w:val="left"/>
        <w:rPr>
          <w:rFonts w:ascii="Times New Roman" w:hAnsi="Times New Roman"/>
          <w:sz w:val="20"/>
        </w:rPr>
      </w:pPr>
      <w:r>
        <w:rPr>
          <w:rFonts w:ascii="Times New Roman" w:hAnsi="Times New Roman"/>
          <w:sz w:val="20"/>
        </w:rPr>
        <w:t xml:space="preserve">It is possible that one or more underwriters may make a market in our securities, but such underwriters will not be obligated to do so and may discontinue any market making at any time without notice. </w:t>
      </w:r>
    </w:p>
    <w:p>
      <w:pPr>
        <w:pStyle w:val="TextBody"/>
        <w:spacing w:before="240" w:after="0"/>
        <w:jc w:val="left"/>
        <w:rPr>
          <w:rFonts w:ascii="Times New Roman" w:hAnsi="Times New Roman"/>
          <w:sz w:val="20"/>
        </w:rPr>
      </w:pPr>
      <w:r>
        <w:rPr>
          <w:rFonts w:ascii="Times New Roman" w:hAnsi="Times New Roman"/>
          <w:sz w:val="20"/>
        </w:rPr>
        <w:t xml:space="preserve">The selling stockholder may authorize underwriters, broker-dealers or agents to solicit offers by certain purchasers to purchase the securities at the public offering price set forth in the prospectus supplement pursuant to delayed delivery contracts providing for payment and delivery on a specified date in the future. The contracts will be subject only to those conditions set forth in the prospectus supplement, and the prospectus supplement will set forth any commissions we or the selling stockholder pay for solicitation of these contracts. </w:t>
      </w:r>
    </w:p>
    <w:p>
      <w:pPr>
        <w:pStyle w:val="TextBody"/>
        <w:spacing w:before="240" w:after="0"/>
        <w:jc w:val="left"/>
        <w:rPr>
          <w:rFonts w:ascii="Times New Roman" w:hAnsi="Times New Roman"/>
          <w:sz w:val="20"/>
        </w:rPr>
      </w:pPr>
      <w:r>
        <w:rPr>
          <w:rFonts w:ascii="Times New Roman" w:hAnsi="Times New Roman"/>
          <w:sz w:val="20"/>
        </w:rPr>
        <w:t xml:space="preserve">The selling stockholder may enter into derivative transactions with third parties or sell securities not covered by this prospectus to third parties in privately negotiated transactions. If the applicable prospectus supplement indicates, in connection with those derivatives, the third parties may sell securities covered by this prospectus and the applicable prospectus supplement, including in short sale transactions. If so, the third party may use securities pledged by the selling stockholder or borrowed from the selling stockholder or others to settle those sales or to close out any related open borrowings of stock, and may use securities received from the selling stockholder in settlement of those derivatives to close out any related open borrowings of stock. The third party in such sale transactions will be an underwriter and will be identified in the applicable prospectus supplement (or a post-effective amendment). In addition, the selling stockholder may otherwise loan or pledge securities to a financial institution or other third party that in turn may sell the securities short using this prospectus. Such financial institution or other third party may transfer its economic short position to investors in our securities or in connection with a concurrent offering of other securities. </w:t>
      </w:r>
    </w:p>
    <w:p>
      <w:pPr>
        <w:pStyle w:val="TextBody"/>
        <w:spacing w:before="240" w:after="0"/>
        <w:jc w:val="left"/>
        <w:rPr>
          <w:rFonts w:ascii="Times New Roman" w:hAnsi="Times New Roman"/>
          <w:sz w:val="20"/>
        </w:rPr>
      </w:pPr>
      <w:r>
        <w:rPr>
          <w:rFonts w:ascii="Times New Roman" w:hAnsi="Times New Roman"/>
          <w:sz w:val="20"/>
        </w:rPr>
        <w:t xml:space="preserve">In effecting sales, broker-dealers or agents engaged by the selling stockholder may arrange for other broker-dealers to participate. Broker-dealers or agents may receive commissions, discounts or concessions from the selling stockholder in amounts to be negotiated immediately prior to the sale. </w:t>
      </w:r>
    </w:p>
    <w:p>
      <w:pPr>
        <w:pStyle w:val="TextBody"/>
        <w:spacing w:before="240" w:after="0"/>
        <w:jc w:val="left"/>
        <w:rPr>
          <w:rFonts w:ascii="Times New Roman" w:hAnsi="Times New Roman"/>
          <w:sz w:val="20"/>
        </w:rPr>
      </w:pPr>
      <w:r>
        <w:rPr>
          <w:rFonts w:ascii="Times New Roman" w:hAnsi="Times New Roman"/>
          <w:sz w:val="20"/>
        </w:rPr>
        <w:t>If at the time of any offering made under this prospectus a member of FINRA participating in the offering has a conflict of interest as defined in FINRA Rule 5121 (</w:t>
      </w:r>
      <w:r>
        <w:rPr>
          <w:rFonts w:ascii="Times New Roman" w:hAnsi="Times New Roman"/>
          <w:b/>
          <w:sz w:val="20"/>
        </w:rPr>
        <w:t>Rule 5121</w:t>
      </w:r>
      <w:r>
        <w:rPr>
          <w:rFonts w:ascii="Times New Roman" w:hAnsi="Times New Roman"/>
          <w:sz w:val="20"/>
        </w:rPr>
        <w:t xml:space="preserve">), that offering will be conducted in accordance with the relevant provisions of Rule 5121. </w:t>
      </w:r>
    </w:p>
    <w:p>
      <w:pPr>
        <w:pStyle w:val="TextBody"/>
        <w:spacing w:before="240" w:after="0"/>
        <w:jc w:val="left"/>
        <w:rPr>
          <w:rFonts w:ascii="Times New Roman" w:hAnsi="Times New Roman"/>
          <w:sz w:val="20"/>
        </w:rPr>
      </w:pPr>
      <w:r>
        <w:rPr>
          <w:rFonts w:ascii="Times New Roman" w:hAnsi="Times New Roman"/>
          <w:sz w:val="20"/>
        </w:rPr>
        <w:t xml:space="preserve">To our knowledge, there are currently no plans, arrangements or understandings between the selling stockholder and any broker-dealer or agent regarding the sale of the securities by the selling stockholder. Upon our notification by the selling stockholder that any material arrangement has been entered into with an underwriter or broker-dealer for the sale of securities through a block trade, special offering, exchange distribution, secondary distribution or a purchase by an underwriter or broker-dealer, we will file, if required by applicable law or regulation, a supplement to this prospectus pursuant to Rule 424(b) under the Securities Act disclosing certain material information relating to such underwriter or broker-dealer and such offering.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Underwriters, broker-dealers or agents may facilitate the marketing of an offering online directly or through one of their affiliates. In those cases, prospective investors may view offering terms and a prospectus online and, depending upon the particular underwriter, broker-dealer or agent, place orders online or through their financial advisors. </w:t>
      </w:r>
    </w:p>
    <w:p>
      <w:pPr>
        <w:pStyle w:val="TextBody"/>
        <w:spacing w:before="240" w:after="0"/>
        <w:jc w:val="left"/>
        <w:rPr>
          <w:rFonts w:ascii="Times New Roman" w:hAnsi="Times New Roman"/>
          <w:sz w:val="20"/>
        </w:rPr>
      </w:pPr>
      <w:r>
        <w:rPr>
          <w:rFonts w:ascii="Times New Roman" w:hAnsi="Times New Roman"/>
          <w:sz w:val="20"/>
        </w:rPr>
        <w:t xml:space="preserve">The selling stockholder is an affiliate of Apex Clearing Corporation, CODA Markets Inc., Electronic Transaction Clearing, Inc., PEAK6 Capital Management LLC, PEAK6 Trading LLC and HarcastleTrading USA L.L.C., each of which is a registered broker-dealer, but the selling stockholder is not itself a broker-dealer. The selling stockholder received or will receive the securities covered by this prospectus as beneficially owned by it in the ordinary course of business pursuant to the Purchase Agreement and, at the time of entering into the Purchase Agreement, had no agreements or understandings, directly or indirectly, with any person to distribute those securities. In offering the securities covered by this prospectus, the selling stockholder and any underwriters, broker-dealers or agents who execute sales for the selling stockholder may be deemed to be underwriters within the meaning of the Securities Act in connection with such sales and accordingly would be subject to the prospectus delivery requirements of the Securities Act. Any discounts, commissions, concessions or profit they earn on any resale of those securities may be underwriting discounts and commissions under the Securities Act. </w:t>
      </w:r>
    </w:p>
    <w:p>
      <w:pPr>
        <w:pStyle w:val="TextBody"/>
        <w:spacing w:before="240" w:after="0"/>
        <w:jc w:val="left"/>
        <w:rPr>
          <w:rFonts w:ascii="Times New Roman" w:hAnsi="Times New Roman"/>
          <w:sz w:val="20"/>
        </w:rPr>
      </w:pPr>
      <w:r>
        <w:rPr>
          <w:rFonts w:ascii="Times New Roman" w:hAnsi="Times New Roman"/>
          <w:sz w:val="20"/>
        </w:rPr>
        <w:t xml:space="preserve">The underwriters, broker-dealers and agents may engage in transactions with us or the selling stockholder, or perform services for us or the selling stockholder, in the ordinary course of business. </w:t>
      </w:r>
    </w:p>
    <w:p>
      <w:pPr>
        <w:pStyle w:val="TextBody"/>
        <w:spacing w:before="240" w:after="0"/>
        <w:jc w:val="left"/>
        <w:rPr>
          <w:rFonts w:ascii="Times New Roman" w:hAnsi="Times New Roman"/>
          <w:sz w:val="20"/>
        </w:rPr>
      </w:pPr>
      <w:r>
        <w:rPr>
          <w:rFonts w:ascii="Times New Roman" w:hAnsi="Times New Roman"/>
          <w:sz w:val="20"/>
        </w:rPr>
        <w:t xml:space="preserve">In order to comply with the securities laws of certain states, if applicable, the securities must be sold in such jurisdictions only through registered or licensed brokers or dealers. In addition, in certain states the securities may not be sold unless they have been registered or qualified for sale in the applicable state or an exemption from the registration or qualification requirement is available and is complied with. </w:t>
      </w:r>
    </w:p>
    <w:p>
      <w:pPr>
        <w:pStyle w:val="TextBody"/>
        <w:spacing w:before="240" w:after="0"/>
        <w:jc w:val="left"/>
        <w:rPr>
          <w:rFonts w:ascii="Times New Roman" w:hAnsi="Times New Roman"/>
          <w:sz w:val="20"/>
        </w:rPr>
      </w:pPr>
      <w:r>
        <w:rPr>
          <w:rFonts w:ascii="Times New Roman" w:hAnsi="Times New Roman"/>
          <w:sz w:val="20"/>
        </w:rPr>
        <w:t xml:space="preserve">The selling stockholder and any other persons participating in the sale or distribution of the securities will be subject to applicable provisions of the Securities Act and the Exchange Act, and the rules and regulations thereunder, including, without limitation, Regulation M. These provisions may restrict certain activities of, and limit the timing of purchases and sales of any of the securities by, the selling stockholder or any other person, which limitations may affect the marketability of the shares of the securities. </w:t>
      </w:r>
    </w:p>
    <w:p>
      <w:pPr>
        <w:pStyle w:val="TextBody"/>
        <w:spacing w:before="240" w:after="0"/>
        <w:jc w:val="left"/>
        <w:rPr>
          <w:rFonts w:ascii="Times New Roman" w:hAnsi="Times New Roman"/>
          <w:sz w:val="20"/>
        </w:rPr>
      </w:pPr>
      <w:r>
        <w:rPr>
          <w:rFonts w:ascii="Times New Roman" w:hAnsi="Times New Roman"/>
          <w:sz w:val="20"/>
        </w:rPr>
        <w:t xml:space="preserve">We will make copies of this prospectus available to the selling stockholder for the purpose of satisfying the prospectus delivery requirements of the Securities Act. </w:t>
      </w:r>
    </w:p>
    <w:p>
      <w:pPr>
        <w:pStyle w:val="TextBody"/>
        <w:spacing w:before="240" w:after="0"/>
        <w:jc w:val="left"/>
        <w:rPr>
          <w:rFonts w:ascii="Times New Roman" w:hAnsi="Times New Roman"/>
          <w:sz w:val="20"/>
        </w:rPr>
      </w:pPr>
      <w:r>
        <w:rPr>
          <w:rFonts w:ascii="Times New Roman" w:hAnsi="Times New Roman"/>
          <w:sz w:val="20"/>
        </w:rPr>
        <w:t xml:space="preserve">Under the Registration Rights Agreement, we have agreed to indemnify the selling stockholder against certain liabilities that they may incur in connection with the sale of the securities registered hereunder, including liabilities under the Securities Act, and to contribute to payments that the selling stockholder may be required to make with respect thereto. In addition, we and the selling stockholder may agree to indemnify any underwriter, broker-dealer or agent against certain liabilities related to the selling of the securities, including liabilities arising under the Securities Act. </w:t>
      </w:r>
    </w:p>
    <w:p>
      <w:pPr>
        <w:pStyle w:val="TextBody"/>
        <w:spacing w:before="240" w:after="0"/>
        <w:jc w:val="left"/>
        <w:rPr>
          <w:rFonts w:ascii="Times New Roman" w:hAnsi="Times New Roman"/>
          <w:sz w:val="20"/>
        </w:rPr>
      </w:pPr>
      <w:r>
        <w:rPr>
          <w:rFonts w:ascii="Times New Roman" w:hAnsi="Times New Roman"/>
          <w:sz w:val="20"/>
        </w:rPr>
        <w:t xml:space="preserve">Additionally, pursuant to the Registration Rights Agreement, we must use our commercially reasonable efforts to maintain the registration statement of which this prospectus constitutes a part effective, and to be supplemented and amended to the extent necessary to ensure that such registration statement is available or, if not available, that another registration statement is available, for the resale of all registrable securities, until all such securities have ceased to be registrable securities, as described in the Registration Rights Agreement.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12" w:name="tx485936_10"/>
      <w:bookmarkEnd w:id="12"/>
      <w:r>
        <w:rPr>
          <w:rFonts w:ascii="Times New Roman" w:hAnsi="Times New Roman"/>
          <w:b/>
          <w:sz w:val="20"/>
        </w:rPr>
        <w:t xml:space="preserve">LEGAL MATTERS </w:t>
      </w:r>
    </w:p>
    <w:p>
      <w:pPr>
        <w:pStyle w:val="TextBody"/>
        <w:spacing w:before="240" w:after="0"/>
        <w:jc w:val="left"/>
        <w:rPr>
          <w:rFonts w:ascii="Times New Roman" w:hAnsi="Times New Roman"/>
          <w:sz w:val="20"/>
        </w:rPr>
      </w:pPr>
      <w:r>
        <w:rPr>
          <w:rFonts w:ascii="Times New Roman" w:hAnsi="Times New Roman"/>
          <w:sz w:val="20"/>
        </w:rPr>
        <w:t xml:space="preserve">The validity of the securities offered hereby will be passed upon for us by Wilson Sonsini Goodrich &amp; Rosati, Professional Corporation, Austin, Texas. Additional legal matters may be passed on for us, or any underwriters, dealers or agents by counsel we will name in the applicable prospectus supplement. </w:t>
      </w:r>
    </w:p>
    <w:p>
      <w:pPr>
        <w:pStyle w:val="TextBody"/>
        <w:spacing w:before="480" w:after="0"/>
        <w:jc w:val="center"/>
        <w:rPr>
          <w:rFonts w:ascii="Times New Roman" w:hAnsi="Times New Roman"/>
          <w:b/>
          <w:sz w:val="20"/>
        </w:rPr>
      </w:pPr>
      <w:bookmarkStart w:id="13" w:name="tx485936_11"/>
      <w:bookmarkEnd w:id="13"/>
      <w:r>
        <w:rPr>
          <w:rFonts w:ascii="Times New Roman" w:hAnsi="Times New Roman"/>
          <w:b/>
          <w:sz w:val="20"/>
        </w:rPr>
        <w:t xml:space="preserve">EXPERTS </w:t>
      </w:r>
    </w:p>
    <w:p>
      <w:pPr>
        <w:pStyle w:val="TextBody"/>
        <w:spacing w:before="240" w:after="0"/>
        <w:jc w:val="left"/>
        <w:rPr>
          <w:rFonts w:ascii="Times New Roman" w:hAnsi="Times New Roman"/>
          <w:sz w:val="20"/>
        </w:rPr>
      </w:pPr>
      <w:r>
        <w:rPr>
          <w:rFonts w:ascii="Times New Roman" w:hAnsi="Times New Roman"/>
          <w:sz w:val="20"/>
        </w:rPr>
        <w:t xml:space="preserve">The consolidated financial statements of Bakkt Holdings, Inc., appearing in the Companys Annual Report (Form 10-K) for the year ended December 31, 2022 have been audited by Ernst &amp; Young LLP, independent registered public accounting firm, as set forth in their report thereon, included therein, and incorporated herein by reference. Such financial statements are, and audited financial statements to be included in subsequently filed documents will be, incorporated herein in reliance upon the report of Ernst &amp; Young LLP pertaining to such financial statements (to the extent covered by consents filed with the Securities and Exchange Commission) given on the authority of such firm as experts in accounting and auditing. </w:t>
      </w:r>
    </w:p>
    <w:p>
      <w:pPr>
        <w:pStyle w:val="TextBody"/>
        <w:spacing w:before="240" w:after="0"/>
        <w:jc w:val="left"/>
        <w:rPr>
          <w:rFonts w:ascii="Times New Roman" w:hAnsi="Times New Roman"/>
          <w:sz w:val="20"/>
        </w:rPr>
      </w:pPr>
      <w:r>
        <w:rPr>
          <w:rFonts w:ascii="Times New Roman" w:hAnsi="Times New Roman"/>
          <w:sz w:val="20"/>
        </w:rPr>
        <w:t xml:space="preserve">The financial statements of VPC Impact Acquisition Holdings as of October 14, 2021 and December 31, 2020 and for the period from January 1, 2021 through October 14, 2021 and for the period from July 31, 2020 (inception) through December 31, 2020 are incorporated by reference in this prospectus have been audited by WithumSmith+Brown, PC, the Companys independent registered public accounting firm prior to the Business Combination, as set forth in their report thereon, and have been incorporated herein in reliance on such report given on the authority of said firm as experts in accounting and auditing. </w:t>
      </w:r>
    </w:p>
    <w:p>
      <w:pPr>
        <w:pStyle w:val="TextBody"/>
        <w:spacing w:before="240" w:after="0"/>
        <w:jc w:val="left"/>
        <w:rPr>
          <w:rFonts w:ascii="Times New Roman" w:hAnsi="Times New Roman"/>
          <w:sz w:val="20"/>
        </w:rPr>
      </w:pPr>
      <w:r>
        <w:rPr>
          <w:rFonts w:ascii="Times New Roman" w:hAnsi="Times New Roman"/>
          <w:sz w:val="20"/>
        </w:rPr>
        <w:t xml:space="preserve">The financial statements of Apex Crypto, LLC as of December 31, 2022 and 2021 and for the years then ended incorporated by reference in this prospectus from the Current Report on Form 8-K/A filed by Bakkt Holdings, Inc. on April 18, 2023 have been audited by RSM US LLP, independent auditors, as stated in their report thereon, incorporated herein by reference. Such financial statements have been so incorporated in this prospectus in reliance upon such report and upon the authority of such firm as experts in accounting and auditing. </w:t>
      </w:r>
    </w:p>
    <w:p>
      <w:pPr>
        <w:pStyle w:val="TextBody"/>
        <w:spacing w:before="480" w:after="0"/>
        <w:jc w:val="center"/>
        <w:rPr>
          <w:rFonts w:ascii="Times New Roman" w:hAnsi="Times New Roman"/>
          <w:b/>
          <w:sz w:val="20"/>
        </w:rPr>
      </w:pPr>
      <w:bookmarkStart w:id="14" w:name="tx485936_12"/>
      <w:bookmarkEnd w:id="14"/>
      <w:r>
        <w:rPr>
          <w:rFonts w:ascii="Times New Roman" w:hAnsi="Times New Roman"/>
          <w:b/>
          <w:sz w:val="20"/>
        </w:rPr>
        <w:t xml:space="preserve">WHERE YOU CAN FIND MORE INFORMATION </w:t>
      </w:r>
    </w:p>
    <w:p>
      <w:pPr>
        <w:pStyle w:val="TextBody"/>
        <w:spacing w:before="240" w:after="0"/>
        <w:jc w:val="left"/>
        <w:rPr>
          <w:rFonts w:ascii="Times New Roman" w:hAnsi="Times New Roman"/>
          <w:sz w:val="20"/>
        </w:rPr>
      </w:pPr>
      <w:r>
        <w:rPr>
          <w:rFonts w:ascii="Times New Roman" w:hAnsi="Times New Roman"/>
          <w:sz w:val="20"/>
        </w:rPr>
        <w:t xml:space="preserve">We file annual, quarterly and current reports, proxy statements and other information with the SEC. Our SEC filings are available to the public over the Internet at the SECs website at </w:t>
      </w:r>
      <w:r>
        <w:rPr>
          <w:rFonts w:ascii="Times New Roman" w:hAnsi="Times New Roman"/>
          <w:i/>
          <w:sz w:val="20"/>
        </w:rPr>
        <w:t>www.sec.gov</w:t>
      </w:r>
      <w:r>
        <w:rPr>
          <w:rFonts w:ascii="Times New Roman" w:hAnsi="Times New Roman"/>
          <w:sz w:val="20"/>
        </w:rPr>
        <w:t xml:space="preserve">. Copies of certain information filed by us with the SEC are also available on our website at </w:t>
      </w:r>
      <w:r>
        <w:rPr>
          <w:rFonts w:ascii="Times New Roman" w:hAnsi="Times New Roman"/>
          <w:i/>
          <w:sz w:val="20"/>
        </w:rPr>
        <w:t>investors.bakkt.com</w:t>
      </w:r>
      <w:r>
        <w:rPr>
          <w:rFonts w:ascii="Times New Roman" w:hAnsi="Times New Roman"/>
          <w:sz w:val="20"/>
        </w:rPr>
        <w:t xml:space="preserve">. Information accessible on or through our website is not a part of this prospectus. </w:t>
      </w:r>
    </w:p>
    <w:p>
      <w:pPr>
        <w:pStyle w:val="TextBody"/>
        <w:spacing w:before="240" w:after="0"/>
        <w:jc w:val="left"/>
        <w:rPr>
          <w:rFonts w:ascii="Times New Roman" w:hAnsi="Times New Roman"/>
          <w:sz w:val="20"/>
        </w:rPr>
      </w:pPr>
      <w:r>
        <w:rPr>
          <w:rFonts w:ascii="Times New Roman" w:hAnsi="Times New Roman"/>
          <w:sz w:val="20"/>
        </w:rPr>
        <w:t xml:space="preserve">This prospectus and any prospectus supplement is part of a registration statement that we filed with the SEC and do not contain all of the information in the registration statement. You should review the information and exhibits in the registration statement for further information on us and our consolidated subsidiaries and the securities that we are offering. Statements in this prospectus or any prospectus supplement about these documents are summaries and each statement is qualified in all respects by reference to the document to which it refers. You should read the actual documents for a more complete description of the relevant matters.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15" w:name="tx485936_13"/>
      <w:bookmarkEnd w:id="15"/>
      <w:r>
        <w:rPr>
          <w:rFonts w:ascii="Times New Roman" w:hAnsi="Times New Roman"/>
          <w:b/>
          <w:sz w:val="20"/>
        </w:rPr>
        <w:t xml:space="preserve">INCORPORATION BY REFERENCE </w:t>
      </w:r>
    </w:p>
    <w:p>
      <w:pPr>
        <w:pStyle w:val="TextBody"/>
        <w:spacing w:before="240" w:after="0"/>
        <w:jc w:val="left"/>
        <w:rPr>
          <w:rFonts w:ascii="Times New Roman" w:hAnsi="Times New Roman"/>
          <w:sz w:val="20"/>
        </w:rPr>
      </w:pPr>
      <w:r>
        <w:rPr>
          <w:rFonts w:ascii="Times New Roman" w:hAnsi="Times New Roman"/>
          <w:sz w:val="20"/>
        </w:rPr>
        <w:t xml:space="preserve">The SEC allows us to incorporate by reference much of the information that we file with the SEC, which means that we can disclose important information to you by referring you to those publicly available documents. The information that we incorporate by reference in this prospectus is considered to be part of this prospectus. Because we are incorporating by reference future filings with the SEC, this prospectus is continually updated and those future filings may modify or supersede some of the information included or incorporated by reference in this prospectus. This means that you must look at all of the SEC filings that we incorporate by reference to determine if any of the statements in this prospectus or in any document previously incorporated by reference have been modified or superseded. This prospectus incorporates by reference the documents listed below and any future filings we make with the SEC under Sections 13(a), 13(c), 14 or 15(d) of the Exchange Act (in each case, other than those documents or the portions of those documents that are furnished rather than filed), until the offering of the securities under the registration statement of which this prospectus forms a part is terminated or completed: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2"/>
        <w:gridCol w:w="9288"/>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pPr>
            <w:r>
              <w:rPr>
                <w:rFonts w:ascii="Times New Roman" w:hAnsi="Times New Roman"/>
                <w:sz w:val="20"/>
              </w:rPr>
              <w:t xml:space="preserve">our </w:t>
            </w:r>
            <w:hyperlink r:id="rId3">
              <w:r>
                <w:rPr>
                  <w:rStyle w:val="InternetLink"/>
                  <w:rFonts w:ascii="Times New Roman" w:hAnsi="Times New Roman"/>
                  <w:sz w:val="20"/>
                </w:rPr>
                <w:t>Annual Report on Form 10-K</w:t>
              </w:r>
            </w:hyperlink>
            <w:r>
              <w:rPr>
                <w:rFonts w:ascii="Times New Roman" w:hAnsi="Times New Roman"/>
                <w:sz w:val="20"/>
              </w:rPr>
              <w:t xml:space="preserve"> for the year ended December 31, 2022, filed with the SEC on March 24, 2023 (our Annual Report), including the information specifically incorporated by reference into our Annual Report from our Definitive Proxy Statement on Schedule 14A, filed with the SEC on April 24, 2023;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2"/>
        <w:gridCol w:w="9288"/>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pPr>
            <w:r>
              <w:rPr>
                <w:rFonts w:ascii="Times New Roman" w:hAnsi="Times New Roman"/>
                <w:sz w:val="20"/>
              </w:rPr>
              <w:t xml:space="preserve">our Current Reports on Form  8-K filed with the SEC on </w:t>
            </w:r>
            <w:hyperlink r:id="rId4">
              <w:r>
                <w:rPr>
                  <w:rStyle w:val="InternetLink"/>
                  <w:rFonts w:ascii="Times New Roman" w:hAnsi="Times New Roman"/>
                  <w:sz w:val="20"/>
                </w:rPr>
                <w:t>November  3, 2022</w:t>
              </w:r>
            </w:hyperlink>
            <w:r>
              <w:rPr>
                <w:rFonts w:ascii="Times New Roman" w:hAnsi="Times New Roman"/>
                <w:sz w:val="20"/>
              </w:rPr>
              <w:t xml:space="preserve">, </w:t>
            </w:r>
            <w:hyperlink r:id="rId5">
              <w:r>
                <w:rPr>
                  <w:rStyle w:val="InternetLink"/>
                  <w:rFonts w:ascii="Times New Roman" w:hAnsi="Times New Roman"/>
                  <w:sz w:val="20"/>
                </w:rPr>
                <w:t>March  9, 2023</w:t>
              </w:r>
            </w:hyperlink>
            <w:r>
              <w:rPr>
                <w:rFonts w:ascii="Times New Roman" w:hAnsi="Times New Roman"/>
                <w:sz w:val="20"/>
              </w:rPr>
              <w:t xml:space="preserve">, </w:t>
            </w:r>
            <w:hyperlink r:id="rId6">
              <w:r>
                <w:rPr>
                  <w:rStyle w:val="InternetLink"/>
                  <w:rFonts w:ascii="Times New Roman" w:hAnsi="Times New Roman"/>
                  <w:sz w:val="20"/>
                </w:rPr>
                <w:t>April  3, 2023</w:t>
              </w:r>
            </w:hyperlink>
            <w:r>
              <w:rPr>
                <w:rFonts w:ascii="Times New Roman" w:hAnsi="Times New Roman"/>
                <w:sz w:val="20"/>
              </w:rPr>
              <w:t xml:space="preserve"> and </w:t>
            </w:r>
            <w:hyperlink r:id="rId7">
              <w:r>
                <w:rPr>
                  <w:rStyle w:val="InternetLink"/>
                  <w:rFonts w:ascii="Times New Roman" w:hAnsi="Times New Roman"/>
                  <w:sz w:val="20"/>
                </w:rPr>
                <w:t>April 19, 2023</w:t>
              </w:r>
            </w:hyperlink>
            <w:r>
              <w:rPr>
                <w:rFonts w:ascii="Times New Roman" w:hAnsi="Times New Roman"/>
                <w:sz w:val="20"/>
              </w:rPr>
              <w:t xml:space="preserve"> and on Form 8-K/A filed with the SEC on </w:t>
            </w:r>
            <w:hyperlink r:id="rId8">
              <w:r>
                <w:rPr>
                  <w:rStyle w:val="InternetLink"/>
                  <w:rFonts w:ascii="Times New Roman" w:hAnsi="Times New Roman"/>
                  <w:sz w:val="20"/>
                </w:rPr>
                <w:t>April  5, 2022</w:t>
              </w:r>
            </w:hyperlink>
            <w:r>
              <w:rPr>
                <w:rFonts w:ascii="Times New Roman" w:hAnsi="Times New Roman"/>
                <w:sz w:val="20"/>
              </w:rPr>
              <w:t xml:space="preserve"> and </w:t>
            </w:r>
            <w:hyperlink r:id="rId9">
              <w:r>
                <w:rPr>
                  <w:rStyle w:val="InternetLink"/>
                  <w:rFonts w:ascii="Times New Roman" w:hAnsi="Times New Roman"/>
                  <w:sz w:val="20"/>
                </w:rPr>
                <w:t>April 18, 2023</w:t>
              </w:r>
            </w:hyperlink>
            <w:r>
              <w:rPr>
                <w:rFonts w:ascii="Times New Roman" w:hAnsi="Times New Roman"/>
                <w:sz w:val="20"/>
              </w:rPr>
              <w:t xml:space="preserve">;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pPr>
            <w:r>
              <w:rPr>
                <w:rFonts w:ascii="Times New Roman" w:hAnsi="Times New Roman"/>
                <w:sz w:val="20"/>
              </w:rPr>
              <w:t xml:space="preserve">the description of our securities contained in the Registration Statement on Form 8-A relating thereto, filed on </w:t>
            </w:r>
            <w:hyperlink r:id="rId10">
              <w:r>
                <w:rPr>
                  <w:rStyle w:val="InternetLink"/>
                  <w:rFonts w:ascii="Times New Roman" w:hAnsi="Times New Roman"/>
                  <w:sz w:val="20"/>
                </w:rPr>
                <w:t>October 15, 2021</w:t>
              </w:r>
            </w:hyperlink>
            <w:r>
              <w:rPr>
                <w:rFonts w:ascii="Times New Roman" w:hAnsi="Times New Roman"/>
                <w:sz w:val="20"/>
              </w:rPr>
              <w:t xml:space="preserve">, including any amendment or report filed for the purpose of updating such description. </w:t>
            </w:r>
          </w:p>
        </w:tc>
      </w:tr>
    </w:tbl>
    <w:p>
      <w:pPr>
        <w:pStyle w:val="TextBody"/>
        <w:spacing w:before="240" w:after="0"/>
        <w:jc w:val="left"/>
        <w:rPr>
          <w:rFonts w:ascii="Times New Roman" w:hAnsi="Times New Roman"/>
          <w:sz w:val="20"/>
        </w:rPr>
      </w:pPr>
      <w:r>
        <w:rPr>
          <w:rFonts w:ascii="Times New Roman" w:hAnsi="Times New Roman"/>
          <w:sz w:val="20"/>
        </w:rPr>
        <w:t xml:space="preserve">You may request a copy of these filings, at no cost, by writing or telephoning us at the following address: </w:t>
      </w:r>
    </w:p>
    <w:p>
      <w:pPr>
        <w:pStyle w:val="TextBody"/>
        <w:spacing w:before="240" w:after="0"/>
        <w:jc w:val="center"/>
        <w:rPr>
          <w:rFonts w:ascii="Times New Roman" w:hAnsi="Times New Roman"/>
          <w:b/>
          <w:sz w:val="20"/>
        </w:rPr>
      </w:pPr>
      <w:r>
        <w:rPr>
          <w:rFonts w:ascii="Times New Roman" w:hAnsi="Times New Roman"/>
          <w:b/>
          <w:sz w:val="20"/>
        </w:rPr>
        <w:t xml:space="preserve">10000 Avalon Boulevard, Suite 1000 </w:t>
      </w:r>
    </w:p>
    <w:p>
      <w:pPr>
        <w:pStyle w:val="TextBody"/>
        <w:spacing w:before="0" w:after="0"/>
        <w:jc w:val="center"/>
        <w:rPr>
          <w:rFonts w:ascii="Times New Roman" w:hAnsi="Times New Roman"/>
          <w:b/>
          <w:sz w:val="20"/>
        </w:rPr>
      </w:pPr>
      <w:r>
        <w:rPr>
          <w:rFonts w:ascii="Times New Roman" w:hAnsi="Times New Roman"/>
          <w:b/>
          <w:sz w:val="20"/>
        </w:rPr>
        <w:t xml:space="preserve">Alpharetta, Georgia 30009 </w:t>
      </w:r>
    </w:p>
    <w:p>
      <w:pPr>
        <w:pStyle w:val="TextBody"/>
        <w:spacing w:before="0" w:after="0"/>
        <w:jc w:val="center"/>
        <w:rPr>
          <w:rFonts w:ascii="Times New Roman" w:hAnsi="Times New Roman"/>
          <w:b/>
          <w:sz w:val="20"/>
        </w:rPr>
      </w:pPr>
      <w:r>
        <w:rPr>
          <w:rFonts w:ascii="Times New Roman" w:hAnsi="Times New Roman"/>
          <w:b/>
          <w:sz w:val="20"/>
        </w:rPr>
        <w:t xml:space="preserve">(678) 534-5849 </w:t>
      </w:r>
    </w:p>
    <w:p>
      <w:pPr>
        <w:pStyle w:val="TextBody"/>
        <w:spacing w:before="240" w:after="0"/>
        <w:jc w:val="left"/>
        <w:rPr>
          <w:rFonts w:ascii="Times New Roman" w:hAnsi="Times New Roman"/>
          <w:sz w:val="20"/>
        </w:rPr>
      </w:pPr>
      <w:r>
        <w:rPr>
          <w:rFonts w:ascii="Times New Roman" w:hAnsi="Times New Roman"/>
          <w:sz w:val="20"/>
        </w:rPr>
        <w:t xml:space="preserve">Exhibits to the filings will not be sent, however, unless those exhibits have specifically been incorporated by reference in this prospectus or any accompanying prospectus supplement.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r>
        <w:rPr>
          <w:rFonts w:ascii="Times New Roman" w:hAnsi="Times New Roman"/>
          <w:b/>
          <w:sz w:val="20"/>
        </w:rPr>
        <w:t xml:space="preserve">PART II </w:t>
      </w:r>
    </w:p>
    <w:p>
      <w:pPr>
        <w:pStyle w:val="TextBody"/>
        <w:spacing w:before="120" w:after="0"/>
        <w:jc w:val="center"/>
        <w:rPr>
          <w:rFonts w:ascii="Times New Roman" w:hAnsi="Times New Roman"/>
          <w:b/>
          <w:sz w:val="20"/>
        </w:rPr>
      </w:pPr>
      <w:r>
        <w:rPr>
          <w:rFonts w:ascii="Times New Roman" w:hAnsi="Times New Roman"/>
          <w:b/>
          <w:sz w:val="20"/>
        </w:rPr>
        <w:t xml:space="preserve">INFORMATION NOT REQUIRED IN PROSPECTUS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19"/>
        <w:gridCol w:w="9186"/>
      </w:tblGrid>
      <w:tr>
        <w:trPr/>
        <w:tc>
          <w:tcPr>
            <w:tcW w:w="1019" w:type="dxa"/>
            <w:tcBorders/>
            <w:shd w:fill="auto" w:val="clear"/>
          </w:tcPr>
          <w:p>
            <w:pPr>
              <w:pStyle w:val="TableContents"/>
              <w:spacing w:before="0" w:after="283"/>
              <w:jc w:val="left"/>
              <w:rPr>
                <w:b/>
              </w:rPr>
            </w:pPr>
            <w:r>
              <w:rPr>
                <w:b/>
              </w:rPr>
              <w:t>Item 14.</w:t>
            </w:r>
          </w:p>
        </w:tc>
        <w:tc>
          <w:tcPr>
            <w:tcW w:w="9186"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Other Expenses of Issuance and Distribution </w:t>
            </w:r>
          </w:p>
        </w:tc>
      </w:tr>
    </w:tbl>
    <w:p>
      <w:pPr>
        <w:pStyle w:val="TextBody"/>
        <w:spacing w:before="120" w:after="0"/>
        <w:jc w:val="left"/>
        <w:rPr>
          <w:rFonts w:ascii="Times New Roman" w:hAnsi="Times New Roman"/>
          <w:sz w:val="20"/>
        </w:rPr>
      </w:pPr>
      <w:r>
        <w:rPr>
          <w:rFonts w:ascii="Times New Roman" w:hAnsi="Times New Roman"/>
          <w:sz w:val="20"/>
        </w:rPr>
        <w:t xml:space="preserve">The following table sets forth estimated expenses in connection with the issuance and distribution of the securities being registered: </w:t>
      </w:r>
    </w:p>
    <w:p>
      <w:pPr>
        <w:pStyle w:val="TextBody"/>
        <w:spacing w:before="0" w:after="0"/>
        <w:jc w:val="left"/>
        <w:rPr/>
      </w:pPr>
      <w:r>
        <w:rPr/>
        <w:t> </w:t>
      </w:r>
    </w:p>
    <w:tbl>
      <w:tblPr>
        <w:tblW w:w="3400" w:type="pct"/>
        <w:jc w:val="center"/>
        <w:tblInd w:w="0" w:type="dxa"/>
        <w:tblCellMar>
          <w:top w:w="0" w:type="dxa"/>
          <w:left w:w="0" w:type="dxa"/>
          <w:bottom w:w="0" w:type="dxa"/>
          <w:right w:w="0" w:type="dxa"/>
        </w:tblCellMar>
      </w:tblPr>
      <w:tblGrid>
        <w:gridCol w:w="5309"/>
        <w:gridCol w:w="463"/>
        <w:gridCol w:w="140"/>
        <w:gridCol w:w="964"/>
        <w:gridCol w:w="63"/>
      </w:tblGrid>
      <w:tr>
        <w:trPr/>
        <w:tc>
          <w:tcPr>
            <w:tcW w:w="5309" w:type="dxa"/>
            <w:tcBorders/>
            <w:shd w:fill="auto" w:val="clear"/>
            <w:vAlign w:val="center"/>
          </w:tcPr>
          <w:p>
            <w:pPr>
              <w:pStyle w:val="TableContents"/>
              <w:spacing w:before="0" w:after="283"/>
              <w:rPr>
                <w:sz w:val="4"/>
                <w:szCs w:val="4"/>
              </w:rPr>
            </w:pPr>
            <w:r>
              <w:rPr>
                <w:sz w:val="4"/>
                <w:szCs w:val="4"/>
              </w:rPr>
            </w:r>
          </w:p>
        </w:tc>
        <w:tc>
          <w:tcPr>
            <w:tcW w:w="463"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964" w:type="dxa"/>
            <w:tcBorders/>
            <w:shd w:fill="auto" w:val="clear"/>
            <w:vAlign w:val="center"/>
          </w:tcPr>
          <w:p>
            <w:pPr>
              <w:pStyle w:val="TableContents"/>
              <w:spacing w:before="0" w:after="283"/>
              <w:rPr>
                <w:sz w:val="4"/>
                <w:szCs w:val="4"/>
              </w:rPr>
            </w:pPr>
            <w:r>
              <w:rPr>
                <w:sz w:val="4"/>
                <w:szCs w:val="4"/>
              </w:rPr>
            </w:r>
          </w:p>
        </w:tc>
        <w:tc>
          <w:tcPr>
            <w:tcW w:w="63" w:type="dxa"/>
            <w:tcBorders/>
            <w:shd w:fill="auto" w:val="clear"/>
            <w:vAlign w:val="center"/>
          </w:tcPr>
          <w:p>
            <w:pPr>
              <w:pStyle w:val="TableContents"/>
              <w:spacing w:before="0" w:after="283"/>
              <w:rPr>
                <w:sz w:val="4"/>
                <w:szCs w:val="4"/>
              </w:rPr>
            </w:pPr>
            <w:r>
              <w:rPr>
                <w:sz w:val="4"/>
                <w:szCs w:val="4"/>
              </w:rPr>
            </w:r>
          </w:p>
        </w:tc>
      </w:tr>
      <w:tr>
        <w:trPr/>
        <w:tc>
          <w:tcPr>
            <w:tcW w:w="5309" w:type="dxa"/>
            <w:tcBorders/>
            <w:shd w:fill="auto" w:val="clear"/>
            <w:vAlign w:val="bottom"/>
          </w:tcPr>
          <w:p>
            <w:pPr>
              <w:pStyle w:val="TableContents"/>
              <w:spacing w:before="0" w:after="283"/>
              <w:rPr/>
            </w:pPr>
            <w:r>
              <w:rPr/>
              <w:t> </w:t>
            </w:r>
          </w:p>
        </w:tc>
        <w:tc>
          <w:tcPr>
            <w:tcW w:w="463" w:type="dxa"/>
            <w:tcBorders/>
            <w:shd w:fill="auto" w:val="clear"/>
            <w:vAlign w:val="bottom"/>
          </w:tcPr>
          <w:p>
            <w:pPr>
              <w:pStyle w:val="TableContents"/>
              <w:spacing w:before="0" w:after="283"/>
              <w:rPr/>
            </w:pPr>
            <w:r>
              <w:rPr/>
              <w:t>  </w:t>
            </w:r>
          </w:p>
        </w:tc>
        <w:tc>
          <w:tcPr>
            <w:tcW w:w="1104" w:type="dxa"/>
            <w:gridSpan w:val="2"/>
            <w:tcBorders>
              <w:bottom w:val="single" w:sz="8" w:space="0" w:color="000000"/>
            </w:tcBorders>
            <w:shd w:fill="auto" w:val="clear"/>
            <w:tcMar>
              <w:bottom w:w="28" w:type="dxa"/>
            </w:tcMar>
            <w:vAlign w:val="bottom"/>
          </w:tcPr>
          <w:p>
            <w:pPr>
              <w:pStyle w:val="TableContents"/>
              <w:spacing w:before="0" w:after="283"/>
              <w:jc w:val="center"/>
              <w:rPr/>
            </w:pPr>
            <w:r>
              <w:rPr>
                <w:b/>
              </w:rPr>
              <w:t>Amount</w:t>
            </w:r>
            <w:r>
              <w:rPr/>
              <w:br/>
            </w:r>
            <w:r>
              <w:rPr>
                <w:b/>
              </w:rPr>
              <w:t>to be Paid</w:t>
            </w:r>
          </w:p>
        </w:tc>
        <w:tc>
          <w:tcPr>
            <w:tcW w:w="63" w:type="dxa"/>
            <w:tcBorders/>
            <w:shd w:fill="auto" w:val="clear"/>
            <w:vAlign w:val="bottom"/>
          </w:tcPr>
          <w:p>
            <w:pPr>
              <w:pStyle w:val="TableContents"/>
              <w:spacing w:before="0" w:after="283"/>
              <w:rPr/>
            </w:pPr>
            <w:r>
              <w:rPr/>
              <w:t> </w:t>
            </w:r>
          </w:p>
        </w:tc>
      </w:tr>
      <w:tr>
        <w:trPr/>
        <w:tc>
          <w:tcPr>
            <w:tcW w:w="5309" w:type="dxa"/>
            <w:tcBorders/>
            <w:shd w:fill="CCEEFF" w:val="clear"/>
          </w:tcPr>
          <w:p>
            <w:pPr>
              <w:pStyle w:val="TableContents"/>
              <w:spacing w:before="0" w:after="0"/>
              <w:rPr>
                <w:rFonts w:ascii="Times New Roman" w:hAnsi="Times New Roman"/>
                <w:sz w:val="20"/>
              </w:rPr>
            </w:pPr>
            <w:r>
              <w:rPr>
                <w:rFonts w:ascii="Times New Roman" w:hAnsi="Times New Roman"/>
                <w:sz w:val="20"/>
              </w:rPr>
              <w:t>SEC registration fee</w:t>
            </w:r>
          </w:p>
        </w:tc>
        <w:tc>
          <w:tcPr>
            <w:tcW w:w="46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964" w:type="dxa"/>
            <w:tcBorders/>
            <w:shd w:fill="CCEEFF" w:val="clear"/>
            <w:vAlign w:val="bottom"/>
          </w:tcPr>
          <w:p>
            <w:pPr>
              <w:pStyle w:val="TableContents"/>
              <w:spacing w:before="0" w:after="283"/>
              <w:jc w:val="right"/>
              <w:rPr/>
            </w:pPr>
            <w:r>
              <w:rPr/>
              <w:t>7,787.87</w:t>
            </w:r>
          </w:p>
        </w:tc>
        <w:tc>
          <w:tcPr>
            <w:tcW w:w="63" w:type="dxa"/>
            <w:tcBorders/>
            <w:shd w:fill="CCEEFF" w:val="clear"/>
            <w:vAlign w:val="bottom"/>
          </w:tcPr>
          <w:p>
            <w:pPr>
              <w:pStyle w:val="TableContents"/>
              <w:spacing w:before="0" w:after="283"/>
              <w:rPr/>
            </w:pPr>
            <w:r>
              <w:rPr/>
              <w:t> </w:t>
            </w:r>
          </w:p>
        </w:tc>
      </w:tr>
      <w:tr>
        <w:trPr/>
        <w:tc>
          <w:tcPr>
            <w:tcW w:w="5309" w:type="dxa"/>
            <w:tcBorders/>
            <w:shd w:fill="auto" w:val="clear"/>
          </w:tcPr>
          <w:p>
            <w:pPr>
              <w:pStyle w:val="TableContents"/>
              <w:spacing w:before="0" w:after="0"/>
              <w:rPr>
                <w:rFonts w:ascii="Times New Roman" w:hAnsi="Times New Roman"/>
                <w:sz w:val="20"/>
              </w:rPr>
            </w:pPr>
            <w:r>
              <w:rPr>
                <w:rFonts w:ascii="Times New Roman" w:hAnsi="Times New Roman"/>
                <w:sz w:val="20"/>
              </w:rPr>
              <w:t>Printing and engraving expenses</w:t>
            </w:r>
          </w:p>
        </w:tc>
        <w:tc>
          <w:tcPr>
            <w:tcW w:w="46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964" w:type="dxa"/>
            <w:tcBorders/>
            <w:shd w:fill="auto" w:val="clear"/>
            <w:vAlign w:val="bottom"/>
          </w:tcPr>
          <w:p>
            <w:pPr>
              <w:pStyle w:val="TableContents"/>
              <w:spacing w:before="0" w:after="283"/>
              <w:jc w:val="right"/>
              <w:rPr/>
            </w:pPr>
            <w:r>
              <w:rPr/>
              <w:t>*</w:t>
            </w:r>
          </w:p>
        </w:tc>
        <w:tc>
          <w:tcPr>
            <w:tcW w:w="63" w:type="dxa"/>
            <w:tcBorders/>
            <w:shd w:fill="auto" w:val="clear"/>
            <w:vAlign w:val="bottom"/>
          </w:tcPr>
          <w:p>
            <w:pPr>
              <w:pStyle w:val="TableContents"/>
              <w:spacing w:before="0" w:after="283"/>
              <w:rPr/>
            </w:pPr>
            <w:r>
              <w:rPr/>
              <w:t> </w:t>
            </w:r>
          </w:p>
        </w:tc>
      </w:tr>
      <w:tr>
        <w:trPr/>
        <w:tc>
          <w:tcPr>
            <w:tcW w:w="5309" w:type="dxa"/>
            <w:tcBorders/>
            <w:shd w:fill="CCEEFF" w:val="clear"/>
          </w:tcPr>
          <w:p>
            <w:pPr>
              <w:pStyle w:val="TableContents"/>
              <w:spacing w:before="0" w:after="0"/>
              <w:rPr>
                <w:rFonts w:ascii="Times New Roman" w:hAnsi="Times New Roman"/>
                <w:sz w:val="20"/>
              </w:rPr>
            </w:pPr>
            <w:r>
              <w:rPr>
                <w:rFonts w:ascii="Times New Roman" w:hAnsi="Times New Roman"/>
                <w:sz w:val="20"/>
              </w:rPr>
              <w:t>Accounting fees and expenses</w:t>
            </w:r>
          </w:p>
        </w:tc>
        <w:tc>
          <w:tcPr>
            <w:tcW w:w="46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64" w:type="dxa"/>
            <w:tcBorders/>
            <w:shd w:fill="CCEEFF" w:val="clear"/>
            <w:vAlign w:val="bottom"/>
          </w:tcPr>
          <w:p>
            <w:pPr>
              <w:pStyle w:val="TableContents"/>
              <w:spacing w:before="0" w:after="283"/>
              <w:jc w:val="right"/>
              <w:rPr/>
            </w:pPr>
            <w:r>
              <w:rPr/>
              <w:t>*</w:t>
            </w:r>
          </w:p>
        </w:tc>
        <w:tc>
          <w:tcPr>
            <w:tcW w:w="63" w:type="dxa"/>
            <w:tcBorders/>
            <w:shd w:fill="CCEEFF" w:val="clear"/>
            <w:vAlign w:val="bottom"/>
          </w:tcPr>
          <w:p>
            <w:pPr>
              <w:pStyle w:val="TableContents"/>
              <w:spacing w:before="0" w:after="283"/>
              <w:rPr/>
            </w:pPr>
            <w:r>
              <w:rPr/>
              <w:t> </w:t>
            </w:r>
          </w:p>
        </w:tc>
      </w:tr>
      <w:tr>
        <w:trPr/>
        <w:tc>
          <w:tcPr>
            <w:tcW w:w="5309" w:type="dxa"/>
            <w:tcBorders/>
            <w:shd w:fill="auto" w:val="clear"/>
          </w:tcPr>
          <w:p>
            <w:pPr>
              <w:pStyle w:val="TableContents"/>
              <w:spacing w:before="0" w:after="0"/>
              <w:rPr>
                <w:rFonts w:ascii="Times New Roman" w:hAnsi="Times New Roman"/>
                <w:sz w:val="20"/>
              </w:rPr>
            </w:pPr>
            <w:r>
              <w:rPr>
                <w:rFonts w:ascii="Times New Roman" w:hAnsi="Times New Roman"/>
                <w:sz w:val="20"/>
              </w:rPr>
              <w:t>Legal fees and expenses</w:t>
            </w:r>
          </w:p>
        </w:tc>
        <w:tc>
          <w:tcPr>
            <w:tcW w:w="46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964" w:type="dxa"/>
            <w:tcBorders/>
            <w:shd w:fill="auto" w:val="clear"/>
            <w:vAlign w:val="bottom"/>
          </w:tcPr>
          <w:p>
            <w:pPr>
              <w:pStyle w:val="TableContents"/>
              <w:spacing w:before="0" w:after="283"/>
              <w:jc w:val="right"/>
              <w:rPr/>
            </w:pPr>
            <w:r>
              <w:rPr/>
              <w:t>*</w:t>
            </w:r>
          </w:p>
        </w:tc>
        <w:tc>
          <w:tcPr>
            <w:tcW w:w="63" w:type="dxa"/>
            <w:tcBorders/>
            <w:shd w:fill="auto" w:val="clear"/>
            <w:vAlign w:val="bottom"/>
          </w:tcPr>
          <w:p>
            <w:pPr>
              <w:pStyle w:val="TableContents"/>
              <w:spacing w:before="0" w:after="283"/>
              <w:rPr/>
            </w:pPr>
            <w:r>
              <w:rPr/>
              <w:t> </w:t>
            </w:r>
          </w:p>
        </w:tc>
      </w:tr>
      <w:tr>
        <w:trPr/>
        <w:tc>
          <w:tcPr>
            <w:tcW w:w="5309" w:type="dxa"/>
            <w:tcBorders/>
            <w:shd w:fill="CCEEFF" w:val="clear"/>
          </w:tcPr>
          <w:p>
            <w:pPr>
              <w:pStyle w:val="TableContents"/>
              <w:spacing w:before="0" w:after="0"/>
              <w:rPr>
                <w:rFonts w:ascii="Times New Roman" w:hAnsi="Times New Roman"/>
                <w:sz w:val="20"/>
              </w:rPr>
            </w:pPr>
            <w:r>
              <w:rPr>
                <w:rFonts w:ascii="Times New Roman" w:hAnsi="Times New Roman"/>
                <w:sz w:val="20"/>
              </w:rPr>
              <w:t>Miscellaneous expenses</w:t>
            </w:r>
          </w:p>
        </w:tc>
        <w:tc>
          <w:tcPr>
            <w:tcW w:w="46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64" w:type="dxa"/>
            <w:tcBorders/>
            <w:shd w:fill="CCEEFF" w:val="clear"/>
            <w:vAlign w:val="bottom"/>
          </w:tcPr>
          <w:p>
            <w:pPr>
              <w:pStyle w:val="TableContents"/>
              <w:spacing w:before="0" w:after="283"/>
              <w:jc w:val="right"/>
              <w:rPr/>
            </w:pPr>
            <w:r>
              <w:rPr/>
              <w:t>*</w:t>
            </w:r>
          </w:p>
        </w:tc>
        <w:tc>
          <w:tcPr>
            <w:tcW w:w="63" w:type="dxa"/>
            <w:tcBorders/>
            <w:shd w:fill="CCEEFF" w:val="clear"/>
            <w:vAlign w:val="bottom"/>
          </w:tcPr>
          <w:p>
            <w:pPr>
              <w:pStyle w:val="TableContents"/>
              <w:spacing w:before="0" w:after="283"/>
              <w:rPr/>
            </w:pPr>
            <w:r>
              <w:rPr/>
              <w:t> </w:t>
            </w:r>
          </w:p>
        </w:tc>
      </w:tr>
      <w:tr>
        <w:trPr/>
        <w:tc>
          <w:tcPr>
            <w:tcW w:w="5309" w:type="dxa"/>
            <w:tcBorders/>
            <w:shd w:fill="auto" w:val="clear"/>
            <w:vAlign w:val="bottom"/>
          </w:tcPr>
          <w:p>
            <w:pPr>
              <w:pStyle w:val="TableContents"/>
              <w:spacing w:before="0" w:after="283"/>
              <w:rPr>
                <w:sz w:val="4"/>
                <w:szCs w:val="4"/>
              </w:rPr>
            </w:pPr>
            <w:r>
              <w:rPr>
                <w:sz w:val="4"/>
                <w:szCs w:val="4"/>
              </w:rPr>
            </w:r>
          </w:p>
        </w:tc>
        <w:tc>
          <w:tcPr>
            <w:tcW w:w="46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964" w:type="dxa"/>
            <w:tcBorders/>
            <w:shd w:fill="auto" w:val="clear"/>
            <w:vAlign w:val="bottom"/>
          </w:tcPr>
          <w:p>
            <w:pPr>
              <w:pStyle w:val="TableContents"/>
              <w:pBdr>
                <w:top w:val="single" w:sz="2" w:space="1" w:color="000000"/>
              </w:pBdr>
              <w:spacing w:before="0" w:after="0"/>
              <w:rPr/>
            </w:pPr>
            <w:r>
              <w:rPr/>
              <w:t> </w:t>
            </w:r>
          </w:p>
        </w:tc>
        <w:tc>
          <w:tcPr>
            <w:tcW w:w="63" w:type="dxa"/>
            <w:tcBorders/>
            <w:shd w:fill="auto" w:val="clear"/>
            <w:vAlign w:val="center"/>
          </w:tcPr>
          <w:p>
            <w:pPr>
              <w:pStyle w:val="TableContents"/>
              <w:spacing w:before="0" w:after="283"/>
              <w:rPr/>
            </w:pPr>
            <w:r>
              <w:rPr/>
              <w:t> </w:t>
            </w:r>
          </w:p>
        </w:tc>
      </w:tr>
      <w:tr>
        <w:trPr/>
        <w:tc>
          <w:tcPr>
            <w:tcW w:w="5309" w:type="dxa"/>
            <w:tcBorders/>
            <w:shd w:fill="auto" w:val="clear"/>
          </w:tcPr>
          <w:p>
            <w:pPr>
              <w:pStyle w:val="TableContents"/>
              <w:spacing w:before="0" w:after="0"/>
              <w:rPr>
                <w:rFonts w:ascii="Times New Roman" w:hAnsi="Times New Roman"/>
                <w:sz w:val="20"/>
              </w:rPr>
            </w:pPr>
            <w:r>
              <w:rPr>
                <w:rFonts w:ascii="Times New Roman" w:hAnsi="Times New Roman"/>
                <w:sz w:val="20"/>
              </w:rPr>
              <w:t>Total</w:t>
            </w:r>
          </w:p>
        </w:tc>
        <w:tc>
          <w:tcPr>
            <w:tcW w:w="46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964" w:type="dxa"/>
            <w:tcBorders/>
            <w:shd w:fill="auto" w:val="clear"/>
            <w:vAlign w:val="bottom"/>
          </w:tcPr>
          <w:p>
            <w:pPr>
              <w:pStyle w:val="TableContents"/>
              <w:spacing w:before="0" w:after="283"/>
              <w:jc w:val="right"/>
              <w:rPr/>
            </w:pPr>
            <w:r>
              <w:rPr/>
              <w:t>7,787.87</w:t>
            </w:r>
          </w:p>
        </w:tc>
        <w:tc>
          <w:tcPr>
            <w:tcW w:w="63" w:type="dxa"/>
            <w:tcBorders/>
            <w:shd w:fill="auto" w:val="clear"/>
            <w:vAlign w:val="bottom"/>
          </w:tcPr>
          <w:p>
            <w:pPr>
              <w:pStyle w:val="TableContents"/>
              <w:spacing w:before="0" w:after="283"/>
              <w:rPr/>
            </w:pPr>
            <w:r>
              <w:rPr/>
              <w:t> </w:t>
            </w:r>
          </w:p>
        </w:tc>
      </w:tr>
    </w:tbl>
    <w:p>
      <w:pPr>
        <w:pStyle w:val="TextBody"/>
        <w:pBdr>
          <w:bottom w:val="single" w:sz="2" w:space="1" w:color="000000"/>
        </w:pBdr>
        <w:spacing w:lineRule="atLeast" w:line="160" w:before="0" w:after="40"/>
        <w:jc w:val="left"/>
        <w:rPr/>
      </w:pPr>
      <w:r>
        <w:rPr/>
        <w:t> </w:t>
      </w:r>
    </w:p>
    <w:tbl>
      <w:tblPr>
        <w:tblW w:w="5000" w:type="pct"/>
        <w:jc w:val="left"/>
        <w:tblInd w:w="0" w:type="dxa"/>
        <w:tblCellMar>
          <w:top w:w="0" w:type="dxa"/>
          <w:left w:w="0" w:type="dxa"/>
          <w:bottom w:w="0" w:type="dxa"/>
          <w:right w:w="0" w:type="dxa"/>
        </w:tblCellMar>
      </w:tblPr>
      <w:tblGrid>
        <w:gridCol w:w="405"/>
        <w:gridCol w:w="9800"/>
      </w:tblGrid>
      <w:tr>
        <w:trPr/>
        <w:tc>
          <w:tcPr>
            <w:tcW w:w="405" w:type="dxa"/>
            <w:tcBorders/>
            <w:shd w:fill="auto" w:val="clear"/>
          </w:tcPr>
          <w:p>
            <w:pPr>
              <w:pStyle w:val="TableContents"/>
              <w:spacing w:before="0" w:after="283"/>
              <w:jc w:val="left"/>
              <w:rPr/>
            </w:pPr>
            <w:r>
              <w:rPr/>
              <w:t>*</w:t>
            </w:r>
          </w:p>
        </w:tc>
        <w:tc>
          <w:tcPr>
            <w:tcW w:w="980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These fees are calculated based on the securities offered and the number of issuances and accordingly cannot be estimated at this time.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20"/>
        <w:gridCol w:w="9185"/>
      </w:tblGrid>
      <w:tr>
        <w:trPr/>
        <w:tc>
          <w:tcPr>
            <w:tcW w:w="1020" w:type="dxa"/>
            <w:tcBorders/>
            <w:shd w:fill="auto" w:val="clear"/>
          </w:tcPr>
          <w:p>
            <w:pPr>
              <w:pStyle w:val="TableContents"/>
              <w:spacing w:before="0" w:after="283"/>
              <w:jc w:val="left"/>
              <w:rPr>
                <w:b/>
              </w:rPr>
            </w:pPr>
            <w:r>
              <w:rPr>
                <w:b/>
              </w:rPr>
              <w:t>Item 15.</w:t>
            </w:r>
          </w:p>
        </w:tc>
        <w:tc>
          <w:tcPr>
            <w:tcW w:w="9185"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Indemnification of Directors and Officers </w:t>
            </w:r>
          </w:p>
        </w:tc>
      </w:tr>
    </w:tbl>
    <w:p>
      <w:pPr>
        <w:pStyle w:val="TextBody"/>
        <w:spacing w:before="120" w:after="0"/>
        <w:jc w:val="left"/>
        <w:rPr>
          <w:rFonts w:ascii="Times New Roman" w:hAnsi="Times New Roman"/>
          <w:sz w:val="20"/>
        </w:rPr>
      </w:pPr>
      <w:r>
        <w:rPr>
          <w:rFonts w:ascii="Times New Roman" w:hAnsi="Times New Roman"/>
          <w:sz w:val="20"/>
        </w:rPr>
        <w:t xml:space="preserve">Section 145 of the Delaware General Corporation Law (DGCL) authorizes a corporations board of directors to grant, and authorizes a court to award, indemnity to officers, directors and other corporate agents. </w:t>
      </w:r>
    </w:p>
    <w:p>
      <w:pPr>
        <w:pStyle w:val="TextBody"/>
        <w:spacing w:before="240" w:after="0"/>
        <w:jc w:val="left"/>
        <w:rPr>
          <w:rFonts w:ascii="Times New Roman" w:hAnsi="Times New Roman"/>
          <w:sz w:val="20"/>
        </w:rPr>
      </w:pPr>
      <w:r>
        <w:rPr>
          <w:rFonts w:ascii="Times New Roman" w:hAnsi="Times New Roman"/>
          <w:sz w:val="20"/>
        </w:rPr>
        <w:t xml:space="preserve">Our Certificate of Incorporation contains provisions that limit the liability of our directors for monetary damages to the fullest extent permitted by the DGCL. Consequently, our directors will not be personally liable to us or our stockholders for monetary damages for any breach of fiduciary duties as directors, except liability for the following: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0"/>
        <w:gridCol w:w="9290"/>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0"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any breach of their duty of loyalty to our company or our stockholders;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any act or omission not in good faith or that involves intentional misconduct or a knowing violation of law;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unlawful payments of dividends or unlawful stock repurchases or redemptions as provided in Section 174 of the DGCL; or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any transaction from which they derived an improper personal benefit. </w:t>
            </w:r>
          </w:p>
        </w:tc>
      </w:tr>
    </w:tbl>
    <w:p>
      <w:pPr>
        <w:pStyle w:val="TextBody"/>
        <w:spacing w:before="240" w:after="0"/>
        <w:jc w:val="left"/>
        <w:rPr>
          <w:rFonts w:ascii="Times New Roman" w:hAnsi="Times New Roman"/>
          <w:sz w:val="20"/>
        </w:rPr>
      </w:pPr>
      <w:r>
        <w:rPr>
          <w:rFonts w:ascii="Times New Roman" w:hAnsi="Times New Roman"/>
          <w:sz w:val="20"/>
        </w:rPr>
        <w:t xml:space="preserve">Any amendment, repeal or elimination of these provisions will not eliminate or reduce the effect of these provisions in respect of any act, omission or claim that occurred or arose prior to that amendment, repeal or elimination. If the DGCL is amended to provide for further limitations on the personal liability of directors of corporations, then the personal liability of our directors will be further limited to the greatest extent permitted by the DGCL. </w:t>
      </w:r>
    </w:p>
    <w:p>
      <w:pPr>
        <w:pStyle w:val="TextBody"/>
        <w:spacing w:before="240" w:after="0"/>
        <w:jc w:val="left"/>
        <w:rPr>
          <w:rFonts w:ascii="Times New Roman" w:hAnsi="Times New Roman"/>
          <w:sz w:val="20"/>
        </w:rPr>
      </w:pPr>
      <w:r>
        <w:rPr>
          <w:rFonts w:ascii="Times New Roman" w:hAnsi="Times New Roman"/>
          <w:sz w:val="20"/>
        </w:rPr>
        <w:t xml:space="preserve">In addition, our By-Laws provide that we will indemnify our directors and officers, and may indemnify our employees, agents and any other persons, to the fullest extent permitted by the DGCL. Our By-Laws also provide that we must advance expenses incurred by or on behalf of a director or officer in advance of the final disposition of any action or proceeding, subject to limited exceptions. </w:t>
      </w:r>
    </w:p>
    <w:p>
      <w:pPr>
        <w:pStyle w:val="TextBody"/>
        <w:spacing w:before="240" w:after="0"/>
        <w:jc w:val="left"/>
        <w:rPr>
          <w:rFonts w:ascii="Times New Roman" w:hAnsi="Times New Roman"/>
          <w:sz w:val="20"/>
        </w:rPr>
      </w:pPr>
      <w:r>
        <w:rPr>
          <w:rFonts w:ascii="Times New Roman" w:hAnsi="Times New Roman"/>
          <w:sz w:val="20"/>
        </w:rPr>
        <w:t xml:space="preserve">Further, we have entered into or will enter into indemnification agreements with each of our directors and executive officers that may be broader than the specific indemnification provisions contained in the DGCL. These indemnification agreements require us, among other things, to indemnify our directors and executive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II-1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officers against liabilities that may arise by reason of their status or service. These indemnification agreements also require us to advance all expenses reasonably and actually incurred by the directors and executive officers in investigating or defending any such action, suit or proceeding. We believe that these agreements are necessary to attract and retain qualified individuals to serve as directors and executive officers. </w:t>
      </w:r>
    </w:p>
    <w:p>
      <w:pPr>
        <w:pStyle w:val="TextBody"/>
        <w:spacing w:before="240" w:after="0"/>
        <w:jc w:val="left"/>
        <w:rPr>
          <w:rFonts w:ascii="Times New Roman" w:hAnsi="Times New Roman"/>
          <w:sz w:val="20"/>
        </w:rPr>
      </w:pPr>
      <w:r>
        <w:rPr>
          <w:rFonts w:ascii="Times New Roman" w:hAnsi="Times New Roman"/>
          <w:sz w:val="20"/>
        </w:rPr>
        <w:t xml:space="preserve">The limitation of liability and indemnification provisions included in our Certificate of Incorporation, By-Laws and the indemnification agreements that we have entered into or will enter into with our directors and executive officers may discourage stockholders from bringing a lawsuit against our directors and executive officers for breach of their fiduciary duties. They may also reduce the likelihood of derivative litigation against our directors and executive officers, even though an action, if successful, might benefit us and other stockholders. Further, a stockholders investment may be adversely affected to the extent that we pay the costs of settlement and damage awards against directors and executive officers as required by these indemnification provisions. </w:t>
      </w:r>
    </w:p>
    <w:p>
      <w:pPr>
        <w:pStyle w:val="TextBody"/>
        <w:spacing w:before="240" w:after="0"/>
        <w:jc w:val="left"/>
        <w:rPr>
          <w:rFonts w:ascii="Times New Roman" w:hAnsi="Times New Roman"/>
          <w:sz w:val="20"/>
        </w:rPr>
      </w:pPr>
      <w:r>
        <w:rPr>
          <w:rFonts w:ascii="Times New Roman" w:hAnsi="Times New Roman"/>
          <w:sz w:val="20"/>
        </w:rPr>
        <w:t xml:space="preserve">We have obtained insurance policies under which, subject to the limitations of the policies, coverage is provided to our directors and executive officers against loss arising from claims made by reason of breach of fiduciary duty or other wrongful acts as a director or executive officer, including claims relating to public securities matters, and to us with respect to payments that may be made by us to these directors and executive officers pursuant to our indemnification obligations or otherwise as a matter of law. </w:t>
      </w:r>
    </w:p>
    <w:p>
      <w:pPr>
        <w:pStyle w:val="TextBody"/>
        <w:spacing w:before="240" w:after="0"/>
        <w:jc w:val="left"/>
        <w:rPr>
          <w:rFonts w:ascii="Times New Roman" w:hAnsi="Times New Roman"/>
          <w:sz w:val="20"/>
        </w:rPr>
      </w:pPr>
      <w:r>
        <w:rPr>
          <w:rFonts w:ascii="Times New Roman" w:hAnsi="Times New Roman"/>
          <w:sz w:val="20"/>
        </w:rPr>
        <w:t xml:space="preserve">Certain of our non-employee directors may, through their relationships with their employers, be insured and/or indemnified against certain liabilities incurred in their capacity as members of our Board of Directors. </w:t>
      </w:r>
    </w:p>
    <w:p>
      <w:pPr>
        <w:pStyle w:val="TextBody"/>
        <w:spacing w:before="240" w:after="0"/>
        <w:jc w:val="left"/>
        <w:rPr>
          <w:rFonts w:ascii="Times New Roman" w:hAnsi="Times New Roman"/>
          <w:sz w:val="20"/>
        </w:rPr>
      </w:pPr>
      <w:r>
        <w:rPr>
          <w:rFonts w:ascii="Times New Roman" w:hAnsi="Times New Roman"/>
          <w:sz w:val="20"/>
        </w:rPr>
        <w:t xml:space="preserve">Insofar as indemnification for liabilities arising under the Securities Act may be permitted to directors, officers, or persons controlling our company pursuant to the foregoing provisions, we have been informed that, in the opinion of the SEC, such indemnification is against public policy as expressed in the Securities Act and is therefore unenforceable.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19"/>
        <w:gridCol w:w="9186"/>
      </w:tblGrid>
      <w:tr>
        <w:trPr/>
        <w:tc>
          <w:tcPr>
            <w:tcW w:w="1019" w:type="dxa"/>
            <w:tcBorders/>
            <w:shd w:fill="auto" w:val="clear"/>
          </w:tcPr>
          <w:p>
            <w:pPr>
              <w:pStyle w:val="TableContents"/>
              <w:spacing w:before="0" w:after="283"/>
              <w:jc w:val="left"/>
              <w:rPr>
                <w:b/>
              </w:rPr>
            </w:pPr>
            <w:r>
              <w:rPr>
                <w:b/>
              </w:rPr>
              <w:t>Item 16.</w:t>
            </w:r>
          </w:p>
        </w:tc>
        <w:tc>
          <w:tcPr>
            <w:tcW w:w="9186"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Exhibits </w:t>
            </w:r>
          </w:p>
        </w:tc>
      </w:tr>
    </w:tbl>
    <w:p>
      <w:pPr>
        <w:pStyle w:val="TextBody"/>
        <w:spacing w:before="120" w:after="0"/>
        <w:jc w:val="left"/>
        <w:rPr>
          <w:rFonts w:ascii="Times New Roman" w:hAnsi="Times New Roman"/>
          <w:b/>
          <w:i/>
          <w:sz w:val="20"/>
        </w:rPr>
      </w:pPr>
      <w:r>
        <w:rPr>
          <w:rFonts w:ascii="Times New Roman" w:hAnsi="Times New Roman"/>
          <w:b/>
          <w:i/>
          <w:sz w:val="20"/>
        </w:rPr>
        <w:t xml:space="preserve">(a) Exhibits </w:t>
      </w:r>
    </w:p>
    <w:p>
      <w:pPr>
        <w:pStyle w:val="TextBody"/>
        <w:spacing w:before="360" w:after="0"/>
        <w:jc w:val="center"/>
        <w:rPr>
          <w:rFonts w:ascii="Times New Roman" w:hAnsi="Times New Roman"/>
          <w:b/>
          <w:sz w:val="20"/>
        </w:rPr>
      </w:pPr>
      <w:r>
        <w:rPr>
          <w:rFonts w:ascii="Times New Roman" w:hAnsi="Times New Roman"/>
          <w:b/>
          <w:sz w:val="20"/>
        </w:rPr>
        <w:t xml:space="preserve">EXHIBIT INDEX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885"/>
        <w:gridCol w:w="497"/>
        <w:gridCol w:w="8823"/>
      </w:tblGrid>
      <w:tr>
        <w:trPr/>
        <w:tc>
          <w:tcPr>
            <w:tcW w:w="885" w:type="dxa"/>
            <w:tcBorders/>
            <w:shd w:fill="auto" w:val="clear"/>
            <w:vAlign w:val="center"/>
          </w:tcPr>
          <w:p>
            <w:pPr>
              <w:pStyle w:val="TableContents"/>
              <w:spacing w:before="0" w:after="283"/>
              <w:rPr>
                <w:sz w:val="4"/>
                <w:szCs w:val="4"/>
              </w:rPr>
            </w:pPr>
            <w:r>
              <w:rPr>
                <w:sz w:val="4"/>
                <w:szCs w:val="4"/>
              </w:rPr>
            </w:r>
          </w:p>
        </w:tc>
        <w:tc>
          <w:tcPr>
            <w:tcW w:w="497" w:type="dxa"/>
            <w:tcBorders/>
            <w:shd w:fill="auto" w:val="clear"/>
            <w:vAlign w:val="bottom"/>
          </w:tcPr>
          <w:p>
            <w:pPr>
              <w:pStyle w:val="TableContents"/>
              <w:spacing w:before="0" w:after="283"/>
              <w:rPr>
                <w:sz w:val="4"/>
                <w:szCs w:val="4"/>
              </w:rPr>
            </w:pPr>
            <w:r>
              <w:rPr>
                <w:sz w:val="4"/>
                <w:szCs w:val="4"/>
              </w:rPr>
            </w:r>
          </w:p>
        </w:tc>
        <w:tc>
          <w:tcPr>
            <w:tcW w:w="8823" w:type="dxa"/>
            <w:tcBorders/>
            <w:shd w:fill="auto" w:val="clear"/>
            <w:vAlign w:val="center"/>
          </w:tcPr>
          <w:p>
            <w:pPr>
              <w:pStyle w:val="TableContents"/>
              <w:spacing w:before="0" w:after="283"/>
              <w:rPr>
                <w:sz w:val="4"/>
                <w:szCs w:val="4"/>
              </w:rPr>
            </w:pPr>
            <w:r>
              <w:rPr>
                <w:sz w:val="4"/>
                <w:szCs w:val="4"/>
              </w:rPr>
            </w:r>
          </w:p>
        </w:tc>
      </w:tr>
      <w:tr>
        <w:trPr/>
        <w:tc>
          <w:tcPr>
            <w:tcW w:w="885" w:type="dxa"/>
            <w:tcBorders>
              <w:bottom w:val="single" w:sz="8" w:space="0" w:color="000000"/>
            </w:tcBorders>
            <w:shd w:fill="auto" w:val="clear"/>
            <w:tcMar>
              <w:bottom w:w="28" w:type="dxa"/>
            </w:tcMar>
            <w:vAlign w:val="bottom"/>
          </w:tcPr>
          <w:p>
            <w:pPr>
              <w:pStyle w:val="TableContents"/>
              <w:spacing w:before="0" w:after="283"/>
              <w:jc w:val="center"/>
              <w:rPr>
                <w:b/>
              </w:rPr>
            </w:pPr>
            <w:r>
              <w:rPr>
                <w:b/>
              </w:rPr>
              <w:t>Exhibit</w:t>
              <w:br/>
              <w:t>Number</w:t>
            </w:r>
          </w:p>
        </w:tc>
        <w:tc>
          <w:tcPr>
            <w:tcW w:w="497" w:type="dxa"/>
            <w:tcBorders/>
            <w:shd w:fill="auto" w:val="clear"/>
            <w:vAlign w:val="bottom"/>
          </w:tcPr>
          <w:p>
            <w:pPr>
              <w:pStyle w:val="TableContents"/>
              <w:spacing w:before="0" w:after="283"/>
              <w:rPr/>
            </w:pPr>
            <w:r>
              <w:rPr/>
              <w:t>  </w:t>
            </w:r>
          </w:p>
        </w:tc>
        <w:tc>
          <w:tcPr>
            <w:tcW w:w="8823" w:type="dxa"/>
            <w:tcBorders>
              <w:bottom w:val="single" w:sz="8" w:space="0" w:color="000000"/>
            </w:tcBorders>
            <w:shd w:fill="auto" w:val="clear"/>
            <w:tcMar>
              <w:bottom w:w="28" w:type="dxa"/>
            </w:tcMar>
            <w:vAlign w:val="bottom"/>
          </w:tcPr>
          <w:p>
            <w:pPr>
              <w:pStyle w:val="TableContents"/>
              <w:spacing w:before="0" w:after="20"/>
              <w:jc w:val="center"/>
              <w:rPr>
                <w:rFonts w:ascii="Times New Roman" w:hAnsi="Times New Roman"/>
                <w:b/>
                <w:sz w:val="16"/>
              </w:rPr>
            </w:pPr>
            <w:r>
              <w:rPr>
                <w:rFonts w:ascii="Times New Roman" w:hAnsi="Times New Roman"/>
                <w:b/>
                <w:sz w:val="16"/>
              </w:rPr>
              <w:t>Description</w:t>
            </w:r>
          </w:p>
        </w:tc>
      </w:tr>
      <w:tr>
        <w:trPr>
          <w:trHeight w:val="120" w:hRule="atLeast"/>
        </w:trPr>
        <w:tc>
          <w:tcPr>
            <w:tcW w:w="885" w:type="dxa"/>
            <w:tcBorders/>
            <w:shd w:fill="auto" w:val="clear"/>
            <w:vAlign w:val="center"/>
          </w:tcPr>
          <w:p>
            <w:pPr>
              <w:pStyle w:val="TableContents"/>
              <w:spacing w:before="0" w:after="283"/>
              <w:rPr>
                <w:sz w:val="4"/>
                <w:szCs w:val="4"/>
              </w:rPr>
            </w:pPr>
            <w:r>
              <w:rPr>
                <w:sz w:val="4"/>
                <w:szCs w:val="4"/>
              </w:rPr>
            </w:r>
          </w:p>
        </w:tc>
        <w:tc>
          <w:tcPr>
            <w:tcW w:w="9320" w:type="dxa"/>
            <w:gridSpan w:val="2"/>
            <w:tcBorders/>
            <w:shd w:fill="auto" w:val="clear"/>
            <w:vAlign w:val="center"/>
          </w:tcPr>
          <w:p>
            <w:pPr>
              <w:pStyle w:val="TableContents"/>
              <w:spacing w:before="0" w:after="283"/>
              <w:rPr>
                <w:sz w:val="4"/>
                <w:szCs w:val="4"/>
              </w:rPr>
            </w:pPr>
            <w:r>
              <w:rPr>
                <w:sz w:val="4"/>
                <w:szCs w:val="4"/>
              </w:rPr>
            </w:r>
          </w:p>
        </w:tc>
      </w:tr>
      <w:tr>
        <w:trPr/>
        <w:tc>
          <w:tcPr>
            <w:tcW w:w="885" w:type="dxa"/>
            <w:tcBorders/>
            <w:shd w:fill="auto" w:val="clear"/>
          </w:tcPr>
          <w:p>
            <w:pPr>
              <w:pStyle w:val="TableContents"/>
              <w:spacing w:before="0" w:after="283"/>
              <w:rPr/>
            </w:pPr>
            <w:r>
              <w:rPr/>
              <w:t>    </w:t>
            </w:r>
            <w:r>
              <w:rPr/>
              <w:t>2.1*</w:t>
            </w:r>
          </w:p>
        </w:tc>
        <w:tc>
          <w:tcPr>
            <w:tcW w:w="497" w:type="dxa"/>
            <w:tcBorders/>
            <w:shd w:fill="auto" w:val="clear"/>
            <w:vAlign w:val="bottom"/>
          </w:tcPr>
          <w:p>
            <w:pPr>
              <w:pStyle w:val="TableContents"/>
              <w:spacing w:before="0" w:after="283"/>
              <w:rPr/>
            </w:pPr>
            <w:r>
              <w:rPr/>
              <w:t>  </w:t>
            </w:r>
          </w:p>
        </w:tc>
        <w:tc>
          <w:tcPr>
            <w:tcW w:w="8823" w:type="dxa"/>
            <w:tcBorders/>
            <w:shd w:fill="auto" w:val="clear"/>
          </w:tcPr>
          <w:p>
            <w:pPr>
              <w:pStyle w:val="TableContents"/>
              <w:spacing w:before="0" w:after="283"/>
              <w:rPr/>
            </w:pPr>
            <w:hyperlink r:id="rId11">
              <w:r>
                <w:rPr>
                  <w:rStyle w:val="InternetLink"/>
                </w:rPr>
                <w:t>Membership Interest Purchase Agreement, dated as of November  2, 2022, by and among the Company, Bakkt Marketplace, Seller and Target.</w:t>
              </w:r>
            </w:hyperlink>
          </w:p>
        </w:tc>
      </w:tr>
      <w:tr>
        <w:trPr>
          <w:trHeight w:val="120" w:hRule="atLeast"/>
        </w:trPr>
        <w:tc>
          <w:tcPr>
            <w:tcW w:w="885" w:type="dxa"/>
            <w:tcBorders/>
            <w:shd w:fill="auto" w:val="clear"/>
            <w:vAlign w:val="center"/>
          </w:tcPr>
          <w:p>
            <w:pPr>
              <w:pStyle w:val="TableContents"/>
              <w:spacing w:before="0" w:after="283"/>
              <w:rPr>
                <w:sz w:val="4"/>
                <w:szCs w:val="4"/>
              </w:rPr>
            </w:pPr>
            <w:r>
              <w:rPr>
                <w:sz w:val="4"/>
                <w:szCs w:val="4"/>
              </w:rPr>
            </w:r>
          </w:p>
        </w:tc>
        <w:tc>
          <w:tcPr>
            <w:tcW w:w="9320" w:type="dxa"/>
            <w:gridSpan w:val="2"/>
            <w:tcBorders/>
            <w:shd w:fill="auto" w:val="clear"/>
            <w:vAlign w:val="center"/>
          </w:tcPr>
          <w:p>
            <w:pPr>
              <w:pStyle w:val="TableContents"/>
              <w:spacing w:before="0" w:after="283"/>
              <w:rPr>
                <w:sz w:val="4"/>
                <w:szCs w:val="4"/>
              </w:rPr>
            </w:pPr>
            <w:r>
              <w:rPr>
                <w:sz w:val="4"/>
                <w:szCs w:val="4"/>
              </w:rPr>
            </w:r>
          </w:p>
        </w:tc>
      </w:tr>
      <w:tr>
        <w:trPr/>
        <w:tc>
          <w:tcPr>
            <w:tcW w:w="885" w:type="dxa"/>
            <w:tcBorders/>
            <w:shd w:fill="auto" w:val="clear"/>
          </w:tcPr>
          <w:p>
            <w:pPr>
              <w:pStyle w:val="TableContents"/>
              <w:spacing w:before="0" w:after="283"/>
              <w:rPr/>
            </w:pPr>
            <w:r>
              <w:rPr/>
              <w:t>    </w:t>
            </w:r>
            <w:r>
              <w:rPr/>
              <w:t>2.2*</w:t>
            </w:r>
          </w:p>
        </w:tc>
        <w:tc>
          <w:tcPr>
            <w:tcW w:w="497" w:type="dxa"/>
            <w:tcBorders/>
            <w:shd w:fill="auto" w:val="clear"/>
            <w:vAlign w:val="bottom"/>
          </w:tcPr>
          <w:p>
            <w:pPr>
              <w:pStyle w:val="TableContents"/>
              <w:spacing w:before="0" w:after="283"/>
              <w:rPr/>
            </w:pPr>
            <w:r>
              <w:rPr/>
              <w:t>  </w:t>
            </w:r>
          </w:p>
        </w:tc>
        <w:tc>
          <w:tcPr>
            <w:tcW w:w="8823" w:type="dxa"/>
            <w:tcBorders/>
            <w:shd w:fill="auto" w:val="clear"/>
          </w:tcPr>
          <w:p>
            <w:pPr>
              <w:pStyle w:val="TableContents"/>
              <w:spacing w:before="0" w:after="283"/>
              <w:rPr/>
            </w:pPr>
            <w:hyperlink r:id="rId12">
              <w:r>
                <w:rPr>
                  <w:rStyle w:val="InternetLink"/>
                </w:rPr>
                <w:t>Amendment No. 1 To Membership Interest Purchase Agreement, dated as of March  30, 2023, by and among the Company, Bakkt Marketplace, Seller and Target.</w:t>
              </w:r>
            </w:hyperlink>
          </w:p>
        </w:tc>
      </w:tr>
      <w:tr>
        <w:trPr>
          <w:trHeight w:val="120" w:hRule="atLeast"/>
        </w:trPr>
        <w:tc>
          <w:tcPr>
            <w:tcW w:w="885" w:type="dxa"/>
            <w:tcBorders/>
            <w:shd w:fill="auto" w:val="clear"/>
            <w:vAlign w:val="center"/>
          </w:tcPr>
          <w:p>
            <w:pPr>
              <w:pStyle w:val="TableContents"/>
              <w:spacing w:before="0" w:after="283"/>
              <w:rPr>
                <w:sz w:val="4"/>
                <w:szCs w:val="4"/>
              </w:rPr>
            </w:pPr>
            <w:r>
              <w:rPr>
                <w:sz w:val="4"/>
                <w:szCs w:val="4"/>
              </w:rPr>
            </w:r>
          </w:p>
        </w:tc>
        <w:tc>
          <w:tcPr>
            <w:tcW w:w="9320" w:type="dxa"/>
            <w:gridSpan w:val="2"/>
            <w:tcBorders/>
            <w:shd w:fill="auto" w:val="clear"/>
            <w:vAlign w:val="center"/>
          </w:tcPr>
          <w:p>
            <w:pPr>
              <w:pStyle w:val="TableContents"/>
              <w:spacing w:before="0" w:after="283"/>
              <w:rPr>
                <w:sz w:val="4"/>
                <w:szCs w:val="4"/>
              </w:rPr>
            </w:pPr>
            <w:r>
              <w:rPr>
                <w:sz w:val="4"/>
                <w:szCs w:val="4"/>
              </w:rPr>
            </w:r>
          </w:p>
        </w:tc>
      </w:tr>
      <w:tr>
        <w:trPr/>
        <w:tc>
          <w:tcPr>
            <w:tcW w:w="885" w:type="dxa"/>
            <w:tcBorders/>
            <w:shd w:fill="auto" w:val="clear"/>
          </w:tcPr>
          <w:p>
            <w:pPr>
              <w:pStyle w:val="TableContents"/>
              <w:spacing w:before="0" w:after="283"/>
              <w:rPr/>
            </w:pPr>
            <w:r>
              <w:rPr/>
              <w:t>    </w:t>
            </w:r>
            <w:r>
              <w:rPr/>
              <w:t>3.1</w:t>
            </w:r>
          </w:p>
        </w:tc>
        <w:tc>
          <w:tcPr>
            <w:tcW w:w="497" w:type="dxa"/>
            <w:tcBorders/>
            <w:shd w:fill="auto" w:val="clear"/>
            <w:vAlign w:val="bottom"/>
          </w:tcPr>
          <w:p>
            <w:pPr>
              <w:pStyle w:val="TableContents"/>
              <w:spacing w:before="0" w:after="283"/>
              <w:rPr/>
            </w:pPr>
            <w:r>
              <w:rPr/>
              <w:t>  </w:t>
            </w:r>
          </w:p>
        </w:tc>
        <w:tc>
          <w:tcPr>
            <w:tcW w:w="8823" w:type="dxa"/>
            <w:tcBorders/>
            <w:shd w:fill="auto" w:val="clear"/>
          </w:tcPr>
          <w:p>
            <w:pPr>
              <w:pStyle w:val="TableContents"/>
              <w:spacing w:before="0" w:after="283"/>
              <w:rPr/>
            </w:pPr>
            <w:hyperlink r:id="rId13">
              <w:r>
                <w:rPr>
                  <w:rStyle w:val="InternetLink"/>
                </w:rPr>
                <w:t>Certificate of Incorporation of the Company, as currently in effect (incorporated by reference to Exhibit 3.1 to the Companys Form 8-K filed with the SEC on October 21, 2021).</w:t>
              </w:r>
            </w:hyperlink>
          </w:p>
        </w:tc>
      </w:tr>
      <w:tr>
        <w:trPr>
          <w:trHeight w:val="120" w:hRule="atLeast"/>
        </w:trPr>
        <w:tc>
          <w:tcPr>
            <w:tcW w:w="885" w:type="dxa"/>
            <w:tcBorders/>
            <w:shd w:fill="auto" w:val="clear"/>
            <w:vAlign w:val="center"/>
          </w:tcPr>
          <w:p>
            <w:pPr>
              <w:pStyle w:val="TableContents"/>
              <w:spacing w:before="0" w:after="283"/>
              <w:rPr>
                <w:sz w:val="4"/>
                <w:szCs w:val="4"/>
              </w:rPr>
            </w:pPr>
            <w:r>
              <w:rPr>
                <w:sz w:val="4"/>
                <w:szCs w:val="4"/>
              </w:rPr>
            </w:r>
          </w:p>
        </w:tc>
        <w:tc>
          <w:tcPr>
            <w:tcW w:w="9320" w:type="dxa"/>
            <w:gridSpan w:val="2"/>
            <w:tcBorders/>
            <w:shd w:fill="auto" w:val="clear"/>
            <w:vAlign w:val="center"/>
          </w:tcPr>
          <w:p>
            <w:pPr>
              <w:pStyle w:val="TableContents"/>
              <w:spacing w:before="0" w:after="283"/>
              <w:rPr>
                <w:sz w:val="4"/>
                <w:szCs w:val="4"/>
              </w:rPr>
            </w:pPr>
            <w:r>
              <w:rPr>
                <w:sz w:val="4"/>
                <w:szCs w:val="4"/>
              </w:rPr>
            </w:r>
          </w:p>
        </w:tc>
      </w:tr>
      <w:tr>
        <w:trPr/>
        <w:tc>
          <w:tcPr>
            <w:tcW w:w="885" w:type="dxa"/>
            <w:tcBorders/>
            <w:shd w:fill="auto" w:val="clear"/>
          </w:tcPr>
          <w:p>
            <w:pPr>
              <w:pStyle w:val="TableContents"/>
              <w:spacing w:before="0" w:after="283"/>
              <w:rPr/>
            </w:pPr>
            <w:r>
              <w:rPr/>
              <w:t>    </w:t>
            </w:r>
            <w:r>
              <w:rPr/>
              <w:t>3.2</w:t>
            </w:r>
          </w:p>
        </w:tc>
        <w:tc>
          <w:tcPr>
            <w:tcW w:w="497" w:type="dxa"/>
            <w:tcBorders/>
            <w:shd w:fill="auto" w:val="clear"/>
            <w:vAlign w:val="bottom"/>
          </w:tcPr>
          <w:p>
            <w:pPr>
              <w:pStyle w:val="TableContents"/>
              <w:spacing w:before="0" w:after="283"/>
              <w:rPr/>
            </w:pPr>
            <w:r>
              <w:rPr/>
              <w:t>  </w:t>
            </w:r>
          </w:p>
        </w:tc>
        <w:tc>
          <w:tcPr>
            <w:tcW w:w="8823" w:type="dxa"/>
            <w:tcBorders/>
            <w:shd w:fill="auto" w:val="clear"/>
          </w:tcPr>
          <w:p>
            <w:pPr>
              <w:pStyle w:val="TableContents"/>
              <w:spacing w:before="0" w:after="283"/>
              <w:rPr/>
            </w:pPr>
            <w:hyperlink r:id="rId14">
              <w:r>
                <w:rPr>
                  <w:rStyle w:val="InternetLink"/>
                </w:rPr>
                <w:t>By-Laws of the Company, as currently in effect (incorporated by reference to Exhibit 3.2 to the Companys Form 8-K filed with the SEC on October 21, 2021).</w:t>
              </w:r>
            </w:hyperlink>
          </w:p>
        </w:tc>
      </w:tr>
      <w:tr>
        <w:trPr>
          <w:trHeight w:val="120" w:hRule="atLeast"/>
        </w:trPr>
        <w:tc>
          <w:tcPr>
            <w:tcW w:w="885" w:type="dxa"/>
            <w:tcBorders/>
            <w:shd w:fill="auto" w:val="clear"/>
            <w:vAlign w:val="center"/>
          </w:tcPr>
          <w:p>
            <w:pPr>
              <w:pStyle w:val="TableContents"/>
              <w:spacing w:before="0" w:after="283"/>
              <w:rPr>
                <w:sz w:val="4"/>
                <w:szCs w:val="4"/>
              </w:rPr>
            </w:pPr>
            <w:r>
              <w:rPr>
                <w:sz w:val="4"/>
                <w:szCs w:val="4"/>
              </w:rPr>
            </w:r>
          </w:p>
        </w:tc>
        <w:tc>
          <w:tcPr>
            <w:tcW w:w="9320" w:type="dxa"/>
            <w:gridSpan w:val="2"/>
            <w:tcBorders/>
            <w:shd w:fill="auto" w:val="clear"/>
            <w:vAlign w:val="center"/>
          </w:tcPr>
          <w:p>
            <w:pPr>
              <w:pStyle w:val="TableContents"/>
              <w:spacing w:before="0" w:after="283"/>
              <w:rPr>
                <w:sz w:val="4"/>
                <w:szCs w:val="4"/>
              </w:rPr>
            </w:pPr>
            <w:r>
              <w:rPr>
                <w:sz w:val="4"/>
                <w:szCs w:val="4"/>
              </w:rPr>
            </w:r>
          </w:p>
        </w:tc>
      </w:tr>
      <w:tr>
        <w:trPr/>
        <w:tc>
          <w:tcPr>
            <w:tcW w:w="885" w:type="dxa"/>
            <w:tcBorders/>
            <w:shd w:fill="auto" w:val="clear"/>
          </w:tcPr>
          <w:p>
            <w:pPr>
              <w:pStyle w:val="TableContents"/>
              <w:spacing w:before="0" w:after="283"/>
              <w:rPr/>
            </w:pPr>
            <w:r>
              <w:rPr/>
              <w:t>    </w:t>
            </w:r>
            <w:r>
              <w:rPr/>
              <w:t>4.1</w:t>
            </w:r>
          </w:p>
        </w:tc>
        <w:tc>
          <w:tcPr>
            <w:tcW w:w="497" w:type="dxa"/>
            <w:tcBorders/>
            <w:shd w:fill="auto" w:val="clear"/>
            <w:vAlign w:val="bottom"/>
          </w:tcPr>
          <w:p>
            <w:pPr>
              <w:pStyle w:val="TableContents"/>
              <w:spacing w:before="0" w:after="283"/>
              <w:rPr/>
            </w:pPr>
            <w:r>
              <w:rPr/>
              <w:t>  </w:t>
            </w:r>
          </w:p>
        </w:tc>
        <w:tc>
          <w:tcPr>
            <w:tcW w:w="8823" w:type="dxa"/>
            <w:tcBorders/>
            <w:shd w:fill="auto" w:val="clear"/>
          </w:tcPr>
          <w:p>
            <w:pPr>
              <w:pStyle w:val="TableContents"/>
              <w:spacing w:before="0" w:after="283"/>
              <w:rPr/>
            </w:pPr>
            <w:hyperlink r:id="rId15">
              <w:r>
                <w:rPr>
                  <w:rStyle w:val="InternetLink"/>
                </w:rPr>
                <w:t>Specimen Class A Common Stock Certificate of the Company.</w:t>
              </w:r>
            </w:hyperlink>
          </w:p>
        </w:tc>
      </w:tr>
      <w:tr>
        <w:trPr>
          <w:trHeight w:val="120" w:hRule="atLeast"/>
        </w:trPr>
        <w:tc>
          <w:tcPr>
            <w:tcW w:w="885" w:type="dxa"/>
            <w:tcBorders/>
            <w:shd w:fill="auto" w:val="clear"/>
            <w:vAlign w:val="center"/>
          </w:tcPr>
          <w:p>
            <w:pPr>
              <w:pStyle w:val="TableContents"/>
              <w:spacing w:before="0" w:after="283"/>
              <w:rPr>
                <w:sz w:val="4"/>
                <w:szCs w:val="4"/>
              </w:rPr>
            </w:pPr>
            <w:r>
              <w:rPr>
                <w:sz w:val="4"/>
                <w:szCs w:val="4"/>
              </w:rPr>
            </w:r>
          </w:p>
        </w:tc>
        <w:tc>
          <w:tcPr>
            <w:tcW w:w="9320" w:type="dxa"/>
            <w:gridSpan w:val="2"/>
            <w:tcBorders/>
            <w:shd w:fill="auto" w:val="clear"/>
            <w:vAlign w:val="center"/>
          </w:tcPr>
          <w:p>
            <w:pPr>
              <w:pStyle w:val="TableContents"/>
              <w:spacing w:before="0" w:after="283"/>
              <w:rPr>
                <w:sz w:val="4"/>
                <w:szCs w:val="4"/>
              </w:rPr>
            </w:pPr>
            <w:r>
              <w:rPr>
                <w:sz w:val="4"/>
                <w:szCs w:val="4"/>
              </w:rPr>
            </w:r>
          </w:p>
        </w:tc>
      </w:tr>
      <w:tr>
        <w:trPr/>
        <w:tc>
          <w:tcPr>
            <w:tcW w:w="885" w:type="dxa"/>
            <w:tcBorders/>
            <w:shd w:fill="auto" w:val="clear"/>
          </w:tcPr>
          <w:p>
            <w:pPr>
              <w:pStyle w:val="TableContents"/>
              <w:spacing w:before="0" w:after="283"/>
              <w:rPr/>
            </w:pPr>
            <w:r>
              <w:rPr/>
              <w:t>    </w:t>
            </w:r>
            <w:r>
              <w:rPr/>
              <w:t>4.2</w:t>
            </w:r>
          </w:p>
        </w:tc>
        <w:tc>
          <w:tcPr>
            <w:tcW w:w="497" w:type="dxa"/>
            <w:tcBorders/>
            <w:shd w:fill="auto" w:val="clear"/>
            <w:vAlign w:val="bottom"/>
          </w:tcPr>
          <w:p>
            <w:pPr>
              <w:pStyle w:val="TableContents"/>
              <w:spacing w:before="0" w:after="283"/>
              <w:rPr/>
            </w:pPr>
            <w:r>
              <w:rPr/>
              <w:t>  </w:t>
            </w:r>
          </w:p>
        </w:tc>
        <w:tc>
          <w:tcPr>
            <w:tcW w:w="8823" w:type="dxa"/>
            <w:tcBorders/>
            <w:shd w:fill="auto" w:val="clear"/>
          </w:tcPr>
          <w:p>
            <w:pPr>
              <w:pStyle w:val="TableContents"/>
              <w:spacing w:before="0" w:after="283"/>
              <w:rPr/>
            </w:pPr>
            <w:hyperlink r:id="rId16">
              <w:r>
                <w:rPr>
                  <w:rStyle w:val="InternetLink"/>
                </w:rPr>
                <w:t>Registration Rights Agreement, dated as of April 1, 2023, by and between Bakkt Holdings, Inc. and Apex Fintech Solutions Inc.</w:t>
              </w:r>
            </w:hyperlink>
          </w:p>
        </w:tc>
      </w:tr>
      <w:tr>
        <w:trPr>
          <w:trHeight w:val="120" w:hRule="atLeast"/>
        </w:trPr>
        <w:tc>
          <w:tcPr>
            <w:tcW w:w="885" w:type="dxa"/>
            <w:tcBorders/>
            <w:shd w:fill="auto" w:val="clear"/>
            <w:vAlign w:val="center"/>
          </w:tcPr>
          <w:p>
            <w:pPr>
              <w:pStyle w:val="TableContents"/>
              <w:spacing w:before="0" w:after="283"/>
              <w:rPr>
                <w:sz w:val="4"/>
                <w:szCs w:val="4"/>
              </w:rPr>
            </w:pPr>
            <w:r>
              <w:rPr>
                <w:sz w:val="4"/>
                <w:szCs w:val="4"/>
              </w:rPr>
            </w:r>
          </w:p>
        </w:tc>
        <w:tc>
          <w:tcPr>
            <w:tcW w:w="9320" w:type="dxa"/>
            <w:gridSpan w:val="2"/>
            <w:tcBorders/>
            <w:shd w:fill="auto" w:val="clear"/>
            <w:vAlign w:val="center"/>
          </w:tcPr>
          <w:p>
            <w:pPr>
              <w:pStyle w:val="TableContents"/>
              <w:spacing w:before="0" w:after="283"/>
              <w:rPr>
                <w:sz w:val="4"/>
                <w:szCs w:val="4"/>
              </w:rPr>
            </w:pPr>
            <w:r>
              <w:rPr>
                <w:sz w:val="4"/>
                <w:szCs w:val="4"/>
              </w:rPr>
            </w:r>
          </w:p>
        </w:tc>
      </w:tr>
      <w:tr>
        <w:trPr/>
        <w:tc>
          <w:tcPr>
            <w:tcW w:w="885" w:type="dxa"/>
            <w:tcBorders/>
            <w:shd w:fill="auto" w:val="clear"/>
          </w:tcPr>
          <w:p>
            <w:pPr>
              <w:pStyle w:val="TableContents"/>
              <w:spacing w:before="0" w:after="283"/>
              <w:rPr/>
            </w:pPr>
            <w:r>
              <w:rPr/>
              <w:t>    </w:t>
            </w:r>
            <w:r>
              <w:rPr/>
              <w:t>5.1</w:t>
            </w:r>
          </w:p>
        </w:tc>
        <w:tc>
          <w:tcPr>
            <w:tcW w:w="497" w:type="dxa"/>
            <w:tcBorders/>
            <w:shd w:fill="auto" w:val="clear"/>
            <w:vAlign w:val="bottom"/>
          </w:tcPr>
          <w:p>
            <w:pPr>
              <w:pStyle w:val="TableContents"/>
              <w:spacing w:before="0" w:after="283"/>
              <w:rPr/>
            </w:pPr>
            <w:r>
              <w:rPr/>
              <w:t>  </w:t>
            </w:r>
          </w:p>
        </w:tc>
        <w:tc>
          <w:tcPr>
            <w:tcW w:w="8823" w:type="dxa"/>
            <w:tcBorders/>
            <w:shd w:fill="auto" w:val="clear"/>
          </w:tcPr>
          <w:p>
            <w:pPr>
              <w:pStyle w:val="TableContents"/>
              <w:spacing w:before="0" w:after="283"/>
              <w:rPr/>
            </w:pPr>
            <w:hyperlink w:anchor="d485936dex51.htm">
              <w:r>
                <w:rPr>
                  <w:rStyle w:val="InternetLink"/>
                </w:rPr>
                <w:t xml:space="preserve">Opinion of Wilson Sonsini Goodrich &amp; Rosati, Professional Corporation </w:t>
              </w:r>
            </w:hyperlink>
          </w:p>
        </w:tc>
      </w:tr>
      <w:tr>
        <w:trPr>
          <w:trHeight w:val="120" w:hRule="atLeast"/>
        </w:trPr>
        <w:tc>
          <w:tcPr>
            <w:tcW w:w="885" w:type="dxa"/>
            <w:tcBorders/>
            <w:shd w:fill="auto" w:val="clear"/>
            <w:vAlign w:val="center"/>
          </w:tcPr>
          <w:p>
            <w:pPr>
              <w:pStyle w:val="TableContents"/>
              <w:spacing w:before="0" w:after="283"/>
              <w:rPr>
                <w:sz w:val="4"/>
                <w:szCs w:val="4"/>
              </w:rPr>
            </w:pPr>
            <w:r>
              <w:rPr>
                <w:sz w:val="4"/>
                <w:szCs w:val="4"/>
              </w:rPr>
            </w:r>
          </w:p>
        </w:tc>
        <w:tc>
          <w:tcPr>
            <w:tcW w:w="9320" w:type="dxa"/>
            <w:gridSpan w:val="2"/>
            <w:tcBorders/>
            <w:shd w:fill="auto" w:val="clear"/>
            <w:vAlign w:val="center"/>
          </w:tcPr>
          <w:p>
            <w:pPr>
              <w:pStyle w:val="TableContents"/>
              <w:spacing w:before="0" w:after="283"/>
              <w:rPr>
                <w:sz w:val="4"/>
                <w:szCs w:val="4"/>
              </w:rPr>
            </w:pPr>
            <w:r>
              <w:rPr>
                <w:sz w:val="4"/>
                <w:szCs w:val="4"/>
              </w:rPr>
            </w:r>
          </w:p>
        </w:tc>
      </w:tr>
      <w:tr>
        <w:trPr/>
        <w:tc>
          <w:tcPr>
            <w:tcW w:w="885" w:type="dxa"/>
            <w:tcBorders/>
            <w:shd w:fill="auto" w:val="clear"/>
          </w:tcPr>
          <w:p>
            <w:pPr>
              <w:pStyle w:val="TableContents"/>
              <w:spacing w:before="0" w:after="283"/>
              <w:rPr/>
            </w:pPr>
            <w:r>
              <w:rPr/>
              <w:t>  </w:t>
            </w:r>
            <w:r>
              <w:rPr/>
              <w:t>23.1</w:t>
            </w:r>
          </w:p>
        </w:tc>
        <w:tc>
          <w:tcPr>
            <w:tcW w:w="497" w:type="dxa"/>
            <w:tcBorders/>
            <w:shd w:fill="auto" w:val="clear"/>
            <w:vAlign w:val="bottom"/>
          </w:tcPr>
          <w:p>
            <w:pPr>
              <w:pStyle w:val="TableContents"/>
              <w:spacing w:before="0" w:after="283"/>
              <w:rPr/>
            </w:pPr>
            <w:r>
              <w:rPr/>
              <w:t>  </w:t>
            </w:r>
          </w:p>
        </w:tc>
        <w:tc>
          <w:tcPr>
            <w:tcW w:w="8823" w:type="dxa"/>
            <w:tcBorders/>
            <w:shd w:fill="auto" w:val="clear"/>
          </w:tcPr>
          <w:p>
            <w:pPr>
              <w:pStyle w:val="TableContents"/>
              <w:spacing w:before="0" w:after="283"/>
              <w:rPr/>
            </w:pPr>
            <w:hyperlink w:anchor="d485936dex231.htm">
              <w:r>
                <w:rPr>
                  <w:rStyle w:val="InternetLink"/>
                </w:rPr>
                <w:t xml:space="preserve">Consent of Ernst &amp; Young LLP, independent registered public accounting firm of the Company </w:t>
              </w:r>
            </w:hyperlink>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II-2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center"/>
        <w:tblInd w:w="0" w:type="dxa"/>
        <w:tblCellMar>
          <w:top w:w="0" w:type="dxa"/>
          <w:left w:w="0" w:type="dxa"/>
          <w:bottom w:w="0" w:type="dxa"/>
          <w:right w:w="0" w:type="dxa"/>
        </w:tblCellMar>
      </w:tblPr>
      <w:tblGrid>
        <w:gridCol w:w="885"/>
        <w:gridCol w:w="497"/>
        <w:gridCol w:w="8823"/>
      </w:tblGrid>
      <w:tr>
        <w:trPr/>
        <w:tc>
          <w:tcPr>
            <w:tcW w:w="885" w:type="dxa"/>
            <w:tcBorders/>
            <w:shd w:fill="auto" w:val="clear"/>
            <w:vAlign w:val="center"/>
          </w:tcPr>
          <w:p>
            <w:pPr>
              <w:pStyle w:val="TableContents"/>
              <w:spacing w:before="0" w:after="283"/>
              <w:rPr>
                <w:sz w:val="4"/>
                <w:szCs w:val="4"/>
              </w:rPr>
            </w:pPr>
            <w:r>
              <w:rPr>
                <w:sz w:val="4"/>
                <w:szCs w:val="4"/>
              </w:rPr>
            </w:r>
          </w:p>
        </w:tc>
        <w:tc>
          <w:tcPr>
            <w:tcW w:w="497" w:type="dxa"/>
            <w:tcBorders/>
            <w:shd w:fill="auto" w:val="clear"/>
            <w:vAlign w:val="bottom"/>
          </w:tcPr>
          <w:p>
            <w:pPr>
              <w:pStyle w:val="TableContents"/>
              <w:spacing w:before="0" w:after="283"/>
              <w:rPr>
                <w:sz w:val="4"/>
                <w:szCs w:val="4"/>
              </w:rPr>
            </w:pPr>
            <w:r>
              <w:rPr>
                <w:sz w:val="4"/>
                <w:szCs w:val="4"/>
              </w:rPr>
            </w:r>
          </w:p>
        </w:tc>
        <w:tc>
          <w:tcPr>
            <w:tcW w:w="8823" w:type="dxa"/>
            <w:tcBorders/>
            <w:shd w:fill="auto" w:val="clear"/>
            <w:vAlign w:val="center"/>
          </w:tcPr>
          <w:p>
            <w:pPr>
              <w:pStyle w:val="TableContents"/>
              <w:spacing w:before="0" w:after="283"/>
              <w:rPr>
                <w:sz w:val="4"/>
                <w:szCs w:val="4"/>
              </w:rPr>
            </w:pPr>
            <w:r>
              <w:rPr>
                <w:sz w:val="4"/>
                <w:szCs w:val="4"/>
              </w:rPr>
            </w:r>
          </w:p>
        </w:tc>
      </w:tr>
      <w:tr>
        <w:trPr/>
        <w:tc>
          <w:tcPr>
            <w:tcW w:w="885" w:type="dxa"/>
            <w:tcBorders>
              <w:bottom w:val="single" w:sz="8" w:space="0" w:color="000000"/>
            </w:tcBorders>
            <w:shd w:fill="auto" w:val="clear"/>
            <w:tcMar>
              <w:bottom w:w="28" w:type="dxa"/>
            </w:tcMar>
            <w:vAlign w:val="bottom"/>
          </w:tcPr>
          <w:p>
            <w:pPr>
              <w:pStyle w:val="TableContents"/>
              <w:spacing w:before="0" w:after="283"/>
              <w:jc w:val="center"/>
              <w:rPr>
                <w:b/>
              </w:rPr>
            </w:pPr>
            <w:r>
              <w:rPr>
                <w:b/>
              </w:rPr>
              <w:t>Exhibit</w:t>
              <w:br/>
              <w:t>Number</w:t>
            </w:r>
          </w:p>
        </w:tc>
        <w:tc>
          <w:tcPr>
            <w:tcW w:w="497" w:type="dxa"/>
            <w:tcBorders/>
            <w:shd w:fill="auto" w:val="clear"/>
            <w:vAlign w:val="bottom"/>
          </w:tcPr>
          <w:p>
            <w:pPr>
              <w:pStyle w:val="TableContents"/>
              <w:spacing w:before="0" w:after="283"/>
              <w:rPr/>
            </w:pPr>
            <w:r>
              <w:rPr/>
              <w:t>  </w:t>
            </w:r>
          </w:p>
        </w:tc>
        <w:tc>
          <w:tcPr>
            <w:tcW w:w="8823" w:type="dxa"/>
            <w:tcBorders>
              <w:bottom w:val="single" w:sz="8" w:space="0" w:color="000000"/>
            </w:tcBorders>
            <w:shd w:fill="auto" w:val="clear"/>
            <w:tcMar>
              <w:bottom w:w="28" w:type="dxa"/>
            </w:tcMar>
            <w:vAlign w:val="bottom"/>
          </w:tcPr>
          <w:p>
            <w:pPr>
              <w:pStyle w:val="TableContents"/>
              <w:spacing w:before="0" w:after="20"/>
              <w:jc w:val="center"/>
              <w:rPr>
                <w:rFonts w:ascii="Times New Roman" w:hAnsi="Times New Roman"/>
                <w:b/>
                <w:sz w:val="16"/>
              </w:rPr>
            </w:pPr>
            <w:r>
              <w:rPr>
                <w:rFonts w:ascii="Times New Roman" w:hAnsi="Times New Roman"/>
                <w:b/>
                <w:sz w:val="16"/>
              </w:rPr>
              <w:t>Description</w:t>
            </w:r>
          </w:p>
        </w:tc>
      </w:tr>
      <w:tr>
        <w:trPr>
          <w:trHeight w:val="120" w:hRule="atLeast"/>
        </w:trPr>
        <w:tc>
          <w:tcPr>
            <w:tcW w:w="885" w:type="dxa"/>
            <w:tcBorders/>
            <w:shd w:fill="auto" w:val="clear"/>
            <w:vAlign w:val="center"/>
          </w:tcPr>
          <w:p>
            <w:pPr>
              <w:pStyle w:val="TableContents"/>
              <w:spacing w:before="0" w:after="283"/>
              <w:rPr>
                <w:sz w:val="4"/>
                <w:szCs w:val="4"/>
              </w:rPr>
            </w:pPr>
            <w:r>
              <w:rPr>
                <w:sz w:val="4"/>
                <w:szCs w:val="4"/>
              </w:rPr>
            </w:r>
          </w:p>
        </w:tc>
        <w:tc>
          <w:tcPr>
            <w:tcW w:w="9320" w:type="dxa"/>
            <w:gridSpan w:val="2"/>
            <w:tcBorders/>
            <w:shd w:fill="auto" w:val="clear"/>
            <w:vAlign w:val="center"/>
          </w:tcPr>
          <w:p>
            <w:pPr>
              <w:pStyle w:val="TableContents"/>
              <w:spacing w:before="0" w:after="283"/>
              <w:rPr>
                <w:sz w:val="4"/>
                <w:szCs w:val="4"/>
              </w:rPr>
            </w:pPr>
            <w:r>
              <w:rPr>
                <w:sz w:val="4"/>
                <w:szCs w:val="4"/>
              </w:rPr>
            </w:r>
          </w:p>
        </w:tc>
      </w:tr>
      <w:tr>
        <w:trPr/>
        <w:tc>
          <w:tcPr>
            <w:tcW w:w="885" w:type="dxa"/>
            <w:tcBorders/>
            <w:shd w:fill="auto" w:val="clear"/>
          </w:tcPr>
          <w:p>
            <w:pPr>
              <w:pStyle w:val="TableContents"/>
              <w:spacing w:before="0" w:after="283"/>
              <w:rPr/>
            </w:pPr>
            <w:r>
              <w:rPr/>
              <w:t>  </w:t>
            </w:r>
            <w:r>
              <w:rPr/>
              <w:t>23.2</w:t>
            </w:r>
          </w:p>
        </w:tc>
        <w:tc>
          <w:tcPr>
            <w:tcW w:w="497" w:type="dxa"/>
            <w:tcBorders/>
            <w:shd w:fill="auto" w:val="clear"/>
            <w:vAlign w:val="bottom"/>
          </w:tcPr>
          <w:p>
            <w:pPr>
              <w:pStyle w:val="TableContents"/>
              <w:spacing w:before="0" w:after="283"/>
              <w:rPr/>
            </w:pPr>
            <w:r>
              <w:rPr/>
              <w:t>  </w:t>
            </w:r>
          </w:p>
        </w:tc>
        <w:tc>
          <w:tcPr>
            <w:tcW w:w="8823" w:type="dxa"/>
            <w:tcBorders/>
            <w:shd w:fill="auto" w:val="clear"/>
          </w:tcPr>
          <w:p>
            <w:pPr>
              <w:pStyle w:val="TableContents"/>
              <w:spacing w:before="0" w:after="283"/>
              <w:rPr/>
            </w:pPr>
            <w:hyperlink w:anchor="d485936dex232.htm">
              <w:r>
                <w:rPr>
                  <w:rStyle w:val="InternetLink"/>
                </w:rPr>
                <w:t>Consent of WithumSmith+Brown, PC, independent registered public accounting firm of VPC Impact Acquisition Holdings</w:t>
              </w:r>
            </w:hyperlink>
          </w:p>
        </w:tc>
      </w:tr>
      <w:tr>
        <w:trPr>
          <w:trHeight w:val="120" w:hRule="atLeast"/>
        </w:trPr>
        <w:tc>
          <w:tcPr>
            <w:tcW w:w="885" w:type="dxa"/>
            <w:tcBorders/>
            <w:shd w:fill="auto" w:val="clear"/>
            <w:vAlign w:val="center"/>
          </w:tcPr>
          <w:p>
            <w:pPr>
              <w:pStyle w:val="TableContents"/>
              <w:spacing w:before="0" w:after="283"/>
              <w:rPr>
                <w:sz w:val="4"/>
                <w:szCs w:val="4"/>
              </w:rPr>
            </w:pPr>
            <w:r>
              <w:rPr>
                <w:sz w:val="4"/>
                <w:szCs w:val="4"/>
              </w:rPr>
            </w:r>
          </w:p>
        </w:tc>
        <w:tc>
          <w:tcPr>
            <w:tcW w:w="9320" w:type="dxa"/>
            <w:gridSpan w:val="2"/>
            <w:tcBorders/>
            <w:shd w:fill="auto" w:val="clear"/>
            <w:vAlign w:val="center"/>
          </w:tcPr>
          <w:p>
            <w:pPr>
              <w:pStyle w:val="TableContents"/>
              <w:spacing w:before="0" w:after="283"/>
              <w:rPr>
                <w:sz w:val="4"/>
                <w:szCs w:val="4"/>
              </w:rPr>
            </w:pPr>
            <w:r>
              <w:rPr>
                <w:sz w:val="4"/>
                <w:szCs w:val="4"/>
              </w:rPr>
            </w:r>
          </w:p>
        </w:tc>
      </w:tr>
      <w:tr>
        <w:trPr/>
        <w:tc>
          <w:tcPr>
            <w:tcW w:w="885" w:type="dxa"/>
            <w:tcBorders/>
            <w:shd w:fill="auto" w:val="clear"/>
          </w:tcPr>
          <w:p>
            <w:pPr>
              <w:pStyle w:val="TableContents"/>
              <w:spacing w:before="0" w:after="283"/>
              <w:rPr/>
            </w:pPr>
            <w:r>
              <w:rPr/>
              <w:t>  </w:t>
            </w:r>
            <w:r>
              <w:rPr/>
              <w:t>23.3</w:t>
            </w:r>
          </w:p>
        </w:tc>
        <w:tc>
          <w:tcPr>
            <w:tcW w:w="497" w:type="dxa"/>
            <w:tcBorders/>
            <w:shd w:fill="auto" w:val="clear"/>
            <w:vAlign w:val="bottom"/>
          </w:tcPr>
          <w:p>
            <w:pPr>
              <w:pStyle w:val="TableContents"/>
              <w:spacing w:before="0" w:after="283"/>
              <w:rPr/>
            </w:pPr>
            <w:r>
              <w:rPr/>
              <w:t>  </w:t>
            </w:r>
          </w:p>
        </w:tc>
        <w:tc>
          <w:tcPr>
            <w:tcW w:w="8823" w:type="dxa"/>
            <w:tcBorders/>
            <w:shd w:fill="auto" w:val="clear"/>
          </w:tcPr>
          <w:p>
            <w:pPr>
              <w:pStyle w:val="TableContents"/>
              <w:spacing w:before="0" w:after="283"/>
              <w:rPr/>
            </w:pPr>
            <w:hyperlink w:anchor="d485936dex233.htm">
              <w:r>
                <w:rPr>
                  <w:rStyle w:val="InternetLink"/>
                </w:rPr>
                <w:t>Consent of RSM US LLP, independent auditors of Apex Crypto, LLC</w:t>
              </w:r>
            </w:hyperlink>
          </w:p>
        </w:tc>
      </w:tr>
      <w:tr>
        <w:trPr>
          <w:trHeight w:val="120" w:hRule="atLeast"/>
        </w:trPr>
        <w:tc>
          <w:tcPr>
            <w:tcW w:w="885" w:type="dxa"/>
            <w:tcBorders/>
            <w:shd w:fill="auto" w:val="clear"/>
            <w:vAlign w:val="center"/>
          </w:tcPr>
          <w:p>
            <w:pPr>
              <w:pStyle w:val="TableContents"/>
              <w:spacing w:before="0" w:after="283"/>
              <w:rPr>
                <w:sz w:val="4"/>
                <w:szCs w:val="4"/>
              </w:rPr>
            </w:pPr>
            <w:r>
              <w:rPr>
                <w:sz w:val="4"/>
                <w:szCs w:val="4"/>
              </w:rPr>
            </w:r>
          </w:p>
        </w:tc>
        <w:tc>
          <w:tcPr>
            <w:tcW w:w="9320" w:type="dxa"/>
            <w:gridSpan w:val="2"/>
            <w:tcBorders/>
            <w:shd w:fill="auto" w:val="clear"/>
            <w:vAlign w:val="center"/>
          </w:tcPr>
          <w:p>
            <w:pPr>
              <w:pStyle w:val="TableContents"/>
              <w:spacing w:before="0" w:after="283"/>
              <w:rPr>
                <w:sz w:val="4"/>
                <w:szCs w:val="4"/>
              </w:rPr>
            </w:pPr>
            <w:r>
              <w:rPr>
                <w:sz w:val="4"/>
                <w:szCs w:val="4"/>
              </w:rPr>
            </w:r>
          </w:p>
        </w:tc>
      </w:tr>
      <w:tr>
        <w:trPr/>
        <w:tc>
          <w:tcPr>
            <w:tcW w:w="885" w:type="dxa"/>
            <w:tcBorders/>
            <w:shd w:fill="auto" w:val="clear"/>
          </w:tcPr>
          <w:p>
            <w:pPr>
              <w:pStyle w:val="TableContents"/>
              <w:spacing w:before="0" w:after="283"/>
              <w:rPr/>
            </w:pPr>
            <w:r>
              <w:rPr/>
              <w:t>  </w:t>
            </w:r>
            <w:r>
              <w:rPr/>
              <w:t>23.4</w:t>
            </w:r>
          </w:p>
        </w:tc>
        <w:tc>
          <w:tcPr>
            <w:tcW w:w="497" w:type="dxa"/>
            <w:tcBorders/>
            <w:shd w:fill="auto" w:val="clear"/>
            <w:vAlign w:val="bottom"/>
          </w:tcPr>
          <w:p>
            <w:pPr>
              <w:pStyle w:val="TableContents"/>
              <w:spacing w:before="0" w:after="283"/>
              <w:rPr/>
            </w:pPr>
            <w:r>
              <w:rPr/>
              <w:t>  </w:t>
            </w:r>
          </w:p>
        </w:tc>
        <w:tc>
          <w:tcPr>
            <w:tcW w:w="8823" w:type="dxa"/>
            <w:tcBorders/>
            <w:shd w:fill="auto" w:val="clear"/>
          </w:tcPr>
          <w:p>
            <w:pPr>
              <w:pStyle w:val="TableContents"/>
              <w:spacing w:before="0" w:after="283"/>
              <w:rPr/>
            </w:pPr>
            <w:hyperlink w:anchor="d485936dex51.htm">
              <w:r>
                <w:rPr>
                  <w:rStyle w:val="InternetLink"/>
                </w:rPr>
                <w:t xml:space="preserve">Consent of Wilson Sonsini Goodrich &amp; Rosati, Professional Corporation (included in the opinion filed as Exhibit 5.1 to this registration statement) </w:t>
              </w:r>
            </w:hyperlink>
          </w:p>
        </w:tc>
      </w:tr>
      <w:tr>
        <w:trPr>
          <w:trHeight w:val="120" w:hRule="atLeast"/>
        </w:trPr>
        <w:tc>
          <w:tcPr>
            <w:tcW w:w="885" w:type="dxa"/>
            <w:tcBorders/>
            <w:shd w:fill="auto" w:val="clear"/>
            <w:vAlign w:val="center"/>
          </w:tcPr>
          <w:p>
            <w:pPr>
              <w:pStyle w:val="TableContents"/>
              <w:spacing w:before="0" w:after="283"/>
              <w:rPr>
                <w:sz w:val="4"/>
                <w:szCs w:val="4"/>
              </w:rPr>
            </w:pPr>
            <w:r>
              <w:rPr>
                <w:sz w:val="4"/>
                <w:szCs w:val="4"/>
              </w:rPr>
            </w:r>
          </w:p>
        </w:tc>
        <w:tc>
          <w:tcPr>
            <w:tcW w:w="9320" w:type="dxa"/>
            <w:gridSpan w:val="2"/>
            <w:tcBorders/>
            <w:shd w:fill="auto" w:val="clear"/>
            <w:vAlign w:val="center"/>
          </w:tcPr>
          <w:p>
            <w:pPr>
              <w:pStyle w:val="TableContents"/>
              <w:spacing w:before="0" w:after="283"/>
              <w:rPr>
                <w:sz w:val="4"/>
                <w:szCs w:val="4"/>
              </w:rPr>
            </w:pPr>
            <w:r>
              <w:rPr>
                <w:sz w:val="4"/>
                <w:szCs w:val="4"/>
              </w:rPr>
            </w:r>
          </w:p>
        </w:tc>
      </w:tr>
      <w:tr>
        <w:trPr/>
        <w:tc>
          <w:tcPr>
            <w:tcW w:w="885" w:type="dxa"/>
            <w:tcBorders/>
            <w:shd w:fill="auto" w:val="clear"/>
          </w:tcPr>
          <w:p>
            <w:pPr>
              <w:pStyle w:val="TableContents"/>
              <w:spacing w:before="0" w:after="283"/>
              <w:rPr/>
            </w:pPr>
            <w:r>
              <w:rPr/>
              <w:t>  </w:t>
            </w:r>
            <w:r>
              <w:rPr/>
              <w:t>24.1</w:t>
            </w:r>
          </w:p>
        </w:tc>
        <w:tc>
          <w:tcPr>
            <w:tcW w:w="497" w:type="dxa"/>
            <w:tcBorders/>
            <w:shd w:fill="auto" w:val="clear"/>
            <w:vAlign w:val="bottom"/>
          </w:tcPr>
          <w:p>
            <w:pPr>
              <w:pStyle w:val="TableContents"/>
              <w:spacing w:before="0" w:after="283"/>
              <w:rPr/>
            </w:pPr>
            <w:r>
              <w:rPr/>
              <w:t>  </w:t>
            </w:r>
          </w:p>
        </w:tc>
        <w:tc>
          <w:tcPr>
            <w:tcW w:w="8823" w:type="dxa"/>
            <w:tcBorders/>
            <w:shd w:fill="auto" w:val="clear"/>
          </w:tcPr>
          <w:p>
            <w:pPr>
              <w:pStyle w:val="TableContents"/>
              <w:spacing w:before="0" w:after="283"/>
              <w:rPr/>
            </w:pPr>
            <w:hyperlink w:anchor="sig">
              <w:r>
                <w:rPr>
                  <w:rStyle w:val="InternetLink"/>
                </w:rPr>
                <w:t xml:space="preserve">Powers of Attorney (included on the signature page to this registration statement) </w:t>
              </w:r>
            </w:hyperlink>
          </w:p>
        </w:tc>
      </w:tr>
      <w:tr>
        <w:trPr>
          <w:trHeight w:val="120" w:hRule="atLeast"/>
        </w:trPr>
        <w:tc>
          <w:tcPr>
            <w:tcW w:w="885" w:type="dxa"/>
            <w:tcBorders/>
            <w:shd w:fill="auto" w:val="clear"/>
            <w:vAlign w:val="center"/>
          </w:tcPr>
          <w:p>
            <w:pPr>
              <w:pStyle w:val="TableContents"/>
              <w:spacing w:before="0" w:after="283"/>
              <w:rPr>
                <w:sz w:val="4"/>
                <w:szCs w:val="4"/>
              </w:rPr>
            </w:pPr>
            <w:r>
              <w:rPr>
                <w:sz w:val="4"/>
                <w:szCs w:val="4"/>
              </w:rPr>
            </w:r>
          </w:p>
        </w:tc>
        <w:tc>
          <w:tcPr>
            <w:tcW w:w="9320" w:type="dxa"/>
            <w:gridSpan w:val="2"/>
            <w:tcBorders/>
            <w:shd w:fill="auto" w:val="clear"/>
            <w:vAlign w:val="center"/>
          </w:tcPr>
          <w:p>
            <w:pPr>
              <w:pStyle w:val="TableContents"/>
              <w:spacing w:before="0" w:after="283"/>
              <w:rPr>
                <w:sz w:val="4"/>
                <w:szCs w:val="4"/>
              </w:rPr>
            </w:pPr>
            <w:r>
              <w:rPr>
                <w:sz w:val="4"/>
                <w:szCs w:val="4"/>
              </w:rPr>
            </w:r>
          </w:p>
        </w:tc>
      </w:tr>
      <w:tr>
        <w:trPr/>
        <w:tc>
          <w:tcPr>
            <w:tcW w:w="885" w:type="dxa"/>
            <w:tcBorders/>
            <w:shd w:fill="auto" w:val="clear"/>
          </w:tcPr>
          <w:p>
            <w:pPr>
              <w:pStyle w:val="TableContents"/>
              <w:spacing w:before="0" w:after="283"/>
              <w:rPr/>
            </w:pPr>
            <w:r>
              <w:rPr/>
              <w:t>107</w:t>
            </w:r>
          </w:p>
        </w:tc>
        <w:tc>
          <w:tcPr>
            <w:tcW w:w="497" w:type="dxa"/>
            <w:tcBorders/>
            <w:shd w:fill="auto" w:val="clear"/>
            <w:vAlign w:val="bottom"/>
          </w:tcPr>
          <w:p>
            <w:pPr>
              <w:pStyle w:val="TableContents"/>
              <w:spacing w:before="0" w:after="283"/>
              <w:rPr/>
            </w:pPr>
            <w:r>
              <w:rPr/>
              <w:t>  </w:t>
            </w:r>
          </w:p>
        </w:tc>
        <w:tc>
          <w:tcPr>
            <w:tcW w:w="8823" w:type="dxa"/>
            <w:tcBorders/>
            <w:shd w:fill="auto" w:val="clear"/>
          </w:tcPr>
          <w:p>
            <w:pPr>
              <w:pStyle w:val="TableContents"/>
              <w:spacing w:before="0" w:after="283"/>
              <w:rPr/>
            </w:pPr>
            <w:hyperlink w:anchor="d485936dexfilingfees.htm">
              <w:r>
                <w:rPr>
                  <w:rStyle w:val="InternetLink"/>
                </w:rPr>
                <w:t xml:space="preserve">Filing Fee Table </w:t>
              </w:r>
            </w:hyperlink>
          </w:p>
        </w:tc>
      </w:tr>
    </w:tbl>
    <w:p>
      <w:pPr>
        <w:pStyle w:val="TextBody"/>
        <w:pBdr>
          <w:bottom w:val="single" w:sz="2" w:space="1" w:color="000000"/>
        </w:pBdr>
        <w:spacing w:lineRule="atLeast" w:line="160" w:before="0" w:after="40"/>
        <w:jc w:val="left"/>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w:t>
            </w:r>
          </w:p>
        </w:tc>
        <w:tc>
          <w:tcPr>
            <w:tcW w:w="979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Certain schedules and exhibits to this Exhibit have been omitted pursuant to Item 601(a)(5) of Regulation S-K. The Company will furnish supplementally copies of omitted schedules, annexes, appendices, and exhibits to the Securities and Exchange Commission or its staff upon its request. Certain confidential portions of this Exhibit, marked by brackets and asterisks ([***]), have been omitted because the confidential omitted information is both (i) not material and (ii) information that the registrant customarily and actually treats as private or confidential.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20"/>
        <w:gridCol w:w="9185"/>
      </w:tblGrid>
      <w:tr>
        <w:trPr/>
        <w:tc>
          <w:tcPr>
            <w:tcW w:w="1020" w:type="dxa"/>
            <w:tcBorders/>
            <w:shd w:fill="auto" w:val="clear"/>
          </w:tcPr>
          <w:p>
            <w:pPr>
              <w:pStyle w:val="TableContents"/>
              <w:spacing w:before="0" w:after="283"/>
              <w:jc w:val="left"/>
              <w:rPr>
                <w:b/>
              </w:rPr>
            </w:pPr>
            <w:r>
              <w:rPr>
                <w:b/>
              </w:rPr>
              <w:t>Item 17.</w:t>
            </w:r>
          </w:p>
        </w:tc>
        <w:tc>
          <w:tcPr>
            <w:tcW w:w="9185"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Undertakings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509"/>
        <w:gridCol w:w="9290"/>
      </w:tblGrid>
      <w:tr>
        <w:trPr/>
        <w:tc>
          <w:tcPr>
            <w:tcW w:w="406"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pPr>
            <w:r>
              <w:rPr/>
              <w:t>(a)</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undersigned registrant hereby undertakes: </w:t>
            </w:r>
          </w:p>
        </w:tc>
      </w:tr>
    </w:tbl>
    <w:p>
      <w:pPr>
        <w:pStyle w:val="TextBody"/>
        <w:spacing w:before="120" w:after="0"/>
        <w:jc w:val="left"/>
        <w:rPr>
          <w:rFonts w:ascii="Times New Roman" w:hAnsi="Times New Roman"/>
          <w:sz w:val="20"/>
        </w:rPr>
      </w:pPr>
      <w:r>
        <w:rPr>
          <w:rFonts w:ascii="Times New Roman" w:hAnsi="Times New Roman"/>
          <w:sz w:val="20"/>
        </w:rPr>
        <w:t xml:space="preserve">(1) to file, during any period in which offers or sales are being made, a post-effective amendment to this registration statement: </w:t>
      </w:r>
    </w:p>
    <w:p>
      <w:pPr>
        <w:pStyle w:val="TextBody"/>
        <w:spacing w:before="120" w:after="0"/>
        <w:jc w:val="left"/>
        <w:rPr>
          <w:rFonts w:ascii="Times New Roman" w:hAnsi="Times New Roman"/>
          <w:sz w:val="20"/>
        </w:rPr>
      </w:pPr>
      <w:r>
        <w:rPr>
          <w:rFonts w:ascii="Times New Roman" w:hAnsi="Times New Roman"/>
          <w:sz w:val="20"/>
        </w:rPr>
        <w:t xml:space="preserve">(i) to include any prospectus required by Section 10(a)(3) of the Securities Act; </w:t>
      </w:r>
    </w:p>
    <w:p>
      <w:pPr>
        <w:pStyle w:val="TextBody"/>
        <w:spacing w:before="240" w:after="0"/>
        <w:jc w:val="left"/>
        <w:rPr>
          <w:rFonts w:ascii="Times New Roman" w:hAnsi="Times New Roman"/>
          <w:sz w:val="20"/>
        </w:rPr>
      </w:pPr>
      <w:r>
        <w:rPr>
          <w:rFonts w:ascii="Times New Roman" w:hAnsi="Times New Roman"/>
          <w:sz w:val="20"/>
        </w:rPr>
        <w:t xml:space="preserve">(ii) 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Securities and Exchange Commission, or the Commission, pursuant to Rule 424(b) if, in the aggregate, the changes in volume and price represent no more than a 20 percent change in the maximum aggregate offering price set forth in the Calculation of Registration Fee table in the effective registration statement; and </w:t>
      </w:r>
    </w:p>
    <w:p>
      <w:pPr>
        <w:pStyle w:val="TextBody"/>
        <w:spacing w:before="240" w:after="0"/>
        <w:jc w:val="left"/>
        <w:rPr>
          <w:rFonts w:ascii="Times New Roman" w:hAnsi="Times New Roman"/>
          <w:sz w:val="20"/>
        </w:rPr>
      </w:pPr>
      <w:r>
        <w:rPr>
          <w:rFonts w:ascii="Times New Roman" w:hAnsi="Times New Roman"/>
          <w:sz w:val="20"/>
        </w:rPr>
        <w:t xml:space="preserve">(iii) to include any material information with respect to the plan of distribution not previously disclosed in the registration statement or any material change to such information in the registration statement; </w:t>
      </w:r>
    </w:p>
    <w:p>
      <w:pPr>
        <w:pStyle w:val="TextBody"/>
        <w:spacing w:before="240" w:after="0"/>
        <w:jc w:val="left"/>
        <w:rPr>
          <w:rFonts w:ascii="Times New Roman" w:hAnsi="Times New Roman"/>
          <w:sz w:val="20"/>
        </w:rPr>
      </w:pP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paragraphs (a)(1)(i), (a)(1)(ii) and (a)(1)(iii) do not apply if the information required to be included in a post-effective amendment by those paragraphs is contained in reports filed with or furnished to the Commission by the registrant pursuant to Section 13 or Section 15(d) of the Securities Exchange Act of 1934, as amended, or the Exchange Act, that are incorporated by reference in the registration statement, or is contained in a form of prospectus filed pursuant to Rule 424(b) that is part of the registration statement. </w:t>
      </w:r>
    </w:p>
    <w:p>
      <w:pPr>
        <w:pStyle w:val="TextBody"/>
        <w:spacing w:before="240" w:after="0"/>
        <w:jc w:val="left"/>
        <w:rPr>
          <w:rFonts w:ascii="Times New Roman" w:hAnsi="Times New Roman"/>
          <w:sz w:val="20"/>
        </w:rPr>
      </w:pPr>
      <w:r>
        <w:rPr>
          <w:rFonts w:ascii="Times New Roman" w:hAnsi="Times New Roman"/>
          <w:sz w:val="20"/>
        </w:rPr>
        <w:t xml:space="preserve">(2) 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Times New Roman" w:hAnsi="Times New Roman"/>
          <w:i/>
          <w:sz w:val="20"/>
        </w:rPr>
        <w:t xml:space="preserve">bona fide </w:t>
      </w:r>
      <w:r>
        <w:rPr>
          <w:rFonts w:ascii="Times New Roman" w:hAnsi="Times New Roman"/>
          <w:sz w:val="20"/>
        </w:rPr>
        <w:t xml:space="preserve">offering thereof. </w:t>
      </w:r>
    </w:p>
    <w:p>
      <w:pPr>
        <w:pStyle w:val="TextBody"/>
        <w:spacing w:before="240" w:after="0"/>
        <w:jc w:val="left"/>
        <w:rPr>
          <w:rFonts w:ascii="Times New Roman" w:hAnsi="Times New Roman"/>
          <w:sz w:val="20"/>
        </w:rPr>
      </w:pPr>
      <w:r>
        <w:rPr>
          <w:rFonts w:ascii="Times New Roman" w:hAnsi="Times New Roman"/>
          <w:sz w:val="20"/>
        </w:rPr>
        <w:t xml:space="preserve">(3) to remove from registration by means of a post-effective amendment any of the securities being registered which remain unsold at the termination of the offering.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II-3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(4) that, for the purpose of determining liability under the Securities Act to any purchaser: </w:t>
      </w:r>
    </w:p>
    <w:p>
      <w:pPr>
        <w:pStyle w:val="TextBody"/>
        <w:spacing w:before="120" w:after="0"/>
        <w:jc w:val="left"/>
        <w:rPr>
          <w:rFonts w:ascii="Times New Roman" w:hAnsi="Times New Roman"/>
          <w:sz w:val="20"/>
        </w:rPr>
      </w:pPr>
      <w:r>
        <w:rPr>
          <w:rFonts w:ascii="Times New Roman" w:hAnsi="Times New Roman"/>
          <w:sz w:val="20"/>
        </w:rPr>
        <w:t xml:space="preserve">(i) each prospectus filed by the registrant pursuant to Rule 424(b)(3) shall be deemed to be part of the registration statement as of the date the filed prospectus was deemed part of and included in the registration statement; and </w:t>
      </w:r>
    </w:p>
    <w:p>
      <w:pPr>
        <w:pStyle w:val="TextBody"/>
        <w:spacing w:before="240" w:after="0"/>
        <w:jc w:val="left"/>
        <w:rPr>
          <w:rFonts w:ascii="Times New Roman" w:hAnsi="Times New Roman"/>
          <w:sz w:val="20"/>
        </w:rPr>
      </w:pPr>
      <w:r>
        <w:rPr>
          <w:rFonts w:ascii="Times New Roman" w:hAnsi="Times New Roman"/>
          <w:sz w:val="20"/>
        </w:rPr>
        <w:t xml:space="preserve">(ii) 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w:t>
      </w:r>
      <w:r>
        <w:rPr>
          <w:rFonts w:ascii="Times New Roman" w:hAnsi="Times New Roman"/>
          <w:i/>
          <w:sz w:val="20"/>
        </w:rPr>
        <w:t xml:space="preserve">bona fide </w:t>
      </w:r>
      <w:r>
        <w:rPr>
          <w:rFonts w:ascii="Times New Roman" w:hAnsi="Times New Roman"/>
          <w:sz w:val="20"/>
        </w:rPr>
        <w:t xml:space="preserve">offering thereof. </w:t>
      </w:r>
      <w:r>
        <w:rPr>
          <w:rFonts w:ascii="Times New Roman" w:hAnsi="Times New Roman"/>
          <w:i/>
          <w:sz w:val="20"/>
        </w:rPr>
        <w:t>Provided, however</w:t>
      </w:r>
      <w:r>
        <w:rPr>
          <w:rFonts w:ascii="Times New Roman" w:hAnsi="Times New Roman"/>
          <w:sz w:val="20"/>
        </w:rPr>
        <w:t xml:space="preserve">,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 </w:t>
      </w:r>
    </w:p>
    <w:p>
      <w:pPr>
        <w:pStyle w:val="TextBody"/>
        <w:spacing w:before="240" w:after="0"/>
        <w:jc w:val="left"/>
        <w:rPr>
          <w:rFonts w:ascii="Times New Roman" w:hAnsi="Times New Roman"/>
          <w:sz w:val="20"/>
        </w:rPr>
      </w:pPr>
      <w:r>
        <w:rPr>
          <w:rFonts w:ascii="Times New Roman" w:hAnsi="Times New Roman"/>
          <w:sz w:val="20"/>
        </w:rPr>
        <w:t xml:space="preserve">(5)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 </w:t>
      </w:r>
    </w:p>
    <w:p>
      <w:pPr>
        <w:pStyle w:val="TextBody"/>
        <w:spacing w:before="240" w:after="0"/>
        <w:jc w:val="left"/>
        <w:rPr>
          <w:rFonts w:ascii="Times New Roman" w:hAnsi="Times New Roman"/>
          <w:sz w:val="20"/>
        </w:rPr>
      </w:pPr>
      <w:r>
        <w:rPr>
          <w:rFonts w:ascii="Times New Roman" w:hAnsi="Times New Roman"/>
          <w:sz w:val="20"/>
        </w:rPr>
        <w:t xml:space="preserve">(6) 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II-4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16" w:name="sig"/>
      <w:bookmarkEnd w:id="16"/>
      <w:r>
        <w:rPr>
          <w:rFonts w:ascii="Times New Roman" w:hAnsi="Times New Roman"/>
          <w:b/>
          <w:sz w:val="20"/>
        </w:rPr>
        <w:t xml:space="preserve">SIGNATURES </w:t>
      </w:r>
    </w:p>
    <w:p>
      <w:pPr>
        <w:pStyle w:val="TextBody"/>
        <w:spacing w:before="240" w:after="0"/>
        <w:jc w:val="left"/>
        <w:rPr>
          <w:rFonts w:ascii="Times New Roman" w:hAnsi="Times New Roman"/>
          <w:sz w:val="20"/>
        </w:rPr>
      </w:pPr>
      <w:r>
        <w:rPr>
          <w:rFonts w:ascii="Times New Roman" w:hAnsi="Times New Roman"/>
          <w:sz w:val="20"/>
        </w:rPr>
        <w:t xml:space="preserve">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Alpharetta, State of Georgia, on April 25, 2023. </w:t>
      </w:r>
    </w:p>
    <w:p>
      <w:pPr>
        <w:pStyle w:val="TextBody"/>
        <w:spacing w:before="0" w:after="0"/>
        <w:jc w:val="left"/>
        <w:rPr/>
      </w:pPr>
      <w:r>
        <w:rPr/>
        <w:t> </w:t>
      </w:r>
    </w:p>
    <w:tbl>
      <w:tblPr>
        <w:tblW w:w="2000" w:type="pct"/>
        <w:jc w:val="right"/>
        <w:tblInd w:w="0" w:type="dxa"/>
        <w:tblCellMar>
          <w:top w:w="0" w:type="dxa"/>
          <w:left w:w="0" w:type="dxa"/>
          <w:bottom w:w="0" w:type="dxa"/>
          <w:right w:w="0" w:type="dxa"/>
        </w:tblCellMar>
      </w:tblPr>
      <w:tblGrid>
        <w:gridCol w:w="394"/>
        <w:gridCol w:w="61"/>
        <w:gridCol w:w="3627"/>
      </w:tblGrid>
      <w:tr>
        <w:trPr/>
        <w:tc>
          <w:tcPr>
            <w:tcW w:w="394" w:type="dxa"/>
            <w:tcBorders/>
            <w:shd w:fill="auto" w:val="clear"/>
            <w:vAlign w:val="center"/>
          </w:tcPr>
          <w:p>
            <w:pPr>
              <w:pStyle w:val="TableContents"/>
              <w:spacing w:before="0" w:after="283"/>
              <w:rPr>
                <w:sz w:val="4"/>
                <w:szCs w:val="4"/>
              </w:rPr>
            </w:pPr>
            <w:r>
              <w:rPr>
                <w:sz w:val="4"/>
                <w:szCs w:val="4"/>
              </w:rPr>
            </w:r>
          </w:p>
        </w:tc>
        <w:tc>
          <w:tcPr>
            <w:tcW w:w="61" w:type="dxa"/>
            <w:tcBorders/>
            <w:shd w:fill="auto" w:val="clear"/>
            <w:vAlign w:val="bottom"/>
          </w:tcPr>
          <w:p>
            <w:pPr>
              <w:pStyle w:val="TableContents"/>
              <w:spacing w:before="0" w:after="283"/>
              <w:rPr>
                <w:sz w:val="4"/>
                <w:szCs w:val="4"/>
              </w:rPr>
            </w:pPr>
            <w:r>
              <w:rPr>
                <w:sz w:val="4"/>
                <w:szCs w:val="4"/>
              </w:rPr>
            </w:r>
          </w:p>
        </w:tc>
        <w:tc>
          <w:tcPr>
            <w:tcW w:w="3627"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b/>
              </w:rPr>
            </w:pPr>
            <w:r>
              <w:rPr>
                <w:b/>
              </w:rPr>
              <w:t>BAKKT HOLDINGS, INC.</w:t>
            </w:r>
          </w:p>
        </w:tc>
      </w:tr>
      <w:tr>
        <w:trPr>
          <w:trHeight w:val="240" w:hRule="atLeast"/>
        </w:trPr>
        <w:tc>
          <w:tcPr>
            <w:tcW w:w="394" w:type="dxa"/>
            <w:tcBorders/>
            <w:shd w:fill="auto" w:val="clear"/>
            <w:vAlign w:val="center"/>
          </w:tcPr>
          <w:p>
            <w:pPr>
              <w:pStyle w:val="TableContents"/>
              <w:spacing w:before="0" w:after="283"/>
              <w:rPr>
                <w:sz w:val="4"/>
                <w:szCs w:val="4"/>
              </w:rPr>
            </w:pPr>
            <w:r>
              <w:rPr>
                <w:sz w:val="4"/>
                <w:szCs w:val="4"/>
              </w:rPr>
            </w:r>
          </w:p>
        </w:tc>
        <w:tc>
          <w:tcPr>
            <w:tcW w:w="3688" w:type="dxa"/>
            <w:gridSpan w:val="2"/>
            <w:tcBorders/>
            <w:shd w:fill="auto" w:val="clear"/>
            <w:vAlign w:val="center"/>
          </w:tcPr>
          <w:p>
            <w:pPr>
              <w:pStyle w:val="TableContents"/>
              <w:spacing w:before="0" w:after="283"/>
              <w:rPr>
                <w:sz w:val="4"/>
                <w:szCs w:val="4"/>
              </w:rPr>
            </w:pPr>
            <w:r>
              <w:rPr>
                <w:sz w:val="4"/>
                <w:szCs w:val="4"/>
              </w:rPr>
            </w:r>
          </w:p>
        </w:tc>
      </w:tr>
      <w:tr>
        <w:trPr/>
        <w:tc>
          <w:tcPr>
            <w:tcW w:w="394" w:type="dxa"/>
            <w:tcBorders/>
            <w:shd w:fill="auto" w:val="clear"/>
          </w:tcPr>
          <w:p>
            <w:pPr>
              <w:pStyle w:val="TableContents"/>
              <w:spacing w:before="0" w:after="283"/>
              <w:rPr/>
            </w:pPr>
            <w:r>
              <w:rPr/>
              <w:t>By:</w:t>
            </w:r>
          </w:p>
        </w:tc>
        <w:tc>
          <w:tcPr>
            <w:tcW w:w="61" w:type="dxa"/>
            <w:tcBorders>
              <w:bottom w:val="single" w:sz="2" w:space="0" w:color="000000"/>
            </w:tcBorders>
            <w:shd w:fill="auto" w:val="clear"/>
            <w:tcMar>
              <w:bottom w:w="28" w:type="dxa"/>
            </w:tcMar>
            <w:vAlign w:val="bottom"/>
          </w:tcPr>
          <w:p>
            <w:pPr>
              <w:pStyle w:val="TableContents"/>
              <w:spacing w:before="0" w:after="283"/>
              <w:rPr/>
            </w:pPr>
            <w:r>
              <w:rPr/>
              <w:t> </w:t>
            </w:r>
          </w:p>
        </w:tc>
        <w:tc>
          <w:tcPr>
            <w:tcW w:w="3627" w:type="dxa"/>
            <w:tcBorders>
              <w:bottom w:val="single" w:sz="2" w:space="0" w:color="000000"/>
            </w:tcBorders>
            <w:shd w:fill="auto" w:val="clear"/>
            <w:tcMar>
              <w:bottom w:w="28" w:type="dxa"/>
            </w:tcMar>
          </w:tcPr>
          <w:p>
            <w:pPr>
              <w:pStyle w:val="TableContents"/>
              <w:spacing w:before="0" w:after="283"/>
              <w:rPr/>
            </w:pPr>
            <w:r>
              <w:rPr>
                <w:i/>
              </w:rPr>
              <w:t>/s/</w:t>
            </w:r>
            <w:r>
              <w:rPr/>
              <w:t xml:space="preserve"> Gavin Michael</w:t>
            </w:r>
          </w:p>
        </w:tc>
      </w:tr>
      <w:tr>
        <w:trPr/>
        <w:tc>
          <w:tcPr>
            <w:tcW w:w="394" w:type="dxa"/>
            <w:tcBorders/>
            <w:shd w:fill="auto" w:val="clear"/>
          </w:tcPr>
          <w:p>
            <w:pPr>
              <w:pStyle w:val="TableContents"/>
              <w:spacing w:before="0" w:after="283"/>
              <w:rPr>
                <w:sz w:val="4"/>
                <w:szCs w:val="4"/>
              </w:rPr>
            </w:pPr>
            <w:r>
              <w:rPr>
                <w:sz w:val="4"/>
                <w:szCs w:val="4"/>
              </w:rPr>
            </w:r>
          </w:p>
        </w:tc>
        <w:tc>
          <w:tcPr>
            <w:tcW w:w="61" w:type="dxa"/>
            <w:tcBorders/>
            <w:shd w:fill="auto" w:val="clear"/>
            <w:vAlign w:val="bottom"/>
          </w:tcPr>
          <w:p>
            <w:pPr>
              <w:pStyle w:val="TableContents"/>
              <w:spacing w:before="0" w:after="283"/>
              <w:rPr/>
            </w:pPr>
            <w:r>
              <w:rPr/>
              <w:t> </w:t>
            </w:r>
          </w:p>
        </w:tc>
        <w:tc>
          <w:tcPr>
            <w:tcW w:w="3627" w:type="dxa"/>
            <w:tcBorders/>
            <w:shd w:fill="auto" w:val="clear"/>
            <w:vAlign w:val="bottom"/>
          </w:tcPr>
          <w:p>
            <w:pPr>
              <w:pStyle w:val="TableContents"/>
              <w:spacing w:before="0" w:after="283"/>
              <w:rPr/>
            </w:pPr>
            <w:r>
              <w:rPr/>
              <w:t>Gavin Michael</w:t>
            </w:r>
          </w:p>
        </w:tc>
      </w:tr>
      <w:tr>
        <w:trPr/>
        <w:tc>
          <w:tcPr>
            <w:tcW w:w="394" w:type="dxa"/>
            <w:tcBorders/>
            <w:shd w:fill="auto" w:val="clear"/>
          </w:tcPr>
          <w:p>
            <w:pPr>
              <w:pStyle w:val="TableContents"/>
              <w:spacing w:before="0" w:after="283"/>
              <w:rPr>
                <w:sz w:val="4"/>
                <w:szCs w:val="4"/>
              </w:rPr>
            </w:pPr>
            <w:r>
              <w:rPr>
                <w:sz w:val="4"/>
                <w:szCs w:val="4"/>
              </w:rPr>
            </w:r>
          </w:p>
        </w:tc>
        <w:tc>
          <w:tcPr>
            <w:tcW w:w="61" w:type="dxa"/>
            <w:tcBorders/>
            <w:shd w:fill="auto" w:val="clear"/>
            <w:vAlign w:val="bottom"/>
          </w:tcPr>
          <w:p>
            <w:pPr>
              <w:pStyle w:val="TableContents"/>
              <w:spacing w:before="0" w:after="283"/>
              <w:rPr/>
            </w:pPr>
            <w:r>
              <w:rPr/>
              <w:t> </w:t>
            </w:r>
          </w:p>
        </w:tc>
        <w:tc>
          <w:tcPr>
            <w:tcW w:w="3627" w:type="dxa"/>
            <w:tcBorders/>
            <w:shd w:fill="auto" w:val="clear"/>
            <w:vAlign w:val="bottom"/>
          </w:tcPr>
          <w:p>
            <w:pPr>
              <w:pStyle w:val="TableContents"/>
              <w:spacing w:before="0" w:after="283"/>
              <w:rPr/>
            </w:pPr>
            <w:r>
              <w:rPr/>
              <w:t>Chief Executive Officer and Director</w:t>
            </w:r>
          </w:p>
        </w:tc>
      </w:tr>
    </w:tbl>
    <w:p>
      <w:pPr>
        <w:pStyle w:val="TextBody"/>
        <w:spacing w:before="480" w:after="0"/>
        <w:jc w:val="center"/>
        <w:rPr>
          <w:rFonts w:ascii="Times New Roman" w:hAnsi="Times New Roman"/>
          <w:b/>
          <w:sz w:val="20"/>
        </w:rPr>
      </w:pPr>
      <w:r>
        <w:rPr>
          <w:rFonts w:ascii="Times New Roman" w:hAnsi="Times New Roman"/>
          <w:b/>
          <w:sz w:val="20"/>
        </w:rPr>
        <w:t xml:space="preserve">POWER OF ATTORNEY </w:t>
      </w:r>
    </w:p>
    <w:p>
      <w:pPr>
        <w:pStyle w:val="TextBody"/>
        <w:spacing w:before="240" w:after="0"/>
        <w:jc w:val="left"/>
        <w:rPr>
          <w:rFonts w:ascii="Times New Roman" w:hAnsi="Times New Roman"/>
          <w:sz w:val="20"/>
        </w:rPr>
      </w:pPr>
      <w:r>
        <w:rPr>
          <w:rFonts w:ascii="Times New Roman" w:hAnsi="Times New Roman"/>
          <w:sz w:val="20"/>
        </w:rPr>
        <w:t xml:space="preserve">KNOW ALL PERSONS BY THESE PRESENTS, that each person whose signature appears below hereby constitutes and appoints Gavin Michael, Karen Alexander and Marc DAnnunzio, and each of them, as his or her true and lawful attorney-in-fact and agent, with full power of substitution and resubstitution, for him or her and in his or her name, place and stead, in any and all capacities, to sign any and all amendments to this registration statement, including post-effective amendments, and registration statements filed pursuant to Rule 462 under the Securities Act, and to file the same, with all exhibits thereto, and all other documents in connection therewith, with the Securities and Exchange Commission, granting unto said attorney-in-fact and agent and each of them, full power and authority to do and perform each and every act and thing requisite and necessary to be done in connection therewith and about the premises, as fully for all intents and purposes as they, he or she might or could do in person, hereby ratifying and confirming all that said attorney-in-fact and agent or any of them, or their, his or her substitute or substitutes, may lawfully do or cause to be done by virtue hereof. </w:t>
      </w:r>
    </w:p>
    <w:p>
      <w:pPr>
        <w:pStyle w:val="TextBody"/>
        <w:spacing w:before="240" w:after="0"/>
        <w:jc w:val="left"/>
        <w:rPr>
          <w:rFonts w:ascii="Times New Roman" w:hAnsi="Times New Roman"/>
          <w:sz w:val="20"/>
        </w:rPr>
      </w:pPr>
      <w:r>
        <w:rPr>
          <w:rFonts w:ascii="Times New Roman" w:hAnsi="Times New Roman"/>
          <w:sz w:val="20"/>
        </w:rPr>
        <w:t xml:space="preserve">Pursuant to the requirements of the Securities Act of 1933, this registration statement has been signed by the following persons in the capacities and on April 25, 2023.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686"/>
        <w:gridCol w:w="208"/>
        <w:gridCol w:w="5311"/>
      </w:tblGrid>
      <w:tr>
        <w:trPr/>
        <w:tc>
          <w:tcPr>
            <w:tcW w:w="4686"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bottom"/>
          </w:tcPr>
          <w:p>
            <w:pPr>
              <w:pStyle w:val="TableContents"/>
              <w:spacing w:before="0" w:after="283"/>
              <w:rPr>
                <w:sz w:val="4"/>
                <w:szCs w:val="4"/>
              </w:rPr>
            </w:pPr>
            <w:r>
              <w:rPr>
                <w:sz w:val="4"/>
                <w:szCs w:val="4"/>
              </w:rPr>
            </w:r>
          </w:p>
        </w:tc>
        <w:tc>
          <w:tcPr>
            <w:tcW w:w="5311" w:type="dxa"/>
            <w:tcBorders/>
            <w:shd w:fill="auto" w:val="clear"/>
            <w:vAlign w:val="center"/>
          </w:tcPr>
          <w:p>
            <w:pPr>
              <w:pStyle w:val="TableContents"/>
              <w:spacing w:before="0" w:after="283"/>
              <w:rPr>
                <w:sz w:val="4"/>
                <w:szCs w:val="4"/>
              </w:rPr>
            </w:pPr>
            <w:r>
              <w:rPr>
                <w:sz w:val="4"/>
                <w:szCs w:val="4"/>
              </w:rPr>
            </w:r>
          </w:p>
        </w:tc>
      </w:tr>
      <w:tr>
        <w:trPr/>
        <w:tc>
          <w:tcPr>
            <w:tcW w:w="4686" w:type="dxa"/>
            <w:tcBorders>
              <w:bottom w:val="single" w:sz="8" w:space="0" w:color="000000"/>
            </w:tcBorders>
            <w:shd w:fill="auto" w:val="clear"/>
            <w:tcMar>
              <w:bottom w:w="28" w:type="dxa"/>
            </w:tcMar>
            <w:vAlign w:val="bottom"/>
          </w:tcPr>
          <w:p>
            <w:pPr>
              <w:pStyle w:val="TableContents"/>
              <w:spacing w:before="0" w:after="20"/>
              <w:jc w:val="center"/>
              <w:rPr>
                <w:rFonts w:ascii="Times New Roman" w:hAnsi="Times New Roman"/>
                <w:b/>
                <w:sz w:val="16"/>
              </w:rPr>
            </w:pPr>
            <w:r>
              <w:rPr>
                <w:rFonts w:ascii="Times New Roman" w:hAnsi="Times New Roman"/>
                <w:b/>
                <w:sz w:val="16"/>
              </w:rPr>
              <w:t>Signature</w:t>
            </w:r>
          </w:p>
        </w:tc>
        <w:tc>
          <w:tcPr>
            <w:tcW w:w="208" w:type="dxa"/>
            <w:tcBorders/>
            <w:shd w:fill="auto" w:val="clear"/>
            <w:vAlign w:val="bottom"/>
          </w:tcPr>
          <w:p>
            <w:pPr>
              <w:pStyle w:val="TableContents"/>
              <w:spacing w:before="0" w:after="283"/>
              <w:rPr/>
            </w:pPr>
            <w:r>
              <w:rPr/>
              <w:t>  </w:t>
            </w:r>
          </w:p>
        </w:tc>
        <w:tc>
          <w:tcPr>
            <w:tcW w:w="5311" w:type="dxa"/>
            <w:tcBorders>
              <w:bottom w:val="single" w:sz="8" w:space="0" w:color="000000"/>
            </w:tcBorders>
            <w:shd w:fill="auto" w:val="clear"/>
            <w:tcMar>
              <w:bottom w:w="28" w:type="dxa"/>
            </w:tcMar>
            <w:vAlign w:val="bottom"/>
          </w:tcPr>
          <w:p>
            <w:pPr>
              <w:pStyle w:val="TableContents"/>
              <w:spacing w:before="0" w:after="20"/>
              <w:jc w:val="center"/>
              <w:rPr>
                <w:rFonts w:ascii="Times New Roman" w:hAnsi="Times New Roman"/>
                <w:b/>
                <w:sz w:val="16"/>
              </w:rPr>
            </w:pPr>
            <w:r>
              <w:rPr>
                <w:rFonts w:ascii="Times New Roman" w:hAnsi="Times New Roman"/>
                <w:b/>
                <w:sz w:val="16"/>
              </w:rPr>
              <w:t>Title</w:t>
            </w:r>
          </w:p>
        </w:tc>
      </w:tr>
      <w:tr>
        <w:trPr>
          <w:trHeight w:val="240" w:hRule="atLeast"/>
        </w:trPr>
        <w:tc>
          <w:tcPr>
            <w:tcW w:w="4686" w:type="dxa"/>
            <w:tcBorders/>
            <w:shd w:fill="auto" w:val="clear"/>
            <w:vAlign w:val="center"/>
          </w:tcPr>
          <w:p>
            <w:pPr>
              <w:pStyle w:val="TableContents"/>
              <w:spacing w:before="0" w:after="283"/>
              <w:rPr>
                <w:sz w:val="4"/>
                <w:szCs w:val="4"/>
              </w:rPr>
            </w:pPr>
            <w:r>
              <w:rPr>
                <w:sz w:val="4"/>
                <w:szCs w:val="4"/>
              </w:rPr>
            </w:r>
          </w:p>
        </w:tc>
        <w:tc>
          <w:tcPr>
            <w:tcW w:w="5519" w:type="dxa"/>
            <w:gridSpan w:val="2"/>
            <w:tcBorders/>
            <w:shd w:fill="auto" w:val="clear"/>
            <w:vAlign w:val="center"/>
          </w:tcPr>
          <w:p>
            <w:pPr>
              <w:pStyle w:val="TableContents"/>
              <w:spacing w:before="0" w:after="283"/>
              <w:rPr>
                <w:sz w:val="4"/>
                <w:szCs w:val="4"/>
              </w:rPr>
            </w:pPr>
            <w:r>
              <w:rPr>
                <w:sz w:val="4"/>
                <w:szCs w:val="4"/>
              </w:rPr>
            </w:r>
          </w:p>
        </w:tc>
      </w:tr>
      <w:tr>
        <w:trPr/>
        <w:tc>
          <w:tcPr>
            <w:tcW w:w="4686" w:type="dxa"/>
            <w:tcBorders/>
            <w:shd w:fill="auto" w:val="clear"/>
          </w:tcPr>
          <w:p>
            <w:pPr>
              <w:pStyle w:val="TableContents"/>
              <w:pBdr>
                <w:bottom w:val="single" w:sz="2" w:space="1" w:color="000000"/>
              </w:pBdr>
              <w:spacing w:before="0" w:after="0"/>
              <w:jc w:val="center"/>
              <w:rPr>
                <w:rFonts w:ascii="Times New Roman" w:hAnsi="Times New Roman"/>
                <w:sz w:val="20"/>
              </w:rPr>
            </w:pPr>
            <w:r>
              <w:rPr>
                <w:rFonts w:ascii="Times New Roman" w:hAnsi="Times New Roman"/>
                <w:sz w:val="20"/>
              </w:rPr>
              <w:t>/s/ Gavin Michael</w:t>
            </w:r>
          </w:p>
          <w:p>
            <w:pPr>
              <w:pStyle w:val="TableContents"/>
              <w:spacing w:before="0" w:after="20"/>
              <w:jc w:val="center"/>
              <w:rPr>
                <w:rFonts w:ascii="Times New Roman" w:hAnsi="Times New Roman"/>
                <w:sz w:val="20"/>
              </w:rPr>
            </w:pPr>
            <w:r>
              <w:rPr>
                <w:rFonts w:ascii="Times New Roman" w:hAnsi="Times New Roman"/>
                <w:sz w:val="20"/>
              </w:rPr>
              <w:t>Gavin Michael</w:t>
            </w:r>
          </w:p>
        </w:tc>
        <w:tc>
          <w:tcPr>
            <w:tcW w:w="208" w:type="dxa"/>
            <w:tcBorders/>
            <w:shd w:fill="auto" w:val="clear"/>
            <w:vAlign w:val="bottom"/>
          </w:tcPr>
          <w:p>
            <w:pPr>
              <w:pStyle w:val="TableContents"/>
              <w:spacing w:before="0" w:after="283"/>
              <w:rPr/>
            </w:pPr>
            <w:r>
              <w:rPr/>
              <w:t>  </w:t>
            </w:r>
          </w:p>
        </w:tc>
        <w:tc>
          <w:tcPr>
            <w:tcW w:w="5311" w:type="dxa"/>
            <w:tcBorders/>
            <w:shd w:fill="auto" w:val="clear"/>
          </w:tcPr>
          <w:p>
            <w:pPr>
              <w:pStyle w:val="TableContents"/>
              <w:spacing w:before="0" w:after="0"/>
              <w:rPr>
                <w:rFonts w:ascii="Times New Roman" w:hAnsi="Times New Roman"/>
                <w:sz w:val="20"/>
              </w:rPr>
            </w:pPr>
            <w:r>
              <w:rPr>
                <w:rFonts w:ascii="Times New Roman" w:hAnsi="Times New Roman"/>
                <w:sz w:val="20"/>
              </w:rPr>
              <w:t>Chief Executive Officer and Director</w:t>
            </w:r>
          </w:p>
          <w:p>
            <w:pPr>
              <w:pStyle w:val="TableContents"/>
              <w:spacing w:before="0" w:after="20"/>
              <w:rPr>
                <w:rFonts w:ascii="Times New Roman" w:hAnsi="Times New Roman"/>
                <w:sz w:val="20"/>
              </w:rPr>
            </w:pPr>
            <w:r>
              <w:rPr>
                <w:rFonts w:ascii="Times New Roman" w:hAnsi="Times New Roman"/>
                <w:sz w:val="20"/>
              </w:rPr>
              <w:t>(Principal Executive Officer)</w:t>
            </w:r>
          </w:p>
        </w:tc>
      </w:tr>
      <w:tr>
        <w:trPr>
          <w:trHeight w:val="240" w:hRule="atLeast"/>
        </w:trPr>
        <w:tc>
          <w:tcPr>
            <w:tcW w:w="4686" w:type="dxa"/>
            <w:tcBorders/>
            <w:shd w:fill="auto" w:val="clear"/>
            <w:vAlign w:val="center"/>
          </w:tcPr>
          <w:p>
            <w:pPr>
              <w:pStyle w:val="TableContents"/>
              <w:spacing w:before="0" w:after="283"/>
              <w:rPr>
                <w:sz w:val="4"/>
                <w:szCs w:val="4"/>
              </w:rPr>
            </w:pPr>
            <w:r>
              <w:rPr>
                <w:sz w:val="4"/>
                <w:szCs w:val="4"/>
              </w:rPr>
            </w:r>
          </w:p>
        </w:tc>
        <w:tc>
          <w:tcPr>
            <w:tcW w:w="5519" w:type="dxa"/>
            <w:gridSpan w:val="2"/>
            <w:tcBorders/>
            <w:shd w:fill="auto" w:val="clear"/>
            <w:vAlign w:val="center"/>
          </w:tcPr>
          <w:p>
            <w:pPr>
              <w:pStyle w:val="TableContents"/>
              <w:spacing w:before="0" w:after="283"/>
              <w:rPr>
                <w:sz w:val="4"/>
                <w:szCs w:val="4"/>
              </w:rPr>
            </w:pPr>
            <w:r>
              <w:rPr>
                <w:sz w:val="4"/>
                <w:szCs w:val="4"/>
              </w:rPr>
            </w:r>
          </w:p>
        </w:tc>
      </w:tr>
      <w:tr>
        <w:trPr/>
        <w:tc>
          <w:tcPr>
            <w:tcW w:w="4686" w:type="dxa"/>
            <w:tcBorders/>
            <w:shd w:fill="auto" w:val="clear"/>
          </w:tcPr>
          <w:p>
            <w:pPr>
              <w:pStyle w:val="TableContents"/>
              <w:pBdr>
                <w:bottom w:val="single" w:sz="2" w:space="1" w:color="000000"/>
              </w:pBdr>
              <w:spacing w:before="0" w:after="0"/>
              <w:jc w:val="center"/>
              <w:rPr>
                <w:rFonts w:ascii="Times New Roman" w:hAnsi="Times New Roman"/>
                <w:sz w:val="20"/>
              </w:rPr>
            </w:pPr>
            <w:r>
              <w:rPr>
                <w:rFonts w:ascii="Times New Roman" w:hAnsi="Times New Roman"/>
                <w:sz w:val="20"/>
              </w:rPr>
              <w:t>/s/ Karen Alexander</w:t>
            </w:r>
          </w:p>
          <w:p>
            <w:pPr>
              <w:pStyle w:val="TableContents"/>
              <w:spacing w:before="0" w:after="20"/>
              <w:jc w:val="center"/>
              <w:rPr>
                <w:rFonts w:ascii="Times New Roman" w:hAnsi="Times New Roman"/>
                <w:sz w:val="20"/>
              </w:rPr>
            </w:pPr>
            <w:r>
              <w:rPr>
                <w:rFonts w:ascii="Times New Roman" w:hAnsi="Times New Roman"/>
                <w:sz w:val="20"/>
              </w:rPr>
              <w:t>Karen Alexander</w:t>
            </w:r>
          </w:p>
        </w:tc>
        <w:tc>
          <w:tcPr>
            <w:tcW w:w="208" w:type="dxa"/>
            <w:tcBorders/>
            <w:shd w:fill="auto" w:val="clear"/>
            <w:vAlign w:val="bottom"/>
          </w:tcPr>
          <w:p>
            <w:pPr>
              <w:pStyle w:val="TableContents"/>
              <w:spacing w:before="0" w:after="283"/>
              <w:rPr/>
            </w:pPr>
            <w:r>
              <w:rPr/>
              <w:t>  </w:t>
            </w:r>
          </w:p>
        </w:tc>
        <w:tc>
          <w:tcPr>
            <w:tcW w:w="5311" w:type="dxa"/>
            <w:tcBorders/>
            <w:shd w:fill="auto" w:val="clear"/>
          </w:tcPr>
          <w:p>
            <w:pPr>
              <w:pStyle w:val="TableContents"/>
              <w:spacing w:before="0" w:after="0"/>
              <w:rPr>
                <w:rFonts w:ascii="Times New Roman" w:hAnsi="Times New Roman"/>
                <w:sz w:val="20"/>
              </w:rPr>
            </w:pPr>
            <w:r>
              <w:rPr>
                <w:rFonts w:ascii="Times New Roman" w:hAnsi="Times New Roman"/>
                <w:sz w:val="20"/>
              </w:rPr>
              <w:t>Chief Financial Officer</w:t>
            </w:r>
          </w:p>
          <w:p>
            <w:pPr>
              <w:pStyle w:val="TableContents"/>
              <w:spacing w:before="0" w:after="20"/>
              <w:rPr>
                <w:rFonts w:ascii="Times New Roman" w:hAnsi="Times New Roman"/>
                <w:sz w:val="20"/>
              </w:rPr>
            </w:pPr>
            <w:r>
              <w:rPr>
                <w:rFonts w:ascii="Times New Roman" w:hAnsi="Times New Roman"/>
                <w:sz w:val="20"/>
              </w:rPr>
              <w:t>(Principal Financial Officer)</w:t>
            </w:r>
          </w:p>
        </w:tc>
      </w:tr>
      <w:tr>
        <w:trPr>
          <w:trHeight w:val="240" w:hRule="atLeast"/>
        </w:trPr>
        <w:tc>
          <w:tcPr>
            <w:tcW w:w="4686" w:type="dxa"/>
            <w:tcBorders/>
            <w:shd w:fill="auto" w:val="clear"/>
            <w:vAlign w:val="center"/>
          </w:tcPr>
          <w:p>
            <w:pPr>
              <w:pStyle w:val="TableContents"/>
              <w:spacing w:before="0" w:after="283"/>
              <w:rPr>
                <w:sz w:val="4"/>
                <w:szCs w:val="4"/>
              </w:rPr>
            </w:pPr>
            <w:r>
              <w:rPr>
                <w:sz w:val="4"/>
                <w:szCs w:val="4"/>
              </w:rPr>
            </w:r>
          </w:p>
        </w:tc>
        <w:tc>
          <w:tcPr>
            <w:tcW w:w="5519" w:type="dxa"/>
            <w:gridSpan w:val="2"/>
            <w:tcBorders/>
            <w:shd w:fill="auto" w:val="clear"/>
            <w:vAlign w:val="center"/>
          </w:tcPr>
          <w:p>
            <w:pPr>
              <w:pStyle w:val="TableContents"/>
              <w:spacing w:before="0" w:after="283"/>
              <w:rPr>
                <w:sz w:val="4"/>
                <w:szCs w:val="4"/>
              </w:rPr>
            </w:pPr>
            <w:r>
              <w:rPr>
                <w:sz w:val="4"/>
                <w:szCs w:val="4"/>
              </w:rPr>
            </w:r>
          </w:p>
        </w:tc>
      </w:tr>
      <w:tr>
        <w:trPr/>
        <w:tc>
          <w:tcPr>
            <w:tcW w:w="4686" w:type="dxa"/>
            <w:tcBorders/>
            <w:shd w:fill="auto" w:val="clear"/>
          </w:tcPr>
          <w:p>
            <w:pPr>
              <w:pStyle w:val="TableContents"/>
              <w:pBdr>
                <w:bottom w:val="single" w:sz="2" w:space="1" w:color="000000"/>
              </w:pBdr>
              <w:spacing w:before="0" w:after="0"/>
              <w:jc w:val="center"/>
              <w:rPr>
                <w:rFonts w:ascii="Times New Roman" w:hAnsi="Times New Roman"/>
                <w:sz w:val="20"/>
              </w:rPr>
            </w:pPr>
            <w:r>
              <w:rPr>
                <w:rFonts w:ascii="Times New Roman" w:hAnsi="Times New Roman"/>
                <w:sz w:val="20"/>
              </w:rPr>
              <w:t>/s/ Charles Goodroe</w:t>
            </w:r>
          </w:p>
          <w:p>
            <w:pPr>
              <w:pStyle w:val="TableContents"/>
              <w:spacing w:before="0" w:after="20"/>
              <w:jc w:val="center"/>
              <w:rPr>
                <w:rFonts w:ascii="Times New Roman" w:hAnsi="Times New Roman"/>
                <w:sz w:val="20"/>
              </w:rPr>
            </w:pPr>
            <w:r>
              <w:rPr>
                <w:rFonts w:ascii="Times New Roman" w:hAnsi="Times New Roman"/>
                <w:sz w:val="20"/>
              </w:rPr>
              <w:t>Charles Goodroe</w:t>
            </w:r>
          </w:p>
        </w:tc>
        <w:tc>
          <w:tcPr>
            <w:tcW w:w="208" w:type="dxa"/>
            <w:tcBorders/>
            <w:shd w:fill="auto" w:val="clear"/>
            <w:vAlign w:val="bottom"/>
          </w:tcPr>
          <w:p>
            <w:pPr>
              <w:pStyle w:val="TableContents"/>
              <w:spacing w:before="0" w:after="283"/>
              <w:rPr/>
            </w:pPr>
            <w:r>
              <w:rPr/>
              <w:t>  </w:t>
            </w:r>
          </w:p>
        </w:tc>
        <w:tc>
          <w:tcPr>
            <w:tcW w:w="5311" w:type="dxa"/>
            <w:tcBorders/>
            <w:shd w:fill="auto" w:val="clear"/>
          </w:tcPr>
          <w:p>
            <w:pPr>
              <w:pStyle w:val="TableContents"/>
              <w:spacing w:before="0" w:after="0"/>
              <w:rPr>
                <w:rFonts w:ascii="Times New Roman" w:hAnsi="Times New Roman"/>
                <w:sz w:val="20"/>
              </w:rPr>
            </w:pPr>
            <w:r>
              <w:rPr>
                <w:rFonts w:ascii="Times New Roman" w:hAnsi="Times New Roman"/>
                <w:sz w:val="20"/>
              </w:rPr>
              <w:t>Chief Accounting Officer</w:t>
            </w:r>
          </w:p>
          <w:p>
            <w:pPr>
              <w:pStyle w:val="TableContents"/>
              <w:spacing w:before="0" w:after="20"/>
              <w:rPr>
                <w:rFonts w:ascii="Times New Roman" w:hAnsi="Times New Roman"/>
                <w:sz w:val="20"/>
              </w:rPr>
            </w:pPr>
            <w:r>
              <w:rPr>
                <w:rFonts w:ascii="Times New Roman" w:hAnsi="Times New Roman"/>
                <w:sz w:val="20"/>
              </w:rPr>
              <w:t>(Principal Accounting Officer)</w:t>
            </w:r>
          </w:p>
        </w:tc>
      </w:tr>
      <w:tr>
        <w:trPr>
          <w:trHeight w:val="240" w:hRule="atLeast"/>
        </w:trPr>
        <w:tc>
          <w:tcPr>
            <w:tcW w:w="4686" w:type="dxa"/>
            <w:tcBorders/>
            <w:shd w:fill="auto" w:val="clear"/>
            <w:vAlign w:val="center"/>
          </w:tcPr>
          <w:p>
            <w:pPr>
              <w:pStyle w:val="TableContents"/>
              <w:spacing w:before="0" w:after="283"/>
              <w:rPr>
                <w:sz w:val="4"/>
                <w:szCs w:val="4"/>
              </w:rPr>
            </w:pPr>
            <w:r>
              <w:rPr>
                <w:sz w:val="4"/>
                <w:szCs w:val="4"/>
              </w:rPr>
            </w:r>
          </w:p>
        </w:tc>
        <w:tc>
          <w:tcPr>
            <w:tcW w:w="5519" w:type="dxa"/>
            <w:gridSpan w:val="2"/>
            <w:tcBorders/>
            <w:shd w:fill="auto" w:val="clear"/>
            <w:vAlign w:val="center"/>
          </w:tcPr>
          <w:p>
            <w:pPr>
              <w:pStyle w:val="TableContents"/>
              <w:spacing w:before="0" w:after="283"/>
              <w:rPr>
                <w:sz w:val="4"/>
                <w:szCs w:val="4"/>
              </w:rPr>
            </w:pPr>
            <w:r>
              <w:rPr>
                <w:sz w:val="4"/>
                <w:szCs w:val="4"/>
              </w:rPr>
            </w:r>
          </w:p>
        </w:tc>
      </w:tr>
      <w:tr>
        <w:trPr/>
        <w:tc>
          <w:tcPr>
            <w:tcW w:w="4686" w:type="dxa"/>
            <w:tcBorders/>
            <w:shd w:fill="auto" w:val="clear"/>
          </w:tcPr>
          <w:p>
            <w:pPr>
              <w:pStyle w:val="TableContents"/>
              <w:pBdr>
                <w:bottom w:val="single" w:sz="2" w:space="1" w:color="000000"/>
              </w:pBdr>
              <w:spacing w:before="0" w:after="0"/>
              <w:jc w:val="center"/>
              <w:rPr>
                <w:rFonts w:ascii="Times New Roman" w:hAnsi="Times New Roman"/>
                <w:sz w:val="20"/>
              </w:rPr>
            </w:pPr>
            <w:r>
              <w:rPr>
                <w:rFonts w:ascii="Times New Roman" w:hAnsi="Times New Roman"/>
                <w:sz w:val="20"/>
              </w:rPr>
              <w:t>/s/ Sean Collins</w:t>
            </w:r>
          </w:p>
          <w:p>
            <w:pPr>
              <w:pStyle w:val="TableContents"/>
              <w:spacing w:before="0" w:after="20"/>
              <w:jc w:val="center"/>
              <w:rPr>
                <w:rFonts w:ascii="Times New Roman" w:hAnsi="Times New Roman"/>
                <w:sz w:val="20"/>
              </w:rPr>
            </w:pPr>
            <w:r>
              <w:rPr>
                <w:rFonts w:ascii="Times New Roman" w:hAnsi="Times New Roman"/>
                <w:sz w:val="20"/>
              </w:rPr>
              <w:t>Sean Collins</w:t>
            </w:r>
          </w:p>
        </w:tc>
        <w:tc>
          <w:tcPr>
            <w:tcW w:w="208" w:type="dxa"/>
            <w:tcBorders/>
            <w:shd w:fill="auto" w:val="clear"/>
            <w:vAlign w:val="bottom"/>
          </w:tcPr>
          <w:p>
            <w:pPr>
              <w:pStyle w:val="TableContents"/>
              <w:spacing w:before="0" w:after="283"/>
              <w:rPr/>
            </w:pPr>
            <w:r>
              <w:rPr/>
              <w:t>  </w:t>
            </w:r>
          </w:p>
        </w:tc>
        <w:tc>
          <w:tcPr>
            <w:tcW w:w="5311" w:type="dxa"/>
            <w:tcBorders/>
            <w:shd w:fill="auto" w:val="clear"/>
          </w:tcPr>
          <w:p>
            <w:pPr>
              <w:pStyle w:val="TableContents"/>
              <w:spacing w:before="0" w:after="0"/>
              <w:rPr>
                <w:rFonts w:ascii="Times New Roman" w:hAnsi="Times New Roman"/>
                <w:sz w:val="20"/>
              </w:rPr>
            </w:pPr>
            <w:r>
              <w:rPr>
                <w:rFonts w:ascii="Times New Roman" w:hAnsi="Times New Roman"/>
                <w:sz w:val="20"/>
              </w:rPr>
              <w:t>Chair of the Board of Directors</w:t>
            </w:r>
          </w:p>
        </w:tc>
      </w:tr>
      <w:tr>
        <w:trPr>
          <w:trHeight w:val="240" w:hRule="atLeast"/>
        </w:trPr>
        <w:tc>
          <w:tcPr>
            <w:tcW w:w="4686" w:type="dxa"/>
            <w:tcBorders/>
            <w:shd w:fill="auto" w:val="clear"/>
            <w:vAlign w:val="center"/>
          </w:tcPr>
          <w:p>
            <w:pPr>
              <w:pStyle w:val="TableContents"/>
              <w:spacing w:before="0" w:after="283"/>
              <w:rPr>
                <w:sz w:val="4"/>
                <w:szCs w:val="4"/>
              </w:rPr>
            </w:pPr>
            <w:r>
              <w:rPr>
                <w:sz w:val="4"/>
                <w:szCs w:val="4"/>
              </w:rPr>
            </w:r>
          </w:p>
        </w:tc>
        <w:tc>
          <w:tcPr>
            <w:tcW w:w="5519" w:type="dxa"/>
            <w:gridSpan w:val="2"/>
            <w:tcBorders/>
            <w:shd w:fill="auto" w:val="clear"/>
            <w:vAlign w:val="center"/>
          </w:tcPr>
          <w:p>
            <w:pPr>
              <w:pStyle w:val="TableContents"/>
              <w:spacing w:before="0" w:after="283"/>
              <w:rPr>
                <w:sz w:val="4"/>
                <w:szCs w:val="4"/>
              </w:rPr>
            </w:pPr>
            <w:r>
              <w:rPr>
                <w:sz w:val="4"/>
                <w:szCs w:val="4"/>
              </w:rPr>
            </w:r>
          </w:p>
        </w:tc>
      </w:tr>
      <w:tr>
        <w:trPr/>
        <w:tc>
          <w:tcPr>
            <w:tcW w:w="4686" w:type="dxa"/>
            <w:tcBorders/>
            <w:shd w:fill="auto" w:val="clear"/>
          </w:tcPr>
          <w:p>
            <w:pPr>
              <w:pStyle w:val="TableContents"/>
              <w:pBdr>
                <w:bottom w:val="single" w:sz="2" w:space="1" w:color="000000"/>
              </w:pBdr>
              <w:spacing w:before="0" w:after="0"/>
              <w:jc w:val="center"/>
              <w:rPr>
                <w:rFonts w:ascii="Times New Roman" w:hAnsi="Times New Roman"/>
                <w:sz w:val="20"/>
              </w:rPr>
            </w:pPr>
            <w:r>
              <w:rPr>
                <w:rFonts w:ascii="Times New Roman" w:hAnsi="Times New Roman"/>
                <w:sz w:val="20"/>
              </w:rPr>
              <w:t>/s/ David C. Clifton</w:t>
            </w:r>
          </w:p>
          <w:p>
            <w:pPr>
              <w:pStyle w:val="TableContents"/>
              <w:spacing w:before="0" w:after="20"/>
              <w:jc w:val="center"/>
              <w:rPr>
                <w:rFonts w:ascii="Times New Roman" w:hAnsi="Times New Roman"/>
                <w:sz w:val="20"/>
              </w:rPr>
            </w:pPr>
            <w:r>
              <w:rPr>
                <w:rFonts w:ascii="Times New Roman" w:hAnsi="Times New Roman"/>
                <w:sz w:val="20"/>
              </w:rPr>
              <w:t>David C. Clifton</w:t>
            </w:r>
          </w:p>
        </w:tc>
        <w:tc>
          <w:tcPr>
            <w:tcW w:w="208" w:type="dxa"/>
            <w:tcBorders/>
            <w:shd w:fill="auto" w:val="clear"/>
            <w:vAlign w:val="bottom"/>
          </w:tcPr>
          <w:p>
            <w:pPr>
              <w:pStyle w:val="TableContents"/>
              <w:spacing w:before="0" w:after="283"/>
              <w:rPr/>
            </w:pPr>
            <w:r>
              <w:rPr/>
              <w:t>  </w:t>
            </w:r>
          </w:p>
        </w:tc>
        <w:tc>
          <w:tcPr>
            <w:tcW w:w="5311" w:type="dxa"/>
            <w:tcBorders/>
            <w:shd w:fill="auto" w:val="clear"/>
          </w:tcPr>
          <w:p>
            <w:pPr>
              <w:pStyle w:val="TableContents"/>
              <w:spacing w:before="0" w:after="0"/>
              <w:rPr>
                <w:rFonts w:ascii="Times New Roman" w:hAnsi="Times New Roman"/>
                <w:sz w:val="20"/>
              </w:rPr>
            </w:pPr>
            <w:r>
              <w:rPr>
                <w:rFonts w:ascii="Times New Roman" w:hAnsi="Times New Roman"/>
                <w:sz w:val="20"/>
              </w:rPr>
              <w:t>Director</w:t>
            </w:r>
          </w:p>
        </w:tc>
      </w:tr>
      <w:tr>
        <w:trPr>
          <w:trHeight w:val="240" w:hRule="atLeast"/>
        </w:trPr>
        <w:tc>
          <w:tcPr>
            <w:tcW w:w="4686" w:type="dxa"/>
            <w:tcBorders/>
            <w:shd w:fill="auto" w:val="clear"/>
            <w:vAlign w:val="center"/>
          </w:tcPr>
          <w:p>
            <w:pPr>
              <w:pStyle w:val="TableContents"/>
              <w:spacing w:before="0" w:after="283"/>
              <w:rPr>
                <w:sz w:val="4"/>
                <w:szCs w:val="4"/>
              </w:rPr>
            </w:pPr>
            <w:r>
              <w:rPr>
                <w:sz w:val="4"/>
                <w:szCs w:val="4"/>
              </w:rPr>
            </w:r>
          </w:p>
        </w:tc>
        <w:tc>
          <w:tcPr>
            <w:tcW w:w="5519" w:type="dxa"/>
            <w:gridSpan w:val="2"/>
            <w:tcBorders/>
            <w:shd w:fill="auto" w:val="clear"/>
            <w:vAlign w:val="center"/>
          </w:tcPr>
          <w:p>
            <w:pPr>
              <w:pStyle w:val="TableContents"/>
              <w:spacing w:before="0" w:after="283"/>
              <w:rPr>
                <w:sz w:val="4"/>
                <w:szCs w:val="4"/>
              </w:rPr>
            </w:pPr>
            <w:r>
              <w:rPr>
                <w:sz w:val="4"/>
                <w:szCs w:val="4"/>
              </w:rPr>
            </w:r>
          </w:p>
        </w:tc>
      </w:tr>
      <w:tr>
        <w:trPr/>
        <w:tc>
          <w:tcPr>
            <w:tcW w:w="4686" w:type="dxa"/>
            <w:tcBorders/>
            <w:shd w:fill="auto" w:val="clear"/>
          </w:tcPr>
          <w:p>
            <w:pPr>
              <w:pStyle w:val="TableContents"/>
              <w:pBdr>
                <w:bottom w:val="single" w:sz="2" w:space="1" w:color="000000"/>
              </w:pBdr>
              <w:spacing w:before="0" w:after="0"/>
              <w:jc w:val="center"/>
              <w:rPr>
                <w:rFonts w:ascii="Times New Roman" w:hAnsi="Times New Roman"/>
                <w:sz w:val="20"/>
              </w:rPr>
            </w:pPr>
            <w:r>
              <w:rPr>
                <w:rFonts w:ascii="Times New Roman" w:hAnsi="Times New Roman"/>
                <w:sz w:val="20"/>
              </w:rPr>
              <w:t>/s/ DeAna Dow</w:t>
            </w:r>
          </w:p>
          <w:p>
            <w:pPr>
              <w:pStyle w:val="TableContents"/>
              <w:spacing w:before="0" w:after="20"/>
              <w:jc w:val="center"/>
              <w:rPr>
                <w:rFonts w:ascii="Times New Roman" w:hAnsi="Times New Roman"/>
                <w:sz w:val="20"/>
              </w:rPr>
            </w:pPr>
            <w:r>
              <w:rPr>
                <w:rFonts w:ascii="Times New Roman" w:hAnsi="Times New Roman"/>
                <w:sz w:val="20"/>
              </w:rPr>
              <w:t>DeAna Dow</w:t>
            </w:r>
          </w:p>
        </w:tc>
        <w:tc>
          <w:tcPr>
            <w:tcW w:w="208" w:type="dxa"/>
            <w:tcBorders/>
            <w:shd w:fill="auto" w:val="clear"/>
            <w:vAlign w:val="bottom"/>
          </w:tcPr>
          <w:p>
            <w:pPr>
              <w:pStyle w:val="TableContents"/>
              <w:spacing w:before="0" w:after="283"/>
              <w:rPr/>
            </w:pPr>
            <w:r>
              <w:rPr/>
              <w:t>  </w:t>
            </w:r>
          </w:p>
        </w:tc>
        <w:tc>
          <w:tcPr>
            <w:tcW w:w="5311" w:type="dxa"/>
            <w:tcBorders/>
            <w:shd w:fill="auto" w:val="clear"/>
          </w:tcPr>
          <w:p>
            <w:pPr>
              <w:pStyle w:val="TableContents"/>
              <w:spacing w:before="0" w:after="0"/>
              <w:rPr>
                <w:rFonts w:ascii="Times New Roman" w:hAnsi="Times New Roman"/>
                <w:sz w:val="20"/>
              </w:rPr>
            </w:pPr>
            <w:r>
              <w:rPr>
                <w:rFonts w:ascii="Times New Roman" w:hAnsi="Times New Roman"/>
                <w:sz w:val="20"/>
              </w:rPr>
              <w:t>Director</w:t>
            </w:r>
          </w:p>
        </w:tc>
      </w:tr>
      <w:tr>
        <w:trPr>
          <w:trHeight w:val="240" w:hRule="atLeast"/>
        </w:trPr>
        <w:tc>
          <w:tcPr>
            <w:tcW w:w="4686" w:type="dxa"/>
            <w:tcBorders/>
            <w:shd w:fill="auto" w:val="clear"/>
            <w:vAlign w:val="center"/>
          </w:tcPr>
          <w:p>
            <w:pPr>
              <w:pStyle w:val="TableContents"/>
              <w:spacing w:before="0" w:after="283"/>
              <w:rPr>
                <w:sz w:val="4"/>
                <w:szCs w:val="4"/>
              </w:rPr>
            </w:pPr>
            <w:r>
              <w:rPr>
                <w:sz w:val="4"/>
                <w:szCs w:val="4"/>
              </w:rPr>
            </w:r>
          </w:p>
        </w:tc>
        <w:tc>
          <w:tcPr>
            <w:tcW w:w="5519" w:type="dxa"/>
            <w:gridSpan w:val="2"/>
            <w:tcBorders/>
            <w:shd w:fill="auto" w:val="clear"/>
            <w:vAlign w:val="center"/>
          </w:tcPr>
          <w:p>
            <w:pPr>
              <w:pStyle w:val="TableContents"/>
              <w:spacing w:before="0" w:after="283"/>
              <w:rPr>
                <w:sz w:val="4"/>
                <w:szCs w:val="4"/>
              </w:rPr>
            </w:pPr>
            <w:r>
              <w:rPr>
                <w:sz w:val="4"/>
                <w:szCs w:val="4"/>
              </w:rPr>
            </w:r>
          </w:p>
        </w:tc>
      </w:tr>
      <w:tr>
        <w:trPr/>
        <w:tc>
          <w:tcPr>
            <w:tcW w:w="4686" w:type="dxa"/>
            <w:tcBorders/>
            <w:shd w:fill="auto" w:val="clear"/>
          </w:tcPr>
          <w:p>
            <w:pPr>
              <w:pStyle w:val="TableContents"/>
              <w:pBdr>
                <w:bottom w:val="single" w:sz="2" w:space="1" w:color="000000"/>
              </w:pBdr>
              <w:spacing w:before="0" w:after="0"/>
              <w:jc w:val="center"/>
              <w:rPr>
                <w:rFonts w:ascii="Times New Roman" w:hAnsi="Times New Roman"/>
                <w:sz w:val="20"/>
              </w:rPr>
            </w:pPr>
            <w:r>
              <w:rPr>
                <w:rFonts w:ascii="Times New Roman" w:hAnsi="Times New Roman"/>
                <w:sz w:val="20"/>
              </w:rPr>
              <w:t>/s/ Michelle J. Goldberg</w:t>
            </w:r>
          </w:p>
          <w:p>
            <w:pPr>
              <w:pStyle w:val="TableContents"/>
              <w:spacing w:before="0" w:after="20"/>
              <w:jc w:val="center"/>
              <w:rPr>
                <w:rFonts w:ascii="Times New Roman" w:hAnsi="Times New Roman"/>
                <w:sz w:val="20"/>
              </w:rPr>
            </w:pPr>
            <w:r>
              <w:rPr>
                <w:rFonts w:ascii="Times New Roman" w:hAnsi="Times New Roman"/>
                <w:sz w:val="20"/>
              </w:rPr>
              <w:t>Michelle J. Goldberg</w:t>
            </w:r>
          </w:p>
        </w:tc>
        <w:tc>
          <w:tcPr>
            <w:tcW w:w="208" w:type="dxa"/>
            <w:tcBorders/>
            <w:shd w:fill="auto" w:val="clear"/>
            <w:vAlign w:val="bottom"/>
          </w:tcPr>
          <w:p>
            <w:pPr>
              <w:pStyle w:val="TableContents"/>
              <w:spacing w:before="0" w:after="283"/>
              <w:rPr/>
            </w:pPr>
            <w:r>
              <w:rPr/>
              <w:t>  </w:t>
            </w:r>
          </w:p>
        </w:tc>
        <w:tc>
          <w:tcPr>
            <w:tcW w:w="5311" w:type="dxa"/>
            <w:tcBorders/>
            <w:shd w:fill="auto" w:val="clear"/>
          </w:tcPr>
          <w:p>
            <w:pPr>
              <w:pStyle w:val="TableContents"/>
              <w:spacing w:before="0" w:after="283"/>
              <w:rPr/>
            </w:pPr>
            <w:r>
              <w:rPr/>
              <w:t>Director</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II-5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4686"/>
        <w:gridCol w:w="207"/>
        <w:gridCol w:w="5312"/>
      </w:tblGrid>
      <w:tr>
        <w:trPr/>
        <w:tc>
          <w:tcPr>
            <w:tcW w:w="4686"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bottom"/>
          </w:tcPr>
          <w:p>
            <w:pPr>
              <w:pStyle w:val="TableContents"/>
              <w:spacing w:before="0" w:after="283"/>
              <w:rPr>
                <w:sz w:val="4"/>
                <w:szCs w:val="4"/>
              </w:rPr>
            </w:pPr>
            <w:r>
              <w:rPr>
                <w:sz w:val="4"/>
                <w:szCs w:val="4"/>
              </w:rPr>
            </w:r>
          </w:p>
        </w:tc>
        <w:tc>
          <w:tcPr>
            <w:tcW w:w="5312" w:type="dxa"/>
            <w:tcBorders/>
            <w:shd w:fill="auto" w:val="clear"/>
            <w:vAlign w:val="center"/>
          </w:tcPr>
          <w:p>
            <w:pPr>
              <w:pStyle w:val="TableContents"/>
              <w:spacing w:before="0" w:after="283"/>
              <w:rPr>
                <w:sz w:val="4"/>
                <w:szCs w:val="4"/>
              </w:rPr>
            </w:pPr>
            <w:r>
              <w:rPr>
                <w:sz w:val="4"/>
                <w:szCs w:val="4"/>
              </w:rPr>
            </w:r>
          </w:p>
        </w:tc>
      </w:tr>
      <w:tr>
        <w:trPr/>
        <w:tc>
          <w:tcPr>
            <w:tcW w:w="4686" w:type="dxa"/>
            <w:tcBorders>
              <w:bottom w:val="single" w:sz="8" w:space="0" w:color="000000"/>
            </w:tcBorders>
            <w:shd w:fill="auto" w:val="clear"/>
            <w:tcMar>
              <w:bottom w:w="28" w:type="dxa"/>
            </w:tcMar>
            <w:vAlign w:val="bottom"/>
          </w:tcPr>
          <w:p>
            <w:pPr>
              <w:pStyle w:val="TableContents"/>
              <w:spacing w:before="0" w:after="20"/>
              <w:jc w:val="center"/>
              <w:rPr>
                <w:rFonts w:ascii="Times New Roman" w:hAnsi="Times New Roman"/>
                <w:b/>
                <w:sz w:val="16"/>
              </w:rPr>
            </w:pPr>
            <w:r>
              <w:rPr>
                <w:rFonts w:ascii="Times New Roman" w:hAnsi="Times New Roman"/>
                <w:b/>
                <w:sz w:val="16"/>
              </w:rPr>
              <w:t>Signature</w:t>
            </w:r>
          </w:p>
        </w:tc>
        <w:tc>
          <w:tcPr>
            <w:tcW w:w="207" w:type="dxa"/>
            <w:tcBorders/>
            <w:shd w:fill="auto" w:val="clear"/>
            <w:vAlign w:val="bottom"/>
          </w:tcPr>
          <w:p>
            <w:pPr>
              <w:pStyle w:val="TableContents"/>
              <w:spacing w:before="0" w:after="283"/>
              <w:rPr/>
            </w:pPr>
            <w:r>
              <w:rPr/>
              <w:t>  </w:t>
            </w:r>
          </w:p>
        </w:tc>
        <w:tc>
          <w:tcPr>
            <w:tcW w:w="5312" w:type="dxa"/>
            <w:tcBorders>
              <w:bottom w:val="single" w:sz="8" w:space="0" w:color="000000"/>
            </w:tcBorders>
            <w:shd w:fill="auto" w:val="clear"/>
            <w:tcMar>
              <w:bottom w:w="28" w:type="dxa"/>
            </w:tcMar>
            <w:vAlign w:val="bottom"/>
          </w:tcPr>
          <w:p>
            <w:pPr>
              <w:pStyle w:val="TableContents"/>
              <w:spacing w:before="0" w:after="20"/>
              <w:jc w:val="center"/>
              <w:rPr>
                <w:rFonts w:ascii="Times New Roman" w:hAnsi="Times New Roman"/>
                <w:b/>
                <w:sz w:val="16"/>
              </w:rPr>
            </w:pPr>
            <w:r>
              <w:rPr>
                <w:rFonts w:ascii="Times New Roman" w:hAnsi="Times New Roman"/>
                <w:b/>
                <w:sz w:val="16"/>
              </w:rPr>
              <w:t>Title</w:t>
            </w:r>
          </w:p>
        </w:tc>
      </w:tr>
      <w:tr>
        <w:trPr>
          <w:trHeight w:val="240" w:hRule="atLeast"/>
        </w:trPr>
        <w:tc>
          <w:tcPr>
            <w:tcW w:w="4686" w:type="dxa"/>
            <w:tcBorders/>
            <w:shd w:fill="auto" w:val="clear"/>
            <w:vAlign w:val="center"/>
          </w:tcPr>
          <w:p>
            <w:pPr>
              <w:pStyle w:val="TableContents"/>
              <w:spacing w:before="0" w:after="283"/>
              <w:rPr>
                <w:sz w:val="4"/>
                <w:szCs w:val="4"/>
              </w:rPr>
            </w:pPr>
            <w:r>
              <w:rPr>
                <w:sz w:val="4"/>
                <w:szCs w:val="4"/>
              </w:rPr>
            </w:r>
          </w:p>
        </w:tc>
        <w:tc>
          <w:tcPr>
            <w:tcW w:w="5519" w:type="dxa"/>
            <w:gridSpan w:val="2"/>
            <w:tcBorders/>
            <w:shd w:fill="auto" w:val="clear"/>
            <w:vAlign w:val="center"/>
          </w:tcPr>
          <w:p>
            <w:pPr>
              <w:pStyle w:val="TableContents"/>
              <w:spacing w:before="0" w:after="283"/>
              <w:rPr>
                <w:sz w:val="4"/>
                <w:szCs w:val="4"/>
              </w:rPr>
            </w:pPr>
            <w:r>
              <w:rPr>
                <w:sz w:val="4"/>
                <w:szCs w:val="4"/>
              </w:rPr>
            </w:r>
          </w:p>
        </w:tc>
      </w:tr>
      <w:tr>
        <w:trPr/>
        <w:tc>
          <w:tcPr>
            <w:tcW w:w="4686" w:type="dxa"/>
            <w:tcBorders/>
            <w:shd w:fill="auto" w:val="clear"/>
          </w:tcPr>
          <w:p>
            <w:pPr>
              <w:pStyle w:val="TableContents"/>
              <w:pBdr>
                <w:bottom w:val="single" w:sz="2" w:space="1" w:color="000000"/>
              </w:pBdr>
              <w:spacing w:before="0" w:after="0"/>
              <w:jc w:val="center"/>
              <w:rPr>
                <w:rFonts w:ascii="Times New Roman" w:hAnsi="Times New Roman"/>
                <w:sz w:val="20"/>
              </w:rPr>
            </w:pPr>
            <w:r>
              <w:rPr>
                <w:rFonts w:ascii="Times New Roman" w:hAnsi="Times New Roman"/>
                <w:sz w:val="20"/>
              </w:rPr>
              <w:t>/s/ Richard Lumb</w:t>
            </w:r>
          </w:p>
          <w:p>
            <w:pPr>
              <w:pStyle w:val="TableContents"/>
              <w:spacing w:before="0" w:after="20"/>
              <w:jc w:val="center"/>
              <w:rPr>
                <w:rFonts w:ascii="Times New Roman" w:hAnsi="Times New Roman"/>
                <w:sz w:val="20"/>
              </w:rPr>
            </w:pPr>
            <w:r>
              <w:rPr>
                <w:rFonts w:ascii="Times New Roman" w:hAnsi="Times New Roman"/>
                <w:sz w:val="20"/>
              </w:rPr>
              <w:t>Richard Lumb</w:t>
            </w:r>
          </w:p>
        </w:tc>
        <w:tc>
          <w:tcPr>
            <w:tcW w:w="207" w:type="dxa"/>
            <w:tcBorders/>
            <w:shd w:fill="auto" w:val="clear"/>
            <w:vAlign w:val="bottom"/>
          </w:tcPr>
          <w:p>
            <w:pPr>
              <w:pStyle w:val="TableContents"/>
              <w:spacing w:before="0" w:after="283"/>
              <w:rPr/>
            </w:pPr>
            <w:r>
              <w:rPr/>
              <w:t>  </w:t>
            </w:r>
          </w:p>
        </w:tc>
        <w:tc>
          <w:tcPr>
            <w:tcW w:w="5312" w:type="dxa"/>
            <w:tcBorders/>
            <w:shd w:fill="auto" w:val="clear"/>
          </w:tcPr>
          <w:p>
            <w:pPr>
              <w:pStyle w:val="TableContents"/>
              <w:spacing w:before="0" w:after="283"/>
              <w:rPr/>
            </w:pPr>
            <w:r>
              <w:rPr/>
              <w:t>Director</w:t>
            </w:r>
          </w:p>
        </w:tc>
      </w:tr>
      <w:tr>
        <w:trPr>
          <w:trHeight w:val="240" w:hRule="atLeast"/>
        </w:trPr>
        <w:tc>
          <w:tcPr>
            <w:tcW w:w="4686" w:type="dxa"/>
            <w:tcBorders/>
            <w:shd w:fill="auto" w:val="clear"/>
            <w:vAlign w:val="center"/>
          </w:tcPr>
          <w:p>
            <w:pPr>
              <w:pStyle w:val="TableContents"/>
              <w:spacing w:before="0" w:after="283"/>
              <w:rPr>
                <w:sz w:val="4"/>
                <w:szCs w:val="4"/>
              </w:rPr>
            </w:pPr>
            <w:r>
              <w:rPr>
                <w:sz w:val="4"/>
                <w:szCs w:val="4"/>
              </w:rPr>
            </w:r>
          </w:p>
        </w:tc>
        <w:tc>
          <w:tcPr>
            <w:tcW w:w="5519" w:type="dxa"/>
            <w:gridSpan w:val="2"/>
            <w:tcBorders/>
            <w:shd w:fill="auto" w:val="clear"/>
            <w:vAlign w:val="center"/>
          </w:tcPr>
          <w:p>
            <w:pPr>
              <w:pStyle w:val="TableContents"/>
              <w:spacing w:before="0" w:after="283"/>
              <w:rPr>
                <w:sz w:val="4"/>
                <w:szCs w:val="4"/>
              </w:rPr>
            </w:pPr>
            <w:r>
              <w:rPr>
                <w:sz w:val="4"/>
                <w:szCs w:val="4"/>
              </w:rPr>
            </w:r>
          </w:p>
        </w:tc>
      </w:tr>
      <w:tr>
        <w:trPr/>
        <w:tc>
          <w:tcPr>
            <w:tcW w:w="4686" w:type="dxa"/>
            <w:tcBorders/>
            <w:shd w:fill="auto" w:val="clear"/>
          </w:tcPr>
          <w:p>
            <w:pPr>
              <w:pStyle w:val="TableContents"/>
              <w:pBdr>
                <w:bottom w:val="single" w:sz="2" w:space="1" w:color="000000"/>
              </w:pBdr>
              <w:spacing w:before="0" w:after="0"/>
              <w:jc w:val="center"/>
              <w:rPr>
                <w:rFonts w:ascii="Times New Roman" w:hAnsi="Times New Roman"/>
                <w:sz w:val="20"/>
              </w:rPr>
            </w:pPr>
            <w:r>
              <w:rPr>
                <w:rFonts w:ascii="Times New Roman" w:hAnsi="Times New Roman"/>
                <w:sz w:val="20"/>
              </w:rPr>
              <w:t>/s/ Andrew A. Main</w:t>
            </w:r>
          </w:p>
          <w:p>
            <w:pPr>
              <w:pStyle w:val="TableContents"/>
              <w:spacing w:before="0" w:after="20"/>
              <w:jc w:val="center"/>
              <w:rPr>
                <w:rFonts w:ascii="Times New Roman" w:hAnsi="Times New Roman"/>
                <w:sz w:val="20"/>
              </w:rPr>
            </w:pPr>
            <w:r>
              <w:rPr>
                <w:rFonts w:ascii="Times New Roman" w:hAnsi="Times New Roman"/>
                <w:sz w:val="20"/>
              </w:rPr>
              <w:t>Andrew A. Main</w:t>
            </w:r>
          </w:p>
        </w:tc>
        <w:tc>
          <w:tcPr>
            <w:tcW w:w="207" w:type="dxa"/>
            <w:tcBorders/>
            <w:shd w:fill="auto" w:val="clear"/>
            <w:vAlign w:val="bottom"/>
          </w:tcPr>
          <w:p>
            <w:pPr>
              <w:pStyle w:val="TableContents"/>
              <w:spacing w:before="0" w:after="283"/>
              <w:rPr/>
            </w:pPr>
            <w:r>
              <w:rPr/>
              <w:t>  </w:t>
            </w:r>
          </w:p>
        </w:tc>
        <w:tc>
          <w:tcPr>
            <w:tcW w:w="5312" w:type="dxa"/>
            <w:tcBorders/>
            <w:shd w:fill="auto" w:val="clear"/>
          </w:tcPr>
          <w:p>
            <w:pPr>
              <w:pStyle w:val="TableContents"/>
              <w:spacing w:before="0" w:after="283"/>
              <w:rPr/>
            </w:pPr>
            <w:r>
              <w:rPr/>
              <w:t>Director</w:t>
            </w:r>
          </w:p>
        </w:tc>
      </w:tr>
      <w:tr>
        <w:trPr>
          <w:trHeight w:val="240" w:hRule="atLeast"/>
        </w:trPr>
        <w:tc>
          <w:tcPr>
            <w:tcW w:w="4686" w:type="dxa"/>
            <w:tcBorders/>
            <w:shd w:fill="auto" w:val="clear"/>
            <w:vAlign w:val="center"/>
          </w:tcPr>
          <w:p>
            <w:pPr>
              <w:pStyle w:val="TableContents"/>
              <w:spacing w:before="0" w:after="283"/>
              <w:rPr>
                <w:sz w:val="4"/>
                <w:szCs w:val="4"/>
              </w:rPr>
            </w:pPr>
            <w:r>
              <w:rPr>
                <w:sz w:val="4"/>
                <w:szCs w:val="4"/>
              </w:rPr>
            </w:r>
          </w:p>
        </w:tc>
        <w:tc>
          <w:tcPr>
            <w:tcW w:w="5519" w:type="dxa"/>
            <w:gridSpan w:val="2"/>
            <w:tcBorders/>
            <w:shd w:fill="auto" w:val="clear"/>
            <w:vAlign w:val="center"/>
          </w:tcPr>
          <w:p>
            <w:pPr>
              <w:pStyle w:val="TableContents"/>
              <w:spacing w:before="0" w:after="283"/>
              <w:rPr>
                <w:sz w:val="4"/>
                <w:szCs w:val="4"/>
              </w:rPr>
            </w:pPr>
            <w:r>
              <w:rPr>
                <w:sz w:val="4"/>
                <w:szCs w:val="4"/>
              </w:rPr>
            </w:r>
          </w:p>
        </w:tc>
      </w:tr>
      <w:tr>
        <w:trPr/>
        <w:tc>
          <w:tcPr>
            <w:tcW w:w="4686" w:type="dxa"/>
            <w:tcBorders/>
            <w:shd w:fill="auto" w:val="clear"/>
          </w:tcPr>
          <w:p>
            <w:pPr>
              <w:pStyle w:val="TableContents"/>
              <w:pBdr>
                <w:bottom w:val="single" w:sz="2" w:space="1" w:color="000000"/>
              </w:pBdr>
              <w:spacing w:before="0" w:after="0"/>
              <w:jc w:val="center"/>
              <w:rPr>
                <w:rFonts w:ascii="Times New Roman" w:hAnsi="Times New Roman"/>
                <w:sz w:val="20"/>
              </w:rPr>
            </w:pPr>
            <w:r>
              <w:rPr>
                <w:rFonts w:ascii="Times New Roman" w:hAnsi="Times New Roman"/>
                <w:sz w:val="20"/>
              </w:rPr>
              <w:t>/s/ Jill Simeone</w:t>
            </w:r>
          </w:p>
          <w:p>
            <w:pPr>
              <w:pStyle w:val="TableContents"/>
              <w:spacing w:before="0" w:after="20"/>
              <w:jc w:val="center"/>
              <w:rPr>
                <w:rFonts w:ascii="Times New Roman" w:hAnsi="Times New Roman"/>
                <w:sz w:val="20"/>
              </w:rPr>
            </w:pPr>
            <w:r>
              <w:rPr>
                <w:rFonts w:ascii="Times New Roman" w:hAnsi="Times New Roman"/>
                <w:sz w:val="20"/>
              </w:rPr>
              <w:t>Jill Simeone</w:t>
            </w:r>
          </w:p>
        </w:tc>
        <w:tc>
          <w:tcPr>
            <w:tcW w:w="207" w:type="dxa"/>
            <w:tcBorders/>
            <w:shd w:fill="auto" w:val="clear"/>
            <w:vAlign w:val="bottom"/>
          </w:tcPr>
          <w:p>
            <w:pPr>
              <w:pStyle w:val="TableContents"/>
              <w:spacing w:before="0" w:after="283"/>
              <w:rPr/>
            </w:pPr>
            <w:r>
              <w:rPr/>
              <w:t>  </w:t>
            </w:r>
          </w:p>
        </w:tc>
        <w:tc>
          <w:tcPr>
            <w:tcW w:w="5312" w:type="dxa"/>
            <w:tcBorders/>
            <w:shd w:fill="auto" w:val="clear"/>
          </w:tcPr>
          <w:p>
            <w:pPr>
              <w:pStyle w:val="TableContents"/>
              <w:spacing w:before="0" w:after="283"/>
              <w:rPr/>
            </w:pPr>
            <w:r>
              <w:rPr/>
              <w:t>Director</w:t>
            </w:r>
          </w:p>
        </w:tc>
      </w:tr>
      <w:tr>
        <w:trPr>
          <w:trHeight w:val="240" w:hRule="atLeast"/>
        </w:trPr>
        <w:tc>
          <w:tcPr>
            <w:tcW w:w="4686" w:type="dxa"/>
            <w:tcBorders/>
            <w:shd w:fill="auto" w:val="clear"/>
            <w:vAlign w:val="center"/>
          </w:tcPr>
          <w:p>
            <w:pPr>
              <w:pStyle w:val="TableContents"/>
              <w:spacing w:before="0" w:after="283"/>
              <w:rPr>
                <w:sz w:val="4"/>
                <w:szCs w:val="4"/>
              </w:rPr>
            </w:pPr>
            <w:r>
              <w:rPr>
                <w:sz w:val="4"/>
                <w:szCs w:val="4"/>
              </w:rPr>
            </w:r>
          </w:p>
        </w:tc>
        <w:tc>
          <w:tcPr>
            <w:tcW w:w="5519" w:type="dxa"/>
            <w:gridSpan w:val="2"/>
            <w:tcBorders/>
            <w:shd w:fill="auto" w:val="clear"/>
            <w:vAlign w:val="center"/>
          </w:tcPr>
          <w:p>
            <w:pPr>
              <w:pStyle w:val="TableContents"/>
              <w:spacing w:before="0" w:after="283"/>
              <w:rPr>
                <w:sz w:val="4"/>
                <w:szCs w:val="4"/>
              </w:rPr>
            </w:pPr>
            <w:r>
              <w:rPr>
                <w:sz w:val="4"/>
                <w:szCs w:val="4"/>
              </w:rPr>
            </w:r>
          </w:p>
        </w:tc>
      </w:tr>
      <w:tr>
        <w:trPr/>
        <w:tc>
          <w:tcPr>
            <w:tcW w:w="4686" w:type="dxa"/>
            <w:tcBorders/>
            <w:shd w:fill="auto" w:val="clear"/>
          </w:tcPr>
          <w:p>
            <w:pPr>
              <w:pStyle w:val="TableContents"/>
              <w:pBdr>
                <w:bottom w:val="single" w:sz="2" w:space="1" w:color="000000"/>
              </w:pBdr>
              <w:spacing w:before="0" w:after="0"/>
              <w:jc w:val="center"/>
              <w:rPr>
                <w:rFonts w:ascii="Times New Roman" w:hAnsi="Times New Roman"/>
                <w:sz w:val="20"/>
              </w:rPr>
            </w:pPr>
            <w:r>
              <w:rPr>
                <w:rFonts w:ascii="Times New Roman" w:hAnsi="Times New Roman"/>
                <w:sz w:val="20"/>
              </w:rPr>
              <w:t>/s/ Gordon Watson</w:t>
            </w:r>
          </w:p>
          <w:p>
            <w:pPr>
              <w:pStyle w:val="TableContents"/>
              <w:spacing w:before="0" w:after="20"/>
              <w:jc w:val="center"/>
              <w:rPr>
                <w:rFonts w:ascii="Times New Roman" w:hAnsi="Times New Roman"/>
                <w:sz w:val="20"/>
              </w:rPr>
            </w:pPr>
            <w:r>
              <w:rPr>
                <w:rFonts w:ascii="Times New Roman" w:hAnsi="Times New Roman"/>
                <w:sz w:val="20"/>
              </w:rPr>
              <w:t>Gordon Watson</w:t>
            </w:r>
          </w:p>
        </w:tc>
        <w:tc>
          <w:tcPr>
            <w:tcW w:w="207" w:type="dxa"/>
            <w:tcBorders/>
            <w:shd w:fill="auto" w:val="clear"/>
            <w:vAlign w:val="bottom"/>
          </w:tcPr>
          <w:p>
            <w:pPr>
              <w:pStyle w:val="TableContents"/>
              <w:spacing w:before="0" w:after="283"/>
              <w:rPr/>
            </w:pPr>
            <w:r>
              <w:rPr/>
              <w:t>  </w:t>
            </w:r>
          </w:p>
        </w:tc>
        <w:tc>
          <w:tcPr>
            <w:tcW w:w="5312" w:type="dxa"/>
            <w:tcBorders/>
            <w:shd w:fill="auto" w:val="clear"/>
          </w:tcPr>
          <w:p>
            <w:pPr>
              <w:pStyle w:val="TableContents"/>
              <w:spacing w:before="0" w:after="283"/>
              <w:rPr/>
            </w:pPr>
            <w:r>
              <w:rPr/>
              <w:t>Director</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II-6 </w:t>
      </w:r>
      <w:r>
        <w:br w:type="page"/>
      </w:r>
    </w:p>
    <w:p>
      <w:pPr>
        <w:pStyle w:val="TextBody"/>
        <w:spacing w:before="0" w:after="0"/>
        <w:jc w:val="right"/>
        <w:rPr>
          <w:rFonts w:ascii="Times New Roman" w:hAnsi="Times New Roman"/>
          <w:b/>
          <w:sz w:val="20"/>
        </w:rPr>
      </w:pPr>
      <w:bookmarkStart w:id="17" w:name="d485936dex51.htm"/>
      <w:bookmarkStart w:id="18" w:name="ksd485936dex51"/>
      <w:bookmarkEnd w:id="17"/>
      <w:bookmarkEnd w:id="18"/>
      <w:r>
        <w:rPr>
          <w:rFonts w:ascii="Times New Roman" w:hAnsi="Times New Roman"/>
          <w:b/>
          <w:sz w:val="20"/>
        </w:rPr>
        <w:t xml:space="preserve">Exhibit 5.1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692"/>
        <w:gridCol w:w="121"/>
        <w:gridCol w:w="2974"/>
        <w:gridCol w:w="104"/>
        <w:gridCol w:w="3314"/>
      </w:tblGrid>
      <w:tr>
        <w:trPr/>
        <w:tc>
          <w:tcPr>
            <w:tcW w:w="3692"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bottom"/>
          </w:tcPr>
          <w:p>
            <w:pPr>
              <w:pStyle w:val="TableContents"/>
              <w:spacing w:before="0" w:after="283"/>
              <w:rPr>
                <w:sz w:val="4"/>
                <w:szCs w:val="4"/>
              </w:rPr>
            </w:pPr>
            <w:r>
              <w:rPr>
                <w:sz w:val="4"/>
                <w:szCs w:val="4"/>
              </w:rPr>
            </w:r>
          </w:p>
        </w:tc>
        <w:tc>
          <w:tcPr>
            <w:tcW w:w="2974" w:type="dxa"/>
            <w:tcBorders/>
            <w:shd w:fill="auto" w:val="clear"/>
            <w:vAlign w:val="center"/>
          </w:tcPr>
          <w:p>
            <w:pPr>
              <w:pStyle w:val="TableContents"/>
              <w:spacing w:before="0" w:after="283"/>
              <w:rPr>
                <w:sz w:val="4"/>
                <w:szCs w:val="4"/>
              </w:rPr>
            </w:pPr>
            <w:r>
              <w:rPr>
                <w:sz w:val="4"/>
                <w:szCs w:val="4"/>
              </w:rPr>
            </w:r>
          </w:p>
        </w:tc>
        <w:tc>
          <w:tcPr>
            <w:tcW w:w="104" w:type="dxa"/>
            <w:tcBorders/>
            <w:shd w:fill="auto" w:val="clear"/>
            <w:vAlign w:val="bottom"/>
          </w:tcPr>
          <w:p>
            <w:pPr>
              <w:pStyle w:val="TableContents"/>
              <w:spacing w:before="0" w:after="283"/>
              <w:rPr>
                <w:sz w:val="4"/>
                <w:szCs w:val="4"/>
              </w:rPr>
            </w:pPr>
            <w:r>
              <w:rPr>
                <w:sz w:val="4"/>
                <w:szCs w:val="4"/>
              </w:rPr>
            </w:r>
          </w:p>
        </w:tc>
        <w:tc>
          <w:tcPr>
            <w:tcW w:w="3314" w:type="dxa"/>
            <w:tcBorders/>
            <w:shd w:fill="auto" w:val="clear"/>
            <w:vAlign w:val="center"/>
          </w:tcPr>
          <w:p>
            <w:pPr>
              <w:pStyle w:val="TableContents"/>
              <w:spacing w:before="0" w:after="283"/>
              <w:rPr>
                <w:sz w:val="4"/>
                <w:szCs w:val="4"/>
              </w:rPr>
            </w:pPr>
            <w:r>
              <w:rPr>
                <w:sz w:val="4"/>
                <w:szCs w:val="4"/>
              </w:rPr>
            </w:r>
          </w:p>
        </w:tc>
      </w:tr>
      <w:tr>
        <w:trPr/>
        <w:tc>
          <w:tcPr>
            <w:tcW w:w="3692" w:type="dxa"/>
            <w:tcBorders/>
            <w:shd w:fill="auto" w:val="clear"/>
          </w:tcPr>
          <w:p>
            <w:pPr>
              <w:pStyle w:val="TableContents"/>
              <w:spacing w:before="0" w:after="20"/>
              <w:rPr/>
            </w:pPr>
            <w:r>
              <w:rPr/>
              <w:drawing>
                <wp:inline distT="0" distB="0" distL="0" distR="0">
                  <wp:extent cx="1219200" cy="4572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7"/>
                          <a:stretch>
                            <a:fillRect/>
                          </a:stretch>
                        </pic:blipFill>
                        <pic:spPr bwMode="auto">
                          <a:xfrm>
                            <a:off x="0" y="0"/>
                            <a:ext cx="1219200" cy="457200"/>
                          </a:xfrm>
                          <a:prstGeom prst="rect">
                            <a:avLst/>
                          </a:prstGeom>
                        </pic:spPr>
                      </pic:pic>
                    </a:graphicData>
                  </a:graphic>
                </wp:inline>
              </w:drawing>
            </w:r>
            <w:r>
              <w:rPr/>
              <w:t xml:space="preserve"> </w:t>
            </w:r>
          </w:p>
        </w:tc>
        <w:tc>
          <w:tcPr>
            <w:tcW w:w="121" w:type="dxa"/>
            <w:tcBorders/>
            <w:shd w:fill="auto" w:val="clear"/>
            <w:vAlign w:val="bottom"/>
          </w:tcPr>
          <w:p>
            <w:pPr>
              <w:pStyle w:val="TableContents"/>
              <w:spacing w:before="0" w:after="283"/>
              <w:rPr/>
            </w:pPr>
            <w:r>
              <w:rPr/>
              <w:t>  </w:t>
            </w:r>
          </w:p>
        </w:tc>
        <w:tc>
          <w:tcPr>
            <w:tcW w:w="2974" w:type="dxa"/>
            <w:tcBorders/>
            <w:shd w:fill="auto" w:val="clear"/>
            <w:vAlign w:val="bottom"/>
          </w:tcPr>
          <w:p>
            <w:pPr>
              <w:pStyle w:val="TableContents"/>
              <w:spacing w:before="0" w:after="283"/>
              <w:rPr>
                <w:sz w:val="4"/>
                <w:szCs w:val="4"/>
              </w:rPr>
            </w:pPr>
            <w:r>
              <w:rPr>
                <w:sz w:val="4"/>
                <w:szCs w:val="4"/>
              </w:rPr>
            </w:r>
          </w:p>
        </w:tc>
        <w:tc>
          <w:tcPr>
            <w:tcW w:w="104" w:type="dxa"/>
            <w:tcBorders/>
            <w:shd w:fill="auto" w:val="clear"/>
            <w:vAlign w:val="bottom"/>
          </w:tcPr>
          <w:p>
            <w:pPr>
              <w:pStyle w:val="TableContents"/>
              <w:spacing w:before="0" w:after="283"/>
              <w:rPr/>
            </w:pPr>
            <w:r>
              <w:rPr/>
              <w:t> </w:t>
            </w:r>
          </w:p>
        </w:tc>
        <w:tc>
          <w:tcPr>
            <w:tcW w:w="3314"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 xml:space="preserve">Wilson Sonsini Goodrich &amp; Rosati </w:t>
              <w:br/>
              <w:t>Professional Corporation</w:t>
            </w:r>
          </w:p>
          <w:p>
            <w:pPr>
              <w:pStyle w:val="TableContents"/>
              <w:spacing w:before="0" w:after="0"/>
              <w:rPr/>
            </w:pPr>
            <w:r>
              <w:rPr/>
              <w:t> </w:t>
            </w:r>
          </w:p>
          <w:p>
            <w:pPr>
              <w:pStyle w:val="TableContents"/>
              <w:spacing w:before="0" w:after="0"/>
              <w:rPr>
                <w:rFonts w:ascii="Times New Roman" w:hAnsi="Times New Roman"/>
                <w:sz w:val="20"/>
              </w:rPr>
            </w:pPr>
            <w:r>
              <w:rPr>
                <w:rFonts w:ascii="Times New Roman" w:hAnsi="Times New Roman"/>
                <w:sz w:val="20"/>
              </w:rPr>
              <w:t>900 South Capital of Texas Highway</w:t>
            </w:r>
          </w:p>
          <w:p>
            <w:pPr>
              <w:pStyle w:val="TableContents"/>
              <w:spacing w:before="0" w:after="0"/>
              <w:rPr>
                <w:rFonts w:ascii="Times New Roman" w:hAnsi="Times New Roman"/>
                <w:sz w:val="20"/>
              </w:rPr>
            </w:pPr>
            <w:r>
              <w:rPr>
                <w:rFonts w:ascii="Times New Roman" w:hAnsi="Times New Roman"/>
                <w:sz w:val="20"/>
              </w:rPr>
              <w:t xml:space="preserve">Las Cimas IV, Fifth Floor </w:t>
              <w:br/>
              <w:t>Austin, Texas 78746-5546</w:t>
            </w:r>
          </w:p>
          <w:p>
            <w:pPr>
              <w:pStyle w:val="TableContents"/>
              <w:spacing w:before="0" w:after="0"/>
              <w:rPr/>
            </w:pPr>
            <w:r>
              <w:rPr/>
              <w:t> </w:t>
            </w:r>
          </w:p>
          <w:p>
            <w:pPr>
              <w:pStyle w:val="TableContents"/>
              <w:spacing w:before="0" w:after="20"/>
              <w:rPr>
                <w:rFonts w:ascii="Times New Roman" w:hAnsi="Times New Roman"/>
                <w:sz w:val="20"/>
              </w:rPr>
            </w:pPr>
            <w:r>
              <w:rPr>
                <w:rFonts w:ascii="Times New Roman" w:hAnsi="Times New Roman"/>
                <w:sz w:val="20"/>
              </w:rPr>
              <w:t xml:space="preserve">O: 512.338.5400 </w:t>
              <w:br/>
              <w:t>F: 512.338.5499</w:t>
            </w:r>
          </w:p>
        </w:tc>
      </w:tr>
    </w:tbl>
    <w:p>
      <w:pPr>
        <w:pStyle w:val="TextBody"/>
        <w:spacing w:before="240" w:after="0"/>
        <w:jc w:val="center"/>
        <w:rPr>
          <w:rFonts w:ascii="Times New Roman" w:hAnsi="Times New Roman"/>
          <w:sz w:val="20"/>
        </w:rPr>
      </w:pPr>
      <w:r>
        <w:rPr>
          <w:rFonts w:ascii="Times New Roman" w:hAnsi="Times New Roman"/>
          <w:sz w:val="20"/>
        </w:rPr>
        <w:t xml:space="preserve">April 25, 2023 </w:t>
      </w:r>
    </w:p>
    <w:p>
      <w:pPr>
        <w:pStyle w:val="TextBody"/>
        <w:spacing w:before="240" w:after="0"/>
        <w:jc w:val="left"/>
        <w:rPr>
          <w:rFonts w:ascii="Times New Roman" w:hAnsi="Times New Roman"/>
          <w:sz w:val="20"/>
        </w:rPr>
      </w:pPr>
      <w:r>
        <w:rPr>
          <w:rFonts w:ascii="Times New Roman" w:hAnsi="Times New Roman"/>
          <w:sz w:val="20"/>
        </w:rPr>
        <w:t xml:space="preserve">Bakkt Holdings, Inc. </w:t>
      </w:r>
    </w:p>
    <w:p>
      <w:pPr>
        <w:pStyle w:val="TextBody"/>
        <w:spacing w:before="0" w:after="0"/>
        <w:jc w:val="left"/>
        <w:rPr>
          <w:rFonts w:ascii="Times New Roman" w:hAnsi="Times New Roman"/>
          <w:sz w:val="20"/>
        </w:rPr>
      </w:pPr>
      <w:r>
        <w:rPr>
          <w:rFonts w:ascii="Times New Roman" w:hAnsi="Times New Roman"/>
          <w:sz w:val="20"/>
        </w:rPr>
        <w:t xml:space="preserve">10000 Avalon Boulevard </w:t>
      </w:r>
    </w:p>
    <w:p>
      <w:pPr>
        <w:pStyle w:val="TextBody"/>
        <w:spacing w:before="0" w:after="0"/>
        <w:jc w:val="left"/>
        <w:rPr>
          <w:rFonts w:ascii="Times New Roman" w:hAnsi="Times New Roman"/>
          <w:sz w:val="20"/>
        </w:rPr>
      </w:pPr>
      <w:r>
        <w:rPr>
          <w:rFonts w:ascii="Times New Roman" w:hAnsi="Times New Roman"/>
          <w:sz w:val="20"/>
        </w:rPr>
        <w:t xml:space="preserve">Suite 1000 </w:t>
      </w:r>
    </w:p>
    <w:p>
      <w:pPr>
        <w:pStyle w:val="TextBody"/>
        <w:spacing w:before="0" w:after="0"/>
        <w:jc w:val="left"/>
        <w:rPr>
          <w:rFonts w:ascii="Times New Roman" w:hAnsi="Times New Roman"/>
          <w:sz w:val="20"/>
        </w:rPr>
      </w:pPr>
      <w:r>
        <w:rPr>
          <w:rFonts w:ascii="Times New Roman" w:hAnsi="Times New Roman"/>
          <w:sz w:val="20"/>
        </w:rPr>
        <w:t xml:space="preserve">Alpharetta, Georgia 30009 </w:t>
      </w:r>
    </w:p>
    <w:p>
      <w:pPr>
        <w:pStyle w:val="TextBody"/>
        <w:spacing w:before="240" w:after="0"/>
        <w:jc w:val="left"/>
        <w:rPr>
          <w:rFonts w:ascii="Times New Roman" w:hAnsi="Times New Roman"/>
          <w:b/>
          <w:sz w:val="20"/>
        </w:rPr>
      </w:pPr>
      <w:r>
        <w:rPr>
          <w:rFonts w:ascii="Times New Roman" w:hAnsi="Times New Roman"/>
          <w:b/>
          <w:sz w:val="20"/>
        </w:rPr>
        <w:t xml:space="preserve">Re: Registration Statement on Form S-3 </w:t>
      </w:r>
    </w:p>
    <w:p>
      <w:pPr>
        <w:pStyle w:val="TextBody"/>
        <w:spacing w:before="240" w:after="0"/>
        <w:jc w:val="left"/>
        <w:rPr>
          <w:rFonts w:ascii="Times New Roman" w:hAnsi="Times New Roman"/>
          <w:sz w:val="20"/>
        </w:rPr>
      </w:pPr>
      <w:r>
        <w:rPr>
          <w:rFonts w:ascii="Times New Roman" w:hAnsi="Times New Roman"/>
          <w:sz w:val="20"/>
        </w:rPr>
        <w:t xml:space="preserve">Ladies and Gentlemen: </w:t>
      </w:r>
    </w:p>
    <w:p>
      <w:pPr>
        <w:pStyle w:val="TextBody"/>
        <w:spacing w:before="120" w:after="0"/>
        <w:jc w:val="left"/>
        <w:rPr>
          <w:rFonts w:ascii="Times New Roman" w:hAnsi="Times New Roman"/>
          <w:sz w:val="20"/>
        </w:rPr>
      </w:pPr>
      <w:r>
        <w:rPr>
          <w:rFonts w:ascii="Times New Roman" w:hAnsi="Times New Roman"/>
          <w:sz w:val="20"/>
        </w:rPr>
        <w:t xml:space="preserve">This opinion is furnished to you in connection with the Registration Statement on Form S-3 (the Registration Statement), filed by Bakkt Holdings, Inc., a Delaware corporation (the Company), with the Securities and Exchange Commission (the Commission) in connection with the registration under the Securities Act of 1933, as amended (the Securities Act), of the issuance by the Company, and the offer and sale from time to time by the selling stockholder named in the Registration Statement, of up to 52,543,013 shares of the Companys Class A common stock, $0.0001 par value per share (Class A Common Stock), comprised of (i) 6,140,610 shares of Class A Common Stock (the Initial Contingent Shares) issued as the first earnout payment under the Membership Interest Purchase Agreement (as amended, the Purchase Agreement), dated as of November 2, 2022, by and among the Company, the selling stockholder and the other parties named therein; and (ii) up to 46,402,403 shares of Class A Common Stock that may be issued to the selling stockholder as additional earnout consideration under the Purchase Agreement (the Additional Contingent Shares). </w:t>
      </w:r>
    </w:p>
    <w:p>
      <w:pPr>
        <w:pStyle w:val="TextBody"/>
        <w:spacing w:before="240" w:after="0"/>
        <w:jc w:val="left"/>
        <w:rPr>
          <w:rFonts w:ascii="Times New Roman" w:hAnsi="Times New Roman"/>
          <w:sz w:val="20"/>
        </w:rPr>
      </w:pPr>
      <w:r>
        <w:rPr>
          <w:rFonts w:ascii="Times New Roman" w:hAnsi="Times New Roman"/>
          <w:sz w:val="20"/>
        </w:rPr>
        <w:t xml:space="preserve">We are acting as counsel for the Company in connection with the registration of the Securities. As such counsel, we have made such legal and factual examinations and inquiries as we have deemed necessary or advisable for the purpose of rendering the opinions and statements set forth below. In rendering the opinions and statements expressed below, we have examined originals or copies, certified or otherwise identified to our satisfaction, of such documents, corporate records, certificates of public officials and other instruments as we have deemed necessary for the purposes of rendering this opinion. </w:t>
      </w:r>
    </w:p>
    <w:p>
      <w:pPr>
        <w:pStyle w:val="TextBody"/>
        <w:spacing w:before="120" w:after="0"/>
        <w:jc w:val="left"/>
        <w:rPr>
          <w:rFonts w:ascii="Times New Roman" w:hAnsi="Times New Roman"/>
          <w:sz w:val="20"/>
        </w:rPr>
      </w:pPr>
      <w:r>
        <w:rPr>
          <w:rFonts w:ascii="Times New Roman" w:hAnsi="Times New Roman"/>
          <w:sz w:val="20"/>
        </w:rPr>
        <w:t xml:space="preserve">In addition, we have reviewed originals or copies of such corporate records of the Company, certificates of public officials, a certificate of an officer of the Company as to factual matters, and such other documents that we considered necessary or advisable for the purpose of rendering the opinions set forth below. We have not independently established the facts stated therein. </w:t>
      </w:r>
    </w:p>
    <w:p>
      <w:pPr>
        <w:pStyle w:val="TextBody"/>
        <w:spacing w:before="240" w:after="0"/>
        <w:jc w:val="left"/>
        <w:rPr>
          <w:rFonts w:ascii="Times New Roman" w:hAnsi="Times New Roman"/>
          <w:sz w:val="20"/>
        </w:rPr>
      </w:pPr>
      <w:r>
        <w:rPr>
          <w:rFonts w:ascii="Times New Roman" w:hAnsi="Times New Roman"/>
          <w:sz w:val="20"/>
        </w:rPr>
        <w:t xml:space="preserve">In our examination, we have assumed the genuineness of all signatures, the authenticity and completeness of all documents submitted to us as originals, the conformity with the originals of all documents submitted to us as copies, the authenticity of the originals of such documents, and the legal competence of all signatories to such documents. We have also assumed the authority of such persons signing on behalf of the parties thereto other than the Company and the due authorization, execution and delivery of all documents by the parties thereto other than the Purchase Agreement (as defined below) by the Company. We have assumed that any certificates representing the Securities have been properly authenticated by the signature of an authorized officer of the Companys transfer agent. We have also assumed the conformity of the documents filed with the Commission via the Electronic Data Gathering, Analysis and Retrieval System (EDGAR), except for required EDGAR formatting changes, to physical copies submitted for our examination and the absence of any evidence extrinsic to the provisions of the written agreements between the parties that the parties intended a meaning contrary to that expressed by those provisions. </w:t>
      </w:r>
    </w:p>
    <w:p>
      <w:pPr>
        <w:pStyle w:val="TextBody"/>
        <w:spacing w:before="0" w:after="0"/>
        <w:jc w:val="left"/>
        <w:rPr/>
      </w:pPr>
      <w:r>
        <w:rPr/>
        <w:t> </w:t>
      </w:r>
    </w:p>
    <w:p>
      <w:pPr>
        <w:pStyle w:val="TextBody"/>
        <w:spacing w:before="120" w:after="0"/>
        <w:jc w:val="center"/>
        <w:rPr>
          <w:rFonts w:ascii="Times New Roman" w:hAnsi="Times New Roman"/>
          <w:sz w:val="16"/>
        </w:rPr>
      </w:pPr>
      <w:r>
        <w:rPr>
          <w:rFonts w:ascii="Times New Roman" w:hAnsi="Times New Roman"/>
          <w:sz w:val="16"/>
        </w:rPr>
        <w:t xml:space="preserve">AUSTIN        BEIJING        BOULDER         BOSTON        BRUSSELS        HONG KONG        LONDON        LOS ANGELES        NEW YORK        PALO ALTO </w:t>
      </w:r>
    </w:p>
    <w:p>
      <w:pPr>
        <w:pStyle w:val="TextBody"/>
        <w:spacing w:before="120" w:after="0"/>
        <w:jc w:val="center"/>
        <w:rPr>
          <w:rFonts w:ascii="Times New Roman" w:hAnsi="Times New Roman"/>
          <w:sz w:val="16"/>
        </w:rPr>
      </w:pPr>
      <w:r>
        <w:rPr>
          <w:rFonts w:ascii="Times New Roman" w:hAnsi="Times New Roman"/>
          <w:sz w:val="16"/>
        </w:rPr>
        <w:t xml:space="preserve">SALT LAKE CITY        SAN DIEGO        SAN FRANCISCO        SEATTLE        SHANGHAI        WASHINGTON, DC        WILMINGTON, DE </w:t>
      </w:r>
      <w:r>
        <w:br w:type="page"/>
      </w:r>
    </w:p>
    <w:p>
      <w:pPr>
        <w:pStyle w:val="HorizontalLine"/>
        <w:pBdr>
          <w:bottom w:val="double" w:sz="6" w:space="0" w:color="808080"/>
        </w:pBdr>
        <w:rPr/>
      </w:pPr>
      <w:r>
        <w:rPr/>
      </w:r>
    </w:p>
    <w:p>
      <w:pPr>
        <w:pStyle w:val="TextBody"/>
        <w:spacing w:before="0" w:after="0"/>
        <w:jc w:val="left"/>
        <w:rPr/>
      </w:pPr>
      <w:r>
        <w:rPr/>
        <w:drawing>
          <wp:inline distT="0" distB="0" distL="0" distR="0">
            <wp:extent cx="609600" cy="2286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18"/>
                    <a:stretch>
                      <a:fillRect/>
                    </a:stretch>
                  </pic:blipFill>
                  <pic:spPr bwMode="auto">
                    <a:xfrm>
                      <a:off x="0" y="0"/>
                      <a:ext cx="609600" cy="228600"/>
                    </a:xfrm>
                    <a:prstGeom prst="rect">
                      <a:avLst/>
                    </a:prstGeom>
                  </pic:spPr>
                </pic:pic>
              </a:graphicData>
            </a:graphic>
          </wp:inline>
        </w:drawing>
      </w:r>
      <w:r>
        <w:rPr/>
        <w:t xml:space="preserve"> </w:t>
      </w:r>
    </w:p>
    <w:p>
      <w:pPr>
        <w:pStyle w:val="TextBody"/>
        <w:spacing w:before="240" w:after="0"/>
        <w:jc w:val="left"/>
        <w:rPr>
          <w:rFonts w:ascii="Times New Roman" w:hAnsi="Times New Roman"/>
          <w:sz w:val="20"/>
        </w:rPr>
      </w:pPr>
      <w:r>
        <w:rPr>
          <w:rFonts w:ascii="Times New Roman" w:hAnsi="Times New Roman"/>
          <w:sz w:val="20"/>
        </w:rPr>
        <w:t xml:space="preserve">Bakkt Holdings, Inc. </w:t>
      </w:r>
    </w:p>
    <w:p>
      <w:pPr>
        <w:pStyle w:val="TextBody"/>
        <w:spacing w:before="0" w:after="0"/>
        <w:jc w:val="left"/>
        <w:rPr>
          <w:rFonts w:ascii="Times New Roman" w:hAnsi="Times New Roman"/>
          <w:sz w:val="20"/>
        </w:rPr>
      </w:pPr>
      <w:r>
        <w:rPr>
          <w:rFonts w:ascii="Times New Roman" w:hAnsi="Times New Roman"/>
          <w:sz w:val="20"/>
        </w:rPr>
        <w:t xml:space="preserve">April 25, 2023 </w:t>
      </w:r>
    </w:p>
    <w:p>
      <w:pPr>
        <w:pStyle w:val="TextBody"/>
        <w:spacing w:before="0" w:after="0"/>
        <w:jc w:val="left"/>
        <w:rPr>
          <w:rFonts w:ascii="Times New Roman" w:hAnsi="Times New Roman"/>
          <w:sz w:val="20"/>
        </w:rPr>
      </w:pPr>
      <w:r>
        <w:rPr>
          <w:rFonts w:ascii="Times New Roman" w:hAnsi="Times New Roman"/>
          <w:sz w:val="20"/>
        </w:rPr>
        <w:t xml:space="preserve">Page 2 </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 w:hAnsi="Times New Roman"/>
          <w:sz w:val="20"/>
        </w:rPr>
        <w:t xml:space="preserve">Further, we have assumed with respect to any Additional Contingent Shares, that: (a) such Additional Contingent Shares will be issued only upon the achievement of the applicable targets and milestones set forth in the Purchase Agreement, (b) at the time of the issuance of such Additional Contingent Shares, the Company will continue to be validly existing and in good standing under the laws of its jurisdiction of organization, with the requisite corporate power and authority to issue such Additional Contingent Shares, and (c) that the issuance of such Additional Contingent Shares at the time of issuance will be in conformity with the Companys then operative certificate of incorporation and bylaws and will not result in a default under or breach of any applicable requirement or restriction imposed by any court or governmental body having jurisdiction over the Company or its property or assets. </w:t>
      </w:r>
    </w:p>
    <w:p>
      <w:pPr>
        <w:pStyle w:val="TextBody"/>
        <w:spacing w:before="240" w:after="0"/>
        <w:jc w:val="left"/>
        <w:rPr>
          <w:rFonts w:ascii="Times New Roman" w:hAnsi="Times New Roman"/>
          <w:sz w:val="20"/>
        </w:rPr>
      </w:pPr>
      <w:r>
        <w:rPr>
          <w:rFonts w:ascii="Times New Roman" w:hAnsi="Times New Roman"/>
          <w:sz w:val="20"/>
        </w:rPr>
        <w:t xml:space="preserve">We express no opinion as to any matter relating to the laws of any jurisdiction other than the federal laws of the United States of America and the General Corporation Law of the State of Delaware. </w:t>
      </w:r>
    </w:p>
    <w:p>
      <w:pPr>
        <w:pStyle w:val="TextBody"/>
        <w:spacing w:before="240" w:after="0"/>
        <w:jc w:val="left"/>
        <w:rPr>
          <w:rFonts w:ascii="Times New Roman" w:hAnsi="Times New Roman"/>
          <w:sz w:val="20"/>
        </w:rPr>
      </w:pPr>
      <w:r>
        <w:rPr>
          <w:rFonts w:ascii="Times New Roman" w:hAnsi="Times New Roman"/>
          <w:sz w:val="20"/>
        </w:rPr>
        <w:t xml:space="preserve">Based upon and subject to the foregoing qualifications, assumptions and limitations and the further limitations set out below, we are of the opinion that: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1.</w:t>
            </w:r>
          </w:p>
        </w:tc>
        <w:tc>
          <w:tcPr>
            <w:tcW w:w="979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Initial Contingent Shares have been duly authorized and are validly issued, fully paid and nonassessable. </w:t>
            </w:r>
          </w:p>
        </w:tc>
      </w:tr>
    </w:tbl>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2.</w:t>
            </w:r>
          </w:p>
        </w:tc>
        <w:tc>
          <w:tcPr>
            <w:tcW w:w="979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Additional Contingent Shares have been duly authorized and, when issued and delivered in accordance with the Purchase Agreement, will be validly issued, fully paid and nonassessable. </w:t>
            </w:r>
          </w:p>
        </w:tc>
      </w:tr>
    </w:tbl>
    <w:p>
      <w:pPr>
        <w:pStyle w:val="TextBody"/>
        <w:spacing w:before="240" w:after="0"/>
        <w:jc w:val="left"/>
        <w:rPr>
          <w:rFonts w:ascii="Times New Roman" w:hAnsi="Times New Roman"/>
          <w:sz w:val="20"/>
        </w:rPr>
      </w:pPr>
      <w:r>
        <w:rPr>
          <w:rFonts w:ascii="Times New Roman" w:hAnsi="Times New Roman"/>
          <w:sz w:val="20"/>
        </w:rPr>
        <w:t xml:space="preserve">Our opinion that any document is legal, valid and binding is qualified as to: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(a)</w:t>
            </w:r>
          </w:p>
        </w:tc>
        <w:tc>
          <w:tcPr>
            <w:tcW w:w="979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limitations imposed by bankruptcy, insolvency, reorganization, arrangement, fraudulent transfer, moratorium or other similar laws relating to or affecting the rights of creditors generally; </w:t>
            </w:r>
          </w:p>
        </w:tc>
      </w:tr>
    </w:tbl>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(b)</w:t>
            </w:r>
          </w:p>
        </w:tc>
        <w:tc>
          <w:tcPr>
            <w:tcW w:w="979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rights to indemnification and contributions, which may be limited by applicable law or equitable principles; and </w:t>
            </w:r>
          </w:p>
        </w:tc>
      </w:tr>
    </w:tbl>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(c)</w:t>
            </w:r>
          </w:p>
        </w:tc>
        <w:tc>
          <w:tcPr>
            <w:tcW w:w="979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effect of general principles of equity, including without limitation concepts of materiality, reasonableness, good faith and fair dealing, and the possible unavailability of specific performance or injunctive relief, whether considered in a proceeding in equity or at law. </w:t>
            </w:r>
          </w:p>
        </w:tc>
      </w:tr>
    </w:tbl>
    <w:p>
      <w:pPr>
        <w:pStyle w:val="TextBody"/>
        <w:spacing w:before="240" w:after="0"/>
        <w:jc w:val="left"/>
        <w:rPr>
          <w:rFonts w:ascii="Times New Roman" w:hAnsi="Times New Roman"/>
          <w:sz w:val="20"/>
        </w:rPr>
      </w:pPr>
      <w:r>
        <w:rPr>
          <w:rFonts w:ascii="Times New Roman" w:hAnsi="Times New Roman"/>
          <w:sz w:val="20"/>
        </w:rPr>
        <w:t xml:space="preserve">This opinion is furnished to you in connection with the filing of the Registration Statement, and is not to be used, circulated, quoted or otherwise relied upon for any other purpose. </w:t>
      </w:r>
    </w:p>
    <w:p>
      <w:pPr>
        <w:pStyle w:val="TextBody"/>
        <w:spacing w:before="240" w:after="0"/>
        <w:jc w:val="left"/>
        <w:rPr>
          <w:rFonts w:ascii="Times New Roman" w:hAnsi="Times New Roman"/>
          <w:sz w:val="20"/>
        </w:rPr>
      </w:pPr>
      <w:r>
        <w:rPr>
          <w:rFonts w:ascii="Times New Roman" w:hAnsi="Times New Roman"/>
          <w:sz w:val="20"/>
        </w:rPr>
        <w:t xml:space="preserve">We hereby consent to the filing of this opinion as an exhibit to the above-referenced Registration Statement and to the use of our name wherever it appears in the Registration Statement, the prospectus, and in any amendment or supplement thereto. In giving such consent, we do not thereby admit that we are in the category of persons whose consent is required under Section 7 of the Securities Act or the rules and regulations of the Commission thereunder. </w:t>
      </w:r>
    </w:p>
    <w:p>
      <w:pPr>
        <w:pStyle w:val="TextBody"/>
        <w:spacing w:before="240" w:after="0"/>
        <w:jc w:val="left"/>
        <w:rPr>
          <w:rFonts w:ascii="Times New Roman" w:hAnsi="Times New Roman"/>
          <w:sz w:val="20"/>
        </w:rPr>
      </w:pPr>
      <w:r>
        <w:rPr>
          <w:rFonts w:ascii="Times New Roman" w:hAnsi="Times New Roman"/>
          <w:sz w:val="20"/>
        </w:rPr>
        <w:t xml:space="preserve">Very truly yours, </w:t>
      </w:r>
    </w:p>
    <w:p>
      <w:pPr>
        <w:pStyle w:val="TextBody"/>
        <w:spacing w:before="0" w:after="0"/>
        <w:jc w:val="left"/>
        <w:rPr/>
      </w:pPr>
      <w:r>
        <w:rPr/>
        <w:t> </w:t>
      </w:r>
    </w:p>
    <w:tbl>
      <w:tblPr>
        <w:tblW w:w="2000" w:type="pct"/>
        <w:jc w:val="left"/>
        <w:tblInd w:w="0" w:type="dxa"/>
        <w:tblCellMar>
          <w:top w:w="0" w:type="dxa"/>
          <w:left w:w="0" w:type="dxa"/>
          <w:bottom w:w="0" w:type="dxa"/>
          <w:right w:w="0" w:type="dxa"/>
        </w:tblCellMar>
      </w:tblPr>
      <w:tblGrid>
        <w:gridCol w:w="4082"/>
      </w:tblGrid>
      <w:tr>
        <w:trPr/>
        <w:tc>
          <w:tcPr>
            <w:tcW w:w="4082" w:type="dxa"/>
            <w:tcBorders/>
            <w:shd w:fill="auto" w:val="clear"/>
            <w:vAlign w:val="center"/>
          </w:tcPr>
          <w:p>
            <w:pPr>
              <w:pStyle w:val="TableContents"/>
              <w:spacing w:before="0" w:after="283"/>
              <w:rPr>
                <w:sz w:val="4"/>
                <w:szCs w:val="4"/>
              </w:rPr>
            </w:pPr>
            <w:r>
              <w:rPr>
                <w:sz w:val="4"/>
                <w:szCs w:val="4"/>
              </w:rPr>
            </w:r>
          </w:p>
        </w:tc>
      </w:tr>
      <w:tr>
        <w:trPr/>
        <w:tc>
          <w:tcPr>
            <w:tcW w:w="4082" w:type="dxa"/>
            <w:tcBorders/>
            <w:shd w:fill="auto" w:val="clear"/>
          </w:tcPr>
          <w:p>
            <w:pPr>
              <w:pStyle w:val="TableContents"/>
              <w:spacing w:before="0" w:after="0"/>
              <w:rPr>
                <w:rFonts w:ascii="Times New Roman" w:hAnsi="Times New Roman"/>
                <w:sz w:val="20"/>
              </w:rPr>
            </w:pPr>
            <w:r>
              <w:rPr>
                <w:rFonts w:ascii="Times New Roman" w:hAnsi="Times New Roman"/>
                <w:sz w:val="20"/>
              </w:rPr>
              <w:t>/s/ Wilson Sonsini Goodrich &amp; Rosati, P.C.</w:t>
            </w:r>
          </w:p>
        </w:tc>
      </w:tr>
      <w:tr>
        <w:trPr>
          <w:trHeight w:val="240" w:hRule="atLeast"/>
        </w:trPr>
        <w:tc>
          <w:tcPr>
            <w:tcW w:w="4082" w:type="dxa"/>
            <w:tcBorders/>
            <w:shd w:fill="auto" w:val="clear"/>
            <w:vAlign w:val="center"/>
          </w:tcPr>
          <w:p>
            <w:pPr>
              <w:pStyle w:val="TableContents"/>
              <w:spacing w:before="0" w:after="283"/>
              <w:rPr>
                <w:sz w:val="4"/>
                <w:szCs w:val="4"/>
              </w:rPr>
            </w:pPr>
            <w:r>
              <w:rPr>
                <w:sz w:val="4"/>
                <w:szCs w:val="4"/>
              </w:rPr>
            </w:r>
          </w:p>
        </w:tc>
      </w:tr>
      <w:tr>
        <w:trPr/>
        <w:tc>
          <w:tcPr>
            <w:tcW w:w="4082" w:type="dxa"/>
            <w:tcBorders/>
            <w:shd w:fill="auto" w:val="clear"/>
          </w:tcPr>
          <w:p>
            <w:pPr>
              <w:pStyle w:val="TableContents"/>
              <w:spacing w:before="0" w:after="0"/>
              <w:rPr>
                <w:rFonts w:ascii="Times New Roman" w:hAnsi="Times New Roman"/>
                <w:sz w:val="20"/>
              </w:rPr>
            </w:pPr>
            <w:r>
              <w:rPr>
                <w:rFonts w:ascii="Times New Roman" w:hAnsi="Times New Roman"/>
                <w:sz w:val="20"/>
              </w:rPr>
              <w:t>WILSON SONSINI GOODRICH &amp; ROSATI</w:t>
            </w:r>
          </w:p>
        </w:tc>
      </w:tr>
      <w:tr>
        <w:trPr/>
        <w:tc>
          <w:tcPr>
            <w:tcW w:w="4082" w:type="dxa"/>
            <w:tcBorders/>
            <w:shd w:fill="auto" w:val="clear"/>
          </w:tcPr>
          <w:p>
            <w:pPr>
              <w:pStyle w:val="TableContents"/>
              <w:spacing w:before="0" w:after="0"/>
              <w:rPr>
                <w:rFonts w:ascii="Times New Roman" w:hAnsi="Times New Roman"/>
                <w:sz w:val="20"/>
              </w:rPr>
            </w:pPr>
            <w:r>
              <w:rPr>
                <w:rFonts w:ascii="Times New Roman" w:hAnsi="Times New Roman"/>
                <w:sz w:val="20"/>
              </w:rPr>
              <w:t>Professional Corporation</w:t>
            </w:r>
          </w:p>
        </w:tc>
      </w:tr>
    </w:tbl>
    <w:p>
      <w:pPr>
        <w:pStyle w:val="TextBody"/>
        <w:spacing w:before="0" w:after="0"/>
        <w:jc w:val="right"/>
        <w:rPr>
          <w:rFonts w:ascii="Times New Roman" w:hAnsi="Times New Roman"/>
          <w:b/>
          <w:sz w:val="20"/>
        </w:rPr>
      </w:pPr>
      <w:r>
        <w:br w:type="page"/>
      </w:r>
      <w:bookmarkStart w:id="19" w:name="d485936dex231.htm"/>
      <w:bookmarkStart w:id="20" w:name="ksd485936dex231"/>
      <w:bookmarkEnd w:id="19"/>
      <w:bookmarkEnd w:id="20"/>
      <w:r>
        <w:rPr>
          <w:rFonts w:ascii="Times New Roman" w:hAnsi="Times New Roman"/>
          <w:b/>
          <w:sz w:val="20"/>
        </w:rPr>
        <w:t xml:space="preserve">Exhibit 23.1 </w:t>
      </w:r>
    </w:p>
    <w:p>
      <w:pPr>
        <w:pStyle w:val="TextBody"/>
        <w:spacing w:before="240" w:after="0"/>
        <w:jc w:val="center"/>
        <w:rPr>
          <w:rFonts w:ascii="Times New Roman" w:hAnsi="Times New Roman"/>
          <w:b/>
          <w:sz w:val="20"/>
        </w:rPr>
      </w:pPr>
      <w:r>
        <w:rPr>
          <w:rFonts w:ascii="Times New Roman" w:hAnsi="Times New Roman"/>
          <w:b/>
          <w:sz w:val="20"/>
        </w:rPr>
        <w:t xml:space="preserve">Consent of Independent Registered Public Accounting Firm </w:t>
      </w:r>
    </w:p>
    <w:p>
      <w:pPr>
        <w:pStyle w:val="TextBody"/>
        <w:spacing w:before="240" w:after="0"/>
        <w:jc w:val="left"/>
        <w:rPr>
          <w:rFonts w:ascii="Times New Roman" w:hAnsi="Times New Roman"/>
          <w:sz w:val="20"/>
        </w:rPr>
      </w:pPr>
      <w:r>
        <w:rPr>
          <w:rFonts w:ascii="Times New Roman" w:hAnsi="Times New Roman"/>
          <w:sz w:val="20"/>
        </w:rPr>
        <w:t xml:space="preserve">We consent to the reference to our firm under the caption Experts in the Form S-3 Registration Statement and related Prospectus of Bakkt Holdings, Inc. for the registration of the 52,543,013 shares of Class A Common Stock and to the incorporation by reference therein of our report dated March 24, 2023, with respect to the consolidated financial statements of Bakkt Holdings Inc. included in its Annual Report (Form 10-K) for the year ended December 31, 2022, filed with the Securities and Exchange Commission. </w:t>
      </w:r>
    </w:p>
    <w:p>
      <w:pPr>
        <w:pStyle w:val="TextBody"/>
        <w:spacing w:before="240" w:after="0"/>
        <w:jc w:val="left"/>
        <w:rPr>
          <w:rFonts w:ascii="Times New Roman" w:hAnsi="Times New Roman"/>
          <w:sz w:val="20"/>
        </w:rPr>
      </w:pPr>
      <w:r>
        <w:rPr>
          <w:rFonts w:ascii="Times New Roman" w:hAnsi="Times New Roman"/>
          <w:sz w:val="20"/>
        </w:rPr>
        <w:t xml:space="preserve">/s/ Ernst &amp; Young LLP </w:t>
      </w:r>
    </w:p>
    <w:p>
      <w:pPr>
        <w:pStyle w:val="TextBody"/>
        <w:spacing w:before="240" w:after="0"/>
        <w:jc w:val="left"/>
        <w:rPr>
          <w:rFonts w:ascii="Times New Roman" w:hAnsi="Times New Roman"/>
          <w:sz w:val="20"/>
        </w:rPr>
      </w:pPr>
      <w:r>
        <w:rPr>
          <w:rFonts w:ascii="Times New Roman" w:hAnsi="Times New Roman"/>
          <w:sz w:val="20"/>
        </w:rPr>
        <w:t xml:space="preserve">Atlanta, Georgia </w:t>
      </w:r>
    </w:p>
    <w:p>
      <w:pPr>
        <w:pStyle w:val="TextBody"/>
        <w:spacing w:before="240" w:after="0"/>
        <w:jc w:val="left"/>
        <w:rPr>
          <w:rFonts w:ascii="Times New Roman" w:hAnsi="Times New Roman"/>
          <w:sz w:val="20"/>
        </w:rPr>
      </w:pPr>
      <w:r>
        <w:rPr>
          <w:rFonts w:ascii="Times New Roman" w:hAnsi="Times New Roman"/>
          <w:sz w:val="20"/>
        </w:rPr>
        <w:t xml:space="preserve">April 25, 2023 </w:t>
      </w:r>
      <w:r>
        <w:br w:type="page"/>
      </w:r>
    </w:p>
    <w:p>
      <w:pPr>
        <w:pStyle w:val="TextBody"/>
        <w:spacing w:before="0" w:after="0"/>
        <w:jc w:val="right"/>
        <w:rPr>
          <w:rFonts w:ascii="Times New Roman" w:hAnsi="Times New Roman"/>
          <w:b/>
          <w:sz w:val="20"/>
        </w:rPr>
      </w:pPr>
      <w:bookmarkStart w:id="21" w:name="d485936dex232.htm"/>
      <w:bookmarkStart w:id="22" w:name="ksd485936dex232"/>
      <w:bookmarkEnd w:id="21"/>
      <w:bookmarkEnd w:id="22"/>
      <w:r>
        <w:rPr>
          <w:rFonts w:ascii="Times New Roman" w:hAnsi="Times New Roman"/>
          <w:b/>
          <w:sz w:val="20"/>
        </w:rPr>
        <w:t xml:space="preserve">Exhibit 23.2 </w:t>
      </w:r>
    </w:p>
    <w:p>
      <w:pPr>
        <w:pStyle w:val="TextBody"/>
        <w:spacing w:before="240" w:after="0"/>
        <w:jc w:val="center"/>
        <w:rPr>
          <w:rFonts w:ascii="Times New Roman" w:hAnsi="Times New Roman"/>
          <w:b/>
          <w:sz w:val="20"/>
        </w:rPr>
      </w:pPr>
      <w:r>
        <w:rPr>
          <w:rFonts w:ascii="Times New Roman" w:hAnsi="Times New Roman"/>
          <w:b/>
          <w:sz w:val="20"/>
        </w:rPr>
        <w:t xml:space="preserve">CONSENT OF INDEPENDENT REGISTERED PUBLIC ACCOUNTING FIRM </w:t>
      </w:r>
    </w:p>
    <w:p>
      <w:pPr>
        <w:pStyle w:val="TextBody"/>
        <w:spacing w:before="240" w:after="0"/>
        <w:jc w:val="left"/>
        <w:rPr>
          <w:rFonts w:ascii="Times New Roman" w:hAnsi="Times New Roman"/>
          <w:sz w:val="20"/>
        </w:rPr>
      </w:pPr>
      <w:r>
        <w:rPr>
          <w:rFonts w:ascii="Times New Roman" w:hAnsi="Times New Roman"/>
          <w:sz w:val="20"/>
        </w:rPr>
        <w:t xml:space="preserve">We hereby consent to the incorporation by reference in the Prospectus constituting a part of this Registration Statement to Form S-3 of our report dated March 28, 2022, relating to the consolidated financial statements of Bakkt Holdings, Inc. (f/k/a VPC Impact Acquisition Holdings), which is contained in Exhibit 99.1 to Form 8-K (File No. 001-39544), filed on April 5, 2022. We also consent to the reference to our firm under the caption Experts in the Prospectus. </w:t>
      </w:r>
    </w:p>
    <w:p>
      <w:pPr>
        <w:pStyle w:val="TextBody"/>
        <w:spacing w:before="240" w:after="0"/>
        <w:jc w:val="left"/>
        <w:rPr>
          <w:rFonts w:ascii="Times New Roman" w:hAnsi="Times New Roman"/>
          <w:sz w:val="20"/>
        </w:rPr>
      </w:pPr>
      <w:r>
        <w:rPr>
          <w:rFonts w:ascii="Times New Roman" w:hAnsi="Times New Roman"/>
          <w:sz w:val="20"/>
        </w:rPr>
        <w:t xml:space="preserve">/s/ WithumSmith+Brown, PC </w:t>
      </w:r>
    </w:p>
    <w:p>
      <w:pPr>
        <w:pStyle w:val="TextBody"/>
        <w:spacing w:before="240" w:after="0"/>
        <w:jc w:val="left"/>
        <w:rPr>
          <w:rFonts w:ascii="Times New Roman" w:hAnsi="Times New Roman"/>
          <w:sz w:val="20"/>
        </w:rPr>
      </w:pPr>
      <w:r>
        <w:rPr>
          <w:rFonts w:ascii="Times New Roman" w:hAnsi="Times New Roman"/>
          <w:sz w:val="20"/>
        </w:rPr>
        <w:t xml:space="preserve">New York, New York </w:t>
      </w:r>
    </w:p>
    <w:p>
      <w:pPr>
        <w:pStyle w:val="TextBody"/>
        <w:spacing w:before="0" w:after="0"/>
        <w:jc w:val="left"/>
        <w:rPr>
          <w:rFonts w:ascii="Times New Roman" w:hAnsi="Times New Roman"/>
          <w:sz w:val="20"/>
        </w:rPr>
      </w:pPr>
      <w:r>
        <w:rPr>
          <w:rFonts w:ascii="Times New Roman" w:hAnsi="Times New Roman"/>
          <w:sz w:val="20"/>
        </w:rPr>
        <w:t xml:space="preserve">April 25, 2023 </w:t>
      </w:r>
      <w:r>
        <w:br w:type="page"/>
      </w:r>
    </w:p>
    <w:p>
      <w:pPr>
        <w:pStyle w:val="TextBody"/>
        <w:spacing w:before="0" w:after="0"/>
        <w:jc w:val="right"/>
        <w:rPr>
          <w:rFonts w:ascii="Times New Roman" w:hAnsi="Times New Roman"/>
          <w:b/>
          <w:sz w:val="20"/>
        </w:rPr>
      </w:pPr>
      <w:bookmarkStart w:id="23" w:name="d485936dex233.htm"/>
      <w:bookmarkStart w:id="24" w:name="ksd485936dex233"/>
      <w:bookmarkEnd w:id="23"/>
      <w:bookmarkEnd w:id="24"/>
      <w:r>
        <w:rPr>
          <w:rFonts w:ascii="Times New Roman" w:hAnsi="Times New Roman"/>
          <w:b/>
          <w:sz w:val="20"/>
        </w:rPr>
        <w:t xml:space="preserve">Exhibit 23.3 </w:t>
      </w:r>
    </w:p>
    <w:p>
      <w:pPr>
        <w:pStyle w:val="TextBody"/>
        <w:spacing w:before="240" w:after="0"/>
        <w:jc w:val="center"/>
        <w:rPr>
          <w:rFonts w:ascii="Times New Roman" w:hAnsi="Times New Roman"/>
          <w:b/>
          <w:sz w:val="20"/>
        </w:rPr>
      </w:pPr>
      <w:r>
        <w:rPr>
          <w:rFonts w:ascii="Times New Roman" w:hAnsi="Times New Roman"/>
          <w:b/>
          <w:sz w:val="20"/>
        </w:rPr>
        <w:t xml:space="preserve">Consent of Independent Auditor </w:t>
      </w:r>
    </w:p>
    <w:p>
      <w:pPr>
        <w:pStyle w:val="TextBody"/>
        <w:spacing w:before="240" w:after="0"/>
        <w:jc w:val="left"/>
        <w:rPr>
          <w:rFonts w:ascii="Times New Roman" w:hAnsi="Times New Roman"/>
          <w:sz w:val="20"/>
        </w:rPr>
      </w:pPr>
      <w:r>
        <w:rPr>
          <w:rFonts w:ascii="Times New Roman" w:hAnsi="Times New Roman"/>
          <w:sz w:val="20"/>
        </w:rPr>
        <w:t xml:space="preserve">We consent to the incorporation by reference in this Registration Statement on Form S-3 of Bakkt Holdings, Inc. of our report dated March 29, 2023, except for the second paragraph of Note 16 as to which the date is April 18, 2023, with respect to the financial statements of Apex Crypto, LLC as of December 31, 2022 and 2021 and for the years then ended appearing in the Current Report on Form 8-K/A filed by Bakkt Holdings, Inc. on April 18, 2023. </w:t>
      </w:r>
    </w:p>
    <w:p>
      <w:pPr>
        <w:pStyle w:val="TextBody"/>
        <w:spacing w:before="240" w:after="0"/>
        <w:jc w:val="left"/>
        <w:rPr>
          <w:rFonts w:ascii="Times New Roman" w:hAnsi="Times New Roman"/>
          <w:sz w:val="20"/>
        </w:rPr>
      </w:pPr>
      <w:r>
        <w:rPr>
          <w:rFonts w:ascii="Times New Roman" w:hAnsi="Times New Roman"/>
          <w:sz w:val="20"/>
        </w:rPr>
        <w:t xml:space="preserve">We also consent to the reference of our firm under the heading Experts in such Registration Statement. </w:t>
      </w:r>
    </w:p>
    <w:p>
      <w:pPr>
        <w:pStyle w:val="TextBody"/>
        <w:spacing w:before="360" w:after="0"/>
        <w:jc w:val="left"/>
        <w:rPr>
          <w:rFonts w:ascii="Times New Roman" w:hAnsi="Times New Roman"/>
          <w:sz w:val="20"/>
        </w:rPr>
      </w:pPr>
      <w:r>
        <w:rPr>
          <w:rFonts w:ascii="Times New Roman" w:hAnsi="Times New Roman"/>
          <w:sz w:val="20"/>
        </w:rPr>
        <w:t xml:space="preserve">/s/ RSM US LLP </w:t>
      </w:r>
    </w:p>
    <w:p>
      <w:pPr>
        <w:pStyle w:val="TextBody"/>
        <w:spacing w:before="240" w:after="0"/>
        <w:jc w:val="left"/>
        <w:rPr>
          <w:rFonts w:ascii="Times New Roman" w:hAnsi="Times New Roman"/>
          <w:sz w:val="20"/>
        </w:rPr>
      </w:pPr>
      <w:r>
        <w:rPr>
          <w:rFonts w:ascii="Times New Roman" w:hAnsi="Times New Roman"/>
          <w:sz w:val="20"/>
        </w:rPr>
        <w:t xml:space="preserve">Chicago, Illinois </w:t>
      </w:r>
    </w:p>
    <w:p>
      <w:pPr>
        <w:pStyle w:val="TextBody"/>
        <w:spacing w:before="0" w:after="0"/>
        <w:jc w:val="left"/>
        <w:rPr>
          <w:rFonts w:ascii="Times New Roman" w:hAnsi="Times New Roman"/>
          <w:sz w:val="20"/>
        </w:rPr>
      </w:pPr>
      <w:r>
        <w:rPr>
          <w:rFonts w:ascii="Times New Roman" w:hAnsi="Times New Roman"/>
          <w:sz w:val="20"/>
        </w:rPr>
        <w:t xml:space="preserve">April 25, 2023 </w:t>
      </w:r>
      <w:r>
        <w:br w:type="page"/>
      </w:r>
    </w:p>
    <w:p>
      <w:pPr>
        <w:pStyle w:val="TextBody"/>
        <w:spacing w:before="0" w:after="0"/>
        <w:jc w:val="right"/>
        <w:rPr>
          <w:rFonts w:ascii="Times New Roman" w:hAnsi="Times New Roman"/>
          <w:b/>
          <w:sz w:val="20"/>
        </w:rPr>
      </w:pPr>
      <w:bookmarkStart w:id="25" w:name="d485936dexfilingfees.htm"/>
      <w:bookmarkStart w:id="26" w:name="ksd485936dexfilingfees"/>
      <w:bookmarkEnd w:id="25"/>
      <w:bookmarkEnd w:id="26"/>
      <w:r>
        <w:rPr>
          <w:rFonts w:ascii="Times New Roman" w:hAnsi="Times New Roman"/>
          <w:b/>
          <w:sz w:val="20"/>
        </w:rPr>
        <w:t xml:space="preserve">Exhibit 107 </w:t>
      </w:r>
    </w:p>
    <w:p>
      <w:pPr>
        <w:pStyle w:val="TextBody"/>
        <w:spacing w:before="120" w:after="0"/>
        <w:jc w:val="center"/>
        <w:rPr>
          <w:rFonts w:ascii="Times New Roman" w:hAnsi="Times New Roman"/>
          <w:b/>
          <w:sz w:val="20"/>
        </w:rPr>
      </w:pPr>
      <w:r>
        <w:rPr>
          <w:rFonts w:ascii="Times New Roman" w:hAnsi="Times New Roman"/>
          <w:b/>
          <w:sz w:val="20"/>
        </w:rPr>
        <w:t xml:space="preserve">Calculation of Filing Fee Table </w:t>
      </w:r>
    </w:p>
    <w:p>
      <w:pPr>
        <w:pStyle w:val="TextBody"/>
        <w:spacing w:before="120" w:after="0"/>
        <w:jc w:val="center"/>
        <w:rPr>
          <w:rFonts w:ascii="Times New Roman" w:hAnsi="Times New Roman"/>
          <w:sz w:val="20"/>
        </w:rPr>
      </w:pPr>
      <w:r>
        <w:rPr>
          <w:rFonts w:ascii="Times New Roman" w:hAnsi="Times New Roman"/>
          <w:sz w:val="20"/>
        </w:rPr>
        <w:t xml:space="preserve">Form S-3 </w:t>
      </w:r>
    </w:p>
    <w:p>
      <w:pPr>
        <w:pStyle w:val="TextBody"/>
        <w:spacing w:before="0" w:after="0"/>
        <w:jc w:val="center"/>
        <w:rPr>
          <w:rFonts w:ascii="Times New Roman" w:hAnsi="Times New Roman"/>
          <w:sz w:val="20"/>
        </w:rPr>
      </w:pPr>
      <w:r>
        <w:rPr>
          <w:rFonts w:ascii="Times New Roman" w:hAnsi="Times New Roman"/>
          <w:sz w:val="20"/>
        </w:rPr>
        <w:t xml:space="preserve">(Form Type) </w:t>
      </w:r>
    </w:p>
    <w:p>
      <w:pPr>
        <w:pStyle w:val="TextBody"/>
        <w:spacing w:before="120" w:after="0"/>
        <w:jc w:val="center"/>
        <w:rPr>
          <w:rFonts w:ascii="Times New Roman" w:hAnsi="Times New Roman"/>
          <w:b/>
          <w:sz w:val="20"/>
        </w:rPr>
      </w:pPr>
      <w:r>
        <w:rPr>
          <w:rFonts w:ascii="Times New Roman" w:hAnsi="Times New Roman"/>
          <w:b/>
          <w:sz w:val="20"/>
        </w:rPr>
        <w:t xml:space="preserve">BAKKT HOLDINGS, INC. </w:t>
      </w:r>
    </w:p>
    <w:p>
      <w:pPr>
        <w:pStyle w:val="TextBody"/>
        <w:spacing w:before="120" w:after="0"/>
        <w:jc w:val="center"/>
        <w:rPr>
          <w:rFonts w:ascii="Times New Roman" w:hAnsi="Times New Roman"/>
          <w:sz w:val="20"/>
        </w:rPr>
      </w:pPr>
      <w:r>
        <w:rPr>
          <w:rFonts w:ascii="Times New Roman" w:hAnsi="Times New Roman"/>
          <w:sz w:val="20"/>
        </w:rPr>
        <w:t xml:space="preserve">(Exact Name of Registrant as Specified in its Charter) </w:t>
      </w:r>
    </w:p>
    <w:p>
      <w:pPr>
        <w:pStyle w:val="TextBody"/>
        <w:spacing w:before="240" w:after="0"/>
        <w:jc w:val="center"/>
        <w:rPr>
          <w:rFonts w:ascii="Times New Roman" w:hAnsi="Times New Roman"/>
          <w:b/>
          <w:sz w:val="20"/>
        </w:rPr>
      </w:pPr>
      <w:r>
        <w:rPr>
          <w:rFonts w:ascii="Times New Roman" w:hAnsi="Times New Roman"/>
          <w:b/>
          <w:sz w:val="20"/>
        </w:rPr>
        <w:t xml:space="preserve">Table 1Newly Registered Securities </w:t>
      </w:r>
    </w:p>
    <w:p>
      <w:pPr>
        <w:pStyle w:val="TextBody"/>
        <w:spacing w:before="0" w:after="0"/>
        <w:jc w:val="left"/>
        <w:rPr/>
      </w:pPr>
      <w:r>
        <w:rPr/>
        <w:t> </w:t>
      </w:r>
    </w:p>
    <w:tbl>
      <w:tblPr>
        <w:tblW w:w="11140" w:type="dxa"/>
        <w:jc w:val="center"/>
        <w:tblInd w:w="0" w:type="dxa"/>
        <w:tblCellMar>
          <w:top w:w="0" w:type="dxa"/>
          <w:left w:w="0" w:type="dxa"/>
          <w:bottom w:w="0" w:type="dxa"/>
          <w:right w:w="0" w:type="dxa"/>
        </w:tblCellMar>
      </w:tblPr>
      <w:tblGrid>
        <w:gridCol w:w="860"/>
        <w:gridCol w:w="60"/>
        <w:gridCol w:w="1985"/>
        <w:gridCol w:w="60"/>
        <w:gridCol w:w="1190"/>
        <w:gridCol w:w="60"/>
        <w:gridCol w:w="1175"/>
        <w:gridCol w:w="60"/>
        <w:gridCol w:w="1070"/>
        <w:gridCol w:w="60"/>
        <w:gridCol w:w="2180"/>
        <w:gridCol w:w="60"/>
        <w:gridCol w:w="995"/>
        <w:gridCol w:w="60"/>
        <w:gridCol w:w="1265"/>
      </w:tblGrid>
      <w:tr>
        <w:trPr/>
        <w:tc>
          <w:tcPr>
            <w:tcW w:w="8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98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19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1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07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1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99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265" w:type="dxa"/>
            <w:tcBorders/>
            <w:shd w:fill="auto" w:val="clear"/>
            <w:vAlign w:val="center"/>
          </w:tcPr>
          <w:p>
            <w:pPr>
              <w:pStyle w:val="TableContents"/>
              <w:spacing w:before="0" w:after="283"/>
              <w:rPr>
                <w:sz w:val="4"/>
                <w:szCs w:val="4"/>
              </w:rPr>
            </w:pPr>
            <w:r>
              <w:rPr>
                <w:sz w:val="4"/>
                <w:szCs w:val="4"/>
              </w:rPr>
            </w:r>
          </w:p>
        </w:tc>
      </w:tr>
      <w:tr>
        <w:trPr>
          <w:trHeight w:val="15" w:hRule="atLeast"/>
        </w:trPr>
        <w:tc>
          <w:tcPr>
            <w:tcW w:w="860" w:type="dxa"/>
            <w:tcBorders>
              <w:top w:val="single" w:sz="2" w:space="0" w:color="000000"/>
              <w:left w:val="single" w:sz="2" w:space="0" w:color="000000"/>
            </w:tcBorders>
            <w:shd w:fill="auto" w:val="clear"/>
            <w:tcMar>
              <w:top w:w="28" w:type="dxa"/>
              <w:left w:w="160" w:type="dxa"/>
            </w:tcMar>
            <w:vAlign w:val="center"/>
          </w:tcPr>
          <w:p>
            <w:pPr>
              <w:pStyle w:val="TableContents"/>
              <w:spacing w:before="0" w:after="283"/>
              <w:rPr/>
            </w:pPr>
            <w:r>
              <w:rPr/>
              <w:t> </w:t>
            </w:r>
          </w:p>
        </w:tc>
        <w:tc>
          <w:tcPr>
            <w:tcW w:w="2045"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1250"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1235"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1130"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2240"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1055"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1325" w:type="dxa"/>
            <w:gridSpan w:val="2"/>
            <w:tcBorders>
              <w:top w:val="single" w:sz="2" w:space="0" w:color="000000"/>
              <w:left w:val="single" w:sz="2" w:space="0" w:color="000000"/>
              <w:right w:val="single" w:sz="2" w:space="0" w:color="000000"/>
            </w:tcBorders>
            <w:shd w:fill="auto" w:val="clear"/>
            <w:tcMar>
              <w:top w:w="28" w:type="dxa"/>
              <w:left w:w="28" w:type="dxa"/>
              <w:right w:w="28" w:type="dxa"/>
            </w:tcMar>
            <w:vAlign w:val="center"/>
          </w:tcPr>
          <w:p>
            <w:pPr>
              <w:pStyle w:val="TableContents"/>
              <w:spacing w:before="0" w:after="283"/>
              <w:rPr/>
            </w:pPr>
            <w:r>
              <w:rPr/>
              <w:t> </w:t>
            </w:r>
          </w:p>
        </w:tc>
      </w:tr>
      <w:tr>
        <w:trPr/>
        <w:tc>
          <w:tcPr>
            <w:tcW w:w="860" w:type="dxa"/>
            <w:tcBorders>
              <w:left w:val="single" w:sz="2" w:space="0" w:color="000000"/>
            </w:tcBorders>
            <w:shd w:fill="auto" w:val="clear"/>
            <w:tcMar>
              <w:left w:w="160" w:type="dxa"/>
            </w:tcMar>
            <w:vAlign w:val="bottom"/>
          </w:tcPr>
          <w:p>
            <w:pPr>
              <w:pStyle w:val="TableContents"/>
              <w:spacing w:before="0" w:after="283"/>
              <w:jc w:val="center"/>
              <w:rPr>
                <w:b/>
              </w:rPr>
            </w:pPr>
            <w:r>
              <w:rPr>
                <w:b/>
              </w:rPr>
              <w:t>Security Type</w:t>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1985" w:type="dxa"/>
            <w:tcBorders/>
            <w:shd w:fill="auto" w:val="clear"/>
            <w:vAlign w:val="bottom"/>
          </w:tcPr>
          <w:p>
            <w:pPr>
              <w:pStyle w:val="TableContents"/>
              <w:spacing w:before="0" w:after="283"/>
              <w:jc w:val="center"/>
              <w:rPr>
                <w:b/>
              </w:rPr>
            </w:pPr>
            <w:r>
              <w:rPr>
                <w:b/>
              </w:rPr>
              <w:t>Security Class Title</w:t>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1190" w:type="dxa"/>
            <w:tcBorders/>
            <w:shd w:fill="auto" w:val="clear"/>
            <w:vAlign w:val="bottom"/>
          </w:tcPr>
          <w:p>
            <w:pPr>
              <w:pStyle w:val="TableContents"/>
              <w:spacing w:before="0" w:after="283"/>
              <w:jc w:val="center"/>
              <w:rPr>
                <w:b/>
              </w:rPr>
            </w:pPr>
            <w:r>
              <w:rPr>
                <w:b/>
              </w:rPr>
              <w:t>Fee</w:t>
              <w:br/>
              <w:t>Calculation</w:t>
              <w:br/>
              <w:t>Rule</w:t>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1175" w:type="dxa"/>
            <w:tcBorders/>
            <w:shd w:fill="auto" w:val="clear"/>
            <w:vAlign w:val="bottom"/>
          </w:tcPr>
          <w:p>
            <w:pPr>
              <w:pStyle w:val="TableContents"/>
              <w:spacing w:before="0" w:after="283"/>
              <w:jc w:val="center"/>
              <w:rPr>
                <w:b/>
              </w:rPr>
            </w:pPr>
            <w:r>
              <w:rPr>
                <w:b/>
              </w:rPr>
              <w:t>Amount</w:t>
              <w:br/>
              <w:t>Registered(1)(2)</w:t>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1070" w:type="dxa"/>
            <w:tcBorders/>
            <w:shd w:fill="auto" w:val="clear"/>
            <w:vAlign w:val="bottom"/>
          </w:tcPr>
          <w:p>
            <w:pPr>
              <w:pStyle w:val="TableContents"/>
              <w:spacing w:before="0" w:after="283"/>
              <w:jc w:val="center"/>
              <w:rPr>
                <w:b/>
              </w:rPr>
            </w:pPr>
            <w:r>
              <w:rPr>
                <w:b/>
              </w:rPr>
              <w:t>Proposed</w:t>
              <w:br/>
              <w:t>Maximum</w:t>
              <w:br/>
              <w:t>Offering</w:t>
              <w:br/>
              <w:t>Price Per</w:t>
              <w:br/>
              <w:t>Security(3)</w:t>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2180" w:type="dxa"/>
            <w:tcBorders/>
            <w:shd w:fill="auto" w:val="clear"/>
            <w:vAlign w:val="bottom"/>
          </w:tcPr>
          <w:p>
            <w:pPr>
              <w:pStyle w:val="TableContents"/>
              <w:spacing w:before="0" w:after="283"/>
              <w:jc w:val="center"/>
              <w:rPr>
                <w:b/>
              </w:rPr>
            </w:pPr>
            <w:r>
              <w:rPr>
                <w:b/>
              </w:rPr>
              <w:t>Maximum Aggregate</w:t>
              <w:br/>
              <w:t>Offering Price</w:t>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995" w:type="dxa"/>
            <w:tcBorders/>
            <w:shd w:fill="auto" w:val="clear"/>
            <w:vAlign w:val="bottom"/>
          </w:tcPr>
          <w:p>
            <w:pPr>
              <w:pStyle w:val="TableContents"/>
              <w:spacing w:before="0" w:after="283"/>
              <w:jc w:val="center"/>
              <w:rPr>
                <w:b/>
              </w:rPr>
            </w:pPr>
            <w:r>
              <w:rPr>
                <w:b/>
              </w:rPr>
              <w:t>Fee Rate</w:t>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1265" w:type="dxa"/>
            <w:tcBorders>
              <w:right w:val="single" w:sz="2" w:space="0" w:color="000000"/>
            </w:tcBorders>
            <w:shd w:fill="auto" w:val="clear"/>
            <w:tcMar>
              <w:right w:w="40" w:type="dxa"/>
            </w:tcMar>
            <w:vAlign w:val="bottom"/>
          </w:tcPr>
          <w:p>
            <w:pPr>
              <w:pStyle w:val="TableContents"/>
              <w:spacing w:before="0" w:after="283"/>
              <w:jc w:val="center"/>
              <w:rPr>
                <w:b/>
              </w:rPr>
            </w:pPr>
            <w:r>
              <w:rPr>
                <w:b/>
              </w:rPr>
              <w:t>Amount of</w:t>
              <w:br/>
              <w:t>Registration</w:t>
              <w:br/>
              <w:t>Fee</w:t>
            </w:r>
          </w:p>
        </w:tc>
      </w:tr>
      <w:tr>
        <w:trPr>
          <w:trHeight w:val="15" w:hRule="atLeast"/>
        </w:trPr>
        <w:tc>
          <w:tcPr>
            <w:tcW w:w="860" w:type="dxa"/>
            <w:tcBorders>
              <w:top w:val="single" w:sz="2" w:space="0" w:color="000000"/>
              <w:left w:val="single" w:sz="2" w:space="0" w:color="000000"/>
            </w:tcBorders>
            <w:shd w:fill="auto" w:val="clear"/>
            <w:tcMar>
              <w:top w:w="28" w:type="dxa"/>
              <w:left w:w="160" w:type="dxa"/>
            </w:tcMar>
            <w:vAlign w:val="center"/>
          </w:tcPr>
          <w:p>
            <w:pPr>
              <w:pStyle w:val="TableContents"/>
              <w:spacing w:before="0" w:after="283"/>
              <w:rPr/>
            </w:pPr>
            <w:r>
              <w:rPr/>
              <w:t> </w:t>
            </w:r>
          </w:p>
        </w:tc>
        <w:tc>
          <w:tcPr>
            <w:tcW w:w="2045"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1250"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1235"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1130"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2240"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1055"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1325" w:type="dxa"/>
            <w:gridSpan w:val="2"/>
            <w:tcBorders>
              <w:top w:val="single" w:sz="2" w:space="0" w:color="000000"/>
              <w:left w:val="single" w:sz="2" w:space="0" w:color="000000"/>
              <w:right w:val="single" w:sz="2" w:space="0" w:color="000000"/>
            </w:tcBorders>
            <w:shd w:fill="auto" w:val="clear"/>
            <w:tcMar>
              <w:top w:w="28" w:type="dxa"/>
              <w:left w:w="28" w:type="dxa"/>
              <w:right w:w="28" w:type="dxa"/>
            </w:tcMar>
            <w:vAlign w:val="center"/>
          </w:tcPr>
          <w:p>
            <w:pPr>
              <w:pStyle w:val="TableContents"/>
              <w:spacing w:before="0" w:after="283"/>
              <w:rPr/>
            </w:pPr>
            <w:r>
              <w:rPr/>
              <w:t> </w:t>
            </w:r>
          </w:p>
        </w:tc>
      </w:tr>
      <w:tr>
        <w:trPr/>
        <w:tc>
          <w:tcPr>
            <w:tcW w:w="860" w:type="dxa"/>
            <w:tcBorders>
              <w:left w:val="single" w:sz="2" w:space="0" w:color="000000"/>
            </w:tcBorders>
            <w:shd w:fill="auto" w:val="clear"/>
            <w:tcMar>
              <w:left w:w="160" w:type="dxa"/>
            </w:tcMar>
          </w:tcPr>
          <w:p>
            <w:pPr>
              <w:pStyle w:val="TableContents"/>
              <w:spacing w:before="0" w:after="283"/>
              <w:jc w:val="center"/>
              <w:rPr/>
            </w:pPr>
            <w:r>
              <w:rPr/>
              <w:t>Equity</w:t>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1985"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Class A Common Stock,</w:t>
            </w:r>
          </w:p>
          <w:p>
            <w:pPr>
              <w:pStyle w:val="TableContents"/>
              <w:spacing w:before="0" w:after="0"/>
              <w:rPr>
                <w:rFonts w:ascii="Times New Roman" w:hAnsi="Times New Roman"/>
                <w:sz w:val="20"/>
              </w:rPr>
            </w:pPr>
            <w:r>
              <w:rPr>
                <w:rFonts w:ascii="Times New Roman" w:hAnsi="Times New Roman"/>
                <w:sz w:val="20"/>
              </w:rPr>
              <w:t>par value $0.0001 per</w:t>
            </w:r>
          </w:p>
          <w:p>
            <w:pPr>
              <w:pStyle w:val="TableContents"/>
              <w:spacing w:before="0" w:after="20"/>
              <w:rPr>
                <w:rFonts w:ascii="Times New Roman" w:hAnsi="Times New Roman"/>
                <w:sz w:val="20"/>
              </w:rPr>
            </w:pPr>
            <w:r>
              <w:rPr>
                <w:rFonts w:ascii="Times New Roman" w:hAnsi="Times New Roman"/>
                <w:sz w:val="20"/>
              </w:rPr>
              <w:t>share</w:t>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1190" w:type="dxa"/>
            <w:tcBorders/>
            <w:shd w:fill="auto" w:val="clear"/>
            <w:vAlign w:val="bottom"/>
          </w:tcPr>
          <w:p>
            <w:pPr>
              <w:pStyle w:val="TableContents"/>
              <w:spacing w:before="0" w:after="283"/>
              <w:jc w:val="center"/>
              <w:rPr/>
            </w:pPr>
            <w:r>
              <w:rPr/>
              <w:t>457(c)</w:t>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1175" w:type="dxa"/>
            <w:tcBorders/>
            <w:shd w:fill="auto" w:val="clear"/>
            <w:vAlign w:val="bottom"/>
          </w:tcPr>
          <w:p>
            <w:pPr>
              <w:pStyle w:val="TableContents"/>
              <w:spacing w:before="0" w:after="283"/>
              <w:jc w:val="center"/>
              <w:rPr/>
            </w:pPr>
            <w:r>
              <w:rPr/>
              <w:t>52,543,013</w:t>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1070" w:type="dxa"/>
            <w:tcBorders/>
            <w:shd w:fill="auto" w:val="clear"/>
            <w:vAlign w:val="bottom"/>
          </w:tcPr>
          <w:p>
            <w:pPr>
              <w:pStyle w:val="TableContents"/>
              <w:spacing w:before="0" w:after="283"/>
              <w:jc w:val="center"/>
              <w:rPr/>
            </w:pPr>
            <w:r>
              <w:rPr/>
              <w:t>$1.35</w:t>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2180" w:type="dxa"/>
            <w:tcBorders/>
            <w:shd w:fill="auto" w:val="clear"/>
            <w:vAlign w:val="bottom"/>
          </w:tcPr>
          <w:p>
            <w:pPr>
              <w:pStyle w:val="TableContents"/>
              <w:spacing w:before="0" w:after="283"/>
              <w:jc w:val="center"/>
              <w:rPr/>
            </w:pPr>
            <w:r>
              <w:rPr/>
              <w:t>$70,670,352.49</w:t>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995" w:type="dxa"/>
            <w:tcBorders/>
            <w:shd w:fill="auto" w:val="clear"/>
            <w:vAlign w:val="bottom"/>
          </w:tcPr>
          <w:p>
            <w:pPr>
              <w:pStyle w:val="TableContents"/>
              <w:spacing w:before="0" w:after="0"/>
              <w:jc w:val="center"/>
              <w:rPr>
                <w:rFonts w:ascii="Times New Roman" w:hAnsi="Times New Roman"/>
                <w:sz w:val="20"/>
              </w:rPr>
            </w:pPr>
            <w:r>
              <w:rPr>
                <w:rFonts w:ascii="Times New Roman" w:hAnsi="Times New Roman"/>
                <w:sz w:val="20"/>
              </w:rPr>
              <w:t>$110.20 per</w:t>
            </w:r>
          </w:p>
          <w:p>
            <w:pPr>
              <w:pStyle w:val="TableContents"/>
              <w:spacing w:before="0" w:after="20"/>
              <w:jc w:val="center"/>
              <w:rPr>
                <w:rFonts w:ascii="Times New Roman" w:hAnsi="Times New Roman"/>
                <w:sz w:val="20"/>
              </w:rPr>
            </w:pPr>
            <w:r>
              <w:rPr>
                <w:rFonts w:ascii="Times New Roman" w:hAnsi="Times New Roman"/>
                <w:sz w:val="20"/>
              </w:rPr>
              <w:t>$1,000,000</w:t>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1265" w:type="dxa"/>
            <w:tcBorders>
              <w:right w:val="single" w:sz="2" w:space="0" w:color="000000"/>
            </w:tcBorders>
            <w:shd w:fill="auto" w:val="clear"/>
            <w:tcMar>
              <w:right w:w="40" w:type="dxa"/>
            </w:tcMar>
            <w:vAlign w:val="bottom"/>
          </w:tcPr>
          <w:p>
            <w:pPr>
              <w:pStyle w:val="TableContents"/>
              <w:spacing w:before="0" w:after="283"/>
              <w:jc w:val="center"/>
              <w:rPr/>
            </w:pPr>
            <w:r>
              <w:rPr/>
              <w:t>$7,787.87</w:t>
            </w:r>
          </w:p>
        </w:tc>
      </w:tr>
      <w:tr>
        <w:trPr>
          <w:trHeight w:val="15" w:hRule="atLeast"/>
        </w:trPr>
        <w:tc>
          <w:tcPr>
            <w:tcW w:w="5390" w:type="dxa"/>
            <w:gridSpan w:val="7"/>
            <w:tcBorders>
              <w:top w:val="single" w:sz="2" w:space="0" w:color="000000"/>
              <w:left w:val="single" w:sz="2" w:space="0" w:color="000000"/>
            </w:tcBorders>
            <w:shd w:fill="auto" w:val="clear"/>
            <w:tcMar>
              <w:top w:w="28" w:type="dxa"/>
              <w:left w:w="160" w:type="dxa"/>
            </w:tcMar>
            <w:vAlign w:val="center"/>
          </w:tcPr>
          <w:p>
            <w:pPr>
              <w:pStyle w:val="TableContents"/>
              <w:spacing w:before="0" w:after="283"/>
              <w:rPr/>
            </w:pPr>
            <w:r>
              <w:rPr/>
              <w:t> </w:t>
            </w:r>
          </w:p>
        </w:tc>
        <w:tc>
          <w:tcPr>
            <w:tcW w:w="1130"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2240"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1055"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1325" w:type="dxa"/>
            <w:gridSpan w:val="2"/>
            <w:tcBorders>
              <w:top w:val="single" w:sz="2" w:space="0" w:color="000000"/>
              <w:left w:val="single" w:sz="2" w:space="0" w:color="000000"/>
              <w:right w:val="single" w:sz="2" w:space="0" w:color="000000"/>
            </w:tcBorders>
            <w:shd w:fill="auto" w:val="clear"/>
            <w:tcMar>
              <w:top w:w="28" w:type="dxa"/>
              <w:left w:w="28" w:type="dxa"/>
              <w:right w:w="28" w:type="dxa"/>
            </w:tcMar>
            <w:vAlign w:val="center"/>
          </w:tcPr>
          <w:p>
            <w:pPr>
              <w:pStyle w:val="TableContents"/>
              <w:spacing w:before="0" w:after="283"/>
              <w:rPr/>
            </w:pPr>
            <w:r>
              <w:rPr/>
              <w:t> </w:t>
            </w:r>
          </w:p>
        </w:tc>
      </w:tr>
      <w:tr>
        <w:trPr/>
        <w:tc>
          <w:tcPr>
            <w:tcW w:w="5390" w:type="dxa"/>
            <w:gridSpan w:val="7"/>
            <w:tcBorders>
              <w:left w:val="single" w:sz="2" w:space="0" w:color="000000"/>
            </w:tcBorders>
            <w:shd w:fill="auto" w:val="clear"/>
            <w:tcMar>
              <w:left w:w="160" w:type="dxa"/>
            </w:tcMar>
          </w:tcPr>
          <w:p>
            <w:pPr>
              <w:pStyle w:val="TableContents"/>
              <w:spacing w:before="0" w:after="283"/>
              <w:rPr>
                <w:b/>
              </w:rPr>
            </w:pPr>
            <w:r>
              <w:rPr>
                <w:b/>
              </w:rPr>
              <w:t>Total Offering Amounts</w:t>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1070" w:type="dxa"/>
            <w:tcBorders/>
            <w:shd w:fill="auto" w:val="clear"/>
            <w:vAlign w:val="bottom"/>
          </w:tcPr>
          <w:p>
            <w:pPr>
              <w:pStyle w:val="TableContents"/>
              <w:spacing w:before="0" w:after="283"/>
              <w:rPr>
                <w:sz w:val="4"/>
                <w:szCs w:val="4"/>
              </w:rPr>
            </w:pPr>
            <w:r>
              <w:rPr>
                <w:sz w:val="4"/>
                <w:szCs w:val="4"/>
              </w:rPr>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2180" w:type="dxa"/>
            <w:tcBorders/>
            <w:shd w:fill="auto" w:val="clear"/>
            <w:vAlign w:val="bottom"/>
          </w:tcPr>
          <w:p>
            <w:pPr>
              <w:pStyle w:val="TableContents"/>
              <w:spacing w:before="0" w:after="283"/>
              <w:jc w:val="center"/>
              <w:rPr/>
            </w:pPr>
            <w:r>
              <w:rPr/>
              <w:t>$70,670,352.49</w:t>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995" w:type="dxa"/>
            <w:tcBorders/>
            <w:shd w:fill="auto" w:val="clear"/>
            <w:vAlign w:val="bottom"/>
          </w:tcPr>
          <w:p>
            <w:pPr>
              <w:pStyle w:val="TableContents"/>
              <w:spacing w:before="0" w:after="283"/>
              <w:rPr>
                <w:sz w:val="4"/>
                <w:szCs w:val="4"/>
              </w:rPr>
            </w:pPr>
            <w:r>
              <w:rPr>
                <w:sz w:val="4"/>
                <w:szCs w:val="4"/>
              </w:rPr>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1265" w:type="dxa"/>
            <w:tcBorders>
              <w:right w:val="single" w:sz="2" w:space="0" w:color="000000"/>
            </w:tcBorders>
            <w:shd w:fill="auto" w:val="clear"/>
            <w:tcMar>
              <w:right w:w="40" w:type="dxa"/>
            </w:tcMar>
            <w:vAlign w:val="bottom"/>
          </w:tcPr>
          <w:p>
            <w:pPr>
              <w:pStyle w:val="TableContents"/>
              <w:spacing w:before="0" w:after="283"/>
              <w:jc w:val="center"/>
              <w:rPr/>
            </w:pPr>
            <w:r>
              <w:rPr/>
              <w:t>$7,787.87</w:t>
            </w:r>
          </w:p>
        </w:tc>
      </w:tr>
      <w:tr>
        <w:trPr>
          <w:trHeight w:val="15" w:hRule="atLeast"/>
        </w:trPr>
        <w:tc>
          <w:tcPr>
            <w:tcW w:w="5390" w:type="dxa"/>
            <w:gridSpan w:val="7"/>
            <w:tcBorders>
              <w:top w:val="single" w:sz="2" w:space="0" w:color="000000"/>
              <w:left w:val="single" w:sz="2" w:space="0" w:color="000000"/>
            </w:tcBorders>
            <w:shd w:fill="auto" w:val="clear"/>
            <w:tcMar>
              <w:top w:w="28" w:type="dxa"/>
              <w:left w:w="160" w:type="dxa"/>
            </w:tcMar>
            <w:vAlign w:val="center"/>
          </w:tcPr>
          <w:p>
            <w:pPr>
              <w:pStyle w:val="TableContents"/>
              <w:spacing w:before="0" w:after="283"/>
              <w:rPr/>
            </w:pPr>
            <w:r>
              <w:rPr/>
              <w:t> </w:t>
            </w:r>
          </w:p>
        </w:tc>
        <w:tc>
          <w:tcPr>
            <w:tcW w:w="1130"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2240"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1055"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1325" w:type="dxa"/>
            <w:gridSpan w:val="2"/>
            <w:tcBorders>
              <w:top w:val="single" w:sz="2" w:space="0" w:color="000000"/>
              <w:left w:val="single" w:sz="2" w:space="0" w:color="000000"/>
              <w:right w:val="single" w:sz="2" w:space="0" w:color="000000"/>
            </w:tcBorders>
            <w:shd w:fill="auto" w:val="clear"/>
            <w:tcMar>
              <w:top w:w="28" w:type="dxa"/>
              <w:left w:w="28" w:type="dxa"/>
              <w:right w:w="28" w:type="dxa"/>
            </w:tcMar>
            <w:vAlign w:val="center"/>
          </w:tcPr>
          <w:p>
            <w:pPr>
              <w:pStyle w:val="TableContents"/>
              <w:spacing w:before="0" w:after="283"/>
              <w:rPr/>
            </w:pPr>
            <w:r>
              <w:rPr/>
              <w:t> </w:t>
            </w:r>
          </w:p>
        </w:tc>
      </w:tr>
      <w:tr>
        <w:trPr/>
        <w:tc>
          <w:tcPr>
            <w:tcW w:w="5390" w:type="dxa"/>
            <w:gridSpan w:val="7"/>
            <w:tcBorders>
              <w:left w:val="single" w:sz="2" w:space="0" w:color="000000"/>
            </w:tcBorders>
            <w:shd w:fill="auto" w:val="clear"/>
            <w:tcMar>
              <w:left w:w="160" w:type="dxa"/>
            </w:tcMar>
          </w:tcPr>
          <w:p>
            <w:pPr>
              <w:pStyle w:val="TableContents"/>
              <w:spacing w:before="0" w:after="283"/>
              <w:rPr>
                <w:b/>
              </w:rPr>
            </w:pPr>
            <w:r>
              <w:rPr>
                <w:b/>
              </w:rPr>
              <w:t>Total Fees Previously Paid</w:t>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1070" w:type="dxa"/>
            <w:tcBorders/>
            <w:shd w:fill="auto" w:val="clear"/>
            <w:vAlign w:val="bottom"/>
          </w:tcPr>
          <w:p>
            <w:pPr>
              <w:pStyle w:val="TableContents"/>
              <w:spacing w:before="0" w:after="283"/>
              <w:rPr>
                <w:sz w:val="4"/>
                <w:szCs w:val="4"/>
              </w:rPr>
            </w:pPr>
            <w:r>
              <w:rPr>
                <w:sz w:val="4"/>
                <w:szCs w:val="4"/>
              </w:rPr>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2180" w:type="dxa"/>
            <w:tcBorders/>
            <w:shd w:fill="auto" w:val="clear"/>
            <w:vAlign w:val="bottom"/>
          </w:tcPr>
          <w:p>
            <w:pPr>
              <w:pStyle w:val="TableContents"/>
              <w:spacing w:before="0" w:after="283"/>
              <w:rPr>
                <w:sz w:val="4"/>
                <w:szCs w:val="4"/>
              </w:rPr>
            </w:pPr>
            <w:r>
              <w:rPr>
                <w:sz w:val="4"/>
                <w:szCs w:val="4"/>
              </w:rPr>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995" w:type="dxa"/>
            <w:tcBorders/>
            <w:shd w:fill="auto" w:val="clear"/>
            <w:vAlign w:val="bottom"/>
          </w:tcPr>
          <w:p>
            <w:pPr>
              <w:pStyle w:val="TableContents"/>
              <w:spacing w:before="0" w:after="283"/>
              <w:rPr>
                <w:sz w:val="4"/>
                <w:szCs w:val="4"/>
              </w:rPr>
            </w:pPr>
            <w:r>
              <w:rPr>
                <w:sz w:val="4"/>
                <w:szCs w:val="4"/>
              </w:rPr>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1265" w:type="dxa"/>
            <w:tcBorders>
              <w:right w:val="single" w:sz="2" w:space="0" w:color="000000"/>
            </w:tcBorders>
            <w:shd w:fill="auto" w:val="clear"/>
            <w:tcMar>
              <w:right w:w="40" w:type="dxa"/>
            </w:tcMar>
            <w:vAlign w:val="bottom"/>
          </w:tcPr>
          <w:p>
            <w:pPr>
              <w:pStyle w:val="TableContents"/>
              <w:spacing w:before="0" w:after="283"/>
              <w:jc w:val="center"/>
              <w:rPr/>
            </w:pPr>
            <w:r>
              <w:rPr/>
              <w:t></w:t>
            </w:r>
          </w:p>
        </w:tc>
      </w:tr>
      <w:tr>
        <w:trPr>
          <w:trHeight w:val="15" w:hRule="atLeast"/>
        </w:trPr>
        <w:tc>
          <w:tcPr>
            <w:tcW w:w="5390" w:type="dxa"/>
            <w:gridSpan w:val="7"/>
            <w:tcBorders>
              <w:top w:val="single" w:sz="2" w:space="0" w:color="000000"/>
              <w:left w:val="single" w:sz="2" w:space="0" w:color="000000"/>
            </w:tcBorders>
            <w:shd w:fill="auto" w:val="clear"/>
            <w:tcMar>
              <w:top w:w="28" w:type="dxa"/>
              <w:left w:w="160" w:type="dxa"/>
            </w:tcMar>
            <w:vAlign w:val="center"/>
          </w:tcPr>
          <w:p>
            <w:pPr>
              <w:pStyle w:val="TableContents"/>
              <w:spacing w:before="0" w:after="283"/>
              <w:rPr/>
            </w:pPr>
            <w:r>
              <w:rPr/>
              <w:t> </w:t>
            </w:r>
          </w:p>
        </w:tc>
        <w:tc>
          <w:tcPr>
            <w:tcW w:w="1130"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2240"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1055"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1325" w:type="dxa"/>
            <w:gridSpan w:val="2"/>
            <w:tcBorders>
              <w:top w:val="single" w:sz="2" w:space="0" w:color="000000"/>
              <w:left w:val="single" w:sz="2" w:space="0" w:color="000000"/>
              <w:right w:val="single" w:sz="2" w:space="0" w:color="000000"/>
            </w:tcBorders>
            <w:shd w:fill="auto" w:val="clear"/>
            <w:tcMar>
              <w:top w:w="28" w:type="dxa"/>
              <w:left w:w="28" w:type="dxa"/>
              <w:right w:w="28" w:type="dxa"/>
            </w:tcMar>
            <w:vAlign w:val="center"/>
          </w:tcPr>
          <w:p>
            <w:pPr>
              <w:pStyle w:val="TableContents"/>
              <w:spacing w:before="0" w:after="283"/>
              <w:rPr/>
            </w:pPr>
            <w:r>
              <w:rPr/>
              <w:t> </w:t>
            </w:r>
          </w:p>
        </w:tc>
      </w:tr>
      <w:tr>
        <w:trPr/>
        <w:tc>
          <w:tcPr>
            <w:tcW w:w="5390" w:type="dxa"/>
            <w:gridSpan w:val="7"/>
            <w:tcBorders>
              <w:left w:val="single" w:sz="2" w:space="0" w:color="000000"/>
            </w:tcBorders>
            <w:shd w:fill="auto" w:val="clear"/>
            <w:tcMar>
              <w:left w:w="160" w:type="dxa"/>
            </w:tcMar>
          </w:tcPr>
          <w:p>
            <w:pPr>
              <w:pStyle w:val="TableContents"/>
              <w:spacing w:before="0" w:after="283"/>
              <w:rPr>
                <w:b/>
              </w:rPr>
            </w:pPr>
            <w:r>
              <w:rPr>
                <w:b/>
              </w:rPr>
              <w:t>Total Fee Offsets</w:t>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1070" w:type="dxa"/>
            <w:tcBorders/>
            <w:shd w:fill="auto" w:val="clear"/>
            <w:vAlign w:val="bottom"/>
          </w:tcPr>
          <w:p>
            <w:pPr>
              <w:pStyle w:val="TableContents"/>
              <w:spacing w:before="0" w:after="283"/>
              <w:rPr>
                <w:sz w:val="4"/>
                <w:szCs w:val="4"/>
              </w:rPr>
            </w:pPr>
            <w:r>
              <w:rPr>
                <w:sz w:val="4"/>
                <w:szCs w:val="4"/>
              </w:rPr>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2180" w:type="dxa"/>
            <w:tcBorders/>
            <w:shd w:fill="auto" w:val="clear"/>
            <w:vAlign w:val="bottom"/>
          </w:tcPr>
          <w:p>
            <w:pPr>
              <w:pStyle w:val="TableContents"/>
              <w:spacing w:before="0" w:after="283"/>
              <w:rPr>
                <w:sz w:val="4"/>
                <w:szCs w:val="4"/>
              </w:rPr>
            </w:pPr>
            <w:r>
              <w:rPr>
                <w:sz w:val="4"/>
                <w:szCs w:val="4"/>
              </w:rPr>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995" w:type="dxa"/>
            <w:tcBorders/>
            <w:shd w:fill="auto" w:val="clear"/>
            <w:vAlign w:val="bottom"/>
          </w:tcPr>
          <w:p>
            <w:pPr>
              <w:pStyle w:val="TableContents"/>
              <w:spacing w:before="0" w:after="283"/>
              <w:rPr>
                <w:sz w:val="4"/>
                <w:szCs w:val="4"/>
              </w:rPr>
            </w:pPr>
            <w:r>
              <w:rPr>
                <w:sz w:val="4"/>
                <w:szCs w:val="4"/>
              </w:rPr>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1265" w:type="dxa"/>
            <w:tcBorders>
              <w:right w:val="single" w:sz="2" w:space="0" w:color="000000"/>
            </w:tcBorders>
            <w:shd w:fill="auto" w:val="clear"/>
            <w:tcMar>
              <w:right w:w="40" w:type="dxa"/>
            </w:tcMar>
            <w:vAlign w:val="bottom"/>
          </w:tcPr>
          <w:p>
            <w:pPr>
              <w:pStyle w:val="TableContents"/>
              <w:spacing w:before="0" w:after="283"/>
              <w:jc w:val="center"/>
              <w:rPr/>
            </w:pPr>
            <w:r>
              <w:rPr/>
              <w:t></w:t>
            </w:r>
          </w:p>
        </w:tc>
      </w:tr>
      <w:tr>
        <w:trPr>
          <w:trHeight w:val="15" w:hRule="atLeast"/>
        </w:trPr>
        <w:tc>
          <w:tcPr>
            <w:tcW w:w="5390" w:type="dxa"/>
            <w:gridSpan w:val="7"/>
            <w:tcBorders>
              <w:top w:val="single" w:sz="2" w:space="0" w:color="000000"/>
              <w:left w:val="single" w:sz="2" w:space="0" w:color="000000"/>
            </w:tcBorders>
            <w:shd w:fill="auto" w:val="clear"/>
            <w:tcMar>
              <w:top w:w="28" w:type="dxa"/>
              <w:left w:w="160" w:type="dxa"/>
            </w:tcMar>
            <w:vAlign w:val="center"/>
          </w:tcPr>
          <w:p>
            <w:pPr>
              <w:pStyle w:val="TableContents"/>
              <w:spacing w:before="0" w:after="283"/>
              <w:rPr/>
            </w:pPr>
            <w:r>
              <w:rPr/>
              <w:t> </w:t>
            </w:r>
          </w:p>
        </w:tc>
        <w:tc>
          <w:tcPr>
            <w:tcW w:w="1130"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2240"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1055"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1325" w:type="dxa"/>
            <w:gridSpan w:val="2"/>
            <w:tcBorders>
              <w:top w:val="single" w:sz="2" w:space="0" w:color="000000"/>
              <w:left w:val="single" w:sz="2" w:space="0" w:color="000000"/>
              <w:right w:val="single" w:sz="2" w:space="0" w:color="000000"/>
            </w:tcBorders>
            <w:shd w:fill="auto" w:val="clear"/>
            <w:tcMar>
              <w:top w:w="28" w:type="dxa"/>
              <w:left w:w="28" w:type="dxa"/>
              <w:right w:w="28" w:type="dxa"/>
            </w:tcMar>
            <w:vAlign w:val="center"/>
          </w:tcPr>
          <w:p>
            <w:pPr>
              <w:pStyle w:val="TableContents"/>
              <w:spacing w:before="0" w:after="283"/>
              <w:rPr/>
            </w:pPr>
            <w:r>
              <w:rPr/>
              <w:t> </w:t>
            </w:r>
          </w:p>
        </w:tc>
      </w:tr>
      <w:tr>
        <w:trPr/>
        <w:tc>
          <w:tcPr>
            <w:tcW w:w="5390" w:type="dxa"/>
            <w:gridSpan w:val="7"/>
            <w:tcBorders>
              <w:left w:val="single" w:sz="2" w:space="0" w:color="000000"/>
              <w:bottom w:val="single" w:sz="2" w:space="0" w:color="000000"/>
            </w:tcBorders>
            <w:shd w:fill="auto" w:val="clear"/>
            <w:tcMar>
              <w:left w:w="160" w:type="dxa"/>
              <w:bottom w:w="28" w:type="dxa"/>
            </w:tcMar>
          </w:tcPr>
          <w:p>
            <w:pPr>
              <w:pStyle w:val="TableContents"/>
              <w:spacing w:before="0" w:after="283"/>
              <w:rPr>
                <w:b/>
              </w:rPr>
            </w:pPr>
            <w:r>
              <w:rPr>
                <w:b/>
              </w:rPr>
              <w:t>Net Fee Due</w:t>
            </w:r>
          </w:p>
        </w:tc>
        <w:tc>
          <w:tcPr>
            <w:tcW w:w="60"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1070" w:type="dxa"/>
            <w:tcBorders>
              <w:bottom w:val="single" w:sz="2" w:space="0" w:color="000000"/>
            </w:tcBorders>
            <w:shd w:fill="auto" w:val="clear"/>
            <w:tcMar>
              <w:bottom w:w="28" w:type="dxa"/>
            </w:tcMar>
            <w:vAlign w:val="bottom"/>
          </w:tcPr>
          <w:p>
            <w:pPr>
              <w:pStyle w:val="TableContents"/>
              <w:spacing w:before="0" w:after="283"/>
              <w:rPr/>
            </w:pPr>
            <w:r>
              <w:rPr/>
              <w:t> </w:t>
            </w:r>
          </w:p>
        </w:tc>
        <w:tc>
          <w:tcPr>
            <w:tcW w:w="60"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2180" w:type="dxa"/>
            <w:tcBorders>
              <w:bottom w:val="single" w:sz="2" w:space="0" w:color="000000"/>
            </w:tcBorders>
            <w:shd w:fill="auto" w:val="clear"/>
            <w:tcMar>
              <w:bottom w:w="28" w:type="dxa"/>
            </w:tcMar>
            <w:vAlign w:val="bottom"/>
          </w:tcPr>
          <w:p>
            <w:pPr>
              <w:pStyle w:val="TableContents"/>
              <w:spacing w:before="0" w:after="283"/>
              <w:rPr/>
            </w:pPr>
            <w:r>
              <w:rPr/>
              <w:t> </w:t>
            </w:r>
          </w:p>
        </w:tc>
        <w:tc>
          <w:tcPr>
            <w:tcW w:w="60"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995" w:type="dxa"/>
            <w:tcBorders>
              <w:bottom w:val="single" w:sz="2" w:space="0" w:color="000000"/>
            </w:tcBorders>
            <w:shd w:fill="auto" w:val="clear"/>
            <w:tcMar>
              <w:bottom w:w="28" w:type="dxa"/>
            </w:tcMar>
            <w:vAlign w:val="bottom"/>
          </w:tcPr>
          <w:p>
            <w:pPr>
              <w:pStyle w:val="TableContents"/>
              <w:spacing w:before="0" w:after="283"/>
              <w:rPr/>
            </w:pPr>
            <w:r>
              <w:rPr/>
              <w:t> </w:t>
            </w:r>
          </w:p>
        </w:tc>
        <w:tc>
          <w:tcPr>
            <w:tcW w:w="60"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1265" w:type="dxa"/>
            <w:tcBorders>
              <w:bottom w:val="single" w:sz="2" w:space="0" w:color="000000"/>
              <w:right w:val="single" w:sz="2" w:space="0" w:color="000000"/>
            </w:tcBorders>
            <w:shd w:fill="auto" w:val="clear"/>
            <w:tcMar>
              <w:bottom w:w="28" w:type="dxa"/>
              <w:right w:w="40" w:type="dxa"/>
            </w:tcMar>
            <w:vAlign w:val="bottom"/>
          </w:tcPr>
          <w:p>
            <w:pPr>
              <w:pStyle w:val="TableContents"/>
              <w:spacing w:before="0" w:after="283"/>
              <w:jc w:val="center"/>
              <w:rPr/>
            </w:pPr>
            <w:r>
              <w:rPr/>
              <w:t>$7,787.87</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(1)</w:t>
            </w:r>
          </w:p>
        </w:tc>
        <w:tc>
          <w:tcPr>
            <w:tcW w:w="979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Consists of an aggregate of 52,543,013 shares of the Registrants Class A common stock, par value $0.0001 per share, consisting of (i) 6,140,610 shares of Class A common stock that were issued to Apex Fintech Solutions Inc. (Apex Fintech) as the first earnout payment pursuant to a Membership Interest Purchase Agreement, dated as of November 2, 2022, by and among the Registrant, Apex Fintech and the other parties named therein; and (ii) up to 46,402,403 shares of Class A common stock that may be issued to Apex Fintech as additional earnout payments under the Purchase Agreement (Additional Contingent Shares). The actual number of Additional Contingent Shares issuable to Apex Fintech, if any, could be materially less than the 46,402,403 Additional Contingent Shares, depending on (a) the performance of certain crypto facilitation clients and non-fungible token facilitation business of the Registrant, and (b) the actual closing prices of the Class A common stock over the relevant evaluation periods. As such, the Registrant may not issue all of the Additional Contingent Shares registered for resale in this registration statement. This presentation is not intended to constitute an indication or prediction of whether any of the future milestones will be achieved. </w:t>
            </w:r>
          </w:p>
        </w:tc>
      </w:tr>
    </w:tbl>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(2)</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Pursuant to Rule 416 under the Securities Act, the shares being registered hereunder include an indeterminate number of shares of Class A common stock as may become issuable with respect to the shares being registered hereunder as a result of stock splits, stock dividends or similar transactions. </w:t>
            </w:r>
          </w:p>
        </w:tc>
      </w:tr>
    </w:tbl>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(3)</w:t>
            </w:r>
          </w:p>
        </w:tc>
        <w:tc>
          <w:tcPr>
            <w:tcW w:w="979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Estimated solely for purposes of calculating the registration fee according to Rule 457(c) under the Securities Act of 1933 based on the average of the high and low prices of the Registrants Class A common stock quoted on the New York Stock Exchange on April 21, 2023. </w:t>
            </w:r>
          </w:p>
        </w:tc>
      </w:tr>
    </w:tbl>
    <w:p>
      <w:pPr>
        <w:pStyle w:val="TextBody"/>
        <w:spacing w:before="0" w:after="283"/>
        <w:rPr/>
      </w:pPr>
      <w:r>
        <w:br w:type="page"/>
      </w: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 w:name="Arial Narrow">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WenQuanYi Zen Hei Sharp" w:cs="DejaVu Sans"/>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ix?doc=/Archives/edgar/data/1820302/000182030223000016/bakkt-20221231.htm" TargetMode="External"/><Relationship Id="rId4" Type="http://schemas.openxmlformats.org/officeDocument/2006/relationships/hyperlink" Target="http://www.sec.gov/Archives/edgar/data/../../../ix?doc=/Archives/edgar/data/0001820302/000119312522276398/d408337d8k.htm" TargetMode="External"/><Relationship Id="rId5" Type="http://schemas.openxmlformats.org/officeDocument/2006/relationships/hyperlink" Target="http://www.sec.gov/Archives/edgar/data/../../../ix?doc=/Archives/edgar/data/1820302/000182030223000006/bakkt-20230309.htm" TargetMode="External"/><Relationship Id="rId6" Type="http://schemas.openxmlformats.org/officeDocument/2006/relationships/hyperlink" Target="http://www.sec.gov/Archives/edgar/data/../../../ix?doc=/Archives/edgar/data/1820302/000119312523089016/d482123d8k.htm" TargetMode="External"/><Relationship Id="rId7" Type="http://schemas.openxmlformats.org/officeDocument/2006/relationships/hyperlink" Target="http://www.sec.gov/Archives/edgar/data/../../../ix?doc=/Archives/edgar/data/0001820302/000182030223000033/bakkt-20230418.htm" TargetMode="External"/><Relationship Id="rId8" Type="http://schemas.openxmlformats.org/officeDocument/2006/relationships/hyperlink" Target="http://www.sec.gov/Archives/edgar/data/../../../ix?doc=/Archives/edgar/data/1820302/000119312522096343/d322705d8ka.htm" TargetMode="External"/><Relationship Id="rId9" Type="http://schemas.openxmlformats.org/officeDocument/2006/relationships/hyperlink" Target="http://www.sec.gov/Archives/edgar/data/../../../ix?doc=/Archives/edgar/data/0001820302/000182030223000030/bakkt-20230401.htm" TargetMode="External"/><Relationship Id="rId10" Type="http://schemas.openxmlformats.org/officeDocument/2006/relationships/hyperlink" Target="http://www.sec.gov/Archives/edgar/data/1820302/000119312521299620/d211377d8a12b.htm" TargetMode="External"/><Relationship Id="rId11" Type="http://schemas.openxmlformats.org/officeDocument/2006/relationships/hyperlink" Target="http://www.sec.gov/Archives/edgar/data/0001820302/000119312522276398/d408337dex21.htm" TargetMode="External"/><Relationship Id="rId12" Type="http://schemas.openxmlformats.org/officeDocument/2006/relationships/hyperlink" Target="http://www.sec.gov/Archives/edgar/data/0001820302/000119312523089016/d482123dex22.htm" TargetMode="External"/><Relationship Id="rId13" Type="http://schemas.openxmlformats.org/officeDocument/2006/relationships/hyperlink" Target="http://www.sec.gov/Archives/edgar/data/1820302/000119312521303985/d219325dex31.htm" TargetMode="External"/><Relationship Id="rId14" Type="http://schemas.openxmlformats.org/officeDocument/2006/relationships/hyperlink" Target="http://www.sec.gov/Archives/edgar/data/1820302/000119312521303985/d219325dex32.htm" TargetMode="External"/><Relationship Id="rId15" Type="http://schemas.openxmlformats.org/officeDocument/2006/relationships/hyperlink" Target="http://www.sec.gov/Archives/edgar/data/0001820302/000119312521303985/d219325dex41.htm" TargetMode="External"/><Relationship Id="rId16" Type="http://schemas.openxmlformats.org/officeDocument/2006/relationships/hyperlink" Target="http://www.sec.gov/Archives/edgar/data/0001820302/000119312523089016/d482123dex41.htm" TargetMode="External"/><Relationship Id="rId17" Type="http://schemas.openxmlformats.org/officeDocument/2006/relationships/image" Target="media/image2.jpeg"/><Relationship Id="rId18" Type="http://schemas.openxmlformats.org/officeDocument/2006/relationships/image" Target="media/image3.jpeg"/><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31</Pages>
  <Words>13137</Words>
  <CharactersWithSpaces>83139</CharactersWithSpaces>
  <Paragraphs>1067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EX-FILING FEES</dc:title>
</cp:coreProperties>
</file>