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0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03"/>
        <w:spacing w:after="0"/>
        <w:rPr>
          <w:sz w:val="20"/>
          <w:szCs w:val="20"/>
          <w:color w:val="auto"/>
        </w:rPr>
      </w:pPr>
      <w:r>
        <w:rPr>
          <w:rFonts w:ascii="Arial" w:cs="Arial" w:eastAsia="Arial" w:hAnsi="Arial"/>
          <w:sz w:val="22"/>
          <w:szCs w:val="22"/>
          <w:b w:val="1"/>
          <w:bCs w:val="1"/>
          <w:color w:val="auto"/>
        </w:rPr>
        <w:t>PURSUANT TO SECTION 13 OR 15(D)</w:t>
      </w:r>
    </w:p>
    <w:p>
      <w:pPr>
        <w:jc w:val="center"/>
        <w:ind w:right="-30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44"/>
        <w:spacing w:after="0"/>
        <w:rPr>
          <w:sz w:val="20"/>
          <w:szCs w:val="20"/>
          <w:color w:val="auto"/>
        </w:rPr>
      </w:pPr>
      <w:r>
        <w:rPr>
          <w:rFonts w:ascii="Arial" w:cs="Arial" w:eastAsia="Arial" w:hAnsi="Arial"/>
          <w:sz w:val="21"/>
          <w:szCs w:val="21"/>
          <w:b w:val="1"/>
          <w:bCs w:val="1"/>
          <w:color w:val="auto"/>
        </w:rPr>
        <w:t>Date of Report (Date of earliest event reported): May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241300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03"/>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30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68" w:right="739" w:bottom="90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44"/>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31" w:lineRule="exact"/>
        <w:rPr>
          <w:sz w:val="24"/>
          <w:szCs w:val="24"/>
          <w:color w:val="auto"/>
        </w:rPr>
      </w:pPr>
    </w:p>
    <w:p>
      <w:pPr>
        <w:sectPr>
          <w:pgSz w:w="11900" w:h="16838" w:orient="portrait"/>
          <w:cols w:equalWidth="0" w:num="3">
            <w:col w:w="4504" w:space="720"/>
            <w:col w:w="2880" w:space="720"/>
            <w:col w:w="1900"/>
          </w:cols>
          <w:pgMar w:left="436" w:top="368" w:right="739" w:bottom="90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040"/>
          </w:cols>
          <w:pgMar w:left="436" w:top="368" w:right="739" w:bottom="900" w:gutter="0" w:footer="0" w:header="0"/>
          <w:type w:val="continuous"/>
        </w:sectPr>
      </w:pPr>
    </w:p>
    <w:p>
      <w:pPr>
        <w:spacing w:after="0" w:line="32" w:lineRule="exact"/>
        <w:rPr>
          <w:sz w:val="24"/>
          <w:szCs w:val="24"/>
          <w:color w:val="auto"/>
        </w:rPr>
      </w:pPr>
    </w:p>
    <w:p>
      <w:pPr>
        <w:jc w:val="center"/>
        <w:ind w:right="-303"/>
        <w:spacing w:after="0"/>
        <w:rPr>
          <w:sz w:val="20"/>
          <w:szCs w:val="20"/>
          <w:color w:val="auto"/>
        </w:rPr>
      </w:pPr>
      <w:r>
        <w:rPr>
          <w:rFonts w:ascii="Arial" w:cs="Arial" w:eastAsia="Arial" w:hAnsi="Arial"/>
          <w:sz w:val="18"/>
          <w:szCs w:val="18"/>
          <w:b w:val="1"/>
          <w:bCs w:val="1"/>
          <w:color w:val="auto"/>
        </w:rPr>
        <w:t>Victory Park Capital Advisors, LLC</w:t>
      </w:r>
    </w:p>
    <w:p>
      <w:pPr>
        <w:spacing w:after="0" w:line="27" w:lineRule="exact"/>
        <w:rPr>
          <w:sz w:val="24"/>
          <w:szCs w:val="24"/>
          <w:color w:val="auto"/>
        </w:rPr>
      </w:pPr>
    </w:p>
    <w:p>
      <w:pPr>
        <w:jc w:val="center"/>
        <w:ind w:right="-303"/>
        <w:spacing w:after="0"/>
        <w:rPr>
          <w:sz w:val="20"/>
          <w:szCs w:val="20"/>
          <w:color w:val="auto"/>
        </w:rPr>
      </w:pPr>
      <w:r>
        <w:rPr>
          <w:rFonts w:ascii="Arial" w:cs="Arial" w:eastAsia="Arial" w:hAnsi="Arial"/>
          <w:sz w:val="18"/>
          <w:szCs w:val="18"/>
          <w:b w:val="1"/>
          <w:bCs w:val="1"/>
          <w:color w:val="auto"/>
        </w:rPr>
        <w:t>150 North Riverside Plaza, Suite 5200</w:t>
      </w:r>
    </w:p>
    <w:p>
      <w:pPr>
        <w:spacing w:after="0" w:line="9" w:lineRule="exact"/>
        <w:rPr>
          <w:sz w:val="24"/>
          <w:szCs w:val="24"/>
          <w:color w:val="auto"/>
        </w:rPr>
      </w:pPr>
    </w:p>
    <w:p>
      <w:pPr>
        <w:jc w:val="center"/>
        <w:ind w:right="-303"/>
        <w:spacing w:after="0"/>
        <w:rPr>
          <w:sz w:val="20"/>
          <w:szCs w:val="20"/>
          <w:color w:val="auto"/>
        </w:rPr>
      </w:pPr>
      <w:r>
        <w:rPr>
          <w:rFonts w:ascii="Arial" w:cs="Arial" w:eastAsia="Arial" w:hAnsi="Arial"/>
          <w:sz w:val="18"/>
          <w:szCs w:val="18"/>
          <w:b w:val="1"/>
          <w:bCs w:val="1"/>
          <w:color w:val="auto"/>
        </w:rPr>
        <w:t>Chicago, IL 60606</w:t>
      </w:r>
    </w:p>
    <w:p>
      <w:pPr>
        <w:spacing w:after="0" w:line="2" w:lineRule="exact"/>
        <w:rPr>
          <w:sz w:val="24"/>
          <w:szCs w:val="24"/>
          <w:color w:val="auto"/>
        </w:rPr>
      </w:pPr>
    </w:p>
    <w:p>
      <w:pPr>
        <w:jc w:val="center"/>
        <w:ind w:right="-30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05" w:lineRule="exact"/>
        <w:rPr>
          <w:sz w:val="24"/>
          <w:szCs w:val="24"/>
          <w:color w:val="auto"/>
        </w:rPr>
      </w:pPr>
    </w:p>
    <w:p>
      <w:pPr>
        <w:jc w:val="center"/>
        <w:ind w:right="-303"/>
        <w:spacing w:after="0"/>
        <w:rPr>
          <w:sz w:val="20"/>
          <w:szCs w:val="20"/>
          <w:color w:val="auto"/>
        </w:rPr>
      </w:pPr>
      <w:r>
        <w:rPr>
          <w:rFonts w:ascii="Arial" w:cs="Arial" w:eastAsia="Arial" w:hAnsi="Arial"/>
          <w:sz w:val="18"/>
          <w:szCs w:val="18"/>
          <w:b w:val="1"/>
          <w:bCs w:val="1"/>
          <w:color w:val="auto"/>
        </w:rPr>
        <w:t>(312) 701-1777</w:t>
      </w:r>
    </w:p>
    <w:p>
      <w:pPr>
        <w:spacing w:after="0" w:line="27" w:lineRule="exact"/>
        <w:rPr>
          <w:sz w:val="24"/>
          <w:szCs w:val="24"/>
          <w:color w:val="auto"/>
        </w:rPr>
      </w:pPr>
    </w:p>
    <w:p>
      <w:pPr>
        <w:jc w:val="center"/>
        <w:ind w:right="-303"/>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30" w:lineRule="exact"/>
        <w:rPr>
          <w:sz w:val="24"/>
          <w:szCs w:val="24"/>
          <w:color w:val="auto"/>
        </w:rPr>
      </w:pPr>
    </w:p>
    <w:p>
      <w:pPr>
        <w:jc w:val="center"/>
        <w:ind w:right="-30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0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68" w:right="739" w:bottom="90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4"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080" w:type="dxa"/>
            <w:vAlign w:val="bottom"/>
            <w:vMerge w:val="restart"/>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4520" w:type="dxa"/>
            <w:vAlign w:val="bottom"/>
            <w:gridSpan w:val="3"/>
          </w:tcPr>
          <w:p>
            <w:pPr>
              <w:jc w:val="center"/>
              <w:ind w:left="2017"/>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1440" w:type="dxa"/>
            <w:vAlign w:val="bottom"/>
            <w:gridSpan w:val="2"/>
          </w:tcPr>
          <w:p>
            <w:pPr>
              <w:jc w:val="center"/>
              <w:ind w:left="719"/>
              <w:spacing w:after="0"/>
              <w:rPr>
                <w:sz w:val="20"/>
                <w:szCs w:val="20"/>
                <w:color w:val="auto"/>
              </w:rPr>
            </w:pPr>
            <w:r>
              <w:rPr>
                <w:rFonts w:ascii="Arial" w:cs="Arial" w:eastAsia="Arial" w:hAnsi="Arial"/>
                <w:sz w:val="14"/>
                <w:szCs w:val="14"/>
                <w:b w:val="1"/>
                <w:bCs w:val="1"/>
                <w:color w:val="auto"/>
                <w:w w:val="88"/>
              </w:rPr>
              <w:t>Symbol(s)</w:t>
            </w:r>
          </w:p>
        </w:tc>
        <w:tc>
          <w:tcPr>
            <w:tcW w:w="4520" w:type="dxa"/>
            <w:vAlign w:val="bottom"/>
            <w:gridSpan w:val="3"/>
          </w:tcPr>
          <w:p>
            <w:pPr>
              <w:jc w:val="center"/>
              <w:ind w:left="2017"/>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0"/>
        </w:trPr>
        <w:tc>
          <w:tcPr>
            <w:tcW w:w="1280" w:type="dxa"/>
            <w:vAlign w:val="bottom"/>
            <w:vMerge w:val="restart"/>
          </w:tcPr>
          <w:p>
            <w:pPr>
              <w:ind w:left="440"/>
              <w:spacing w:after="0"/>
              <w:rPr>
                <w:sz w:val="20"/>
                <w:szCs w:val="20"/>
                <w:color w:val="auto"/>
              </w:rPr>
            </w:pPr>
            <w:r>
              <w:rPr>
                <w:rFonts w:ascii="Arial" w:cs="Arial" w:eastAsia="Arial" w:hAnsi="Arial"/>
                <w:sz w:val="18"/>
                <w:szCs w:val="18"/>
                <w:b w:val="1"/>
                <w:bCs w:val="1"/>
                <w:color w:val="auto"/>
                <w:w w:val="85"/>
              </w:rPr>
              <w:t>Units, each</w:t>
            </w:r>
          </w:p>
        </w:tc>
        <w:tc>
          <w:tcPr>
            <w:tcW w:w="1100" w:type="dxa"/>
            <w:vAlign w:val="bottom"/>
            <w:shd w:val="clear" w:color="auto" w:fill="000000"/>
          </w:tcPr>
          <w:p>
            <w:pPr>
              <w:spacing w:after="0" w:line="20" w:lineRule="exact"/>
              <w:rPr>
                <w:sz w:val="1"/>
                <w:szCs w:val="1"/>
                <w:color w:val="auto"/>
              </w:rPr>
            </w:pPr>
          </w:p>
        </w:tc>
        <w:tc>
          <w:tcPr>
            <w:tcW w:w="2080" w:type="dxa"/>
            <w:vAlign w:val="bottom"/>
            <w:vMerge w:val="restart"/>
          </w:tcPr>
          <w:p>
            <w:pPr>
              <w:spacing w:after="0"/>
              <w:rPr>
                <w:sz w:val="20"/>
                <w:szCs w:val="20"/>
                <w:color w:val="auto"/>
              </w:rPr>
            </w:pPr>
            <w:r>
              <w:rPr>
                <w:rFonts w:ascii="Arial" w:cs="Arial" w:eastAsia="Arial" w:hAnsi="Arial"/>
                <w:sz w:val="18"/>
                <w:szCs w:val="18"/>
                <w:b w:val="1"/>
                <w:bCs w:val="1"/>
                <w:color w:val="auto"/>
              </w:rPr>
              <w:t>one Class A</w:t>
            </w:r>
          </w:p>
        </w:tc>
        <w:tc>
          <w:tcPr>
            <w:tcW w:w="8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280" w:type="dxa"/>
            <w:vAlign w:val="bottom"/>
            <w:vMerge w:val="continue"/>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5"/>
              </w:rPr>
              <w:t>consisting of</w:t>
            </w:r>
          </w:p>
        </w:tc>
        <w:tc>
          <w:tcPr>
            <w:tcW w:w="20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4520" w:type="dxa"/>
            <w:vAlign w:val="bottom"/>
            <w:gridSpan w:val="3"/>
          </w:tcPr>
          <w:p>
            <w:pPr>
              <w:jc w:val="center"/>
              <w:ind w:left="2017"/>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4460" w:type="dxa"/>
            <w:vAlign w:val="bottom"/>
            <w:gridSpan w:val="3"/>
          </w:tcPr>
          <w:p>
            <w:pPr>
              <w:jc w:val="center"/>
              <w:ind w:right="710"/>
              <w:spacing w:after="0"/>
              <w:rPr>
                <w:sz w:val="20"/>
                <w:szCs w:val="20"/>
                <w:color w:val="auto"/>
              </w:rPr>
            </w:pPr>
            <w:r>
              <w:rPr>
                <w:rFonts w:ascii="Arial" w:cs="Arial" w:eastAsia="Arial" w:hAnsi="Arial"/>
                <w:sz w:val="18"/>
                <w:szCs w:val="18"/>
                <w:b w:val="1"/>
                <w:bCs w:val="1"/>
                <w:color w:val="auto"/>
                <w:w w:val="90"/>
              </w:rPr>
              <w:t>ordinary share,</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3"/>
          </w:tcPr>
          <w:p>
            <w:pPr>
              <w:jc w:val="center"/>
              <w:ind w:right="730"/>
              <w:spacing w:after="0"/>
              <w:rPr>
                <w:sz w:val="20"/>
                <w:szCs w:val="20"/>
                <w:color w:val="auto"/>
              </w:rPr>
            </w:pPr>
            <w:r>
              <w:rPr>
                <w:rFonts w:ascii="Arial" w:cs="Arial" w:eastAsia="Arial" w:hAnsi="Arial"/>
                <w:sz w:val="18"/>
                <w:szCs w:val="18"/>
                <w:b w:val="1"/>
                <w:bCs w:val="1"/>
                <w:color w:val="auto"/>
                <w:w w:val="91"/>
              </w:rPr>
              <w:t>$0.0001 par value, and one-half of one Warrant</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gridSpan w:val="3"/>
          </w:tcPr>
          <w:p>
            <w:pPr>
              <w:jc w:val="center"/>
              <w:ind w:right="730"/>
              <w:spacing w:after="0"/>
              <w:rPr>
                <w:sz w:val="20"/>
                <w:szCs w:val="20"/>
                <w:color w:val="auto"/>
              </w:rPr>
            </w:pPr>
            <w:r>
              <w:rPr>
                <w:rFonts w:ascii="Arial" w:cs="Arial" w:eastAsia="Arial" w:hAnsi="Arial"/>
                <w:sz w:val="18"/>
                <w:szCs w:val="18"/>
                <w:b w:val="1"/>
                <w:bCs w:val="1"/>
                <w:color w:val="auto"/>
                <w:w w:val="88"/>
              </w:rPr>
              <w:t>to purchase one Class A ordinary share</w:t>
            </w: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gridSpan w:val="3"/>
          </w:tcPr>
          <w:p>
            <w:pPr>
              <w:jc w:val="center"/>
              <w:ind w:right="710"/>
              <w:spacing w:after="0"/>
              <w:rPr>
                <w:sz w:val="20"/>
                <w:szCs w:val="20"/>
                <w:color w:val="auto"/>
              </w:rPr>
            </w:pPr>
            <w:r>
              <w:rPr>
                <w:rFonts w:ascii="Arial" w:cs="Arial" w:eastAsia="Arial" w:hAnsi="Arial"/>
                <w:sz w:val="18"/>
                <w:szCs w:val="18"/>
                <w:b w:val="1"/>
                <w:bCs w:val="1"/>
                <w:color w:val="auto"/>
                <w:w w:val="89"/>
              </w:rPr>
              <w:t>Class A ordinary shares, $0.0001 par</w:t>
            </w:r>
          </w:p>
        </w:tc>
        <w:tc>
          <w:tcPr>
            <w:tcW w:w="8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rPr>
              <w:t>VIH</w:t>
            </w:r>
          </w:p>
        </w:tc>
        <w:tc>
          <w:tcPr>
            <w:tcW w:w="4520" w:type="dxa"/>
            <w:vAlign w:val="bottom"/>
            <w:gridSpan w:val="3"/>
          </w:tcPr>
          <w:p>
            <w:pPr>
              <w:jc w:val="center"/>
              <w:ind w:left="2017"/>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4460" w:type="dxa"/>
            <w:vAlign w:val="bottom"/>
            <w:gridSpan w:val="3"/>
          </w:tcPr>
          <w:p>
            <w:pPr>
              <w:jc w:val="center"/>
              <w:ind w:right="710"/>
              <w:spacing w:after="0"/>
              <w:rPr>
                <w:sz w:val="20"/>
                <w:szCs w:val="20"/>
                <w:color w:val="auto"/>
              </w:rPr>
            </w:pPr>
            <w:r>
              <w:rPr>
                <w:rFonts w:ascii="Arial" w:cs="Arial" w:eastAsia="Arial" w:hAnsi="Arial"/>
                <w:sz w:val="18"/>
                <w:szCs w:val="18"/>
                <w:b w:val="1"/>
                <w:bCs w:val="1"/>
                <w:color w:val="auto"/>
                <w:w w:val="89"/>
              </w:rPr>
              <w:t>value per share</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gridSpan w:val="3"/>
          </w:tcPr>
          <w:p>
            <w:pPr>
              <w:jc w:val="center"/>
              <w:ind w:right="730"/>
              <w:spacing w:after="0"/>
              <w:rPr>
                <w:sz w:val="20"/>
                <w:szCs w:val="20"/>
                <w:color w:val="auto"/>
              </w:rPr>
            </w:pPr>
            <w:r>
              <w:rPr>
                <w:rFonts w:ascii="Arial" w:cs="Arial" w:eastAsia="Arial" w:hAnsi="Arial"/>
                <w:sz w:val="18"/>
                <w:szCs w:val="18"/>
                <w:b w:val="1"/>
                <w:bCs w:val="1"/>
                <w:color w:val="auto"/>
                <w:w w:val="89"/>
              </w:rPr>
              <w:t>Warrants to purchase Class A ordinary shares</w:t>
            </w:r>
          </w:p>
        </w:tc>
        <w:tc>
          <w:tcPr>
            <w:tcW w:w="1440" w:type="dxa"/>
            <w:vAlign w:val="bottom"/>
            <w:gridSpan w:val="2"/>
          </w:tcPr>
          <w:p>
            <w:pPr>
              <w:jc w:val="center"/>
              <w:ind w:left="719"/>
              <w:spacing w:after="0"/>
              <w:rPr>
                <w:sz w:val="20"/>
                <w:szCs w:val="20"/>
                <w:color w:val="auto"/>
              </w:rPr>
            </w:pPr>
            <w:r>
              <w:rPr>
                <w:rFonts w:ascii="Arial" w:cs="Arial" w:eastAsia="Arial" w:hAnsi="Arial"/>
                <w:sz w:val="18"/>
                <w:szCs w:val="18"/>
                <w:b w:val="1"/>
                <w:bCs w:val="1"/>
                <w:color w:val="auto"/>
              </w:rPr>
              <w:t>VIHAW</w:t>
            </w:r>
          </w:p>
        </w:tc>
        <w:tc>
          <w:tcPr>
            <w:tcW w:w="4520" w:type="dxa"/>
            <w:vAlign w:val="bottom"/>
            <w:gridSpan w:val="3"/>
          </w:tcPr>
          <w:p>
            <w:pPr>
              <w:jc w:val="center"/>
              <w:ind w:left="2017"/>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4"/>
          </w:cols>
          <w:pgMar w:left="436" w:top="368" w:right="739" w:bottom="90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4.02 Non-Reliance on Previously Issued Financial Statements or Related Audit Report or Completed Interim Report.</w:t>
      </w:r>
    </w:p>
    <w:p>
      <w:pPr>
        <w:spacing w:after="0" w:line="121"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Securities and Exchange Commission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dated as of September 22, 2020, between VPC Impact Acquisition Holdings (“VIH” or the “Company”) and Continental Stock Transfer &amp; Trust Company, a New York corporation, as warrant agent. As a result of the SEC Statement, the Company reevaluated the accounting treatment of (i) the 10,368,601 redeemable warrants (the “Public Warrants”) that were included in the units issued by the Company in its initial public offering (the “IPO”) and (ii) the 6,147,440 redeemable warrants (together with the Public Warrants, the “Warrants”) that were issued to the Company’s sponsor in a private placement that closed concurrently with the closing of the IPO, and determined to classify the Warrants as derivative liabilities measured at fair value, with changes in fair value each period reported in earnings. While the Company has not generated any operating revenues to date and will not generate any operating revenues until after completion of its initial business combination, at the earliest, the change in fair value of the Warrants is a non-cash charge and will be reflected in the Company’s statement of operations.</w:t>
      </w:r>
    </w:p>
    <w:p>
      <w:pPr>
        <w:spacing w:after="0" w:line="186"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On May 21, 2021, the Company’s management and the Audit Committee of the Company’s Board of Directors (the “Audit Committee”) concluded that, in light of the SEC Statement, it is appropriate to restate (i) certain items on the Company’s previously issued audited balance sheet dated as of September 25, 2020, which was related to its IPO, and (ii) the Company’s previously issued audited financial statements as of and for the year ended December 31, 2020, which was filed with the SEC on March 31, 2021 (the “Relevant Period”). Considering such restatements, such previously filed audited financial statements should no longer be relied upon. The Company will file an amendment to its Annual Report on Form 10-K for the year ended December 31, 2020, which will include the restated audited financial statements for the Relevant Period. The Company does not expect the restatement to have any effect on the Company’s previously announced business combination.</w:t>
      </w:r>
    </w:p>
    <w:p>
      <w:pPr>
        <w:spacing w:after="0" w:line="177"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Going forward, unless we amend the terms of our warrant agreement, we expect to continue to classify our warrants as liabilities, which would require us to incur the cost of measuring the fair value of the warrant liabilities, and which may have an adverse effect on our results of operations.</w:t>
      </w:r>
    </w:p>
    <w:p>
      <w:pPr>
        <w:sectPr>
          <w:pgSz w:w="11900" w:h="16838" w:orient="portrait"/>
          <w:cols w:equalWidth="0" w:num="1">
            <w:col w:w="10920"/>
          </w:cols>
          <w:pgMar w:left="440" w:top="270" w:right="539" w:bottom="1440" w:gutter="0" w:footer="0" w:header="0"/>
        </w:sectPr>
      </w:pPr>
    </w:p>
    <w:bookmarkStart w:id="2" w:name="page3"/>
    <w:bookmarkEnd w:id="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Company’s management and the Audit Committee have discussed the matters disclosed in this Current Report on Form 8-K pursuant to this Item 4.02 with WithumSmith+Brown, PC, the Company’s independent registered public accounting firm.</w:t>
      </w:r>
    </w:p>
    <w:p>
      <w:pPr>
        <w:sectPr>
          <w:pgSz w:w="11900" w:h="16838" w:orient="portrait"/>
          <w:cols w:equalWidth="0" w:num="1">
            <w:col w:w="10840"/>
          </w:cols>
          <w:pgMar w:left="440" w:top="274" w:right="6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20" w:type="dxa"/>
            <w:vAlign w:val="bottom"/>
            <w:gridSpan w:val="2"/>
          </w:tcPr>
          <w:p>
            <w:pPr>
              <w:ind w:left="4320"/>
              <w:spacing w:after="0"/>
              <w:rPr>
                <w:sz w:val="20"/>
                <w:szCs w:val="20"/>
                <w:color w:val="auto"/>
              </w:rPr>
            </w:pPr>
            <w:r>
              <w:rPr>
                <w:rFonts w:ascii="Arial" w:cs="Arial" w:eastAsia="Arial" w:hAnsi="Arial"/>
                <w:sz w:val="18"/>
                <w:szCs w:val="18"/>
                <w:color w:val="auto"/>
              </w:rPr>
              <w:t>VPC Impact Acquisition Holdings</w:t>
            </w:r>
          </w:p>
        </w:tc>
        <w:tc>
          <w:tcPr>
            <w:tcW w:w="0" w:type="dxa"/>
            <w:vAlign w:val="bottom"/>
          </w:tcPr>
          <w:p>
            <w:pPr>
              <w:spacing w:after="0"/>
              <w:rPr>
                <w:sz w:val="1"/>
                <w:szCs w:val="1"/>
                <w:color w:val="auto"/>
              </w:rPr>
            </w:pPr>
          </w:p>
        </w:tc>
      </w:tr>
      <w:tr>
        <w:trPr>
          <w:trHeight w:val="432"/>
        </w:trPr>
        <w:tc>
          <w:tcPr>
            <w:tcW w:w="4960" w:type="dxa"/>
            <w:vAlign w:val="bottom"/>
          </w:tcPr>
          <w:p>
            <w:pPr>
              <w:spacing w:after="0"/>
              <w:rPr>
                <w:sz w:val="20"/>
                <w:szCs w:val="20"/>
                <w:color w:val="auto"/>
              </w:rPr>
            </w:pPr>
            <w:r>
              <w:rPr>
                <w:rFonts w:ascii="Arial" w:cs="Arial" w:eastAsia="Arial" w:hAnsi="Arial"/>
                <w:sz w:val="18"/>
                <w:szCs w:val="18"/>
                <w:color w:val="auto"/>
              </w:rPr>
              <w:t>Date: May 21, 2021</w:t>
            </w:r>
          </w:p>
        </w:tc>
        <w:tc>
          <w:tcPr>
            <w:tcW w:w="6060" w:type="dxa"/>
            <w:vAlign w:val="bottom"/>
            <w:vMerge w:val="restart"/>
          </w:tcPr>
          <w:p>
            <w:pPr>
              <w:spacing w:after="0"/>
              <w:rPr>
                <w:sz w:val="20"/>
                <w:szCs w:val="20"/>
                <w:color w:val="auto"/>
              </w:rPr>
            </w:pPr>
            <w:r>
              <w:rPr>
                <w:rFonts w:ascii="Arial" w:cs="Arial" w:eastAsia="Arial" w:hAnsi="Arial"/>
                <w:sz w:val="18"/>
                <w:szCs w:val="18"/>
                <w:color w:val="auto"/>
              </w:rPr>
              <w:t>/s/ John Martin</w:t>
            </w:r>
          </w:p>
        </w:tc>
        <w:tc>
          <w:tcPr>
            <w:tcW w:w="0" w:type="dxa"/>
            <w:vAlign w:val="bottom"/>
          </w:tcPr>
          <w:p>
            <w:pPr>
              <w:spacing w:after="0"/>
              <w:rPr>
                <w:sz w:val="1"/>
                <w:szCs w:val="1"/>
                <w:color w:val="auto"/>
              </w:rPr>
            </w:pPr>
          </w:p>
        </w:tc>
      </w:tr>
      <w:tr>
        <w:trPr>
          <w:trHeight w:val="221"/>
        </w:trPr>
        <w:tc>
          <w:tcPr>
            <w:tcW w:w="4960" w:type="dxa"/>
            <w:vAlign w:val="bottom"/>
          </w:tcPr>
          <w:p>
            <w:pPr>
              <w:ind w:left="4320"/>
              <w:spacing w:after="0"/>
              <w:rPr>
                <w:sz w:val="20"/>
                <w:szCs w:val="20"/>
                <w:color w:val="auto"/>
              </w:rPr>
            </w:pPr>
            <w:r>
              <w:rPr>
                <w:rFonts w:ascii="Arial" w:cs="Arial" w:eastAsia="Arial" w:hAnsi="Arial"/>
                <w:sz w:val="18"/>
                <w:szCs w:val="18"/>
                <w:color w:val="auto"/>
              </w:rPr>
              <w:t>By:</w:t>
            </w:r>
          </w:p>
        </w:tc>
        <w:tc>
          <w:tcPr>
            <w:tcW w:w="6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Pr>
          <w:p>
            <w:pPr>
              <w:ind w:left="4320"/>
              <w:spacing w:after="0"/>
              <w:rPr>
                <w:sz w:val="20"/>
                <w:szCs w:val="20"/>
                <w:color w:val="auto"/>
              </w:rPr>
            </w:pPr>
            <w:r>
              <w:rPr>
                <w:rFonts w:ascii="Arial" w:cs="Arial" w:eastAsia="Arial" w:hAnsi="Arial"/>
                <w:sz w:val="18"/>
                <w:szCs w:val="18"/>
                <w:color w:val="auto"/>
              </w:rPr>
              <w:t>Name:</w:t>
            </w:r>
          </w:p>
        </w:tc>
        <w:tc>
          <w:tcPr>
            <w:tcW w:w="6060" w:type="dxa"/>
            <w:vAlign w:val="bottom"/>
          </w:tcPr>
          <w:p>
            <w:pPr>
              <w:spacing w:after="0"/>
              <w:rPr>
                <w:sz w:val="20"/>
                <w:szCs w:val="20"/>
                <w:color w:val="auto"/>
              </w:rPr>
            </w:pPr>
            <w:r>
              <w:rPr>
                <w:rFonts w:ascii="Arial" w:cs="Arial" w:eastAsia="Arial" w:hAnsi="Arial"/>
                <w:sz w:val="18"/>
                <w:szCs w:val="18"/>
                <w:color w:val="auto"/>
              </w:rPr>
              <w:t>John Martin</w:t>
            </w:r>
          </w:p>
        </w:tc>
        <w:tc>
          <w:tcPr>
            <w:tcW w:w="0" w:type="dxa"/>
            <w:vAlign w:val="bottom"/>
          </w:tcPr>
          <w:p>
            <w:pPr>
              <w:spacing w:after="0"/>
              <w:rPr>
                <w:sz w:val="1"/>
                <w:szCs w:val="1"/>
                <w:color w:val="auto"/>
              </w:rPr>
            </w:pPr>
          </w:p>
        </w:tc>
      </w:tr>
      <w:tr>
        <w:trPr>
          <w:trHeight w:val="230"/>
        </w:trPr>
        <w:tc>
          <w:tcPr>
            <w:tcW w:w="4960" w:type="dxa"/>
            <w:vAlign w:val="bottom"/>
          </w:tcPr>
          <w:p>
            <w:pPr>
              <w:ind w:left="4320"/>
              <w:spacing w:after="0"/>
              <w:rPr>
                <w:sz w:val="20"/>
                <w:szCs w:val="20"/>
                <w:color w:val="auto"/>
              </w:rPr>
            </w:pPr>
            <w:r>
              <w:rPr>
                <w:rFonts w:ascii="Arial" w:cs="Arial" w:eastAsia="Arial" w:hAnsi="Arial"/>
                <w:sz w:val="18"/>
                <w:szCs w:val="18"/>
                <w:color w:val="auto"/>
              </w:rPr>
              <w:t>Title:</w:t>
            </w:r>
          </w:p>
        </w:tc>
        <w:tc>
          <w:tcPr>
            <w:tcW w:w="6060" w:type="dxa"/>
            <w:vAlign w:val="bottom"/>
          </w:tcPr>
          <w:p>
            <w:pPr>
              <w:spacing w:after="0"/>
              <w:rPr>
                <w:sz w:val="20"/>
                <w:szCs w:val="20"/>
                <w:color w:val="auto"/>
              </w:rPr>
            </w:pPr>
            <w:r>
              <w:rPr>
                <w:rFonts w:ascii="Arial" w:cs="Arial" w:eastAsia="Arial" w:hAnsi="Arial"/>
                <w:sz w:val="18"/>
                <w:szCs w:val="18"/>
                <w:color w:val="auto"/>
              </w:rPr>
              <w:t>Chief Executive Officer and Chairman</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2021-05-24T05:22:41Z</dcterms:created>
  <dcterms:modified xsi:type="dcterms:W3CDTF">2021-05-24T05:22:41Z</dcterms:modified>
</cp:coreProperties>
</file>