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2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January 11, 2024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Gavin Michael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Bakkt Holdings, Inc.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10000 Avalon Boulevard, Suite 1000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Alpharetta, Georgia 30009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Bakkt Holdings,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on Form S-3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April 26,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2023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 Dated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November 21, 2023</w:t>
      </w: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333-271438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Gavin Michael: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right="201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November 21, 2023 response to our comment letter and have the</w:t>
      </w:r>
    </w:p>
    <w:p>
      <w:pPr>
        <w:ind w:right="20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following comments. In some of our comments, we may ask you to provide us with information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 we may better understand your disclosure.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43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amending your registration statement and providing the</w:t>
      </w:r>
    </w:p>
    <w:p>
      <w:pPr>
        <w:ind w:right="19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requested information. If you do not believe our comments apply to your facts and circumstances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239" w:firstLine="737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or do not believe an amendment is appropriate, please tell us why in your response.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right="191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any amendment to your registration statement and the information you</w:t>
      </w:r>
    </w:p>
    <w:p>
      <w:pPr>
        <w:ind w:right="19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provide in response to these comments, we may have additional comments. Unless we note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8320" w:type="dxa"/>
            <w:vAlign w:val="bottom"/>
            <w:gridSpan w:val="4"/>
          </w:tcPr>
          <w:p>
            <w:pPr>
              <w:ind w:left="740"/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otherwise, our references to prior comments are to comments in our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4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September 29, 2023 letter.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5"/>
        </w:trPr>
        <w:tc>
          <w:tcPr>
            <w:tcW w:w="416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Response Dated November 21, 2023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5"/>
        </w:trPr>
        <w:tc>
          <w:tcPr>
            <w:tcW w:w="232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General</w:t>
            </w: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23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1.</w:t>
            </w: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We note your response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4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to comment 1 that you plan to provide revised disclosure in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1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comments in an amendment to the Company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ind w:left="5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response to our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4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160" w:type="dxa"/>
            <w:vAlign w:val="bottom"/>
            <w:gridSpan w:val="2"/>
          </w:tcPr>
          <w:p>
            <w:pPr>
              <w:ind w:left="28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 recently filed Form 10-Q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ind w:left="5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for the quarter ended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4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September 30, 2023 prior to effectiveness. Please supplementally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ind w:left="5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provide us with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4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proposed draft pages to an amendment to the Form 10-Q. Please also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ind w:left="5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revise to include 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4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recent developments section in your prospectus summary to disclose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41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and related material risks.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the Apex Acquisition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4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We note your proposed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320" w:type="dxa"/>
            <w:vAlign w:val="bottom"/>
          </w:tcPr>
          <w:p>
            <w:pPr>
              <w:ind w:left="3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2.</w:t>
            </w: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4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disclosure in response to comment 2 that, "We generally do not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ind w:left="5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engage in any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4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direct-to-consumer marketing for the acquisition or engagement of end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320" w:type="dxa"/>
            <w:vAlign w:val="bottom"/>
          </w:tcPr>
          <w:p>
            <w:pPr>
              <w:ind w:left="1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Gavin Michael</w:t>
            </w: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16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FirstName  LastNameGavin Michael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32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Bakkt Holdings, Inc.</w:t>
            </w: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32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Comapany</w:t>
            </w: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32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January 11,NameBakkt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Holdings, Inc.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320" w:type="dxa"/>
            <w:vAlign w:val="bottom"/>
          </w:tcPr>
          <w:p>
            <w:pPr>
              <w:ind w:left="128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2024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32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January</w:t>
            </w: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32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Page 2 11, 2024 Page 2</w:t>
            </w: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32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FirstName LastName</w:t>
            </w: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generally</w:t>
            </w:r>
          </w:p>
        </w:tc>
        <w:tc>
          <w:tcPr>
            <w:tcW w:w="29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from the beginning of this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4160" w:type="dxa"/>
            <w:vAlign w:val="bottom"/>
            <w:gridSpan w:val="2"/>
          </w:tcPr>
          <w:p>
            <w:pPr>
              <w:ind w:left="9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consumers..." Please delete</w:t>
            </w: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32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sentence or disclose</w:t>
            </w: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4160" w:type="dxa"/>
            <w:vAlign w:val="bottom"/>
            <w:gridSpan w:val="2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any exceptions.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right="2119" w:firstLine="8"/>
        <w:spacing w:after="0" w:line="238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proposed disclosure in response to comment 6 that your insurance policy</w:t>
      </w:r>
    </w:p>
    <w:p>
      <w:pPr>
        <w:ind w:left="96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 respect to crypto assets "contains customary exclusions and</w:t>
      </w:r>
    </w:p>
    <w:p>
      <w:pPr>
        <w:sectPr>
          <w:pgSz w:w="11900" w:h="16854" w:orient="portrait"/>
          <w:cols w:equalWidth="0" w:num="1">
            <w:col w:w="10139"/>
          </w:cols>
          <w:pgMar w:left="320" w:top="218" w:right="1440" w:bottom="0" w:gutter="0" w:footer="0" w:header="0"/>
        </w:sectPr>
      </w:pPr>
    </w:p>
    <w:bookmarkStart w:id="1" w:name="page2"/>
    <w:bookmarkEnd w:id="1"/>
    <w:p>
      <w:pPr>
        <w:spacing w:after="0" w:line="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limitations of coverage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right="18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 per industry standards. Please expand your disclosure to briefly describe such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8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customary exclusions and limitations of coverage and provide examples, as appropriate.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239" w:firstLine="8"/>
        <w:spacing w:after="0" w:line="238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proposed disclosure in response to comment 7 that all crypto assets that you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make available to Customers are transferable to external wallets, with the exception of: (i)</w:t>
      </w:r>
    </w:p>
    <w:p>
      <w:pPr>
        <w:ind w:right="297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Ethereum Classic (ETC) and Dogecoin (DOGE), which are under development and are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expected to be supported for transfers in the first quarter of 2024, and (ii) crypto assets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made available to Customers residing in the State of New York. Please provide us your</w:t>
      </w:r>
    </w:p>
    <w:p>
      <w:pPr>
        <w:ind w:right="22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legal analysis as to why such instruments included in your list of exceptions and traded</w:t>
      </w:r>
    </w:p>
    <w:p>
      <w:pPr>
        <w:ind w:right="23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through your platform are not derivatives, such as swaps. In this regard, it appears that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such trading may be synthetic with Customers depositing cash, trading solely within your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closed platform, and being prohibited from withdrawing crypto assets from the platform.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responding to this comment, please address the rights and title a Customer has with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respect to such crypto assets traded through your platform.</w:t>
      </w:r>
    </w:p>
    <w:p>
      <w:pPr>
        <w:ind w:left="960" w:hanging="952"/>
        <w:spacing w:after="0" w:line="238" w:lineRule="auto"/>
        <w:tabs>
          <w:tab w:leader="none" w:pos="96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that your proposed disclosure in Annex A defines the term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900" w:type="dxa"/>
            <w:vAlign w:val="bottom"/>
          </w:tcPr>
          <w:p>
            <w:pPr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Client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112"/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to include</w:t>
            </w:r>
          </w:p>
        </w:tc>
        <w:tc>
          <w:tcPr>
            <w:tcW w:w="5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320" w:type="dxa"/>
            <w:vAlign w:val="bottom"/>
            <w:gridSpan w:val="2"/>
          </w:tcPr>
          <w:p>
            <w:pPr>
              <w:ind w:left="38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businesses with whom [you] contract to provide services to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22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Customers on our platforms,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320" w:type="dxa"/>
            <w:vAlign w:val="bottom"/>
            <w:gridSpan w:val="2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and includes financial institutions, hedge funds, merchants,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320" w:type="dxa"/>
            <w:vAlign w:val="bottom"/>
            <w:gridSpan w:val="2"/>
          </w:tcPr>
          <w:p>
            <w:pPr>
              <w:jc w:val="right"/>
              <w:ind w:right="11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retailers, and other</w:t>
            </w:r>
          </w:p>
        </w:tc>
        <w:tc>
          <w:tcPr>
            <w:tcW w:w="59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Please expand this definition to clarify that the term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9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Client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11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businesses.</w:t>
            </w:r>
          </w:p>
        </w:tc>
        <w:tc>
          <w:tcPr>
            <w:tcW w:w="590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32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also includes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right="21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third-party partners to which you refer in your disclosures, as you state in response to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1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 8. In addition, please tell us how you considered including risk factor disclosure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0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regarding the enforceability of the agreements with Clients that are not in writing and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describing any material impacts to your business.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Annex A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5. Other Information, page 1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2239" w:firstLine="8"/>
        <w:spacing w:after="0" w:line="257" w:lineRule="auto"/>
        <w:tabs>
          <w:tab w:leader="none" w:pos="94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response to comment 8 and your proposed disclosure in Annex A that you</w:t>
      </w:r>
    </w:p>
    <w:p>
      <w:pPr>
        <w:ind w:right="22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are developing functionalities to transfer supported crypto assets between registered</w:t>
      </w:r>
    </w:p>
    <w:p>
      <w:pPr>
        <w:ind w:right="25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Customers of the Company. Please describe in greater detail the functionalities you are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developing, including whether they are intended to create a payment platform or facilitate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matching of transactions between Customers. Further, with respect to your proposed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 in Annex A that Customers may purchase crypto assets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2120" w:type="dxa"/>
            <w:vAlign w:val="bottom"/>
            <w:gridSpan w:val="2"/>
          </w:tcPr>
          <w:p>
            <w:pPr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through the Customer</w:t>
            </w:r>
          </w:p>
        </w:tc>
        <w:tc>
          <w:tcPr>
            <w:tcW w:w="1460" w:type="dxa"/>
            <w:vAlign w:val="bottom"/>
          </w:tcPr>
          <w:p>
            <w:pPr>
              <w:ind w:left="300"/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</w:t>
            </w:r>
          </w:p>
        </w:tc>
        <w:tc>
          <w:tcPr>
            <w:tcW w:w="4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provider account, please clarify what is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120" w:type="dxa"/>
            <w:vAlign w:val="bottom"/>
            <w:gridSpan w:val="2"/>
          </w:tcPr>
          <w:p>
            <w:pPr>
              <w:ind w:left="128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Banking</w:t>
            </w:r>
          </w:p>
        </w:tc>
        <w:tc>
          <w:tcPr>
            <w:tcW w:w="14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as a Service</w:t>
            </w:r>
          </w:p>
        </w:tc>
        <w:tc>
          <w:tcPr>
            <w:tcW w:w="47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42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meant by this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term,</w:t>
            </w:r>
          </w:p>
        </w:tc>
        <w:tc>
          <w:tcPr>
            <w:tcW w:w="14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and</w:t>
            </w:r>
          </w:p>
        </w:tc>
        <w:tc>
          <w:tcPr>
            <w:tcW w:w="4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4"/>
          </w:tcPr>
          <w:p>
            <w:pPr>
              <w:ind w:left="9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which parties maintain relationships with the bank that is providing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1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the service. Please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1420" w:type="dxa"/>
            <w:vAlign w:val="bottom"/>
          </w:tcPr>
          <w:p>
            <w:pPr>
              <w:ind w:left="9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also</w:t>
            </w:r>
          </w:p>
        </w:tc>
        <w:tc>
          <w:tcPr>
            <w:tcW w:w="6900" w:type="dxa"/>
            <w:vAlign w:val="bottom"/>
            <w:gridSpan w:val="3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revise to clarify that the company is not regulated as a bank and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1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does not have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deposit</w:t>
            </w:r>
          </w:p>
        </w:tc>
        <w:tc>
          <w:tcPr>
            <w:tcW w:w="4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9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insurance for its customer accounts.</w:t>
      </w:r>
    </w:p>
    <w:p>
      <w:pPr>
        <w:ind w:right="1819" w:firstLine="8"/>
        <w:spacing w:after="0" w:line="238" w:lineRule="auto"/>
        <w:tabs>
          <w:tab w:leader="none" w:pos="948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in your response to comment 9 that your definition of "crypto" asset includes the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terms</w:t>
            </w:r>
          </w:p>
        </w:tc>
        <w:tc>
          <w:tcPr>
            <w:tcW w:w="2380" w:type="dxa"/>
            <w:vAlign w:val="bottom"/>
            <w:gridSpan w:val="2"/>
          </w:tcPr>
          <w:p>
            <w:pPr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virtual currencies,</w:t>
            </w:r>
          </w:p>
        </w:tc>
        <w:tc>
          <w:tcPr>
            <w:tcW w:w="1360" w:type="dxa"/>
            <w:vAlign w:val="bottom"/>
          </w:tcPr>
          <w:p>
            <w:pPr>
              <w:ind w:left="360"/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coins,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2"/>
              </w:rPr>
              <w:t>and</w:t>
            </w:r>
          </w:p>
        </w:tc>
        <w:tc>
          <w:tcPr>
            <w:tcW w:w="1360" w:type="dxa"/>
            <w:vAlign w:val="bottom"/>
          </w:tcPr>
          <w:p>
            <w:pPr>
              <w:ind w:left="420"/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tokens.</w:t>
            </w:r>
          </w:p>
        </w:tc>
        <w:tc>
          <w:tcPr>
            <w:tcW w:w="840" w:type="dxa"/>
            <w:vAlign w:val="bottom"/>
          </w:tcPr>
          <w:p>
            <w:pPr>
              <w:ind w:left="200"/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5"/>
              </w:rPr>
              <w:t>Please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344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explain their meanings so that a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900" w:type="dxa"/>
            <w:vAlign w:val="bottom"/>
            <w:gridSpan w:val="2"/>
          </w:tcPr>
          <w:p>
            <w:pPr>
              <w:ind w:left="1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Gavin Michael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FirstName</w:t>
            </w:r>
          </w:p>
        </w:tc>
        <w:tc>
          <w:tcPr>
            <w:tcW w:w="2480" w:type="dxa"/>
            <w:vAlign w:val="bottom"/>
            <w:gridSpan w:val="2"/>
          </w:tcPr>
          <w:p>
            <w:pPr>
              <w:ind w:left="2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LastNameGavin Michael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344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Bakkt Holdings, Inc.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9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Comapany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344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January 11,NameBakkt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January</w:t>
            </w:r>
          </w:p>
        </w:tc>
        <w:tc>
          <w:tcPr>
            <w:tcW w:w="9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2024</w:t>
            </w:r>
          </w:p>
        </w:tc>
        <w:tc>
          <w:tcPr>
            <w:tcW w:w="238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Holdings, Inc.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344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Page 3 11, 2024 Page 3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90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FirstName LastName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8.</w:t>
            </w:r>
          </w:p>
        </w:tc>
        <w:tc>
          <w:tcPr>
            <w:tcW w:w="7260" w:type="dxa"/>
            <w:vAlign w:val="bottom"/>
            <w:gridSpan w:val="7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reader without specialized industry knowledge can understand them.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8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The discussion under</w:t>
            </w:r>
          </w:p>
        </w:tc>
        <w:tc>
          <w:tcPr>
            <w:tcW w:w="2200" w:type="dxa"/>
            <w:vAlign w:val="bottom"/>
            <w:gridSpan w:val="2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Crypto Asset Trading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on pages 5 - 9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1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Annex A focuses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right="2019" w:firstLine="948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primarily on the Customer side of a transaction. Please also provide additional detail on</w:t>
      </w:r>
    </w:p>
    <w:p>
      <w:pPr>
        <w:sectPr>
          <w:pgSz w:w="11900" w:h="16865" w:orient="portrait"/>
          <w:cols w:equalWidth="0" w:num="1">
            <w:col w:w="10139"/>
          </w:cols>
          <w:pgMar w:left="320" w:top="110" w:right="1440" w:bottom="0" w:gutter="0" w:footer="0" w:header="0"/>
        </w:sectPr>
      </w:pPr>
    </w:p>
    <w:bookmarkStart w:id="2" w:name="page3"/>
    <w:bookmarkEnd w:id="2"/>
    <w:p>
      <w:pPr>
        <w:spacing w:after="0" w:line="26" w:lineRule="exact"/>
        <w:rPr>
          <w:sz w:val="20"/>
          <w:szCs w:val="20"/>
          <w:color w:val="auto"/>
        </w:rPr>
      </w:pPr>
    </w:p>
    <w:p>
      <w:pPr>
        <w:ind w:right="2559" w:firstLine="948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execution of transactions with liquidity providers (and the inter-relationship between</w:t>
      </w:r>
    </w:p>
    <w:p>
      <w:pPr>
        <w:ind w:right="20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such transactions and the transactions with Customers). For example, and without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limitation, please discuss:</w:t>
      </w:r>
    </w:p>
    <w:p>
      <w:pPr>
        <w:ind w:left="13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How many liquidity providers you route to;</w:t>
      </w:r>
    </w:p>
    <w:p>
      <w:pPr>
        <w:ind w:right="2439" w:firstLine="136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How you determine which liquidity provider to route to for a particular order;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1380" w:right="1819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The material terms of your relationships with liquidity providers; Whether the execution of a Customer s order is contingent upon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execution of an</w:t>
      </w:r>
    </w:p>
    <w:p>
      <w:pPr>
        <w:ind w:right="2239" w:firstLine="1474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offsetting order with a liquidity provider, or alternatively, whether Bakkt Crypto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</w:tcPr>
          <w:p>
            <w:pPr>
              <w:ind w:left="100"/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executes a Customer</w:t>
            </w:r>
          </w:p>
        </w:tc>
        <w:tc>
          <w:tcPr>
            <w:tcW w:w="4680" w:type="dxa"/>
            <w:vAlign w:val="bottom"/>
          </w:tcPr>
          <w:p>
            <w:pPr>
              <w:ind w:left="160"/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 order and subsequently executes 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86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offsetting order with a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1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the term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940" w:type="dxa"/>
            <w:vAlign w:val="bottom"/>
            <w:gridSpan w:val="3"/>
          </w:tcPr>
          <w:p>
            <w:pPr>
              <w:ind w:left="1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liquidity provider. If the latter, please explain why the use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riskless</w:t>
            </w:r>
          </w:p>
        </w:tc>
        <w:tc>
          <w:tcPr>
            <w:tcW w:w="54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is appropriate in this context;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ind w:left="1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principal</w:t>
            </w:r>
          </w:p>
        </w:tc>
        <w:tc>
          <w:tcPr>
            <w:tcW w:w="5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11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liquidity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Whether Bakkt Crypto is required to pre-fund any transactions with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94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providers and, if so, whether Bakkt Crypto uses its own cash 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1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crypto assets</w:t>
            </w:r>
          </w:p>
        </w:tc>
        <w:tc>
          <w:tcPr>
            <w:tcW w:w="6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ind w:left="1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to do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ind w:left="1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so; and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94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Any liquidity risk to the company associated with these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86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arrangements with liquidity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Bakkt Crypto,</w:t>
            </w:r>
          </w:p>
        </w:tc>
        <w:tc>
          <w:tcPr>
            <w:tcW w:w="1480" w:type="dxa"/>
            <w:vAlign w:val="bottom"/>
          </w:tcPr>
          <w:p>
            <w:pPr>
              <w:ind w:left="1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providers.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1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page 2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09" w:lineRule="exact"/>
        <w:rPr>
          <w:sz w:val="20"/>
          <w:szCs w:val="20"/>
          <w:color w:val="auto"/>
        </w:rPr>
      </w:pPr>
    </w:p>
    <w:p>
      <w:pPr>
        <w:ind w:right="2019" w:firstLine="8"/>
        <w:spacing w:after="0" w:line="257" w:lineRule="auto"/>
        <w:tabs>
          <w:tab w:leader="none" w:pos="948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response to comment 10 that you do not have any updates at this time on</w:t>
      </w:r>
    </w:p>
    <w:p>
      <w:pPr>
        <w:ind w:right="23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plans to offer non-fungible tokens or NFTs and your proposed disclosure that you are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evaluating the opportunity to purchase and sell NFTs. To the extent that you may offer</w:t>
      </w:r>
    </w:p>
    <w:p>
      <w:pPr>
        <w:ind w:right="22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NFTs to your Customers but do not have a timeline related thereto, please disclose the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factors you will consider when determining whether and when to offer NFTs to your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Customers. In addition, please identify the local Client with which you have a partnership</w:t>
      </w:r>
    </w:p>
    <w:p>
      <w:pPr>
        <w:ind w:right="2439" w:firstLine="948"/>
        <w:spacing w:after="0" w:line="309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customers with in Spain, Mexico, Argentina, and soon Brazil. Risk Factors, page 3</w:t>
      </w:r>
    </w:p>
    <w:p>
      <w:pPr>
        <w:spacing w:after="0" w:line="50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8"/>
        <w:spacing w:after="0" w:line="257" w:lineRule="auto"/>
        <w:tabs>
          <w:tab w:leader="none" w:pos="948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proposed disclosure in Annex A that Bakkt Trust and Bakkt Crypto hold</w:t>
      </w:r>
    </w:p>
    <w:p>
      <w:pPr>
        <w:ind w:right="23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proprietary assets in the same wallets that hold Customer assets. Please expand your risk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factor disclosure to discuss related risks. Please also expand your risk factor disclosure to</w:t>
      </w:r>
    </w:p>
    <w:p>
      <w:pPr>
        <w:ind w:right="27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discuss the potential impact of the insolvency of any of your third-party custodians.</w:t>
      </w:r>
    </w:p>
    <w:p>
      <w:pPr>
        <w:ind w:right="2239" w:firstLine="8"/>
        <w:spacing w:after="0" w:line="238" w:lineRule="auto"/>
        <w:tabs>
          <w:tab w:leader="none" w:pos="948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proposed disclosure in response to comment 22. Please expand your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 in the subsection headed "Custody Services for the Crypto Assets Supported for</w:t>
      </w:r>
    </w:p>
    <w:p>
      <w:pPr>
        <w:ind w:right="24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Trading" to include the information you provide in your response regarding the material</w:t>
      </w:r>
    </w:p>
    <w:p>
      <w:pPr>
        <w:ind w:right="23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terms of your third-party custody arrangements. In addition, your response notes that</w:t>
      </w:r>
    </w:p>
    <w:p>
      <w:pPr>
        <w:ind w:right="2339" w:firstLine="1264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[a]ssets stored by Coinbase Custody and Bitgo are held 100% in segregated cold</w:t>
      </w:r>
    </w:p>
    <w:p>
      <w:pPr>
        <w:ind w:right="24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storage. However, you subsequently state that BitGo, at Bakkt Crypto s direction,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establishes and maintains wallets for the storage of crypto assets, including cold wallets</w:t>
      </w: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Gavin Michael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Bakkt Holdings, 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January 11, 2024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4</w:t>
      </w:r>
    </w:p>
    <w:p>
      <w:pPr>
        <w:ind w:right="223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where BitGo holds a majority of the keys and a majority of those are stored offline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8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(emphasis added). Please reconcile these statements. Please also clarify what you mean by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8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term segregated cold storage in the first sentence (as opposed to unsegregated cold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8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storage). In addition, in the second sentence, please explain why only a majority of keys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8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held by BitGo in cold wallets are stored offline. If some portion of the keys held in cold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339" w:firstLine="737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wallets are stored online, it is unclear why those wallets would be considered cold</w:t>
      </w:r>
    </w:p>
    <w:p>
      <w:pPr>
        <w:sectPr>
          <w:pgSz w:w="11900" w:h="16865" w:orient="portrait"/>
          <w:cols w:equalWidth="0" w:num="1">
            <w:col w:w="10139"/>
          </w:cols>
          <w:pgMar w:left="320" w:top="110" w:right="1440" w:bottom="0" w:gutter="0" w:footer="0" w:header="0"/>
        </w:sectPr>
      </w:pPr>
    </w:p>
    <w:bookmarkStart w:id="3" w:name="page4"/>
    <w:bookmarkEnd w:id="3"/>
    <w:p>
      <w:pPr>
        <w:ind w:right="265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wallets. Please also revise to describe the term and termination provisions of your custody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agreements.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Regulatory regimes governing blockchain technologies and crypto, page 12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1919" w:firstLine="8"/>
        <w:spacing w:after="0" w:line="257" w:lineRule="auto"/>
        <w:tabs>
          <w:tab w:leader="none" w:pos="737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tell us how you considered revising your disclosure in this risk factor to address the</w:t>
      </w:r>
    </w:p>
    <w:p>
      <w:pPr>
        <w:ind w:right="23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Digital Financial Assets Law recently enacted in California and its potential impact on the</w:t>
      </w:r>
    </w:p>
    <w:p>
      <w:pPr>
        <w:ind w:left="7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Company.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 crypto asset's status as a "security" in any relevant jurisdiction..., page</w:t>
      </w:r>
    </w:p>
    <w:p>
      <w:pPr>
        <w:spacing w:after="0"/>
        <w:tabs>
          <w:tab w:leader="none" w:pos="0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8"/>
        <w:spacing w:after="0" w:line="257" w:lineRule="auto"/>
        <w:tabs>
          <w:tab w:leader="none" w:pos="737" w:val="left"/>
        </w:tabs>
        <w:numPr>
          <w:ilvl w:val="0"/>
          <w:numId w:val="8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response to comment 26. To the extent that you do not believe it would be</w:t>
      </w:r>
    </w:p>
    <w:p>
      <w:pPr>
        <w:ind w:right="19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appropriate to reference the term "clearing agency" in your disclosure, please provide your</w:t>
      </w:r>
    </w:p>
    <w:p>
      <w:pPr>
        <w:ind w:right="22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analysis as to why you believe an entity that is not registered as a broker-dealer may be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agency</w:t>
            </w:r>
          </w:p>
        </w:tc>
        <w:tc>
          <w:tcPr>
            <w:tcW w:w="6160" w:type="dxa"/>
            <w:vAlign w:val="bottom"/>
          </w:tcPr>
          <w:p>
            <w:pPr>
              <w:ind w:left="40"/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eligible to rely on the exclusion from the definition of</w:t>
            </w:r>
          </w:p>
        </w:tc>
        <w:tc>
          <w:tcPr>
            <w:tcW w:w="1460" w:type="dxa"/>
            <w:vAlign w:val="bottom"/>
          </w:tcPr>
          <w:p>
            <w:pPr>
              <w:ind w:left="200"/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clearing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</w:tcPr>
          <w:p>
            <w:pPr>
              <w:ind w:left="3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for a broker or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20" w:type="dxa"/>
            <w:vAlign w:val="bottom"/>
            <w:gridSpan w:val="2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dealer engaged in customary brokerage or dealing activities, and why you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686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believe the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20" w:type="dxa"/>
            <w:vAlign w:val="bottom"/>
            <w:gridSpan w:val="2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Company would be considered to be engaged in customary brokerage 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686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dealing activities.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20" w:type="dxa"/>
            <w:vAlign w:val="bottom"/>
            <w:gridSpan w:val="2"/>
          </w:tcPr>
          <w:p>
            <w:pPr>
              <w:ind w:left="1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We remind you that the company and its management are responsible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6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the accuracy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2280" w:type="dxa"/>
            <w:vAlign w:val="bottom"/>
          </w:tcPr>
          <w:p>
            <w:pPr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and adequacy of their</w:t>
            </w:r>
          </w:p>
        </w:tc>
        <w:tc>
          <w:tcPr>
            <w:tcW w:w="6040" w:type="dxa"/>
            <w:vAlign w:val="bottom"/>
          </w:tcPr>
          <w:p>
            <w:pPr>
              <w:ind w:left="4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disclosures, notwithstanding any review, comments, action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28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or absence of</w:t>
            </w:r>
          </w:p>
        </w:tc>
        <w:tc>
          <w:tcPr>
            <w:tcW w:w="6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action by the staff.</w:t>
            </w:r>
          </w:p>
        </w:tc>
        <w:tc>
          <w:tcPr>
            <w:tcW w:w="6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22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Refer to Rules</w:t>
            </w:r>
          </w:p>
        </w:tc>
        <w:tc>
          <w:tcPr>
            <w:tcW w:w="6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460 and 461 regarding requests for acceleration. Please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28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allow adequate</w:t>
            </w:r>
          </w:p>
        </w:tc>
        <w:tc>
          <w:tcPr>
            <w:tcW w:w="60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any amendment prior to the requested effective date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28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time for us to review</w:t>
            </w:r>
          </w:p>
        </w:tc>
        <w:tc>
          <w:tcPr>
            <w:tcW w:w="60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28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the registration</w:t>
            </w:r>
          </w:p>
        </w:tc>
        <w:tc>
          <w:tcPr>
            <w:tcW w:w="6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statement.</w:t>
            </w:r>
          </w:p>
        </w:tc>
        <w:tc>
          <w:tcPr>
            <w:tcW w:w="6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09" w:lineRule="exact"/>
        <w:rPr>
          <w:sz w:val="20"/>
          <w:szCs w:val="20"/>
          <w:color w:val="auto"/>
        </w:rPr>
      </w:pPr>
    </w:p>
    <w:p>
      <w:pPr>
        <w:ind w:right="191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David Lin at 202-551-3552 or Sandra Hunter Berkheimer at 202-551-3758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 any questions.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4" w:lineRule="exact"/>
        <w:rPr>
          <w:sz w:val="20"/>
          <w:szCs w:val="20"/>
          <w:color w:val="auto"/>
        </w:rPr>
      </w:pPr>
    </w:p>
    <w:p>
      <w:pPr>
        <w:ind w:left="6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LastNameGavin Michael</w:t>
      </w:r>
    </w:p>
    <w:p>
      <w:pPr>
        <w:ind w:left="66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NameBakkt Holdings, Inc.</w:t>
      </w:r>
    </w:p>
    <w:p>
      <w:pPr>
        <w:jc w:val="right"/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Crypto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Assets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January 11, 2024 Page 4</w:t>
      </w:r>
    </w:p>
    <w:p>
      <w:pPr>
        <w:ind w:left="1060" w:hanging="1052"/>
        <w:spacing w:after="0" w:line="238" w:lineRule="auto"/>
        <w:tabs>
          <w:tab w:leader="none" w:pos="1060" w:val="left"/>
        </w:tabs>
        <w:numPr>
          <w:ilvl w:val="0"/>
          <w:numId w:val="9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Matt Lyons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sectPr>
      <w:pgSz w:w="11900" w:h="16838" w:orient="portrait"/>
      <w:cols w:equalWidth="0" w:num="1">
        <w:col w:w="10139"/>
      </w:cols>
      <w:pgMar w:left="320" w:top="11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46E87CCD"/>
    <w:multiLevelType w:val="hybridMultilevel"/>
    <w:lvl w:ilvl="0">
      <w:lvlJc w:val="left"/>
      <w:lvlText w:val="%1."/>
      <w:numFmt w:val="decimal"/>
      <w:start w:val="3"/>
    </w:lvl>
  </w:abstractNum>
  <w:abstractNum w:abstractNumId="1">
    <w:nsid w:val="3D1B58BA"/>
    <w:multiLevelType w:val="hybridMultilevel"/>
    <w:lvl w:ilvl="0">
      <w:lvlJc w:val="left"/>
      <w:lvlText w:val="%1."/>
      <w:numFmt w:val="decimal"/>
      <w:start w:val="4"/>
    </w:lvl>
  </w:abstractNum>
  <w:abstractNum w:abstractNumId="2">
    <w:nsid w:val="507ED7AB"/>
    <w:multiLevelType w:val="hybridMultilevel"/>
    <w:lvl w:ilvl="0">
      <w:lvlJc w:val="left"/>
      <w:lvlText w:val="%1."/>
      <w:numFmt w:val="decimal"/>
      <w:start w:val="6"/>
    </w:lvl>
  </w:abstractNum>
  <w:abstractNum w:abstractNumId="3">
    <w:nsid w:val="2EB141F2"/>
    <w:multiLevelType w:val="hybridMultilevel"/>
    <w:lvl w:ilvl="0">
      <w:lvlJc w:val="left"/>
      <w:lvlText w:val="%1."/>
      <w:numFmt w:val="decimal"/>
      <w:start w:val="7"/>
    </w:lvl>
  </w:abstractNum>
  <w:abstractNum w:abstractNumId="4">
    <w:nsid w:val="41B71EFB"/>
    <w:multiLevelType w:val="hybridMultilevel"/>
    <w:lvl w:ilvl="0">
      <w:lvlJc w:val="left"/>
      <w:lvlText w:val="%1."/>
      <w:numFmt w:val="decimal"/>
      <w:start w:val="9"/>
    </w:lvl>
  </w:abstractNum>
  <w:abstractNum w:abstractNumId="5">
    <w:nsid w:val="79E2A9E3"/>
    <w:multiLevelType w:val="hybridMultilevel"/>
    <w:lvl w:ilvl="0">
      <w:lvlJc w:val="left"/>
      <w:lvlText w:val="%1."/>
      <w:numFmt w:val="decimal"/>
      <w:start w:val="12"/>
    </w:lvl>
  </w:abstractNum>
  <w:abstractNum w:abstractNumId="6">
    <w:nsid w:val="7545E146"/>
    <w:multiLevelType w:val="hybridMultilevel"/>
    <w:lvl w:ilvl="0">
      <w:lvlJc w:val="left"/>
      <w:lvlText w:val="%1"/>
      <w:numFmt w:val="decimal"/>
      <w:start w:val="14"/>
    </w:lvl>
  </w:abstractNum>
  <w:abstractNum w:abstractNumId="7">
    <w:nsid w:val="515F007C"/>
    <w:multiLevelType w:val="hybridMultilevel"/>
    <w:lvl w:ilvl="0">
      <w:lvlJc w:val="left"/>
      <w:lvlText w:val="%1."/>
      <w:numFmt w:val="decimal"/>
      <w:start w:val="13"/>
    </w:lvl>
  </w:abstractNum>
  <w:abstractNum w:abstractNumId="8">
    <w:nsid w:val="5BD062C2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2024-03-14T23:11:15Z</dcterms:created>
  <dcterms:modified xsi:type="dcterms:W3CDTF">2024-03-14T23:11:15Z</dcterms:modified>
</cp:coreProperties>
</file>