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Dow De'Ana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Bakkt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BKKT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6"/>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BAKKT HOLDINGS, INC.</w:t>
            </w:r>
          </w:p>
        </w:tc>
        <w:tc>
          <w:tcPr>
            <w:tcW w:w="1340" w:type="dxa"/>
            <w:vAlign w:val="bottom"/>
          </w:tcPr>
          <w:p>
            <w:pPr>
              <w:spacing w:after="0"/>
              <w:rPr>
                <w:sz w:val="19"/>
                <w:szCs w:val="19"/>
                <w:color w:val="auto"/>
              </w:rPr>
            </w:pPr>
          </w:p>
        </w:tc>
        <w:tc>
          <w:tcPr>
            <w:tcW w:w="1580" w:type="dxa"/>
            <w:vAlign w:val="bottom"/>
            <w:gridSpan w:val="6"/>
          </w:tcPr>
          <w:p>
            <w:pPr>
              <w:ind w:left="160"/>
              <w:spacing w:after="0"/>
              <w:rPr>
                <w:sz w:val="20"/>
                <w:szCs w:val="20"/>
                <w:color w:val="auto"/>
              </w:rPr>
            </w:pPr>
            <w:r>
              <w:rPr>
                <w:rFonts w:ascii="Arial" w:cs="Arial" w:eastAsia="Arial" w:hAnsi="Arial"/>
                <w:sz w:val="17"/>
                <w:szCs w:val="17"/>
                <w:color w:val="0000FF"/>
              </w:rPr>
              <w:t>06/14/2022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10000 AVALON BOULEVARD, SUITE 1000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1580" w:type="dxa"/>
            <w:vAlign w:val="bottom"/>
            <w:gridSpan w:val="6"/>
            <w:vMerge w:val="restart"/>
          </w:tcPr>
          <w:p>
            <w:pPr>
              <w:ind w:left="160"/>
              <w:spacing w:after="0" w:line="187" w:lineRule="exact"/>
              <w:rPr>
                <w:sz w:val="20"/>
                <w:szCs w:val="20"/>
                <w:color w:val="auto"/>
              </w:rPr>
            </w:pPr>
            <w:r>
              <w:rPr>
                <w:rFonts w:ascii="Arial" w:cs="Arial" w:eastAsia="Arial" w:hAnsi="Arial"/>
                <w:sz w:val="17"/>
                <w:szCs w:val="17"/>
                <w:color w:val="0000FF"/>
              </w:rPr>
              <w:t>06/16/2022</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7"/>
          </w:tcPr>
          <w:p>
            <w:pPr>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06/14/2022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81"/>
              </w:rPr>
              <w:t>89,686</w:t>
            </w:r>
            <w:r>
              <w:rPr>
                <w:rFonts w:ascii="Arial" w:cs="Arial" w:eastAsia="Arial" w:hAnsi="Arial"/>
                <w:sz w:val="22"/>
                <w:szCs w:val="22"/>
                <w:color w:val="008000"/>
                <w:w w:val="81"/>
                <w:vertAlign w:val="superscript"/>
              </w:rPr>
              <w:t>(1)(2)</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194,320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100% of the RSUs shall vest on June 14, 2023, provided that the Reporting Person continues to provide service to the Issuer through such date.</w:t>
      </w:r>
    </w:p>
    <w:p>
      <w:pPr>
        <w:spacing w:after="0" w:line="15" w:lineRule="exact"/>
        <w:rPr>
          <w:rFonts w:ascii="Arial" w:cs="Arial" w:eastAsia="Arial" w:hAnsi="Arial"/>
          <w:sz w:val="13"/>
          <w:szCs w:val="13"/>
          <w:color w:val="008000"/>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grant of RSUs was subject to Reporting Person's service on the board of managers of Bakkt Trust Company LLC being approved by the New York State Department of Financial Services, which approval was obtained on August 2, 2022.</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194,320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De'Ana</w:t>
      </w:r>
      <w:r>
        <w:rPr>
          <w:sz w:val="20"/>
          <w:szCs w:val="20"/>
          <w:color w:val="auto"/>
        </w:rPr>
        <w:tab/>
      </w:r>
      <w:r>
        <w:rPr>
          <w:rFonts w:ascii="Arial" w:cs="Arial" w:eastAsia="Arial" w:hAnsi="Arial"/>
          <w:sz w:val="15"/>
          <w:szCs w:val="15"/>
          <w:color w:val="0000FF"/>
        </w:rPr>
        <w:t>10/04/2022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402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2022-10-04T16:13:39Z</dcterms:created>
  <dcterms:modified xsi:type="dcterms:W3CDTF">2022-10-04T16:13:39Z</dcterms:modified>
</cp:coreProperties>
</file>