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July 1, 2025</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David Gessert</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Bakkt Holdings, Inc.</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Registration Statement on Form S-3 (File No. 333-288361)</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Acceleration Request</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Requested Date:       Thursday, July 3, 2025</w:t>
      </w:r>
    </w:p>
    <w:p>
      <w:pPr>
        <w:spacing w:after="0" w:line="9" w:lineRule="exact"/>
        <w:rPr>
          <w:sz w:val="24"/>
          <w:szCs w:val="24"/>
          <w:color w:val="auto"/>
        </w:rPr>
      </w:pPr>
    </w:p>
    <w:p>
      <w:pPr>
        <w:ind w:left="984"/>
        <w:spacing w:after="0"/>
        <w:tabs>
          <w:tab w:leader="none" w:pos="2684" w:val="left"/>
        </w:tabs>
        <w:rPr>
          <w:sz w:val="20"/>
          <w:szCs w:val="20"/>
          <w:color w:val="auto"/>
        </w:rPr>
      </w:pPr>
      <w:r>
        <w:rPr>
          <w:rFonts w:ascii="Times New Roman" w:cs="Times New Roman" w:eastAsia="Times New Roman" w:hAnsi="Times New Roman"/>
          <w:sz w:val="18"/>
          <w:szCs w:val="18"/>
          <w:b w:val="1"/>
          <w:bCs w:val="1"/>
          <w:color w:val="auto"/>
        </w:rPr>
        <w:t xml:space="preserve">Requested Time:    </w:t>
      </w:r>
      <w:r>
        <w:rPr>
          <w:sz w:val="20"/>
          <w:szCs w:val="20"/>
          <w:color w:val="auto"/>
        </w:rPr>
        <w:tab/>
      </w:r>
      <w:r>
        <w:rPr>
          <w:rFonts w:ascii="Times New Roman" w:cs="Times New Roman" w:eastAsia="Times New Roman" w:hAnsi="Times New Roman"/>
          <w:sz w:val="17"/>
          <w:szCs w:val="17"/>
          <w:b w:val="1"/>
          <w:bCs w:val="1"/>
          <w:color w:val="auto"/>
        </w:rPr>
        <w:t>2:30 P.M. Eastern Time</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Gentleman:</w:t>
      </w:r>
    </w:p>
    <w:p>
      <w:pPr>
        <w:spacing w:after="0" w:line="117" w:lineRule="exact"/>
        <w:rPr>
          <w:sz w:val="24"/>
          <w:szCs w:val="24"/>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Bakkt Holdings, Inc. (the “Company”) hereby requests that the above-referenced Registration Statement (the “Registration Statement”) be declared effective at the “Requested Date” and “Requested Time” set forth above or as soon as practicable thereafter, or at such other time as the Company or its outside counsel, Sullivan &amp; Cromwell LLP, requests by telephone that such Registration Statement be declared effective. Once the Registration Statement has been declared effective, please orally confirm that event with our counsel, Sullivan &amp; Cromwell LLP, by calling Mario Schollmeyer at (212) 558-3287.</w:t>
      </w:r>
    </w:p>
    <w:p>
      <w:pPr>
        <w:spacing w:after="0" w:line="210"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25"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/s/ Akshay Naheta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Akshay Naheta</w:t>
      </w:r>
    </w:p>
    <w:p>
      <w:pPr>
        <w:spacing w:after="0" w:line="27" w:lineRule="exact"/>
        <w:rPr>
          <w:sz w:val="24"/>
          <w:szCs w:val="24"/>
          <w:color w:val="auto"/>
        </w:rPr>
      </w:pPr>
    </w:p>
    <w:p>
      <w:pPr>
        <w:ind w:left="6624"/>
        <w:spacing w:after="0"/>
        <w:tabs>
          <w:tab w:leader="none" w:pos="7184" w:val="left"/>
        </w:tabs>
        <w:rPr>
          <w:sz w:val="20"/>
          <w:szCs w:val="20"/>
          <w:color w:val="auto"/>
        </w:rPr>
      </w:pPr>
      <w:r>
        <w:rPr>
          <w:rFonts w:ascii="Times New Roman" w:cs="Times New Roman" w:eastAsia="Times New Roman" w:hAnsi="Times New Roman"/>
          <w:sz w:val="18"/>
          <w:szCs w:val="18"/>
          <w:color w:val="auto"/>
        </w:rPr>
        <w:t>Title:</w:t>
        <w:tab/>
        <w:t>Co-Chief Executive Officer</w:t>
      </w:r>
    </w:p>
    <w:p>
      <w:pPr>
        <w:spacing w:after="0" w:line="234" w:lineRule="exact"/>
        <w:rPr>
          <w:sz w:val="24"/>
          <w:szCs w:val="24"/>
          <w:color w:val="auto"/>
        </w:rPr>
      </w:pPr>
    </w:p>
    <w:p>
      <w:pPr>
        <w:ind w:left="344" w:right="7300" w:hanging="344"/>
        <w:spacing w:after="0" w:line="258" w:lineRule="auto"/>
        <w:tabs>
          <w:tab w:leader="none" w:pos="3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 D’Annunzio, Bakkt Holdings, Inc. Paul Simmons, Bakkt Holdings, Inc. Jared Fishman, Sullivan &amp; Cromwell LLP Matt Goodman, Sullivan &amp; Cromwell LLP Mario Schollmeyer, Sullivan &amp; Cromwell LLP</w:t>
      </w:r>
    </w:p>
    <w:sectPr>
      <w:pgSz w:w="11900" w:h="16838" w:orient="portrait"/>
      <w:cols w:equalWidth="0" w:num="1">
        <w:col w:w="11024"/>
      </w:cols>
      <w:pgMar w:left="436"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2025-08-01T23:09:01Z</dcterms:created>
  <dcterms:modified xsi:type="dcterms:W3CDTF">2025-08-01T23:09:01Z</dcterms:modified>
</cp:coreProperties>
</file>