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right"/>
        <w:spacing w:after="0"/>
        <w:rPr>
          <w:sz w:val="20"/>
          <w:szCs w:val="20"/>
          <w:color w:val="auto"/>
        </w:rPr>
      </w:pPr>
      <w:r>
        <w:rPr>
          <w:rFonts w:ascii="Arial" w:cs="Arial" w:eastAsia="Arial" w:hAnsi="Arial"/>
          <w:sz w:val="11"/>
          <w:szCs w:val="11"/>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19050</wp:posOffset>
            </wp:positionH>
            <wp:positionV relativeFrom="paragraph">
              <wp:posOffset>-10795</wp:posOffset>
            </wp:positionV>
            <wp:extent cx="136525" cy="1841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84150"/>
                    </a:xfrm>
                    <a:prstGeom prst="rect">
                      <a:avLst/>
                    </a:prstGeom>
                    <a:noFill/>
                  </pic:spPr>
                </pic:pic>
              </a:graphicData>
            </a:graphic>
          </wp:anchor>
        </w:drawing>
      </w:r>
    </w:p>
    <w:p>
      <w:pPr>
        <w:jc w:val="both"/>
        <w:ind w:left="320" w:right="340" w:hanging="245"/>
        <w:spacing w:after="0" w:line="182" w:lineRule="auto"/>
        <w:tabs>
          <w:tab w:leader="none" w:pos="320" w:val="left"/>
        </w:tabs>
        <w:numPr>
          <w:ilvl w:val="0"/>
          <w:numId w:val="1"/>
        </w:numPr>
        <w:rPr>
          <w:rFonts w:ascii="Arial" w:cs="Arial" w:eastAsia="Arial" w:hAnsi="Arial"/>
          <w:sz w:val="24"/>
          <w:szCs w:val="24"/>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30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99"/>
              <w:spacing w:after="0" w:line="12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-607695</wp:posOffset>
            </wp:positionV>
            <wp:extent cx="57150" cy="621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12065</wp:posOffset>
            </wp:positionV>
            <wp:extent cx="6997700" cy="8554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8554085"/>
                    </a:xfrm>
                    <a:prstGeom prst="rect">
                      <a:avLst/>
                    </a:prstGeom>
                    <a:noFill/>
                  </pic:spPr>
                </pic:pic>
              </a:graphicData>
            </a:graphic>
          </wp:anchor>
        </w:drawing>
      </w:r>
    </w:p>
    <w:p>
      <w:pPr>
        <w:spacing w:after="0" w:line="81" w:lineRule="exact"/>
        <w:rPr>
          <w:sz w:val="24"/>
          <w:szCs w:val="24"/>
          <w:color w:val="auto"/>
        </w:rPr>
      </w:pPr>
    </w:p>
    <w:p>
      <w:pPr>
        <w:sectPr>
          <w:pgSz w:w="11900" w:h="16895" w:orient="portrait"/>
          <w:cols w:equalWidth="0" w:num="2">
            <w:col w:w="2160" w:space="480"/>
            <w:col w:w="8440"/>
          </w:cols>
          <w:pgMar w:left="460" w:top="218" w:right="359" w:bottom="0" w:gutter="0" w:footer="0" w:header="0"/>
        </w:sectPr>
      </w:pPr>
    </w:p>
    <w:p>
      <w:pPr>
        <w:spacing w:after="0" w:line="1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line="243" w:lineRule="auto"/>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VPC Impact Acquisition Holdings Sponsor,</w:t>
        </w:r>
      </w:hyperlink>
      <w:r>
        <w:rPr>
          <w:rFonts w:ascii="Arial" w:cs="Arial" w:eastAsia="Arial" w:hAnsi="Arial"/>
          <w:sz w:val="20"/>
          <w:szCs w:val="20"/>
          <w:u w:val="single" w:color="auto"/>
          <w:color w:val="0000EE"/>
        </w:rPr>
        <w:t xml:space="preserve"> </w:t>
      </w:r>
      <w:hyperlink r:id="rId12">
        <w:r>
          <w:rPr>
            <w:rFonts w:ascii="Arial" w:cs="Arial" w:eastAsia="Arial" w:hAnsi="Arial"/>
            <w:sz w:val="20"/>
            <w:szCs w:val="20"/>
            <w:u w:val="single" w:color="auto"/>
            <w:color w:val="0000EE"/>
          </w:rPr>
          <w:t>LLC</w:t>
        </w:r>
      </w:hyperlink>
    </w:p>
    <w:p>
      <w:pPr>
        <w:spacing w:after="0" w:line="287"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55" w:lineRule="exact"/>
        <w:rPr>
          <w:sz w:val="20"/>
          <w:szCs w:val="20"/>
          <w:color w:val="auto"/>
        </w:rPr>
      </w:pPr>
    </w:p>
    <w:p>
      <w:pPr>
        <w:ind w:left="120" w:right="60"/>
        <w:spacing w:after="0" w:line="395" w:lineRule="auto"/>
        <w:rPr>
          <w:sz w:val="20"/>
          <w:szCs w:val="20"/>
          <w:color w:val="auto"/>
        </w:rPr>
      </w:pPr>
      <w:r>
        <w:rPr>
          <w:rFonts w:ascii="Arial" w:cs="Arial" w:eastAsia="Arial" w:hAnsi="Arial"/>
          <w:sz w:val="15"/>
          <w:szCs w:val="15"/>
          <w:color w:val="0000FF"/>
        </w:rPr>
        <w:t>C/O VICTORY PARK CAPITAL ADVISORS, LLC 150 NORTH RIVERSIDE PLAZA, SUITE 5200</w:t>
      </w:r>
    </w:p>
    <w:p>
      <w:pPr>
        <w:spacing w:after="0" w:line="153"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pacing w:after="0" w:line="18"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6"/>
          <w:szCs w:val="16"/>
          <w:color w:val="0000FF"/>
        </w:rPr>
        <w:t>CHICAGO</w:t>
      </w:r>
      <w:r>
        <w:rPr>
          <w:sz w:val="20"/>
          <w:szCs w:val="20"/>
          <w:color w:val="auto"/>
        </w:rPr>
        <w:tab/>
      </w:r>
      <w:r>
        <w:rPr>
          <w:rFonts w:ascii="Arial" w:cs="Arial" w:eastAsia="Arial" w:hAnsi="Arial"/>
          <w:sz w:val="16"/>
          <w:szCs w:val="16"/>
          <w:color w:val="0000FF"/>
        </w:rPr>
        <w:t>IL</w:t>
      </w:r>
      <w:r>
        <w:rPr>
          <w:sz w:val="20"/>
          <w:szCs w:val="20"/>
          <w:color w:val="auto"/>
        </w:rPr>
        <w:tab/>
      </w:r>
      <w:r>
        <w:rPr>
          <w:rFonts w:ascii="Arial" w:cs="Arial" w:eastAsia="Arial" w:hAnsi="Arial"/>
          <w:sz w:val="15"/>
          <w:szCs w:val="15"/>
          <w:color w:val="0000FF"/>
        </w:rPr>
        <w:t>60606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4"/>
        </w:trPr>
        <w:tc>
          <w:tcPr>
            <w:tcW w:w="60" w:type="dxa"/>
            <w:vAlign w:val="bottom"/>
          </w:tcPr>
          <w:p>
            <w:pPr>
              <w:spacing w:after="0"/>
              <w:rPr>
                <w:sz w:val="11"/>
                <w:szCs w:val="11"/>
                <w:color w:val="auto"/>
              </w:rPr>
            </w:pPr>
          </w:p>
        </w:tc>
        <w:tc>
          <w:tcPr>
            <w:tcW w:w="3760" w:type="dxa"/>
            <w:vAlign w:val="bottom"/>
            <w:gridSpan w:val="3"/>
          </w:tcPr>
          <w:p>
            <w:pPr>
              <w:spacing w:after="0" w:line="134" w:lineRule="exact"/>
              <w:rPr>
                <w:rFonts w:ascii="Arial" w:cs="Arial" w:eastAsia="Arial" w:hAnsi="Arial"/>
                <w:sz w:val="15"/>
                <w:szCs w:val="15"/>
                <w:color w:val="0000EE"/>
              </w:rPr>
            </w:pPr>
            <w:hyperlink r:id="rId13">
              <w:r>
                <w:rPr>
                  <w:rFonts w:ascii="Arial" w:cs="Arial" w:eastAsia="Arial" w:hAnsi="Arial"/>
                  <w:sz w:val="15"/>
                  <w:szCs w:val="15"/>
                  <w:color w:val="0000EE"/>
                </w:rPr>
                <w:t xml:space="preserve">Bakkt Holdings,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BKKT</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8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680" w:type="dxa"/>
            <w:vAlign w:val="bottom"/>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40" w:type="dxa"/>
            <w:vAlign w:val="bottom"/>
            <w:tcBorders>
              <w:bottom w:val="single" w:sz="8" w:color="0000EE"/>
            </w:tcBorders>
          </w:tcPr>
          <w:p>
            <w:pPr>
              <w:spacing w:after="0"/>
              <w:rPr>
                <w:sz w:val="3"/>
                <w:szCs w:val="3"/>
                <w:color w:val="auto"/>
              </w:rPr>
            </w:pPr>
          </w:p>
        </w:tc>
        <w:tc>
          <w:tcPr>
            <w:tcW w:w="2100" w:type="dxa"/>
            <w:vAlign w:val="bottom"/>
          </w:tcPr>
          <w:p>
            <w:pPr>
              <w:spacing w:after="0"/>
              <w:rPr>
                <w:sz w:val="3"/>
                <w:szCs w:val="3"/>
                <w:color w:val="auto"/>
              </w:rPr>
            </w:pPr>
          </w:p>
        </w:tc>
        <w:tc>
          <w:tcPr>
            <w:tcW w:w="1680" w:type="dxa"/>
            <w:vAlign w:val="bottom"/>
            <w:vMerge w:val="restart"/>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20" w:type="dxa"/>
            <w:vAlign w:val="bottom"/>
            <w:vMerge w:val="restart"/>
          </w:tcPr>
          <w:p>
            <w:pPr>
              <w:ind w:left="1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680" w:type="dxa"/>
            <w:vAlign w:val="bottom"/>
          </w:tcPr>
          <w:p>
            <w:pPr>
              <w:ind w:left="600"/>
              <w:spacing w:after="0"/>
              <w:rPr>
                <w:sz w:val="20"/>
                <w:szCs w:val="20"/>
                <w:color w:val="auto"/>
              </w:rPr>
            </w:pPr>
            <w:r>
              <w:rPr>
                <w:rFonts w:ascii="Arial" w:cs="Arial" w:eastAsia="Arial" w:hAnsi="Arial"/>
                <w:sz w:val="13"/>
                <w:szCs w:val="13"/>
                <w:color w:val="auto"/>
              </w:rPr>
              <w:t>Officer (give title</w:t>
            </w:r>
          </w:p>
        </w:tc>
        <w:tc>
          <w:tcPr>
            <w:tcW w:w="1620" w:type="dxa"/>
            <w:vAlign w:val="bottom"/>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tcPr>
          <w:p>
            <w:pPr>
              <w:spacing w:after="0"/>
              <w:rPr>
                <w:sz w:val="2"/>
                <w:szCs w:val="2"/>
                <w:color w:val="auto"/>
              </w:rPr>
            </w:pPr>
          </w:p>
        </w:tc>
        <w:tc>
          <w:tcPr>
            <w:tcW w:w="2100" w:type="dxa"/>
            <w:vAlign w:val="bottom"/>
            <w:tcBorders>
              <w:bottom w:val="single" w:sz="8" w:color="2C2C2C"/>
            </w:tcBorders>
          </w:tcPr>
          <w:p>
            <w:pPr>
              <w:spacing w:after="0"/>
              <w:rPr>
                <w:sz w:val="2"/>
                <w:szCs w:val="2"/>
                <w:color w:val="auto"/>
              </w:rPr>
            </w:pPr>
          </w:p>
        </w:tc>
        <w:tc>
          <w:tcPr>
            <w:tcW w:w="168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9"/>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68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6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1720" w:type="dxa"/>
            <w:vAlign w:val="bottom"/>
            <w:gridSpan w:val="3"/>
          </w:tcPr>
          <w:p>
            <w:pPr>
              <w:ind w:left="60"/>
              <w:spacing w:after="0"/>
              <w:rPr>
                <w:sz w:val="20"/>
                <w:szCs w:val="20"/>
                <w:color w:val="auto"/>
              </w:rPr>
            </w:pPr>
            <w:r>
              <w:rPr>
                <w:rFonts w:ascii="Arial" w:cs="Arial" w:eastAsia="Arial" w:hAnsi="Arial"/>
                <w:sz w:val="16"/>
                <w:szCs w:val="16"/>
                <w:color w:val="0000FF"/>
              </w:rPr>
              <w:t>10/15/2021</w:t>
            </w:r>
          </w:p>
        </w:tc>
        <w:tc>
          <w:tcPr>
            <w:tcW w:w="2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7"/>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spacing w:after="0"/>
              <w:rPr>
                <w:sz w:val="24"/>
                <w:szCs w:val="24"/>
                <w:color w:val="auto"/>
              </w:rPr>
            </w:pPr>
          </w:p>
        </w:tc>
        <w:tc>
          <w:tcPr>
            <w:tcW w:w="210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80" w:type="dxa"/>
            <w:vAlign w:val="bottom"/>
          </w:tcPr>
          <w:p>
            <w:pPr>
              <w:ind w:left="60"/>
              <w:spacing w:after="0"/>
              <w:rPr>
                <w:sz w:val="20"/>
                <w:szCs w:val="20"/>
                <w:color w:val="auto"/>
              </w:rPr>
            </w:pPr>
            <w:r>
              <w:rPr>
                <w:rFonts w:ascii="Arial" w:cs="Arial" w:eastAsia="Arial" w:hAnsi="Arial"/>
                <w:sz w:val="13"/>
                <w:szCs w:val="13"/>
                <w:color w:val="auto"/>
              </w:rPr>
              <w:t>Line)</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 w:lineRule="exact"/>
        <w:rPr>
          <w:sz w:val="20"/>
          <w:szCs w:val="20"/>
          <w:color w:val="auto"/>
        </w:rPr>
      </w:pPr>
    </w:p>
    <w:p>
      <w:pPr>
        <w:ind w:left="4100"/>
        <w:spacing w:after="0"/>
        <w:tabs>
          <w:tab w:leader="none" w:pos="4400" w:val="left"/>
        </w:tabs>
        <w:rPr>
          <w:sz w:val="20"/>
          <w:szCs w:val="20"/>
          <w:color w:val="auto"/>
        </w:rPr>
      </w:pPr>
      <w:r>
        <w:rPr>
          <w:rFonts w:ascii="Arial" w:cs="Arial" w:eastAsia="Arial" w:hAnsi="Arial"/>
          <w:sz w:val="15"/>
          <w:szCs w:val="15"/>
          <w:color w:val="0000FF"/>
        </w:rPr>
        <w:t>X</w:t>
      </w:r>
      <w:r>
        <w:rPr>
          <w:sz w:val="20"/>
          <w:szCs w:val="20"/>
          <w:color w:val="auto"/>
        </w:rPr>
        <w:tab/>
      </w:r>
      <w:r>
        <w:rPr>
          <w:rFonts w:ascii="Arial" w:cs="Arial" w:eastAsia="Arial" w:hAnsi="Arial"/>
          <w:sz w:val="12"/>
          <w:szCs w:val="12"/>
          <w:color w:val="auto"/>
        </w:rPr>
        <w:t>Form filed by More than One Reporting Person</w:t>
      </w:r>
    </w:p>
    <w:p>
      <w:pPr>
        <w:spacing w:after="0" w:line="234" w:lineRule="exact"/>
        <w:rPr>
          <w:sz w:val="20"/>
          <w:szCs w:val="20"/>
          <w:color w:val="auto"/>
        </w:rPr>
      </w:pPr>
    </w:p>
    <w:p>
      <w:pPr>
        <w:sectPr>
          <w:pgSz w:w="11900" w:h="16895" w:orient="portrait"/>
          <w:cols w:equalWidth="0" w:num="2">
            <w:col w:w="3620" w:space="220"/>
            <w:col w:w="7240"/>
          </w:cols>
          <w:pgMar w:left="460" w:top="218" w:right="359" w:bottom="0" w:gutter="0" w:footer="0" w:header="0"/>
          <w:type w:val="continuous"/>
        </w:sectPr>
      </w:pPr>
    </w:p>
    <w:p>
      <w:pPr>
        <w:spacing w:after="0" w:line="124"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1"/>
          <w:szCs w:val="11"/>
          <w:color w:val="auto"/>
        </w:rPr>
        <w:t>(Zip)</w:t>
      </w:r>
    </w:p>
    <w:p>
      <w:pPr>
        <w:spacing w:after="0" w:line="160"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820" w:type="dxa"/>
            <w:vAlign w:val="bottom"/>
          </w:tcPr>
          <w:p>
            <w:pPr>
              <w:spacing w:after="0"/>
              <w:rPr>
                <w:sz w:val="13"/>
                <w:szCs w:val="13"/>
                <w:color w:val="auto"/>
              </w:rPr>
            </w:pPr>
          </w:p>
        </w:tc>
        <w:tc>
          <w:tcPr>
            <w:tcW w:w="1040" w:type="dxa"/>
            <w:vAlign w:val="bottom"/>
            <w:gridSpan w:val="5"/>
          </w:tcPr>
          <w:p>
            <w:pPr>
              <w:ind w:left="20"/>
              <w:spacing w:after="0"/>
              <w:rPr>
                <w:sz w:val="20"/>
                <w:szCs w:val="20"/>
                <w:color w:val="auto"/>
              </w:rPr>
            </w:pPr>
            <w:r>
              <w:rPr>
                <w:rFonts w:ascii="Arial" w:cs="Arial" w:eastAsia="Arial" w:hAnsi="Arial"/>
                <w:sz w:val="11"/>
                <w:szCs w:val="11"/>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6"/>
          </w:tcPr>
          <w:p>
            <w:pPr>
              <w:jc w:val="center"/>
              <w:ind w:right="2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92"/>
              </w:rPr>
              <w:t>Date</w:t>
            </w: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2740" w:type="dxa"/>
            <w:vAlign w:val="bottom"/>
            <w:gridSpan w:val="7"/>
          </w:tcPr>
          <w:p>
            <w:pPr>
              <w:ind w:left="80"/>
              <w:spacing w:after="0" w:line="122" w:lineRule="exact"/>
              <w:rPr>
                <w:sz w:val="20"/>
                <w:szCs w:val="20"/>
                <w:color w:val="auto"/>
              </w:rPr>
            </w:pPr>
            <w:r>
              <w:rPr>
                <w:rFonts w:ascii="Arial" w:cs="Arial" w:eastAsia="Arial" w:hAnsi="Arial"/>
                <w:sz w:val="11"/>
                <w:szCs w:val="11"/>
                <w:b w:val="1"/>
                <w:bCs w:val="1"/>
                <w:color w:val="auto"/>
              </w:rPr>
              <w:t>Transaction  Disposed Of (D) (Instr. 3, 4 and 5)</w:t>
            </w: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gridSpan w:val="5"/>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9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if any</w:t>
            </w:r>
          </w:p>
        </w:tc>
        <w:tc>
          <w:tcPr>
            <w:tcW w:w="100" w:type="dxa"/>
            <w:vAlign w:val="bottom"/>
          </w:tcPr>
          <w:p>
            <w:pPr>
              <w:spacing w:after="0"/>
              <w:rPr>
                <w:sz w:val="10"/>
                <w:szCs w:val="10"/>
                <w:color w:val="auto"/>
              </w:rPr>
            </w:pPr>
          </w:p>
        </w:tc>
        <w:tc>
          <w:tcPr>
            <w:tcW w:w="13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840" w:type="dxa"/>
            <w:vAlign w:val="bottom"/>
            <w:gridSpan w:val="3"/>
          </w:tcPr>
          <w:p>
            <w:pPr>
              <w:ind w:left="380"/>
              <w:spacing w:after="0" w:line="125" w:lineRule="exact"/>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gridSpan w:val="2"/>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20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gridSpan w:val="7"/>
          </w:tcPr>
          <w:p>
            <w:pPr>
              <w:ind w:left="60"/>
              <w:spacing w:after="0"/>
              <w:rPr>
                <w:sz w:val="20"/>
                <w:szCs w:val="20"/>
                <w:color w:val="auto"/>
              </w:rPr>
            </w:pPr>
            <w:r>
              <w:rPr>
                <w:rFonts w:ascii="Arial" w:cs="Arial" w:eastAsia="Arial" w:hAnsi="Arial"/>
                <w:sz w:val="16"/>
                <w:szCs w:val="16"/>
                <w:color w:val="0000FF"/>
                <w:w w:val="98"/>
              </w:rPr>
              <w:t>Class A common stock, par value $0.0001 per</w:t>
            </w:r>
          </w:p>
        </w:tc>
        <w:tc>
          <w:tcPr>
            <w:tcW w:w="940" w:type="dxa"/>
            <w:vAlign w:val="bottom"/>
            <w:gridSpan w:val="4"/>
            <w:vMerge w:val="restart"/>
          </w:tcPr>
          <w:p>
            <w:pPr>
              <w:jc w:val="right"/>
              <w:ind w:right="100"/>
              <w:spacing w:after="0"/>
              <w:rPr>
                <w:sz w:val="20"/>
                <w:szCs w:val="20"/>
                <w:color w:val="auto"/>
              </w:rPr>
            </w:pPr>
            <w:r>
              <w:rPr>
                <w:rFonts w:ascii="Arial" w:cs="Arial" w:eastAsia="Arial" w:hAnsi="Arial"/>
                <w:sz w:val="16"/>
                <w:szCs w:val="16"/>
                <w:color w:val="0000FF"/>
              </w:rPr>
              <w:t>10/15/2021</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vMerge w:val="restart"/>
          </w:tcPr>
          <w:p>
            <w:pPr>
              <w:ind w:left="12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0"/>
                <w:szCs w:val="10"/>
                <w:color w:val="008000"/>
              </w:rPr>
              <w:t>(1)</w:t>
            </w:r>
          </w:p>
        </w:tc>
        <w:tc>
          <w:tcPr>
            <w:tcW w:w="1180" w:type="dxa"/>
            <w:vAlign w:val="bottom"/>
            <w:gridSpan w:val="2"/>
            <w:vMerge w:val="restart"/>
          </w:tcPr>
          <w:p>
            <w:pPr>
              <w:jc w:val="right"/>
              <w:ind w:right="241"/>
              <w:spacing w:after="0"/>
              <w:rPr>
                <w:sz w:val="20"/>
                <w:szCs w:val="20"/>
                <w:color w:val="auto"/>
              </w:rPr>
            </w:pPr>
            <w:r>
              <w:rPr>
                <w:rFonts w:ascii="Arial" w:cs="Arial" w:eastAsia="Arial" w:hAnsi="Arial"/>
                <w:sz w:val="16"/>
                <w:szCs w:val="16"/>
                <w:color w:val="0000FF"/>
              </w:rPr>
              <w:t>5,124,300</w:t>
            </w:r>
          </w:p>
        </w:tc>
        <w:tc>
          <w:tcPr>
            <w:tcW w:w="140" w:type="dxa"/>
            <w:vAlign w:val="bottom"/>
            <w:vMerge w:val="restart"/>
          </w:tcPr>
          <w:p>
            <w:pPr>
              <w:spacing w:after="0"/>
              <w:rPr>
                <w:sz w:val="20"/>
                <w:szCs w:val="20"/>
                <w:color w:val="auto"/>
              </w:rPr>
            </w:pPr>
            <w:r>
              <w:rPr>
                <w:rFonts w:ascii="Arial" w:cs="Arial" w:eastAsia="Arial" w:hAnsi="Arial"/>
                <w:sz w:val="16"/>
                <w:szCs w:val="16"/>
                <w:color w:val="0000FF"/>
              </w:rPr>
              <w:t>A</w:t>
            </w:r>
          </w:p>
        </w:tc>
        <w:tc>
          <w:tcPr>
            <w:tcW w:w="200" w:type="dxa"/>
            <w:vAlign w:val="bottom"/>
          </w:tcPr>
          <w:p>
            <w:pPr>
              <w:spacing w:after="0"/>
              <w:rPr>
                <w:sz w:val="20"/>
                <w:szCs w:val="20"/>
                <w:color w:val="auto"/>
              </w:rPr>
            </w:pPr>
          </w:p>
        </w:tc>
        <w:tc>
          <w:tcPr>
            <w:tcW w:w="520" w:type="dxa"/>
            <w:vAlign w:val="bottom"/>
            <w:vMerge w:val="restart"/>
          </w:tcPr>
          <w:p>
            <w:pPr>
              <w:jc w:val="right"/>
              <w:ind w:right="126"/>
              <w:spacing w:after="0"/>
              <w:rPr>
                <w:sz w:val="20"/>
                <w:szCs w:val="20"/>
                <w:color w:val="auto"/>
              </w:rPr>
            </w:pPr>
            <w:r>
              <w:rPr>
                <w:rFonts w:ascii="Arial" w:cs="Arial" w:eastAsia="Arial" w:hAnsi="Arial"/>
                <w:sz w:val="10"/>
                <w:szCs w:val="10"/>
                <w:color w:val="008000"/>
              </w:rPr>
              <w:t>(1)</w:t>
            </w:r>
          </w:p>
        </w:tc>
        <w:tc>
          <w:tcPr>
            <w:tcW w:w="60" w:type="dxa"/>
            <w:vAlign w:val="bottom"/>
          </w:tcPr>
          <w:p>
            <w:pPr>
              <w:spacing w:after="0"/>
              <w:rPr>
                <w:sz w:val="20"/>
                <w:szCs w:val="20"/>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6"/>
                <w:szCs w:val="16"/>
                <w:color w:val="0000FF"/>
              </w:rPr>
              <w:t>5,124,300</w:t>
            </w:r>
          </w:p>
        </w:tc>
        <w:tc>
          <w:tcPr>
            <w:tcW w:w="300" w:type="dxa"/>
            <w:vAlign w:val="bottom"/>
          </w:tcPr>
          <w:p>
            <w:pPr>
              <w:spacing w:after="0"/>
              <w:rPr>
                <w:sz w:val="20"/>
                <w:szCs w:val="20"/>
                <w:color w:val="auto"/>
              </w:rPr>
            </w:pPr>
          </w:p>
        </w:tc>
        <w:tc>
          <w:tcPr>
            <w:tcW w:w="640" w:type="dxa"/>
            <w:vAlign w:val="bottom"/>
            <w:vMerge w:val="restart"/>
          </w:tcPr>
          <w:p>
            <w:pPr>
              <w:ind w:left="6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6"/>
                <w:szCs w:val="16"/>
                <w:color w:val="0000FF"/>
              </w:rPr>
              <w:t>share</w:t>
            </w: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20" w:type="dxa"/>
            <w:vAlign w:val="bottom"/>
          </w:tcPr>
          <w:p>
            <w:pPr>
              <w:spacing w:after="0"/>
              <w:rPr>
                <w:sz w:val="9"/>
                <w:szCs w:val="9"/>
                <w:color w:val="auto"/>
              </w:rPr>
            </w:pPr>
          </w:p>
        </w:tc>
        <w:tc>
          <w:tcPr>
            <w:tcW w:w="94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60" w:type="dxa"/>
            <w:vAlign w:val="bottom"/>
            <w:gridSpan w:val="3"/>
            <w:vMerge w:val="continue"/>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gridSpan w:val="2"/>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60" w:type="dxa"/>
            <w:vAlign w:val="bottom"/>
            <w:tcBorders>
              <w:top w:val="single" w:sz="8" w:color="2C2C2C"/>
            </w:tcBorders>
          </w:tcPr>
          <w:p>
            <w:pPr>
              <w:spacing w:after="0"/>
              <w:rPr>
                <w:sz w:val="17"/>
                <w:szCs w:val="17"/>
                <w:color w:val="auto"/>
              </w:rPr>
            </w:pPr>
          </w:p>
        </w:tc>
        <w:tc>
          <w:tcPr>
            <w:tcW w:w="1060" w:type="dxa"/>
            <w:vAlign w:val="bottom"/>
            <w:tcBorders>
              <w:top w:val="single" w:sz="8" w:color="2C2C2C"/>
            </w:tcBorders>
          </w:tcPr>
          <w:p>
            <w:pPr>
              <w:spacing w:after="0"/>
              <w:rPr>
                <w:sz w:val="17"/>
                <w:szCs w:val="17"/>
                <w:color w:val="auto"/>
              </w:rPr>
            </w:pPr>
          </w:p>
        </w:tc>
        <w:tc>
          <w:tcPr>
            <w:tcW w:w="6280" w:type="dxa"/>
            <w:vAlign w:val="bottom"/>
            <w:tcBorders>
              <w:top w:val="single" w:sz="8" w:color="2C2C2C"/>
            </w:tcBorders>
            <w:gridSpan w:val="16"/>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0" w:type="dxa"/>
            <w:vAlign w:val="bottom"/>
            <w:gridSpan w:val="15"/>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60" w:type="dxa"/>
            <w:vAlign w:val="bottom"/>
          </w:tcPr>
          <w:p>
            <w:pPr>
              <w:spacing w:after="0"/>
              <w:rPr>
                <w:sz w:val="13"/>
                <w:szCs w:val="13"/>
                <w:color w:val="auto"/>
              </w:rPr>
            </w:pPr>
          </w:p>
        </w:tc>
        <w:tc>
          <w:tcPr>
            <w:tcW w:w="106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82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108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Transaction</w:t>
            </w: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8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Code (Instr.</w:t>
            </w: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8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460" w:type="dxa"/>
            <w:vAlign w:val="bottom"/>
          </w:tcPr>
          <w:p>
            <w:pPr>
              <w:spacing w:after="0" w:line="125" w:lineRule="exact"/>
              <w:rPr>
                <w:sz w:val="20"/>
                <w:szCs w:val="20"/>
                <w:color w:val="auto"/>
              </w:rPr>
            </w:pPr>
            <w:r>
              <w:rPr>
                <w:rFonts w:ascii="Arial" w:cs="Arial" w:eastAsia="Arial" w:hAnsi="Arial"/>
                <w:sz w:val="11"/>
                <w:szCs w:val="11"/>
                <w:b w:val="1"/>
                <w:bCs w:val="1"/>
                <w:color w:val="auto"/>
              </w:rPr>
              <w:t>8)</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Acquired (A)</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or Disposed of</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(D) (Instr. 3, 4</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and 5)</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spacing w:after="0"/>
              <w:rPr>
                <w:sz w:val="20"/>
                <w:szCs w:val="20"/>
                <w:color w:val="auto"/>
              </w:rPr>
            </w:pPr>
            <w:r>
              <w:rPr>
                <w:rFonts w:ascii="Arial" w:cs="Arial" w:eastAsia="Arial" w:hAnsi="Arial"/>
                <w:sz w:val="11"/>
                <w:szCs w:val="11"/>
                <w:b w:val="1"/>
                <w:bCs w:val="1"/>
                <w:color w:val="auto"/>
              </w:rPr>
              <w:t>Code  V</w:t>
            </w:r>
          </w:p>
        </w:tc>
        <w:tc>
          <w:tcPr>
            <w:tcW w:w="900" w:type="dxa"/>
            <w:vAlign w:val="bottom"/>
          </w:tcPr>
          <w:p>
            <w:pPr>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140" w:type="dxa"/>
            <w:vAlign w:val="bottom"/>
          </w:tcPr>
          <w:p>
            <w:pPr>
              <w:spacing w:after="0"/>
              <w:rPr>
                <w:sz w:val="12"/>
                <w:szCs w:val="12"/>
                <w:color w:val="auto"/>
              </w:rPr>
            </w:pP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Class B</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3"/>
          </w:tcPr>
          <w:p>
            <w:pPr>
              <w:ind w:left="60"/>
              <w:spacing w:after="0" w:line="138" w:lineRule="exact"/>
              <w:rPr>
                <w:sz w:val="20"/>
                <w:szCs w:val="20"/>
                <w:color w:val="auto"/>
              </w:rPr>
            </w:pPr>
            <w:r>
              <w:rPr>
                <w:rFonts w:ascii="Arial" w:cs="Arial" w:eastAsia="Arial" w:hAnsi="Arial"/>
                <w:sz w:val="13"/>
                <w:szCs w:val="13"/>
                <w:color w:val="0000FF"/>
              </w:rPr>
              <w:t>ordinary</w:t>
            </w:r>
          </w:p>
        </w:tc>
        <w:tc>
          <w:tcPr>
            <w:tcW w:w="720" w:type="dxa"/>
            <w:vAlign w:val="bottom"/>
            <w:vMerge w:val="restart"/>
          </w:tcPr>
          <w:p>
            <w:pPr>
              <w:jc w:val="right"/>
              <w:ind w:right="224"/>
              <w:spacing w:after="0"/>
              <w:rPr>
                <w:sz w:val="20"/>
                <w:szCs w:val="20"/>
                <w:color w:val="auto"/>
              </w:rPr>
            </w:pPr>
            <w:r>
              <w:rPr>
                <w:rFonts w:ascii="Arial" w:cs="Arial" w:eastAsia="Arial" w:hAnsi="Arial"/>
                <w:sz w:val="10"/>
                <w:szCs w:val="10"/>
                <w:color w:val="008000"/>
              </w:rPr>
              <w:t>(1)</w:t>
            </w: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vMerge w:val="restart"/>
          </w:tcPr>
          <w:p>
            <w:pPr>
              <w:ind w:left="20"/>
              <w:spacing w:after="0" w:line="275" w:lineRule="exact"/>
              <w:rPr>
                <w:sz w:val="20"/>
                <w:szCs w:val="20"/>
                <w:color w:val="auto"/>
              </w:rPr>
            </w:pPr>
            <w:r>
              <w:rPr>
                <w:rFonts w:ascii="Arial" w:cs="Arial" w:eastAsia="Arial" w:hAnsi="Arial"/>
                <w:sz w:val="25"/>
                <w:szCs w:val="25"/>
                <w:color w:val="0000FF"/>
                <w:vertAlign w:val="subscript"/>
              </w:rPr>
              <w:t>M</w:t>
            </w:r>
            <w:r>
              <w:rPr>
                <w:rFonts w:ascii="Arial" w:cs="Arial" w:eastAsia="Arial" w:hAnsi="Arial"/>
                <w:sz w:val="10"/>
                <w:szCs w:val="10"/>
                <w:color w:val="008000"/>
              </w:rPr>
              <w:t>(1)</w:t>
            </w:r>
          </w:p>
        </w:tc>
        <w:tc>
          <w:tcPr>
            <w:tcW w:w="900" w:type="dxa"/>
            <w:vAlign w:val="bottom"/>
          </w:tcPr>
          <w:p>
            <w:pPr>
              <w:spacing w:after="0"/>
              <w:rPr>
                <w:sz w:val="11"/>
                <w:szCs w:val="11"/>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0"/>
                <w:szCs w:val="10"/>
                <w:color w:val="008000"/>
              </w:rPr>
              <w:t>(1)</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500" w:type="dxa"/>
            <w:vAlign w:val="bottom"/>
          </w:tcPr>
          <w:p>
            <w:pPr>
              <w:jc w:val="center"/>
              <w:ind w:left="21"/>
              <w:spacing w:after="0" w:line="138" w:lineRule="exact"/>
              <w:rPr>
                <w:sz w:val="20"/>
                <w:szCs w:val="20"/>
                <w:color w:val="auto"/>
              </w:rPr>
            </w:pPr>
            <w:r>
              <w:rPr>
                <w:rFonts w:ascii="Arial" w:cs="Arial" w:eastAsia="Arial" w:hAnsi="Arial"/>
                <w:sz w:val="13"/>
                <w:szCs w:val="13"/>
                <w:color w:val="0000FF"/>
                <w:w w:val="84"/>
              </w:rPr>
              <w:t>Class A</w:t>
            </w:r>
          </w:p>
        </w:tc>
        <w:tc>
          <w:tcPr>
            <w:tcW w:w="140" w:type="dxa"/>
            <w:vAlign w:val="bottom"/>
          </w:tcPr>
          <w:p>
            <w:pPr>
              <w:spacing w:after="0"/>
              <w:rPr>
                <w:sz w:val="11"/>
                <w:szCs w:val="11"/>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6"/>
                <w:szCs w:val="16"/>
                <w:color w:val="0000FF"/>
                <w:w w:val="95"/>
              </w:rPr>
              <w:t>5,124,300</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vMerge w:val="restart"/>
          </w:tcPr>
          <w:p>
            <w:pPr>
              <w:ind w:left="280"/>
              <w:spacing w:after="0" w:line="275" w:lineRule="exact"/>
              <w:rPr>
                <w:sz w:val="20"/>
                <w:szCs w:val="20"/>
                <w:color w:val="auto"/>
              </w:rPr>
            </w:pPr>
            <w:r>
              <w:rPr>
                <w:rFonts w:ascii="Arial" w:cs="Arial" w:eastAsia="Arial" w:hAnsi="Arial"/>
                <w:sz w:val="25"/>
                <w:szCs w:val="25"/>
                <w:color w:val="0000FF"/>
                <w:vertAlign w:val="subscript"/>
              </w:rPr>
              <w:t>D</w:t>
            </w:r>
            <w:r>
              <w:rPr>
                <w:rFonts w:ascii="Arial" w:cs="Arial" w:eastAsia="Arial" w:hAnsi="Arial"/>
                <w:sz w:val="10"/>
                <w:szCs w:val="10"/>
                <w:color w:val="008000"/>
              </w:rPr>
              <w:t>(3)</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3"/>
          </w:tcPr>
          <w:p>
            <w:pPr>
              <w:ind w:left="60"/>
              <w:spacing w:after="0" w:line="138" w:lineRule="exact"/>
              <w:rPr>
                <w:sz w:val="20"/>
                <w:szCs w:val="20"/>
                <w:color w:val="auto"/>
              </w:rPr>
            </w:pPr>
            <w:r>
              <w:rPr>
                <w:rFonts w:ascii="Arial" w:cs="Arial" w:eastAsia="Arial" w:hAnsi="Arial"/>
                <w:sz w:val="13"/>
                <w:szCs w:val="13"/>
                <w:color w:val="0000FF"/>
                <w:w w:val="89"/>
              </w:rPr>
              <w:t>shares, par</w:t>
            </w:r>
          </w:p>
        </w:tc>
        <w:tc>
          <w:tcPr>
            <w:tcW w:w="7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ind w:left="220"/>
              <w:spacing w:after="0" w:line="138" w:lineRule="exact"/>
              <w:rPr>
                <w:sz w:val="20"/>
                <w:szCs w:val="20"/>
                <w:color w:val="auto"/>
              </w:rPr>
            </w:pPr>
            <w:r>
              <w:rPr>
                <w:rFonts w:ascii="Arial" w:cs="Arial" w:eastAsia="Arial" w:hAnsi="Arial"/>
                <w:sz w:val="13"/>
                <w:szCs w:val="13"/>
                <w:color w:val="0000FF"/>
              </w:rPr>
              <w:t>10/15/2021</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900" w:type="dxa"/>
            <w:vAlign w:val="bottom"/>
          </w:tcPr>
          <w:p>
            <w:pPr>
              <w:ind w:left="300"/>
              <w:spacing w:after="0" w:line="138" w:lineRule="exact"/>
              <w:rPr>
                <w:sz w:val="20"/>
                <w:szCs w:val="20"/>
                <w:color w:val="auto"/>
              </w:rPr>
            </w:pPr>
            <w:r>
              <w:rPr>
                <w:rFonts w:ascii="Arial" w:cs="Arial" w:eastAsia="Arial" w:hAnsi="Arial"/>
                <w:sz w:val="13"/>
                <w:szCs w:val="13"/>
                <w:color w:val="0000FF"/>
              </w:rPr>
              <w:t>5,124,300</w:t>
            </w:r>
          </w:p>
        </w:tc>
        <w:tc>
          <w:tcPr>
            <w:tcW w:w="74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00" w:type="dxa"/>
            <w:vAlign w:val="bottom"/>
          </w:tcPr>
          <w:p>
            <w:pPr>
              <w:jc w:val="center"/>
              <w:ind w:left="21"/>
              <w:spacing w:after="0" w:line="138" w:lineRule="exact"/>
              <w:rPr>
                <w:sz w:val="20"/>
                <w:szCs w:val="20"/>
                <w:color w:val="auto"/>
              </w:rPr>
            </w:pPr>
            <w:r>
              <w:rPr>
                <w:rFonts w:ascii="Arial" w:cs="Arial" w:eastAsia="Arial" w:hAnsi="Arial"/>
                <w:sz w:val="13"/>
                <w:szCs w:val="13"/>
                <w:color w:val="0000FF"/>
                <w:w w:val="89"/>
              </w:rPr>
              <w:t>ordinary</w:t>
            </w:r>
          </w:p>
        </w:tc>
        <w:tc>
          <w:tcPr>
            <w:tcW w:w="1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center"/>
              <w:ind w:right="182"/>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520" w:type="dxa"/>
            <w:vAlign w:val="bottom"/>
          </w:tcPr>
          <w:p>
            <w:pPr>
              <w:jc w:val="right"/>
              <w:ind w:right="43"/>
              <w:spacing w:after="0" w:line="138"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3"/>
          </w:tcPr>
          <w:p>
            <w:pPr>
              <w:ind w:left="60"/>
              <w:spacing w:after="0" w:line="138" w:lineRule="exact"/>
              <w:rPr>
                <w:sz w:val="20"/>
                <w:szCs w:val="20"/>
                <w:color w:val="auto"/>
              </w:rPr>
            </w:pPr>
            <w:r>
              <w:rPr>
                <w:rFonts w:ascii="Arial" w:cs="Arial" w:eastAsia="Arial" w:hAnsi="Arial"/>
                <w:sz w:val="13"/>
                <w:szCs w:val="13"/>
                <w:color w:val="0000FF"/>
              </w:rPr>
              <w:t>value</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jc w:val="center"/>
              <w:ind w:left="21"/>
              <w:spacing w:after="0" w:line="138" w:lineRule="exact"/>
              <w:rPr>
                <w:sz w:val="20"/>
                <w:szCs w:val="20"/>
                <w:color w:val="auto"/>
              </w:rPr>
            </w:pPr>
            <w:r>
              <w:rPr>
                <w:rFonts w:ascii="Arial" w:cs="Arial" w:eastAsia="Arial" w:hAnsi="Arial"/>
                <w:sz w:val="13"/>
                <w:szCs w:val="13"/>
                <w:color w:val="0000FF"/>
                <w:w w:val="76"/>
              </w:rPr>
              <w:t>shares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680" w:type="dxa"/>
            <w:vAlign w:val="bottom"/>
            <w:gridSpan w:val="4"/>
          </w:tcPr>
          <w:p>
            <w:pPr>
              <w:ind w:left="80"/>
              <w:spacing w:after="0"/>
              <w:rPr>
                <w:sz w:val="20"/>
                <w:szCs w:val="20"/>
                <w:color w:val="auto"/>
              </w:rPr>
            </w:pPr>
            <w:r>
              <w:rPr>
                <w:rFonts w:ascii="Arial" w:cs="Arial" w:eastAsia="Arial" w:hAnsi="Arial"/>
                <w:sz w:val="13"/>
                <w:szCs w:val="13"/>
                <w:color w:val="0000FF"/>
              </w:rPr>
              <w:t>$0.0001</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Private</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3"/>
            <w:vMerge w:val="restart"/>
          </w:tcPr>
          <w:p>
            <w:pPr>
              <w:ind w:left="40"/>
              <w:spacing w:after="0"/>
              <w:rPr>
                <w:sz w:val="20"/>
                <w:szCs w:val="20"/>
                <w:color w:val="auto"/>
              </w:rPr>
            </w:pPr>
            <w:r>
              <w:rPr>
                <w:rFonts w:ascii="Arial" w:cs="Arial" w:eastAsia="Arial" w:hAnsi="Arial"/>
                <w:sz w:val="25"/>
                <w:szCs w:val="25"/>
                <w:color w:val="0000FF"/>
                <w:vertAlign w:val="subscript"/>
              </w:rPr>
              <w:t>A</w:t>
            </w:r>
            <w:r>
              <w:rPr>
                <w:rFonts w:ascii="Arial" w:cs="Arial" w:eastAsia="Arial" w:hAnsi="Arial"/>
                <w:sz w:val="10"/>
                <w:szCs w:val="10"/>
                <w:color w:val="008000"/>
              </w:rPr>
              <w:t>(2)</w:t>
            </w:r>
          </w:p>
        </w:tc>
        <w:tc>
          <w:tcPr>
            <w:tcW w:w="90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0"/>
                <w:szCs w:val="10"/>
                <w:color w:val="008000"/>
              </w:rPr>
              <w:t>(2)</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(2)</w:t>
            </w:r>
          </w:p>
        </w:tc>
        <w:tc>
          <w:tcPr>
            <w:tcW w:w="500" w:type="dxa"/>
            <w:vAlign w:val="bottom"/>
          </w:tcPr>
          <w:p>
            <w:pPr>
              <w:jc w:val="center"/>
              <w:ind w:left="21"/>
              <w:spacing w:after="0"/>
              <w:rPr>
                <w:sz w:val="20"/>
                <w:szCs w:val="20"/>
                <w:color w:val="auto"/>
              </w:rPr>
            </w:pPr>
            <w:r>
              <w:rPr>
                <w:rFonts w:ascii="Arial" w:cs="Arial" w:eastAsia="Arial" w:hAnsi="Arial"/>
                <w:sz w:val="13"/>
                <w:szCs w:val="13"/>
                <w:color w:val="0000FF"/>
                <w:w w:val="84"/>
              </w:rPr>
              <w:t>Class A</w:t>
            </w:r>
          </w:p>
        </w:tc>
        <w:tc>
          <w:tcPr>
            <w:tcW w:w="140" w:type="dxa"/>
            <w:vAlign w:val="bottom"/>
          </w:tcPr>
          <w:p>
            <w:pPr>
              <w:spacing w:after="0"/>
              <w:rPr>
                <w:sz w:val="15"/>
                <w:szCs w:val="15"/>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6"/>
                <w:szCs w:val="16"/>
                <w:color w:val="0000FF"/>
                <w:w w:val="95"/>
              </w:rPr>
              <w:t>6,147,440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vMerge w:val="restart"/>
          </w:tcPr>
          <w:p>
            <w:pPr>
              <w:ind w:left="28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0"/>
                <w:szCs w:val="10"/>
                <w:color w:val="008000"/>
              </w:rPr>
              <w:t>(3)</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3"/>
          </w:tcPr>
          <w:p>
            <w:pPr>
              <w:ind w:left="60"/>
              <w:spacing w:after="0" w:line="138" w:lineRule="exact"/>
              <w:rPr>
                <w:sz w:val="20"/>
                <w:szCs w:val="20"/>
                <w:color w:val="auto"/>
              </w:rPr>
            </w:pPr>
            <w:r>
              <w:rPr>
                <w:rFonts w:ascii="Arial" w:cs="Arial" w:eastAsia="Arial" w:hAnsi="Arial"/>
                <w:sz w:val="13"/>
                <w:szCs w:val="13"/>
                <w:color w:val="0000FF"/>
                <w:w w:val="94"/>
              </w:rPr>
              <w:t>Placement</w:t>
            </w:r>
          </w:p>
        </w:tc>
        <w:tc>
          <w:tcPr>
            <w:tcW w:w="720" w:type="dxa"/>
            <w:vAlign w:val="bottom"/>
          </w:tcPr>
          <w:p>
            <w:pPr>
              <w:jc w:val="center"/>
              <w:ind w:right="124"/>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11.5</w:t>
            </w:r>
          </w:p>
        </w:tc>
        <w:tc>
          <w:tcPr>
            <w:tcW w:w="60" w:type="dxa"/>
            <w:vAlign w:val="bottom"/>
          </w:tcPr>
          <w:p>
            <w:pPr>
              <w:spacing w:after="0"/>
              <w:rPr>
                <w:sz w:val="11"/>
                <w:szCs w:val="11"/>
                <w:color w:val="auto"/>
              </w:rPr>
            </w:pPr>
          </w:p>
        </w:tc>
        <w:tc>
          <w:tcPr>
            <w:tcW w:w="1060" w:type="dxa"/>
            <w:vAlign w:val="bottom"/>
          </w:tcPr>
          <w:p>
            <w:pPr>
              <w:ind w:left="220"/>
              <w:spacing w:after="0" w:line="138" w:lineRule="exact"/>
              <w:rPr>
                <w:sz w:val="20"/>
                <w:szCs w:val="20"/>
                <w:color w:val="auto"/>
              </w:rPr>
            </w:pPr>
            <w:r>
              <w:rPr>
                <w:rFonts w:ascii="Arial" w:cs="Arial" w:eastAsia="Arial" w:hAnsi="Arial"/>
                <w:sz w:val="13"/>
                <w:szCs w:val="13"/>
                <w:color w:val="0000FF"/>
              </w:rPr>
              <w:t>10/15/2021</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900" w:type="dxa"/>
            <w:vAlign w:val="bottom"/>
          </w:tcPr>
          <w:p>
            <w:pPr>
              <w:ind w:left="300"/>
              <w:spacing w:after="0" w:line="138" w:lineRule="exact"/>
              <w:rPr>
                <w:sz w:val="20"/>
                <w:szCs w:val="20"/>
                <w:color w:val="auto"/>
              </w:rPr>
            </w:pPr>
            <w:r>
              <w:rPr>
                <w:rFonts w:ascii="Arial" w:cs="Arial" w:eastAsia="Arial" w:hAnsi="Arial"/>
                <w:sz w:val="13"/>
                <w:szCs w:val="13"/>
                <w:color w:val="0000FF"/>
              </w:rPr>
              <w:t>6,147,440</w:t>
            </w:r>
          </w:p>
        </w:tc>
        <w:tc>
          <w:tcPr>
            <w:tcW w:w="74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gridSpan w:val="2"/>
          </w:tcPr>
          <w:p>
            <w:pPr>
              <w:jc w:val="center"/>
              <w:spacing w:after="0" w:line="138" w:lineRule="exact"/>
              <w:rPr>
                <w:sz w:val="20"/>
                <w:szCs w:val="20"/>
                <w:color w:val="auto"/>
              </w:rPr>
            </w:pPr>
            <w:r>
              <w:rPr>
                <w:rFonts w:ascii="Arial" w:cs="Arial" w:eastAsia="Arial" w:hAnsi="Arial"/>
                <w:sz w:val="13"/>
                <w:szCs w:val="13"/>
                <w:color w:val="0000FF"/>
                <w:w w:val="87"/>
              </w:rPr>
              <w:t>Common</w:t>
            </w:r>
          </w:p>
        </w:tc>
        <w:tc>
          <w:tcPr>
            <w:tcW w:w="7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center"/>
              <w:ind w:right="262"/>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w:t>
            </w:r>
          </w:p>
        </w:tc>
        <w:tc>
          <w:tcPr>
            <w:tcW w:w="820" w:type="dxa"/>
            <w:vAlign w:val="bottom"/>
            <w:gridSpan w:val="2"/>
          </w:tcPr>
          <w:p>
            <w:pPr>
              <w:jc w:val="right"/>
              <w:ind w:right="124"/>
              <w:spacing w:after="0" w:line="138" w:lineRule="exact"/>
              <w:rPr>
                <w:sz w:val="20"/>
                <w:szCs w:val="20"/>
                <w:color w:val="auto"/>
              </w:rPr>
            </w:pPr>
            <w:r>
              <w:rPr>
                <w:rFonts w:ascii="Arial" w:cs="Arial" w:eastAsia="Arial" w:hAnsi="Arial"/>
                <w:sz w:val="13"/>
                <w:szCs w:val="13"/>
                <w:color w:val="0000FF"/>
              </w:rPr>
              <w:t>6,147,440</w:t>
            </w:r>
          </w:p>
        </w:tc>
        <w:tc>
          <w:tcPr>
            <w:tcW w:w="64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Warrants</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jc w:val="center"/>
              <w:ind w:left="21"/>
              <w:spacing w:after="0"/>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gridSpan w:val="2"/>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6"/>
          </w:tcPr>
          <w:p>
            <w:pPr>
              <w:ind w:left="60"/>
              <w:spacing w:after="0" w:line="227"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8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gridSpan w:val="10"/>
          </w:tcPr>
          <w:p>
            <w:pPr>
              <w:spacing w:after="0" w:line="208" w:lineRule="exact"/>
              <w:rPr>
                <w:rFonts w:ascii="Arial" w:cs="Arial" w:eastAsia="Arial" w:hAnsi="Arial"/>
                <w:sz w:val="20"/>
                <w:szCs w:val="20"/>
                <w:color w:val="0000EE"/>
              </w:rPr>
            </w:pPr>
            <w:hyperlink r:id="rId12">
              <w:r>
                <w:rPr>
                  <w:rFonts w:ascii="Arial" w:cs="Arial" w:eastAsia="Arial" w:hAnsi="Arial"/>
                  <w:sz w:val="20"/>
                  <w:szCs w:val="20"/>
                  <w:color w:val="0000EE"/>
                </w:rPr>
                <w:t>VPC Impact Acquisition Holdings Sponsor, LLC</w:t>
              </w:r>
            </w:hyperlink>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2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820" w:type="dxa"/>
            <w:vAlign w:val="bottom"/>
            <w:tcBorders>
              <w:top w:val="single" w:sz="8" w:color="0000EE"/>
              <w:bottom w:val="single" w:sz="8" w:color="9A9A9A"/>
            </w:tcBorders>
          </w:tcPr>
          <w:p>
            <w:pPr>
              <w:spacing w:after="0"/>
              <w:rPr>
                <w:sz w:val="13"/>
                <w:szCs w:val="13"/>
                <w:color w:val="auto"/>
              </w:rPr>
            </w:pPr>
          </w:p>
        </w:tc>
        <w:tc>
          <w:tcPr>
            <w:tcW w:w="20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460" w:type="dxa"/>
            <w:vAlign w:val="bottom"/>
            <w:tcBorders>
              <w:top w:val="single" w:sz="8" w:color="0000EE"/>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ind w:left="60"/>
              <w:spacing w:after="0"/>
              <w:rPr>
                <w:sz w:val="20"/>
                <w:szCs w:val="20"/>
                <w:color w:val="auto"/>
              </w:rPr>
            </w:pPr>
            <w:r>
              <w:rPr>
                <w:rFonts w:ascii="Arial" w:cs="Arial" w:eastAsia="Arial" w:hAnsi="Arial"/>
                <w:sz w:val="13"/>
                <w:szCs w:val="13"/>
                <w:color w:val="auto"/>
              </w:rPr>
              <w:t>(First)</w:t>
            </w:r>
          </w:p>
        </w:tc>
        <w:tc>
          <w:tcPr>
            <w:tcW w:w="1080" w:type="dxa"/>
            <w:vAlign w:val="bottom"/>
            <w:gridSpan w:val="3"/>
          </w:tcPr>
          <w:p>
            <w:pPr>
              <w:ind w:left="40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80" w:type="dxa"/>
            <w:vAlign w:val="bottom"/>
            <w:gridSpan w:val="7"/>
          </w:tcPr>
          <w:p>
            <w:pPr>
              <w:spacing w:after="0"/>
              <w:rPr>
                <w:sz w:val="20"/>
                <w:szCs w:val="20"/>
                <w:color w:val="auto"/>
              </w:rPr>
            </w:pPr>
            <w:r>
              <w:rPr>
                <w:rFonts w:ascii="Arial" w:cs="Arial" w:eastAsia="Arial" w:hAnsi="Arial"/>
                <w:sz w:val="16"/>
                <w:szCs w:val="16"/>
                <w:color w:val="0000FF"/>
                <w:w w:val="99"/>
              </w:rPr>
              <w:t>C/O VICTORY PARK CAPITAL ADVISORS, LLC</w:t>
            </w: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20" w:type="dxa"/>
            <w:vAlign w:val="bottom"/>
            <w:gridSpan w:val="5"/>
          </w:tcPr>
          <w:p>
            <w:pPr>
              <w:spacing w:after="0"/>
              <w:rPr>
                <w:sz w:val="20"/>
                <w:szCs w:val="20"/>
                <w:color w:val="auto"/>
              </w:rPr>
            </w:pPr>
            <w:r>
              <w:rPr>
                <w:rFonts w:ascii="Arial" w:cs="Arial" w:eastAsia="Arial" w:hAnsi="Arial"/>
                <w:sz w:val="16"/>
                <w:szCs w:val="16"/>
                <w:color w:val="0000FF"/>
                <w:w w:val="96"/>
              </w:rPr>
              <w:t>150 NORTH RIVERSIDE PLAZA, SUITE 5200</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3"/>
          </w:tcPr>
          <w:p>
            <w:pPr>
              <w:spacing w:after="0"/>
              <w:rPr>
                <w:sz w:val="20"/>
                <w:szCs w:val="20"/>
                <w:color w:val="auto"/>
              </w:rPr>
            </w:pPr>
            <w:r>
              <w:rPr>
                <w:rFonts w:ascii="Arial" w:cs="Arial" w:eastAsia="Arial" w:hAnsi="Arial"/>
                <w:sz w:val="16"/>
                <w:szCs w:val="16"/>
                <w:color w:val="0000FF"/>
              </w:rPr>
              <w:t>CHICAGO</w:t>
            </w:r>
          </w:p>
        </w:tc>
        <w:tc>
          <w:tcPr>
            <w:tcW w:w="1060" w:type="dxa"/>
            <w:vAlign w:val="bottom"/>
          </w:tcPr>
          <w:p>
            <w:pPr>
              <w:ind w:left="60"/>
              <w:spacing w:after="0"/>
              <w:rPr>
                <w:sz w:val="20"/>
                <w:szCs w:val="20"/>
                <w:color w:val="auto"/>
              </w:rPr>
            </w:pPr>
            <w:r>
              <w:rPr>
                <w:rFonts w:ascii="Arial" w:cs="Arial" w:eastAsia="Arial" w:hAnsi="Arial"/>
                <w:sz w:val="16"/>
                <w:szCs w:val="16"/>
                <w:color w:val="0000FF"/>
              </w:rPr>
              <w:t>IL</w:t>
            </w:r>
          </w:p>
        </w:tc>
        <w:tc>
          <w:tcPr>
            <w:tcW w:w="820" w:type="dxa"/>
            <w:vAlign w:val="bottom"/>
          </w:tcPr>
          <w:p>
            <w:pPr>
              <w:ind w:left="400"/>
              <w:spacing w:after="0"/>
              <w:rPr>
                <w:sz w:val="20"/>
                <w:szCs w:val="20"/>
                <w:color w:val="auto"/>
              </w:rPr>
            </w:pPr>
            <w:r>
              <w:rPr>
                <w:rFonts w:ascii="Arial" w:cs="Arial" w:eastAsia="Arial" w:hAnsi="Arial"/>
                <w:sz w:val="16"/>
                <w:szCs w:val="16"/>
                <w:color w:val="0000FF"/>
                <w:w w:val="89"/>
              </w:rPr>
              <w:t>60606</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ind w:left="60"/>
              <w:spacing w:after="0"/>
              <w:rPr>
                <w:sz w:val="20"/>
                <w:szCs w:val="20"/>
                <w:color w:val="auto"/>
              </w:rPr>
            </w:pPr>
            <w:r>
              <w:rPr>
                <w:rFonts w:ascii="Arial" w:cs="Arial" w:eastAsia="Arial" w:hAnsi="Arial"/>
                <w:sz w:val="13"/>
                <w:szCs w:val="13"/>
                <w:color w:val="auto"/>
              </w:rPr>
              <w:t>(State)</w:t>
            </w:r>
          </w:p>
        </w:tc>
        <w:tc>
          <w:tcPr>
            <w:tcW w:w="820" w:type="dxa"/>
            <w:vAlign w:val="bottom"/>
          </w:tcPr>
          <w:p>
            <w:pPr>
              <w:ind w:left="40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gridSpan w:val="2"/>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3"/>
          </w:tcPr>
          <w:p>
            <w:pPr>
              <w:spacing w:after="0" w:line="208" w:lineRule="exact"/>
              <w:rPr>
                <w:rFonts w:ascii="Arial" w:cs="Arial" w:eastAsia="Arial" w:hAnsi="Arial"/>
                <w:sz w:val="20"/>
                <w:szCs w:val="20"/>
                <w:color w:val="0000EE"/>
                <w:w w:val="96"/>
              </w:rPr>
            </w:pPr>
            <w:hyperlink r:id="rId14">
              <w:r>
                <w:rPr>
                  <w:rFonts w:ascii="Arial" w:cs="Arial" w:eastAsia="Arial" w:hAnsi="Arial"/>
                  <w:sz w:val="20"/>
                  <w:szCs w:val="20"/>
                  <w:color w:val="0000EE"/>
                  <w:w w:val="96"/>
                </w:rPr>
                <w:t>Levy Richard N</w:t>
              </w:r>
            </w:hyperlink>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20" w:type="dxa"/>
            <w:vAlign w:val="bottom"/>
            <w:tcBorders>
              <w:top w:val="single" w:sz="8" w:color="0000EE"/>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ind w:left="60"/>
              <w:spacing w:after="0"/>
              <w:rPr>
                <w:sz w:val="20"/>
                <w:szCs w:val="20"/>
                <w:color w:val="auto"/>
              </w:rPr>
            </w:pPr>
            <w:r>
              <w:rPr>
                <w:rFonts w:ascii="Arial" w:cs="Arial" w:eastAsia="Arial" w:hAnsi="Arial"/>
                <w:sz w:val="13"/>
                <w:szCs w:val="13"/>
                <w:color w:val="auto"/>
              </w:rPr>
              <w:t>(First)</w:t>
            </w:r>
          </w:p>
        </w:tc>
        <w:tc>
          <w:tcPr>
            <w:tcW w:w="1080" w:type="dxa"/>
            <w:vAlign w:val="bottom"/>
            <w:gridSpan w:val="3"/>
          </w:tcPr>
          <w:p>
            <w:pPr>
              <w:ind w:left="40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80" w:type="dxa"/>
            <w:vAlign w:val="bottom"/>
            <w:gridSpan w:val="7"/>
          </w:tcPr>
          <w:p>
            <w:pPr>
              <w:spacing w:after="0"/>
              <w:rPr>
                <w:sz w:val="20"/>
                <w:szCs w:val="20"/>
                <w:color w:val="auto"/>
              </w:rPr>
            </w:pPr>
            <w:r>
              <w:rPr>
                <w:rFonts w:ascii="Arial" w:cs="Arial" w:eastAsia="Arial" w:hAnsi="Arial"/>
                <w:sz w:val="16"/>
                <w:szCs w:val="16"/>
                <w:color w:val="0000FF"/>
                <w:w w:val="99"/>
              </w:rPr>
              <w:t>C/O VICTORY PARK CAPITAL ADVISORS, LLC</w:t>
            </w: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20" w:type="dxa"/>
            <w:vAlign w:val="bottom"/>
            <w:gridSpan w:val="5"/>
          </w:tcPr>
          <w:p>
            <w:pPr>
              <w:spacing w:after="0"/>
              <w:rPr>
                <w:sz w:val="20"/>
                <w:szCs w:val="20"/>
                <w:color w:val="auto"/>
              </w:rPr>
            </w:pPr>
            <w:r>
              <w:rPr>
                <w:rFonts w:ascii="Arial" w:cs="Arial" w:eastAsia="Arial" w:hAnsi="Arial"/>
                <w:sz w:val="16"/>
                <w:szCs w:val="16"/>
                <w:color w:val="0000FF"/>
              </w:rPr>
              <w:t>227 WEST MONROE STREET, SUITE 3900</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3"/>
          </w:tcPr>
          <w:p>
            <w:pPr>
              <w:spacing w:after="0"/>
              <w:rPr>
                <w:sz w:val="20"/>
                <w:szCs w:val="20"/>
                <w:color w:val="auto"/>
              </w:rPr>
            </w:pPr>
            <w:r>
              <w:rPr>
                <w:rFonts w:ascii="Arial" w:cs="Arial" w:eastAsia="Arial" w:hAnsi="Arial"/>
                <w:sz w:val="16"/>
                <w:szCs w:val="16"/>
                <w:color w:val="0000FF"/>
              </w:rPr>
              <w:t>CHICAGO</w:t>
            </w:r>
          </w:p>
        </w:tc>
        <w:tc>
          <w:tcPr>
            <w:tcW w:w="1060" w:type="dxa"/>
            <w:vAlign w:val="bottom"/>
          </w:tcPr>
          <w:p>
            <w:pPr>
              <w:ind w:left="60"/>
              <w:spacing w:after="0"/>
              <w:rPr>
                <w:sz w:val="20"/>
                <w:szCs w:val="20"/>
                <w:color w:val="auto"/>
              </w:rPr>
            </w:pPr>
            <w:r>
              <w:rPr>
                <w:rFonts w:ascii="Arial" w:cs="Arial" w:eastAsia="Arial" w:hAnsi="Arial"/>
                <w:sz w:val="16"/>
                <w:szCs w:val="16"/>
                <w:color w:val="0000FF"/>
              </w:rPr>
              <w:t>IL</w:t>
            </w:r>
          </w:p>
        </w:tc>
        <w:tc>
          <w:tcPr>
            <w:tcW w:w="1860" w:type="dxa"/>
            <w:vAlign w:val="bottom"/>
            <w:gridSpan w:val="6"/>
          </w:tcPr>
          <w:p>
            <w:pPr>
              <w:ind w:left="400"/>
              <w:spacing w:after="0"/>
              <w:rPr>
                <w:sz w:val="20"/>
                <w:szCs w:val="20"/>
                <w:color w:val="auto"/>
              </w:rPr>
            </w:pPr>
            <w:r>
              <w:rPr>
                <w:rFonts w:ascii="Arial" w:cs="Arial" w:eastAsia="Arial" w:hAnsi="Arial"/>
                <w:sz w:val="16"/>
                <w:szCs w:val="16"/>
                <w:color w:val="0000FF"/>
              </w:rPr>
              <w:t>CHICAGO</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ind w:left="60"/>
              <w:spacing w:after="0"/>
              <w:rPr>
                <w:sz w:val="20"/>
                <w:szCs w:val="20"/>
                <w:color w:val="auto"/>
              </w:rPr>
            </w:pPr>
            <w:r>
              <w:rPr>
                <w:rFonts w:ascii="Arial" w:cs="Arial" w:eastAsia="Arial" w:hAnsi="Arial"/>
                <w:sz w:val="13"/>
                <w:szCs w:val="13"/>
                <w:color w:val="auto"/>
              </w:rPr>
              <w:t>(State)</w:t>
            </w:r>
          </w:p>
        </w:tc>
        <w:tc>
          <w:tcPr>
            <w:tcW w:w="820" w:type="dxa"/>
            <w:vAlign w:val="bottom"/>
          </w:tcPr>
          <w:p>
            <w:pPr>
              <w:ind w:left="40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-5450840</wp:posOffset>
            </wp:positionV>
            <wp:extent cx="28575" cy="2153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2153285"/>
                    </a:xfrm>
                    <a:prstGeom prst="rect">
                      <a:avLst/>
                    </a:prstGeom>
                    <a:noFill/>
                  </pic:spPr>
                </pic:pic>
              </a:graphicData>
            </a:graphic>
          </wp:anchor>
        </w:drawing>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180" w:hanging="2"/>
        <w:spacing w:after="0" w:line="227" w:lineRule="auto"/>
        <w:tabs>
          <w:tab w:leader="none" w:pos="16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connection with the closing (the "Closing") of the business combination (the "Business Combination") between the Issuer (which was formerly known as VPC Impact Acquisition Holdings or "VIH") and Bakkt Holdings, LLC ("Bakkt"), among other things, (i) each of the then issued and outstanding Class B ordinary shares of VIH converted into Class A ordinary shares of VIH on a one-for-one basis as described under the heading "Description of Securities" in the Issuer's Registration Statement on Form S-1 (File No. 333-248619), (ii) VIH migrated to and domesticated as a Delaware corporation in accordance with Section 388 of the Delaware General Corporation Law, as amended, and the Cayman Islands Companies Act (As Revised) (the "Domestication") and (iii) each of the issued and outstanding Class A ordinary shares of VIH converted into shares of the Issuer's (after the Domestication) Class A common stock.</w:t>
      </w:r>
    </w:p>
    <w:p>
      <w:pPr>
        <w:spacing w:after="0" w:line="30" w:lineRule="exact"/>
        <w:rPr>
          <w:rFonts w:ascii="Arial" w:cs="Arial" w:eastAsia="Arial" w:hAnsi="Arial"/>
          <w:sz w:val="13"/>
          <w:szCs w:val="13"/>
          <w:color w:val="008000"/>
        </w:rPr>
      </w:pPr>
    </w:p>
    <w:p>
      <w:pPr>
        <w:ind w:left="40" w:right="180" w:hanging="2"/>
        <w:spacing w:after="0" w:line="231" w:lineRule="auto"/>
        <w:tabs>
          <w:tab w:leader="none" w:pos="16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Private Placement Warrants were acquired from the Issuer in connection with its initial public offering. Each Private Placement Warrant is exercisable for one share of Class A common stock at an exercise price of $11.50 per share, subject to certain adjustments. The Private Placement Warrants may be exercised commencing 30 days after the Closing and expire five years after the Closing or earlier upon redemption or liquidation.</w:t>
      </w:r>
    </w:p>
    <w:p>
      <w:pPr>
        <w:sectPr>
          <w:pgSz w:w="11900" w:h="16895" w:orient="portrait"/>
          <w:cols w:equalWidth="0" w:num="1">
            <w:col w:w="11080"/>
          </w:cols>
          <w:pgMar w:left="460" w:top="218" w:right="359" w:bottom="0" w:gutter="0" w:footer="0" w:header="0"/>
          <w:type w:val="continuous"/>
        </w:sectPr>
      </w:pPr>
    </w:p>
    <w:bookmarkStart w:id="1" w:name="page2"/>
    <w:bookmarkEnd w:id="1"/>
    <w:p>
      <w:pPr>
        <w:ind w:left="2" w:hanging="2"/>
        <w:spacing w:after="0" w:line="231" w:lineRule="auto"/>
        <w:tabs>
          <w:tab w:leader="none" w:pos="127"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VPC Impact Acquisition Holdings Sponsor, LLC is the record holder of the securities reported herein. Richard N. Levy, as Chief Executive Officer and Founder of Victory Park Capital Advisors, LLC, has voting and investment discretion with respect to the securities held of record by VPC Impact Acquisition Holdings Sponsor, LLC. Mr. Levy disclaims any beneficial ownership of the securities held by VPC Impact Acquisition Holdings Sponsor, LLC other than to the extent of any pecuniary interest he may have therein, directly or indirectly.</w:t>
      </w:r>
    </w:p>
    <w:p>
      <w:pPr>
        <w:spacing w:after="0" w:line="2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Remarks:</w:t>
      </w:r>
    </w:p>
    <w:p>
      <w:pPr>
        <w:spacing w:after="0" w:line="62" w:lineRule="exact"/>
        <w:rPr>
          <w:sz w:val="20"/>
          <w:szCs w:val="20"/>
          <w:color w:val="auto"/>
        </w:rPr>
      </w:pPr>
    </w:p>
    <w:p>
      <w:pPr>
        <w:ind w:left="2"/>
        <w:spacing w:after="0"/>
        <w:rPr>
          <w:sz w:val="20"/>
          <w:szCs w:val="20"/>
          <w:color w:val="auto"/>
        </w:rPr>
      </w:pPr>
      <w:r>
        <w:rPr>
          <w:rFonts w:ascii="Arial" w:cs="Arial" w:eastAsia="Arial" w:hAnsi="Arial"/>
          <w:sz w:val="11"/>
          <w:szCs w:val="11"/>
          <w:color w:val="008000"/>
        </w:rPr>
        <w:t>Director by Deputization See Exhibit 99.1 - Joint Filer Information, which is incorporated herein by reference and describes in further detail the relationships of the Reporting Persons to the Issuer.</w:t>
      </w:r>
    </w:p>
    <w:p>
      <w:pPr>
        <w:spacing w:after="0" w:line="74" w:lineRule="exact"/>
        <w:rPr>
          <w:sz w:val="20"/>
          <w:szCs w:val="20"/>
          <w:color w:val="auto"/>
        </w:rPr>
      </w:pPr>
    </w:p>
    <w:tbl>
      <w:tblPr>
        <w:tblLayout w:type="fixed"/>
        <w:tblInd w:w="6562" w:type="dxa"/>
        <w:tblCellMar>
          <w:top w:w="0" w:type="dxa"/>
          <w:left w:w="0" w:type="dxa"/>
          <w:bottom w:w="0" w:type="dxa"/>
          <w:right w:w="0" w:type="dxa"/>
        </w:tblCellMar>
      </w:tblPr>
      <w:tr>
        <w:trPr>
          <w:trHeight w:val="184"/>
        </w:trPr>
        <w:tc>
          <w:tcPr>
            <w:tcW w:w="2100" w:type="dxa"/>
            <w:vAlign w:val="bottom"/>
            <w:gridSpan w:val="6"/>
          </w:tcPr>
          <w:p>
            <w:pPr>
              <w:spacing w:after="0"/>
              <w:rPr>
                <w:sz w:val="20"/>
                <w:szCs w:val="20"/>
                <w:color w:val="auto"/>
              </w:rPr>
            </w:pPr>
            <w:r>
              <w:rPr>
                <w:rFonts w:ascii="Arial" w:cs="Arial" w:eastAsia="Arial" w:hAnsi="Arial"/>
                <w:sz w:val="16"/>
                <w:szCs w:val="16"/>
                <w:color w:val="0000FF"/>
              </w:rPr>
              <w:t>/s/ Brian Munsie, Attorney-in-</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960" w:type="dxa"/>
            <w:vAlign w:val="bottom"/>
            <w:tcBorders>
              <w:top w:val="single" w:sz="8" w:color="auto"/>
            </w:tcBorders>
            <w:gridSpan w:val="4"/>
          </w:tcPr>
          <w:p>
            <w:pPr>
              <w:spacing w:after="0" w:line="180" w:lineRule="exact"/>
              <w:rPr>
                <w:sz w:val="20"/>
                <w:szCs w:val="20"/>
                <w:color w:val="auto"/>
              </w:rPr>
            </w:pPr>
            <w:r>
              <w:rPr>
                <w:rFonts w:ascii="Arial" w:cs="Arial" w:eastAsia="Arial" w:hAnsi="Arial"/>
                <w:sz w:val="16"/>
                <w:szCs w:val="16"/>
                <w:color w:val="0000FF"/>
              </w:rPr>
              <w:t>Fact for VPC Impact</w:t>
            </w:r>
          </w:p>
        </w:tc>
        <w:tc>
          <w:tcPr>
            <w:tcW w:w="140" w:type="dxa"/>
            <w:vAlign w:val="bottom"/>
            <w:gridSpan w:val="2"/>
          </w:tcPr>
          <w:p>
            <w:pPr>
              <w:spacing w:after="0"/>
              <w:rPr>
                <w:sz w:val="15"/>
                <w:szCs w:val="15"/>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6"/>
                <w:szCs w:val="16"/>
                <w:color w:val="0000FF"/>
                <w:w w:val="89"/>
              </w:rPr>
              <w:t>10/15/2021</w:t>
            </w: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2000" w:type="dxa"/>
            <w:vAlign w:val="bottom"/>
            <w:gridSpan w:val="5"/>
            <w:vMerge w:val="restart"/>
          </w:tcPr>
          <w:p>
            <w:pPr>
              <w:spacing w:after="0" w:line="180" w:lineRule="exact"/>
              <w:rPr>
                <w:sz w:val="20"/>
                <w:szCs w:val="20"/>
                <w:color w:val="auto"/>
              </w:rPr>
            </w:pPr>
            <w:r>
              <w:rPr>
                <w:rFonts w:ascii="Arial" w:cs="Arial" w:eastAsia="Arial" w:hAnsi="Arial"/>
                <w:sz w:val="16"/>
                <w:szCs w:val="16"/>
                <w:color w:val="0000FF"/>
                <w:w w:val="93"/>
              </w:rPr>
              <w:t>Acquisition Holdings Sponsor,</w:t>
            </w:r>
          </w:p>
        </w:tc>
        <w:tc>
          <w:tcPr>
            <w:tcW w:w="10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00" w:type="dxa"/>
            <w:vAlign w:val="bottom"/>
            <w:tcBorders>
              <w:bottom w:val="single" w:sz="8" w:color="auto"/>
            </w:tcBorders>
            <w:gridSpan w:val="5"/>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tcPr>
          <w:p>
            <w:pPr>
              <w:spacing w:after="0" w:line="180" w:lineRule="exact"/>
              <w:rPr>
                <w:sz w:val="20"/>
                <w:szCs w:val="20"/>
                <w:color w:val="auto"/>
              </w:rPr>
            </w:pPr>
            <w:r>
              <w:rPr>
                <w:rFonts w:ascii="Arial" w:cs="Arial" w:eastAsia="Arial" w:hAnsi="Arial"/>
                <w:sz w:val="16"/>
                <w:szCs w:val="16"/>
                <w:color w:val="0000FF"/>
                <w:w w:val="95"/>
              </w:rPr>
              <w:t>LLC</w:t>
            </w:r>
          </w:p>
        </w:tc>
        <w:tc>
          <w:tcPr>
            <w:tcW w:w="1800" w:type="dxa"/>
            <w:vAlign w:val="bottom"/>
            <w:gridSpan w:val="5"/>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00" w:type="dxa"/>
            <w:vAlign w:val="bottom"/>
            <w:gridSpan w:val="6"/>
          </w:tcPr>
          <w:p>
            <w:pPr>
              <w:spacing w:after="0"/>
              <w:rPr>
                <w:sz w:val="20"/>
                <w:szCs w:val="20"/>
                <w:color w:val="auto"/>
              </w:rPr>
            </w:pPr>
            <w:r>
              <w:rPr>
                <w:rFonts w:ascii="Arial" w:cs="Arial" w:eastAsia="Arial" w:hAnsi="Arial"/>
                <w:sz w:val="16"/>
                <w:szCs w:val="16"/>
                <w:color w:val="0000FF"/>
              </w:rPr>
              <w:t>/s/ Brian Munsie, Attorney-in-</w:t>
            </w:r>
          </w:p>
        </w:tc>
        <w:tc>
          <w:tcPr>
            <w:tcW w:w="840" w:type="dxa"/>
            <w:vAlign w:val="bottom"/>
            <w:gridSpan w:val="2"/>
            <w:vMerge w:val="restart"/>
          </w:tcPr>
          <w:p>
            <w:pPr>
              <w:ind w:left="100"/>
              <w:spacing w:after="0"/>
              <w:rPr>
                <w:sz w:val="20"/>
                <w:szCs w:val="20"/>
                <w:color w:val="auto"/>
              </w:rPr>
            </w:pPr>
            <w:r>
              <w:rPr>
                <w:rFonts w:ascii="Arial" w:cs="Arial" w:eastAsia="Arial" w:hAnsi="Arial"/>
                <w:sz w:val="16"/>
                <w:szCs w:val="16"/>
                <w:color w:val="0000FF"/>
                <w:w w:val="89"/>
              </w:rPr>
              <w:t>10/15/2021</w:t>
            </w:r>
          </w:p>
        </w:tc>
        <w:tc>
          <w:tcPr>
            <w:tcW w:w="0" w:type="dxa"/>
            <w:vAlign w:val="bottom"/>
          </w:tcPr>
          <w:p>
            <w:pPr>
              <w:spacing w:after="0"/>
              <w:rPr>
                <w:sz w:val="1"/>
                <w:szCs w:val="1"/>
                <w:color w:val="auto"/>
              </w:rPr>
            </w:pPr>
          </w:p>
        </w:tc>
      </w:tr>
      <w:tr>
        <w:trPr>
          <w:trHeight w:val="80"/>
        </w:trPr>
        <w:tc>
          <w:tcPr>
            <w:tcW w:w="1960" w:type="dxa"/>
            <w:vAlign w:val="bottom"/>
            <w:tcBorders>
              <w:top w:val="single" w:sz="8" w:color="auto"/>
            </w:tcBorders>
            <w:gridSpan w:val="4"/>
            <w:vMerge w:val="restart"/>
          </w:tcPr>
          <w:p>
            <w:pPr>
              <w:spacing w:after="0" w:line="180" w:lineRule="exact"/>
              <w:rPr>
                <w:sz w:val="20"/>
                <w:szCs w:val="20"/>
                <w:color w:val="auto"/>
              </w:rPr>
            </w:pPr>
            <w:r>
              <w:rPr>
                <w:rFonts w:ascii="Arial" w:cs="Arial" w:eastAsia="Arial" w:hAnsi="Arial"/>
                <w:sz w:val="16"/>
                <w:szCs w:val="16"/>
                <w:color w:val="0000FF"/>
              </w:rPr>
              <w:t>Fact for Richard N. Levy</w:t>
            </w:r>
          </w:p>
        </w:tc>
        <w:tc>
          <w:tcPr>
            <w:tcW w:w="140" w:type="dxa"/>
            <w:vAlign w:val="bottom"/>
            <w:gridSpan w:val="2"/>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960" w:type="dxa"/>
            <w:vAlign w:val="bottom"/>
            <w:tcBorders>
              <w:top w:val="single" w:sz="8" w:color="auto"/>
            </w:tcBorders>
            <w:gridSpan w:val="4"/>
            <w:vMerge w:val="continue"/>
          </w:tcPr>
          <w:p>
            <w:pPr>
              <w:spacing w:after="0"/>
              <w:rPr>
                <w:sz w:val="6"/>
                <w:szCs w:val="6"/>
                <w:color w:val="auto"/>
              </w:rPr>
            </w:pPr>
          </w:p>
        </w:tc>
        <w:tc>
          <w:tcPr>
            <w:tcW w:w="1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20" w:type="dxa"/>
            <w:vAlign w:val="bottom"/>
            <w:gridSpan w:val="3"/>
            <w:shd w:val="clear" w:color="auto" w:fill="000000"/>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100" w:type="dxa"/>
            <w:vAlign w:val="bottom"/>
            <w:gridSpan w:val="6"/>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6"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2" w:right="3480" w:hanging="2"/>
        <w:spacing w:after="0" w:line="352" w:lineRule="auto"/>
        <w:tabs>
          <w:tab w:leader="none" w:pos="134" w:val="left"/>
        </w:tabs>
        <w:numPr>
          <w:ilvl w:val="0"/>
          <w:numId w:val="4"/>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702"/>
          </w:cols>
          <w:pgMar w:left="498" w:top="156" w:right="699" w:bottom="1440" w:gutter="0" w:footer="0" w:header="0"/>
        </w:sectPr>
      </w:pPr>
    </w:p>
    <w:bookmarkStart w:id="2" w:name="page3"/>
    <w:bookmarkEnd w:id="2"/>
    <w:p>
      <w:pPr>
        <w:jc w:val="right"/>
        <w:ind w:right="2479"/>
        <w:spacing w:after="0"/>
        <w:rPr>
          <w:sz w:val="20"/>
          <w:szCs w:val="20"/>
          <w:color w:val="auto"/>
        </w:rPr>
      </w:pPr>
      <w:r>
        <w:rPr>
          <w:rFonts w:ascii="Courier New" w:cs="Courier New" w:eastAsia="Courier New" w:hAnsi="Courier New"/>
          <w:sz w:val="16"/>
          <w:szCs w:val="16"/>
          <w:color w:val="auto"/>
        </w:rPr>
        <w:t>Exhibit 99.1</w:t>
      </w:r>
    </w:p>
    <w:p>
      <w:pPr>
        <w:spacing w:after="0" w:line="194"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Joint Filer Information</w:t>
      </w:r>
    </w:p>
    <w:p>
      <w:pPr>
        <w:sectPr>
          <w:pgSz w:w="11900" w:h="16838" w:orient="portrait"/>
          <w:cols w:equalWidth="0" w:num="1">
            <w:col w:w="9999"/>
          </w:cols>
          <w:pgMar w:left="460" w:top="142" w:right="1440" w:bottom="1440" w:gutter="0" w:footer="0" w:header="0"/>
        </w:sectPr>
      </w:pP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Joint Filer:</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Joint Filer:</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Relationship of Joint Filer to Issuer:</w:t>
      </w:r>
    </w:p>
    <w:p>
      <w:pPr>
        <w:spacing w:after="0" w:line="382" w:lineRule="exact"/>
        <w:rPr>
          <w:sz w:val="20"/>
          <w:szCs w:val="20"/>
          <w:color w:val="auto"/>
        </w:rPr>
      </w:pPr>
    </w:p>
    <w:p>
      <w:pPr>
        <w:ind w:right="1560"/>
        <w:spacing w:after="0" w:line="251" w:lineRule="auto"/>
        <w:rPr>
          <w:sz w:val="20"/>
          <w:szCs w:val="20"/>
          <w:color w:val="auto"/>
        </w:rPr>
      </w:pPr>
      <w:r>
        <w:rPr>
          <w:rFonts w:ascii="Courier New" w:cs="Courier New" w:eastAsia="Courier New" w:hAnsi="Courier New"/>
          <w:sz w:val="16"/>
          <w:szCs w:val="16"/>
          <w:color w:val="auto"/>
        </w:rPr>
        <w:t>Issuer Name and Ticker or Trading Symbol:</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of Event Requiring Statement: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(Month/Day/Year):</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Joint Filer:</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Joint Filer:</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Relationship of Joint Filer to Issuer:</w:t>
      </w:r>
    </w:p>
    <w:p>
      <w:pPr>
        <w:spacing w:after="0" w:line="382" w:lineRule="exact"/>
        <w:rPr>
          <w:sz w:val="20"/>
          <w:szCs w:val="20"/>
          <w:color w:val="auto"/>
        </w:rPr>
      </w:pPr>
    </w:p>
    <w:p>
      <w:pPr>
        <w:ind w:right="1560"/>
        <w:spacing w:after="0" w:line="251" w:lineRule="auto"/>
        <w:rPr>
          <w:sz w:val="20"/>
          <w:szCs w:val="20"/>
          <w:color w:val="auto"/>
        </w:rPr>
      </w:pPr>
      <w:r>
        <w:rPr>
          <w:rFonts w:ascii="Courier New" w:cs="Courier New" w:eastAsia="Courier New" w:hAnsi="Courier New"/>
          <w:sz w:val="16"/>
          <w:szCs w:val="16"/>
          <w:color w:val="auto"/>
        </w:rPr>
        <w:t>Issuer Name and Ticker or Trading Symbol:</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of Event Requiring Statement: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(Month/Day/Year):</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VPC Impact Acquisition Holdings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Sponsor, LLC</w:t>
      </w:r>
    </w:p>
    <w:p>
      <w:pPr>
        <w:spacing w:after="0" w:line="382" w:lineRule="exact"/>
        <w:rPr>
          <w:sz w:val="20"/>
          <w:szCs w:val="20"/>
          <w:color w:val="auto"/>
        </w:rPr>
      </w:pPr>
    </w:p>
    <w:p>
      <w:pPr>
        <w:ind w:right="2299"/>
        <w:spacing w:after="0" w:line="249" w:lineRule="auto"/>
        <w:rPr>
          <w:sz w:val="20"/>
          <w:szCs w:val="20"/>
          <w:color w:val="auto"/>
        </w:rPr>
      </w:pPr>
      <w:r>
        <w:rPr>
          <w:rFonts w:ascii="Courier New" w:cs="Courier New" w:eastAsia="Courier New" w:hAnsi="Courier New"/>
          <w:sz w:val="16"/>
          <w:szCs w:val="16"/>
          <w:color w:val="auto"/>
        </w:rPr>
        <w:t>c/o Victory Park Capital Advisors, LLC 150 North Riverside Plaza, Suite 5200 Chicago, Illinois 60606</w:t>
      </w: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 Owner, Director</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Bakkt Holdings, Inc. [BKKT]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10/15/2021</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Richard N. Levy</w:t>
      </w:r>
    </w:p>
    <w:p>
      <w:pPr>
        <w:spacing w:after="0" w:line="382" w:lineRule="exact"/>
        <w:rPr>
          <w:sz w:val="20"/>
          <w:szCs w:val="20"/>
          <w:color w:val="auto"/>
        </w:rPr>
      </w:pPr>
    </w:p>
    <w:p>
      <w:pPr>
        <w:ind w:right="2299"/>
        <w:spacing w:after="0" w:line="249" w:lineRule="auto"/>
        <w:rPr>
          <w:sz w:val="20"/>
          <w:szCs w:val="20"/>
          <w:color w:val="auto"/>
        </w:rPr>
      </w:pPr>
      <w:r>
        <w:rPr>
          <w:rFonts w:ascii="Courier New" w:cs="Courier New" w:eastAsia="Courier New" w:hAnsi="Courier New"/>
          <w:sz w:val="16"/>
          <w:szCs w:val="16"/>
          <w:color w:val="auto"/>
        </w:rPr>
        <w:t>c/o Victory Park Capital Advisors, LLC 150 North Riverside Plaza, Suite 5200 Chicago, Illinois 60606</w:t>
      </w: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 Owner</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Bakkt Holdings, Inc. [BKKT]</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10/15/2021</w:t>
      </w:r>
    </w:p>
    <w:sectPr>
      <w:pgSz w:w="11900" w:h="16838" w:orient="portrait"/>
      <w:cols w:equalWidth="0" w:num="2">
        <w:col w:w="3700" w:space="300"/>
        <w:col w:w="5999"/>
      </w:cols>
      <w:pgMar w:left="46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2" Type="http://schemas.openxmlformats.org/officeDocument/2006/relationships/hyperlink" Target="http://www.sec.gov/cgi-bin/browse-edgar?action=getcompany&amp;CIK=0001825041" TargetMode="External"/><Relationship Id="rId13" Type="http://schemas.openxmlformats.org/officeDocument/2006/relationships/hyperlink" Target="http://www.sec.gov/cgi-bin/browse-edgar?action=getcompany&amp;CIK=0001820302" TargetMode="External"/><Relationship Id="rId14" Type="http://schemas.openxmlformats.org/officeDocument/2006/relationships/hyperlink" Target="http://www.sec.gov/cgi-bin/browse-edgar?action=getcompany&amp;CIK=00014138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2021-10-15T18:18:08Z</dcterms:created>
  <dcterms:modified xsi:type="dcterms:W3CDTF">2021-10-15T18:18:08Z</dcterms:modified>
</cp:coreProperties>
</file>