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26, 2025</w:t>
      </w:r>
    </w:p>
    <w:p>
      <w:pPr>
        <w:spacing w:after="0" w:line="27"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160020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5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7"/>
          <w:szCs w:val="27"/>
          <w:b w:val="1"/>
          <w:bCs w:val="1"/>
          <w:color w:val="auto"/>
        </w:rPr>
        <w:t>FORM S-3</w:t>
      </w:r>
    </w:p>
    <w:p>
      <w:pPr>
        <w:spacing w:after="0" w:line="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jc w:val="center"/>
        <w:ind w:right="-199"/>
        <w:spacing w:after="0" w:line="235" w:lineRule="auto"/>
        <w:rPr>
          <w:sz w:val="20"/>
          <w:szCs w:val="20"/>
          <w:color w:val="auto"/>
        </w:rPr>
      </w:pPr>
      <w:r>
        <w:rPr>
          <w:rFonts w:ascii="Times New Roman" w:cs="Times New Roman" w:eastAsia="Times New Roman" w:hAnsi="Times New Roman"/>
          <w:sz w:val="19"/>
          <w:szCs w:val="19"/>
          <w:b w:val="1"/>
          <w:bCs w:val="1"/>
          <w:i w:val="1"/>
          <w:iCs w:val="1"/>
          <w:color w:val="auto"/>
        </w:rPr>
        <w:t>UNDER</w:t>
      </w:r>
    </w:p>
    <w:p>
      <w:pPr>
        <w:jc w:val="center"/>
        <w:ind w:right="-199"/>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145415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7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9"/>
          <w:szCs w:val="39"/>
          <w:b w:val="1"/>
          <w:bCs w:val="1"/>
          <w:color w:val="auto"/>
        </w:rPr>
        <w:t>Bakkt Holdings, Inc.</w:t>
      </w:r>
    </w:p>
    <w:p>
      <w:pPr>
        <w:spacing w:after="0" w:line="5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152400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78" w:lineRule="exact"/>
        <w:rPr>
          <w:sz w:val="24"/>
          <w:szCs w:val="24"/>
          <w:color w:val="auto"/>
        </w:rPr>
      </w:pPr>
    </w:p>
    <w:tbl>
      <w:tblPr>
        <w:tblLayout w:type="fixed"/>
        <w:tblInd w:w="1880" w:type="dxa"/>
        <w:tblCellMar>
          <w:top w:w="0" w:type="dxa"/>
          <w:left w:w="0" w:type="dxa"/>
          <w:bottom w:w="0" w:type="dxa"/>
          <w:right w:w="0" w:type="dxa"/>
        </w:tblCellMar>
      </w:tblPr>
      <w:tr>
        <w:trPr>
          <w:trHeight w:val="201"/>
        </w:trPr>
        <w:tc>
          <w:tcPr>
            <w:tcW w:w="3920" w:type="dxa"/>
            <w:vAlign w:val="bottom"/>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420" w:type="dxa"/>
            <w:vAlign w:val="bottom"/>
          </w:tcPr>
          <w:p>
            <w:pPr>
              <w:jc w:val="center"/>
              <w:ind w:left="1760"/>
              <w:spacing w:after="0"/>
              <w:rPr>
                <w:sz w:val="20"/>
                <w:szCs w:val="20"/>
                <w:color w:val="auto"/>
              </w:rPr>
            </w:pPr>
            <w:r>
              <w:rPr>
                <w:rFonts w:ascii="Times New Roman" w:cs="Times New Roman" w:eastAsia="Times New Roman" w:hAnsi="Times New Roman"/>
                <w:sz w:val="16"/>
                <w:szCs w:val="16"/>
                <w:b w:val="1"/>
                <w:bCs w:val="1"/>
                <w:color w:val="auto"/>
              </w:rPr>
              <w:t>98-1550750</w:t>
            </w:r>
          </w:p>
        </w:tc>
      </w:tr>
      <w:tr>
        <w:trPr>
          <w:trHeight w:val="201"/>
        </w:trPr>
        <w:tc>
          <w:tcPr>
            <w:tcW w:w="3920" w:type="dxa"/>
            <w:vAlign w:val="bottom"/>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3420" w:type="dxa"/>
            <w:vAlign w:val="bottom"/>
          </w:tcPr>
          <w:p>
            <w:pPr>
              <w:jc w:val="center"/>
              <w:ind w:left="1780"/>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1"/>
        </w:trPr>
        <w:tc>
          <w:tcPr>
            <w:tcW w:w="3920" w:type="dxa"/>
            <w:vAlign w:val="bottom"/>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420" w:type="dxa"/>
            <w:vAlign w:val="bottom"/>
          </w:tcPr>
          <w:p>
            <w:pPr>
              <w:jc w:val="center"/>
              <w:ind w:left="1760"/>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bl>
    <w:p>
      <w:pPr>
        <w:spacing w:after="0" w:line="11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10000 Avalon Boulevard, Suite 1000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Alpharetta, Georgia 30009</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(678) 534-5849</w:t>
      </w:r>
    </w:p>
    <w:p>
      <w:pPr>
        <w:spacing w:after="0" w:line="1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139700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0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Akshay Naheta</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Co-Chief Executive Officer</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10000 Avalon Boulevard, Suite 1000</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Alpharetta, Georgia 30009</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(678) 534-5849</w:t>
      </w:r>
    </w:p>
    <w:p>
      <w:pPr>
        <w:spacing w:after="0" w:line="1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148590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16" w:lineRule="exact"/>
        <w:rPr>
          <w:sz w:val="24"/>
          <w:szCs w:val="24"/>
          <w:color w:val="auto"/>
        </w:rPr>
      </w:pPr>
    </w:p>
    <w:tbl>
      <w:tblPr>
        <w:tblLayout w:type="fixed"/>
        <w:tblInd w:w="2200" w:type="dxa"/>
        <w:tblCellMar>
          <w:top w:w="0" w:type="dxa"/>
          <w:left w:w="0" w:type="dxa"/>
          <w:bottom w:w="0" w:type="dxa"/>
          <w:right w:w="0" w:type="dxa"/>
        </w:tblCellMar>
      </w:tblPr>
      <w:tr>
        <w:trPr>
          <w:trHeight w:val="213"/>
        </w:trPr>
        <w:tc>
          <w:tcPr>
            <w:tcW w:w="2260" w:type="dxa"/>
            <w:vAlign w:val="bottom"/>
          </w:tcPr>
          <w:p>
            <w:pPr>
              <w:spacing w:after="0"/>
              <w:rPr>
                <w:sz w:val="18"/>
                <w:szCs w:val="18"/>
                <w:color w:val="auto"/>
              </w:rPr>
            </w:pPr>
          </w:p>
        </w:tc>
        <w:tc>
          <w:tcPr>
            <w:tcW w:w="5200" w:type="dxa"/>
            <w:vAlign w:val="bottom"/>
          </w:tcPr>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311"/>
        </w:trPr>
        <w:tc>
          <w:tcPr>
            <w:tcW w:w="226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Jared Fishman</w:t>
            </w:r>
          </w:p>
        </w:tc>
        <w:tc>
          <w:tcPr>
            <w:tcW w:w="5200" w:type="dxa"/>
            <w:vAlign w:val="bottom"/>
          </w:tcPr>
          <w:p>
            <w:pPr>
              <w:jc w:val="center"/>
              <w:ind w:left="2660"/>
              <w:spacing w:after="0"/>
              <w:rPr>
                <w:sz w:val="20"/>
                <w:szCs w:val="20"/>
                <w:color w:val="auto"/>
              </w:rPr>
            </w:pPr>
            <w:r>
              <w:rPr>
                <w:rFonts w:ascii="Times New Roman" w:cs="Times New Roman" w:eastAsia="Times New Roman" w:hAnsi="Times New Roman"/>
                <w:sz w:val="16"/>
                <w:szCs w:val="16"/>
                <w:b w:val="1"/>
                <w:bCs w:val="1"/>
                <w:color w:val="auto"/>
              </w:rPr>
              <w:t>Marc D’Annunzio</w:t>
            </w:r>
          </w:p>
        </w:tc>
      </w:tr>
      <w:tr>
        <w:trPr>
          <w:trHeight w:val="201"/>
        </w:trPr>
        <w:tc>
          <w:tcPr>
            <w:tcW w:w="226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Matthew Goodman</w:t>
            </w:r>
          </w:p>
        </w:tc>
        <w:tc>
          <w:tcPr>
            <w:tcW w:w="5200" w:type="dxa"/>
            <w:vAlign w:val="bottom"/>
          </w:tcPr>
          <w:p>
            <w:pPr>
              <w:jc w:val="center"/>
              <w:ind w:left="2660"/>
              <w:spacing w:after="0"/>
              <w:rPr>
                <w:sz w:val="20"/>
                <w:szCs w:val="20"/>
                <w:color w:val="auto"/>
              </w:rPr>
            </w:pPr>
            <w:r>
              <w:rPr>
                <w:rFonts w:ascii="Times New Roman" w:cs="Times New Roman" w:eastAsia="Times New Roman" w:hAnsi="Times New Roman"/>
                <w:sz w:val="16"/>
                <w:szCs w:val="16"/>
                <w:b w:val="1"/>
                <w:bCs w:val="1"/>
                <w:color w:val="auto"/>
                <w:w w:val="99"/>
              </w:rPr>
              <w:t>General Counsel</w:t>
            </w:r>
          </w:p>
        </w:tc>
      </w:tr>
      <w:tr>
        <w:trPr>
          <w:trHeight w:val="201"/>
        </w:trPr>
        <w:tc>
          <w:tcPr>
            <w:tcW w:w="226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Mario Schollmeyer</w:t>
            </w:r>
          </w:p>
        </w:tc>
        <w:tc>
          <w:tcPr>
            <w:tcW w:w="5200" w:type="dxa"/>
            <w:vAlign w:val="bottom"/>
          </w:tcPr>
          <w:p>
            <w:pPr>
              <w:jc w:val="center"/>
              <w:ind w:left="2660"/>
              <w:spacing w:after="0"/>
              <w:rPr>
                <w:sz w:val="20"/>
                <w:szCs w:val="20"/>
                <w:color w:val="auto"/>
              </w:rPr>
            </w:pPr>
            <w:r>
              <w:rPr>
                <w:rFonts w:ascii="Times New Roman" w:cs="Times New Roman" w:eastAsia="Times New Roman" w:hAnsi="Times New Roman"/>
                <w:sz w:val="16"/>
                <w:szCs w:val="16"/>
                <w:b w:val="1"/>
                <w:bCs w:val="1"/>
                <w:color w:val="auto"/>
                <w:w w:val="99"/>
              </w:rPr>
              <w:t>10000 Avalon Boulevard, Suite 1000</w:t>
            </w:r>
          </w:p>
        </w:tc>
      </w:tr>
      <w:tr>
        <w:trPr>
          <w:trHeight w:val="201"/>
        </w:trPr>
        <w:tc>
          <w:tcPr>
            <w:tcW w:w="226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Sullivan &amp; Cromwell</w:t>
            </w:r>
          </w:p>
        </w:tc>
        <w:tc>
          <w:tcPr>
            <w:tcW w:w="5200" w:type="dxa"/>
            <w:vAlign w:val="bottom"/>
          </w:tcPr>
          <w:p>
            <w:pPr>
              <w:jc w:val="center"/>
              <w:ind w:left="2660"/>
              <w:spacing w:after="0"/>
              <w:rPr>
                <w:sz w:val="20"/>
                <w:szCs w:val="20"/>
                <w:color w:val="auto"/>
              </w:rPr>
            </w:pPr>
            <w:r>
              <w:rPr>
                <w:rFonts w:ascii="Times New Roman" w:cs="Times New Roman" w:eastAsia="Times New Roman" w:hAnsi="Times New Roman"/>
                <w:sz w:val="16"/>
                <w:szCs w:val="16"/>
                <w:b w:val="1"/>
                <w:bCs w:val="1"/>
                <w:color w:val="auto"/>
              </w:rPr>
              <w:t>Alpharetta, Georgia 30009</w:t>
            </w:r>
          </w:p>
        </w:tc>
      </w:tr>
      <w:tr>
        <w:trPr>
          <w:trHeight w:val="201"/>
        </w:trPr>
        <w:tc>
          <w:tcPr>
            <w:tcW w:w="226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125 Broad Street</w:t>
            </w:r>
          </w:p>
        </w:tc>
        <w:tc>
          <w:tcPr>
            <w:tcW w:w="5200" w:type="dxa"/>
            <w:vAlign w:val="bottom"/>
          </w:tcPr>
          <w:p>
            <w:pPr>
              <w:jc w:val="center"/>
              <w:ind w:left="2680"/>
              <w:spacing w:after="0"/>
              <w:rPr>
                <w:sz w:val="20"/>
                <w:szCs w:val="20"/>
                <w:color w:val="auto"/>
              </w:rPr>
            </w:pPr>
            <w:r>
              <w:rPr>
                <w:rFonts w:ascii="Times New Roman" w:cs="Times New Roman" w:eastAsia="Times New Roman" w:hAnsi="Times New Roman"/>
                <w:sz w:val="16"/>
                <w:szCs w:val="16"/>
                <w:b w:val="1"/>
                <w:bCs w:val="1"/>
                <w:color w:val="auto"/>
                <w:w w:val="99"/>
              </w:rPr>
              <w:t>(678) 534-5849</w:t>
            </w:r>
          </w:p>
        </w:tc>
      </w:tr>
      <w:tr>
        <w:trPr>
          <w:trHeight w:val="201"/>
        </w:trPr>
        <w:tc>
          <w:tcPr>
            <w:tcW w:w="226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New York, NY 10004</w:t>
            </w:r>
          </w:p>
        </w:tc>
        <w:tc>
          <w:tcPr>
            <w:tcW w:w="5200" w:type="dxa"/>
            <w:vAlign w:val="bottom"/>
          </w:tcPr>
          <w:p>
            <w:pPr>
              <w:spacing w:after="0"/>
              <w:rPr>
                <w:sz w:val="17"/>
                <w:szCs w:val="17"/>
                <w:color w:val="auto"/>
              </w:rPr>
            </w:pPr>
          </w:p>
        </w:tc>
      </w:tr>
      <w:tr>
        <w:trPr>
          <w:trHeight w:val="211"/>
        </w:trPr>
        <w:tc>
          <w:tcPr>
            <w:tcW w:w="226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(212) 558-4000</w:t>
            </w:r>
          </w:p>
        </w:tc>
        <w:tc>
          <w:tcPr>
            <w:tcW w:w="52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173355</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9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From time to time after the effective date of this registration statement.</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w:t>
      </w:r>
    </w:p>
    <w:p>
      <w:pPr>
        <w:spacing w:after="0" w:line="106" w:lineRule="exact"/>
        <w:rPr>
          <w:sz w:val="24"/>
          <w:szCs w:val="24"/>
          <w:color w:val="auto"/>
        </w:rPr>
      </w:pPr>
    </w:p>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00" w:lineRule="exact"/>
        <w:rPr>
          <w:sz w:val="24"/>
          <w:szCs w:val="24"/>
          <w:color w:val="auto"/>
        </w:rPr>
      </w:pPr>
    </w:p>
    <w:p>
      <w:pPr>
        <w:ind w:left="160" w:right="80"/>
        <w:spacing w:after="0" w:line="218"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13" w:lineRule="exact"/>
        <w:rPr>
          <w:sz w:val="24"/>
          <w:szCs w:val="24"/>
          <w:color w:val="auto"/>
        </w:rPr>
      </w:pPr>
    </w:p>
    <w:p>
      <w:pPr>
        <w:ind w:left="160"/>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00" w:lineRule="exact"/>
        <w:rPr>
          <w:sz w:val="24"/>
          <w:szCs w:val="24"/>
          <w:color w:val="auto"/>
        </w:rPr>
      </w:pPr>
    </w:p>
    <w:p>
      <w:pPr>
        <w:ind w:left="160" w:right="140"/>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13" w:lineRule="exact"/>
        <w:rPr>
          <w:sz w:val="24"/>
          <w:szCs w:val="24"/>
          <w:color w:val="auto"/>
        </w:rPr>
      </w:pPr>
    </w:p>
    <w:p>
      <w:pPr>
        <w:ind w:left="160" w:right="560"/>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00" w:lineRule="exact"/>
        <w:rPr>
          <w:sz w:val="24"/>
          <w:szCs w:val="24"/>
          <w:color w:val="auto"/>
        </w:rPr>
      </w:pPr>
    </w:p>
    <w:p>
      <w:pPr>
        <w:ind w:left="160" w:right="100"/>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13" w:lineRule="exact"/>
        <w:rPr>
          <w:sz w:val="24"/>
          <w:szCs w:val="24"/>
          <w:color w:val="auto"/>
        </w:rPr>
      </w:pPr>
    </w:p>
    <w:p>
      <w:pPr>
        <w:ind w:left="160" w:right="2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160" w:type="dxa"/>
        <w:tblCellMar>
          <w:top w:w="0" w:type="dxa"/>
          <w:left w:w="0" w:type="dxa"/>
          <w:bottom w:w="0" w:type="dxa"/>
          <w:right w:w="0" w:type="dxa"/>
        </w:tblCellMar>
      </w:tblPr>
      <w:tr>
        <w:trPr>
          <w:trHeight w:val="271"/>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08"/>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08"/>
        </w:trPr>
        <w:tc>
          <w:tcPr>
            <w:tcW w:w="1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2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3" w:lineRule="exact"/>
        <w:rPr>
          <w:sz w:val="24"/>
          <w:szCs w:val="24"/>
          <w:color w:val="auto"/>
        </w:rPr>
      </w:pPr>
    </w:p>
    <w:p>
      <w:pPr>
        <w:ind w:left="160" w:right="340"/>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ectPr>
          <w:pgSz w:w="11900" w:h="16838" w:orient="portrait"/>
          <w:cols w:equalWidth="0" w:num="1">
            <w:col w:w="11060"/>
          </w:cols>
          <w:pgMar w:left="320" w:top="224" w:right="519" w:bottom="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171450</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760"/>
          </w:cols>
          <w:pgMar w:left="480" w:top="124"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ectPr>
          <w:pgSz w:w="11900" w:h="16838" w:orient="portrait"/>
          <w:cols w:equalWidth="0" w:num="1">
            <w:col w:w="10160"/>
          </w:cols>
          <w:pgMar w:left="320" w:top="451" w:right="1419" w:bottom="1440" w:gutter="0" w:footer="0" w:header="0"/>
        </w:sectPr>
      </w:pPr>
    </w:p>
    <w:p>
      <w:pPr>
        <w:spacing w:after="0" w:line="200" w:lineRule="exact"/>
        <w:rPr>
          <w:sz w:val="20"/>
          <w:szCs w:val="20"/>
          <w:color w:val="auto"/>
        </w:rPr>
      </w:pPr>
    </w:p>
    <w:p>
      <w:pPr>
        <w:spacing w:after="0" w:line="288" w:lineRule="exact"/>
        <w:rPr>
          <w:sz w:val="20"/>
          <w:szCs w:val="20"/>
          <w:color w:val="auto"/>
        </w:rPr>
      </w:pPr>
    </w:p>
    <w:tbl>
      <w:tblPr>
        <w:tblLayout w:type="fixed"/>
        <w:tblInd w:w="160" w:type="dxa"/>
        <w:tblCellMar>
          <w:top w:w="0" w:type="dxa"/>
          <w:left w:w="0" w:type="dxa"/>
          <w:bottom w:w="0" w:type="dxa"/>
          <w:right w:w="0" w:type="dxa"/>
        </w:tblCellMar>
      </w:tblPr>
      <w:tr>
        <w:trPr>
          <w:trHeight w:val="891"/>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8"/>
              </w:rPr>
              <w:t>statement</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5"/>
              </w:rPr>
              <w:t>is not</w:t>
            </w:r>
          </w:p>
        </w:tc>
        <w:tc>
          <w:tcPr>
            <w:tcW w:w="180" w:type="dxa"/>
            <w:vAlign w:val="bottom"/>
          </w:tcPr>
          <w:p>
            <w:pPr>
              <w:spacing w:after="0"/>
              <w:rPr>
                <w:sz w:val="24"/>
                <w:szCs w:val="24"/>
                <w:color w:val="auto"/>
              </w:rPr>
            </w:pPr>
          </w:p>
        </w:tc>
      </w:tr>
      <w:tr>
        <w:trPr>
          <w:trHeight w:val="10579"/>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The information in this prospectus is not complete and may be changed. The securities may not be sold until the registration</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8"/>
              </w:rPr>
              <w:t>filed with the Securities and Exchange Commission is effective. This prospectus is not an offer to sell these securities and it</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8"/>
              </w:rPr>
              <w:t>soliciting an offer to buy these securities in any state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FF4338"/>
        </w:rPr>
        <w:t>Subject to Completion, dated June 26,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171450</wp:posOffset>
            </wp:positionV>
            <wp:extent cx="900430" cy="331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0043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221615</wp:posOffset>
            </wp:positionV>
            <wp:extent cx="12230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firstLine="368"/>
        <w:spacing w:after="0" w:line="254" w:lineRule="auto"/>
        <w:rPr>
          <w:sz w:val="20"/>
          <w:szCs w:val="20"/>
          <w:color w:val="auto"/>
        </w:rPr>
      </w:pPr>
      <w:r>
        <w:rPr>
          <w:rFonts w:ascii="Times New Roman" w:cs="Times New Roman" w:eastAsia="Times New Roman" w:hAnsi="Times New Roman"/>
          <w:sz w:val="18"/>
          <w:szCs w:val="18"/>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$1,000,000,000.</w:t>
      </w:r>
    </w:p>
    <w:p>
      <w:pPr>
        <w:spacing w:after="0" w:line="184" w:lineRule="exact"/>
        <w:rPr>
          <w:sz w:val="20"/>
          <w:szCs w:val="20"/>
          <w:color w:val="auto"/>
        </w:rPr>
      </w:pPr>
    </w:p>
    <w:p>
      <w:pPr>
        <w:ind w:firstLine="368"/>
        <w:spacing w:after="0" w:line="258"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80" w:lineRule="exact"/>
        <w:rPr>
          <w:sz w:val="20"/>
          <w:szCs w:val="20"/>
          <w:color w:val="auto"/>
        </w:rPr>
      </w:pPr>
    </w:p>
    <w:p>
      <w:pPr>
        <w:ind w:right="80" w:firstLine="368"/>
        <w:spacing w:after="0" w:line="258" w:lineRule="auto"/>
        <w:rPr>
          <w:sz w:val="20"/>
          <w:szCs w:val="20"/>
          <w:color w:val="auto"/>
        </w:rPr>
      </w:pPr>
      <w:r>
        <w:rPr>
          <w:rFonts w:ascii="Times New Roman" w:cs="Times New Roman" w:eastAsia="Times New Roman" w:hAnsi="Times New Roman"/>
          <w:sz w:val="18"/>
          <w:szCs w:val="18"/>
          <w:color w:val="auto"/>
        </w:rPr>
        <w:t>Our Class A common stock, par value $0.0001 per share (“Class A Common Stock”), and our public warrants to purchase Class A Common Stock are listed on the New York Stock Exchange (“NYSE”) under the symbols “BKKT” and “BKKT WS,” respectively. Each prospectus supplement will indicate whether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219075</wp:posOffset>
            </wp:positionV>
            <wp:extent cx="12230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80" w:firstLine="368"/>
        <w:spacing w:after="0" w:line="245"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risks. Please carefully read the information under the headings “</w:t>
      </w:r>
      <w:r>
        <w:rPr>
          <w:rFonts w:ascii="Times New Roman" w:cs="Times New Roman" w:eastAsia="Times New Roman" w:hAnsi="Times New Roman"/>
          <w:sz w:val="21"/>
          <w:szCs w:val="21"/>
          <w:b w:val="1"/>
          <w:bCs w:val="1"/>
          <w:i w:val="1"/>
          <w:iCs w:val="1"/>
          <w:u w:val="single" w:color="auto"/>
          <w:color w:val="0000EE"/>
        </w:rPr>
        <w:t>Risk Factors</w:t>
      </w:r>
      <w:r>
        <w:rPr>
          <w:rFonts w:ascii="Times New Roman" w:cs="Times New Roman" w:eastAsia="Times New Roman" w:hAnsi="Times New Roman"/>
          <w:sz w:val="21"/>
          <w:szCs w:val="21"/>
          <w:b w:val="1"/>
          <w:bCs w:val="1"/>
          <w:color w:val="auto"/>
        </w:rPr>
        <w:t xml:space="preserve">” beginning on page 6 of this prospectus and “ </w:t>
      </w:r>
      <w:r>
        <w:rPr>
          <w:rFonts w:ascii="Times New Roman" w:cs="Times New Roman" w:eastAsia="Times New Roman" w:hAnsi="Times New Roman"/>
          <w:sz w:val="21"/>
          <w:szCs w:val="21"/>
          <w:b w:val="1"/>
          <w:bCs w:val="1"/>
          <w:i w:val="1"/>
          <w:iCs w:val="1"/>
          <w:color w:val="auto"/>
        </w:rPr>
        <w:t>Item 1A – Risk Factors</w:t>
      </w:r>
      <w:r>
        <w:rPr>
          <w:rFonts w:ascii="Times New Roman" w:cs="Times New Roman" w:eastAsia="Times New Roman" w:hAnsi="Times New Roman"/>
          <w:sz w:val="21"/>
          <w:szCs w:val="21"/>
          <w:b w:val="1"/>
          <w:bCs w:val="1"/>
          <w:color w:val="auto"/>
        </w:rPr>
        <w:t>” of our most recent Annual Report on Form 10-K and any Quarterly Report on Form 10-Q filed subsequently to such Form 10-K that is incorporated by reference in this prospectus before you invest in our securities. In addition, please carefully read the information under the heading “Risk Factors Related to the Update of Our Investment Policy” in Exhibit 99.1 to our Current Report on Form 8-K filed on June 10, 2025 that is incorporated by reference in this prospectus before you invest in our securities.</w:t>
      </w:r>
    </w:p>
    <w:p>
      <w:pPr>
        <w:spacing w:after="0" w:line="177" w:lineRule="exact"/>
        <w:rPr>
          <w:sz w:val="20"/>
          <w:szCs w:val="20"/>
          <w:color w:val="auto"/>
        </w:rPr>
      </w:pPr>
    </w:p>
    <w:p>
      <w:pPr>
        <w:ind w:right="40" w:firstLine="368"/>
        <w:spacing w:after="0" w:line="265"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207010</wp:posOffset>
            </wp:positionV>
            <wp:extent cx="12230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 w:space="300"/>
            <w:col w:w="9140"/>
          </w:cols>
          <w:pgMar w:left="320" w:top="451" w:right="1419" w:bottom="1440" w:gutter="0" w:footer="0" w:header="0"/>
          <w:type w:val="continuous"/>
        </w:sectPr>
      </w:pPr>
    </w:p>
    <w:p>
      <w:pPr>
        <w:spacing w:after="0" w:line="3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ectPr>
          <w:pgSz w:w="11900" w:h="16838" w:orient="portrait"/>
          <w:cols w:equalWidth="0" w:num="1">
            <w:col w:w="10160"/>
          </w:cols>
          <w:pgMar w:left="320" w:top="451" w:right="14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20" w:type="dxa"/>
            <w:vAlign w:val="bottom"/>
          </w:tcPr>
          <w:p>
            <w:pPr>
              <w:jc w:val="right"/>
              <w:ind w:right="435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69"/>
        </w:trPr>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2"/>
        </w:trPr>
        <w:tc>
          <w:tcPr>
            <w:tcW w:w="1580" w:type="dxa"/>
            <w:vAlign w:val="bottom"/>
            <w:tcBorders>
              <w:bottom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1260" w:type="dxa"/>
            <w:vAlign w:val="bottom"/>
            <w:gridSpan w:val="6"/>
          </w:tcPr>
          <w:p>
            <w:pPr>
              <w:spacing w:after="0"/>
              <w:rPr>
                <w:sz w:val="16"/>
                <w:szCs w:val="16"/>
                <w:color w:val="auto"/>
              </w:rPr>
            </w:pPr>
          </w:p>
        </w:tc>
        <w:tc>
          <w:tcPr>
            <w:tcW w:w="80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ii</w:t>
            </w:r>
          </w:p>
        </w:tc>
      </w:tr>
      <w:tr>
        <w:trPr>
          <w:trHeight w:val="194"/>
        </w:trPr>
        <w:tc>
          <w:tcPr>
            <w:tcW w:w="152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1320" w:type="dxa"/>
            <w:vAlign w:val="bottom"/>
            <w:gridSpan w:val="7"/>
          </w:tcPr>
          <w:p>
            <w:pPr>
              <w:spacing w:after="0"/>
              <w:rPr>
                <w:sz w:val="16"/>
                <w:szCs w:val="16"/>
                <w:color w:val="auto"/>
              </w:rPr>
            </w:pP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4"/>
        </w:trPr>
        <w:tc>
          <w:tcPr>
            <w:tcW w:w="28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Risk Factors</w:t>
            </w: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194"/>
        </w:trPr>
        <w:tc>
          <w:tcPr>
            <w:tcW w:w="28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Forward-Looking Statements</w:t>
            </w: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w:t>
            </w:r>
          </w:p>
        </w:tc>
      </w:tr>
      <w:tr>
        <w:trPr>
          <w:trHeight w:val="194"/>
        </w:trPr>
        <w:tc>
          <w:tcPr>
            <w:tcW w:w="2100" w:type="dxa"/>
            <w:vAlign w:val="bottom"/>
            <w:tcBorders>
              <w:top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Use of Proceeds</w:t>
            </w:r>
          </w:p>
        </w:tc>
        <w:tc>
          <w:tcPr>
            <w:tcW w:w="740" w:type="dxa"/>
            <w:vAlign w:val="bottom"/>
            <w:gridSpan w:val="2"/>
          </w:tcPr>
          <w:p>
            <w:pPr>
              <w:spacing w:after="0"/>
              <w:rPr>
                <w:sz w:val="16"/>
                <w:szCs w:val="16"/>
                <w:color w:val="auto"/>
              </w:rPr>
            </w:pP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194"/>
        </w:trPr>
        <w:tc>
          <w:tcPr>
            <w:tcW w:w="28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194"/>
        </w:trPr>
        <w:tc>
          <w:tcPr>
            <w:tcW w:w="218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660" w:type="dxa"/>
            <w:vAlign w:val="bottom"/>
          </w:tcPr>
          <w:p>
            <w:pPr>
              <w:spacing w:after="0"/>
              <w:rPr>
                <w:sz w:val="16"/>
                <w:szCs w:val="16"/>
                <w:color w:val="auto"/>
              </w:rPr>
            </w:pP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w:t>
            </w:r>
          </w:p>
        </w:tc>
      </w:tr>
      <w:tr>
        <w:trPr>
          <w:trHeight w:val="194"/>
        </w:trPr>
        <w:tc>
          <w:tcPr>
            <w:tcW w:w="172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7"/>
              </w:rPr>
              <w:t>Description of Warrants</w:t>
            </w:r>
          </w:p>
        </w:tc>
        <w:tc>
          <w:tcPr>
            <w:tcW w:w="1120" w:type="dxa"/>
            <w:vAlign w:val="bottom"/>
            <w:gridSpan w:val="5"/>
          </w:tcPr>
          <w:p>
            <w:pPr>
              <w:spacing w:after="0"/>
              <w:rPr>
                <w:sz w:val="16"/>
                <w:szCs w:val="16"/>
                <w:color w:val="auto"/>
              </w:rPr>
            </w:pP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w:t>
            </w:r>
          </w:p>
        </w:tc>
      </w:tr>
      <w:tr>
        <w:trPr>
          <w:trHeight w:val="194"/>
        </w:trPr>
        <w:tc>
          <w:tcPr>
            <w:tcW w:w="28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Description of Units</w:t>
            </w: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w:t>
            </w:r>
          </w:p>
        </w:tc>
      </w:tr>
      <w:tr>
        <w:trPr>
          <w:trHeight w:val="194"/>
        </w:trPr>
        <w:tc>
          <w:tcPr>
            <w:tcW w:w="1460" w:type="dxa"/>
            <w:vAlign w:val="bottom"/>
            <w:tcBorders>
              <w:top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Plan of Distribution</w:t>
            </w:r>
          </w:p>
        </w:tc>
        <w:tc>
          <w:tcPr>
            <w:tcW w:w="1380" w:type="dxa"/>
            <w:vAlign w:val="bottom"/>
            <w:gridSpan w:val="8"/>
          </w:tcPr>
          <w:p>
            <w:pPr>
              <w:spacing w:after="0"/>
              <w:rPr>
                <w:sz w:val="16"/>
                <w:szCs w:val="16"/>
                <w:color w:val="auto"/>
              </w:rPr>
            </w:pP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w:t>
            </w:r>
          </w:p>
        </w:tc>
      </w:tr>
      <w:tr>
        <w:trPr>
          <w:trHeight w:val="194"/>
        </w:trPr>
        <w:tc>
          <w:tcPr>
            <w:tcW w:w="560" w:type="dxa"/>
            <w:vAlign w:val="bottom"/>
            <w:tcBorders>
              <w:top w:val="single" w:sz="8" w:color="0000EE"/>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8"/>
              </w:rPr>
              <w:t>Experts</w:t>
            </w:r>
          </w:p>
        </w:tc>
        <w:tc>
          <w:tcPr>
            <w:tcW w:w="860" w:type="dxa"/>
            <w:vAlign w:val="bottom"/>
            <w:tcBorders>
              <w:top w:val="single" w:sz="8" w:color="0000EE"/>
            </w:tcBorders>
            <w:gridSpan w:val="3"/>
          </w:tcPr>
          <w:p>
            <w:pPr>
              <w:spacing w:after="0"/>
              <w:rPr>
                <w:sz w:val="16"/>
                <w:szCs w:val="16"/>
                <w:color w:val="auto"/>
              </w:rPr>
            </w:pPr>
          </w:p>
        </w:tc>
        <w:tc>
          <w:tcPr>
            <w:tcW w:w="1420" w:type="dxa"/>
            <w:vAlign w:val="bottom"/>
            <w:gridSpan w:val="9"/>
          </w:tcPr>
          <w:p>
            <w:pPr>
              <w:spacing w:after="0"/>
              <w:rPr>
                <w:sz w:val="16"/>
                <w:szCs w:val="16"/>
                <w:color w:val="auto"/>
              </w:rPr>
            </w:pP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w:t>
            </w:r>
          </w:p>
        </w:tc>
      </w:tr>
      <w:tr>
        <w:trPr>
          <w:trHeight w:val="194"/>
        </w:trPr>
        <w:tc>
          <w:tcPr>
            <w:tcW w:w="284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7"/>
              </w:rPr>
              <w:t>Where You Can Find More Information</w:t>
            </w: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25</w:t>
            </w:r>
          </w:p>
        </w:tc>
      </w:tr>
      <w:tr>
        <w:trPr>
          <w:trHeight w:val="194"/>
        </w:trPr>
        <w:tc>
          <w:tcPr>
            <w:tcW w:w="28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bl>
    <w:p>
      <w:pPr>
        <w:spacing w:after="0" w:line="1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320" w:top="451"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w:t>
      </w:r>
    </w:p>
    <w:p>
      <w:pPr>
        <w:spacing w:after="0" w:line="175"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1"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637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4200" cy="66370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3" w:lineRule="exact"/>
        <w:rPr>
          <w:sz w:val="20"/>
          <w:szCs w:val="20"/>
          <w:color w:val="auto"/>
        </w:rPr>
      </w:pPr>
    </w:p>
    <w:p>
      <w:pPr>
        <w:ind w:left="340" w:firstLine="422"/>
        <w:spacing w:after="0" w:line="269"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jc w:val="both"/>
        <w:ind w:left="340" w:right="300"/>
        <w:spacing w:after="0" w:line="252" w:lineRule="auto"/>
        <w:rPr>
          <w:sz w:val="20"/>
          <w:szCs w:val="20"/>
          <w:color w:val="auto"/>
        </w:rPr>
      </w:pPr>
      <w:r>
        <w:rPr>
          <w:rFonts w:ascii="Times New Roman" w:cs="Times New Roman" w:eastAsia="Times New Roman" w:hAnsi="Times New Roman"/>
          <w:sz w:val="18"/>
          <w:szCs w:val="18"/>
          <w:i w:val="1"/>
          <w:iCs w:val="1"/>
          <w:color w:val="auto"/>
        </w:rPr>
        <w:t>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8" w:lineRule="exact"/>
        <w:rPr>
          <w:sz w:val="20"/>
          <w:szCs w:val="20"/>
          <w:color w:val="auto"/>
        </w:rPr>
      </w:pPr>
    </w:p>
    <w:p>
      <w:pPr>
        <w:ind w:left="340" w:right="140" w:firstLine="422"/>
        <w:spacing w:after="0" w:line="254"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1" w:lineRule="exact"/>
        <w:rPr>
          <w:sz w:val="20"/>
          <w:szCs w:val="20"/>
          <w:color w:val="auto"/>
        </w:rPr>
      </w:pPr>
    </w:p>
    <w:p>
      <w:pPr>
        <w:ind w:left="1280" w:right="160" w:hanging="410"/>
        <w:spacing w:after="0" w:line="263"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crypto trading platform provides consumers, businesses and institutions with the ability to buy, sell and store crypto in a simple, intuitive digital experience accessed via APIs or embedded web experience. We enable clients in various industries to provide their customers with the ability to transact in crypto directly in their trusted environments.</w:t>
      </w: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1" w:lineRule="exact"/>
        <w:rPr>
          <w:sz w:val="20"/>
          <w:szCs w:val="20"/>
          <w:color w:val="auto"/>
        </w:rPr>
      </w:pPr>
    </w:p>
    <w:p>
      <w:pPr>
        <w:ind w:left="1280" w:right="60" w:hanging="410"/>
        <w:spacing w:after="0" w:line="255" w:lineRule="auto"/>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118" w:lineRule="exact"/>
        <w:rPr>
          <w:sz w:val="20"/>
          <w:szCs w:val="20"/>
          <w:color w:val="auto"/>
        </w:rPr>
      </w:pPr>
    </w:p>
    <w:p>
      <w:pPr>
        <w:ind w:left="340" w:right="40" w:firstLine="422"/>
        <w:spacing w:after="0" w:line="258" w:lineRule="auto"/>
        <w:rPr>
          <w:sz w:val="20"/>
          <w:szCs w:val="20"/>
          <w:color w:val="auto"/>
        </w:rPr>
      </w:pPr>
      <w:r>
        <w:rPr>
          <w:rFonts w:ascii="Times New Roman" w:cs="Times New Roman" w:eastAsia="Times New Roman" w:hAnsi="Times New Roman"/>
          <w:sz w:val="18"/>
          <w:szCs w:val="18"/>
          <w:color w:val="auto"/>
        </w:rPr>
        <w:t>In March 2025, we entered into a Cooperation Agreement with Distributed Technologies Research Global Ltd. (“DTR”) and Akshay Naheta, the sole stockholder of DTR (the “Cooperation Agreement”). Pursuant to the Cooperation Agreement, DTR will provide us with certain exclusive payment processing technology, APIs and infrastructure to be integrated into our platform for the enablement of global payments processing services in the jurisdictions where we operate.</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Updated Investment Policy</w:t>
      </w:r>
    </w:p>
    <w:p>
      <w:pPr>
        <w:spacing w:after="0" w:line="118" w:lineRule="exact"/>
        <w:rPr>
          <w:sz w:val="20"/>
          <w:szCs w:val="20"/>
          <w:color w:val="auto"/>
        </w:rPr>
      </w:pPr>
    </w:p>
    <w:p>
      <w:pPr>
        <w:ind w:left="340" w:right="20" w:firstLine="422"/>
        <w:spacing w:after="0" w:line="263" w:lineRule="auto"/>
        <w:rPr>
          <w:sz w:val="20"/>
          <w:szCs w:val="20"/>
          <w:color w:val="auto"/>
        </w:rPr>
      </w:pPr>
      <w:r>
        <w:rPr>
          <w:rFonts w:ascii="Times New Roman" w:cs="Times New Roman" w:eastAsia="Times New Roman" w:hAnsi="Times New Roman"/>
          <w:sz w:val="18"/>
          <w:szCs w:val="18"/>
          <w:color w:val="auto"/>
        </w:rPr>
        <w:t>In June 2025 we updated our investment policy (“Investment Policy”) to enable us to allocate capital into Bitcoin and other digital assets as part of our broader treasury and corporate strategy, subject to market conditions and the anticipated liquidity needs of the business. We may acquire Bitcoin or other digital assets using excess</w:t>
      </w:r>
    </w:p>
    <w:p>
      <w:pPr>
        <w:spacing w:after="0" w:line="2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320" w:top="451"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560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4200" cy="65601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right="120"/>
        <w:spacing w:after="0" w:line="268" w:lineRule="auto"/>
        <w:rPr>
          <w:sz w:val="20"/>
          <w:szCs w:val="20"/>
          <w:color w:val="auto"/>
        </w:rPr>
      </w:pPr>
      <w:r>
        <w:rPr>
          <w:rFonts w:ascii="Times New Roman" w:cs="Times New Roman" w:eastAsia="Times New Roman" w:hAnsi="Times New Roman"/>
          <w:sz w:val="17"/>
          <w:szCs w:val="17"/>
          <w:color w:val="auto"/>
        </w:rPr>
        <w:t>cash, proceeds from future equity or debt financings, or other capital sources, subject to the limitation set forth in our Investment Policy. We also intend to explore further opportunistic financing alternatives, including the issuance of convertible notes, bonds, or other debt instruments, for the purpose of acquiring Bitcoin or other digital assets or otherwise in accordance with the our Investment Policy. To date, we have not purchased any Bitcoin or other digital assets pursuant to our updated Investment Policy. There can be no assurance that we will enter into any such transactions.</w:t>
      </w:r>
    </w:p>
    <w:p>
      <w:pPr>
        <w:spacing w:after="0" w:line="2" w:lineRule="exact"/>
        <w:rPr>
          <w:sz w:val="20"/>
          <w:szCs w:val="20"/>
          <w:color w:val="auto"/>
        </w:rPr>
      </w:pPr>
    </w:p>
    <w:p>
      <w:pPr>
        <w:ind w:left="340" w:right="220"/>
        <w:spacing w:after="0" w:line="256" w:lineRule="auto"/>
        <w:rPr>
          <w:sz w:val="20"/>
          <w:szCs w:val="20"/>
          <w:color w:val="auto"/>
        </w:rPr>
      </w:pPr>
      <w:r>
        <w:rPr>
          <w:rFonts w:ascii="Times New Roman" w:cs="Times New Roman" w:eastAsia="Times New Roman" w:hAnsi="Times New Roman"/>
          <w:sz w:val="18"/>
          <w:szCs w:val="18"/>
          <w:color w:val="auto"/>
        </w:rPr>
        <w:t>The timing and magnitude of any such transactions will depend on market conditions, capital market receptivity, business performance and other strategic considerations.</w:t>
      </w:r>
    </w:p>
    <w:p>
      <w:pPr>
        <w:spacing w:after="0" w:line="182" w:lineRule="exact"/>
        <w:rPr>
          <w:sz w:val="20"/>
          <w:szCs w:val="20"/>
          <w:color w:val="auto"/>
        </w:rPr>
      </w:pPr>
    </w:p>
    <w:p>
      <w:pPr>
        <w:ind w:left="340" w:right="100" w:firstLine="422"/>
        <w:spacing w:after="0" w:line="258" w:lineRule="auto"/>
        <w:rPr>
          <w:sz w:val="20"/>
          <w:szCs w:val="20"/>
          <w:color w:val="auto"/>
        </w:rPr>
      </w:pPr>
      <w:r>
        <w:rPr>
          <w:rFonts w:ascii="Times New Roman" w:cs="Times New Roman" w:eastAsia="Times New Roman" w:hAnsi="Times New Roman"/>
          <w:sz w:val="18"/>
          <w:szCs w:val="18"/>
          <w:color w:val="auto"/>
        </w:rPr>
        <w:t>There are risks associated with our Investment Policy, which may cause our business, financial condition, results of operations and future prospects to be materially adversely affected. For further details regarding the risks of implementing our strategy, refer to “</w:t>
      </w:r>
      <w:r>
        <w:rPr>
          <w:rFonts w:ascii="Times New Roman" w:cs="Times New Roman" w:eastAsia="Times New Roman" w:hAnsi="Times New Roman"/>
          <w:sz w:val="18"/>
          <w:szCs w:val="18"/>
          <w:i w:val="1"/>
          <w:iCs w:val="1"/>
          <w:color w:val="auto"/>
        </w:rPr>
        <w:t>Risk Factors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Update of our Investment Policy,</w:t>
      </w:r>
      <w:r>
        <w:rPr>
          <w:rFonts w:ascii="Times New Roman" w:cs="Times New Roman" w:eastAsia="Times New Roman" w:hAnsi="Times New Roman"/>
          <w:sz w:val="18"/>
          <w:szCs w:val="18"/>
          <w:color w:val="auto"/>
        </w:rPr>
        <w:t>” which is attached as Exhibit 99.1 to our Current Report on Form 8-K filed with the SEC on June 10,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by reference herein.</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8" w:lineRule="exact"/>
        <w:rPr>
          <w:sz w:val="20"/>
          <w:szCs w:val="20"/>
          <w:color w:val="auto"/>
        </w:rPr>
      </w:pPr>
    </w:p>
    <w:p>
      <w:pPr>
        <w:ind w:left="340" w:firstLine="422"/>
        <w:spacing w:after="0" w:line="285" w:lineRule="auto"/>
        <w:rPr>
          <w:sz w:val="20"/>
          <w:szCs w:val="20"/>
          <w:color w:val="auto"/>
        </w:rPr>
      </w:pPr>
      <w:r>
        <w:rPr>
          <w:rFonts w:ascii="Times New Roman" w:cs="Times New Roman" w:eastAsia="Times New Roman" w:hAnsi="Times New Roman"/>
          <w:sz w:val="17"/>
          <w:szCs w:val="17"/>
          <w:color w:val="auto"/>
        </w:rPr>
        <w:t>Investing in our securities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future prospects.</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29" w:lineRule="exact"/>
        <w:rPr>
          <w:sz w:val="20"/>
          <w:szCs w:val="20"/>
          <w:color w:val="auto"/>
        </w:rPr>
      </w:pPr>
    </w:p>
    <w:p>
      <w:pPr>
        <w:ind w:left="1280" w:hanging="41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27" w:lineRule="exact"/>
        <w:rPr>
          <w:rFonts w:ascii="Times New Roman" w:cs="Times New Roman" w:eastAsia="Times New Roman" w:hAnsi="Times New Roman"/>
          <w:sz w:val="18"/>
          <w:szCs w:val="18"/>
          <w:color w:val="auto"/>
        </w:rPr>
      </w:pPr>
    </w:p>
    <w:p>
      <w:pPr>
        <w:ind w:left="1280" w:right="20" w:hanging="410"/>
        <w:spacing w:after="0" w:line="278"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has been designed to meet the needs of our clients and customers, and as such we must continually invest in our platform to meet their evolving needs as we look to grow our business.</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27" w:lineRule="exact"/>
        <w:rPr>
          <w:rFonts w:ascii="Times New Roman" w:cs="Times New Roman" w:eastAsia="Times New Roman" w:hAnsi="Times New Roman"/>
          <w:sz w:val="18"/>
          <w:szCs w:val="18"/>
          <w:color w:val="auto"/>
        </w:rPr>
      </w:pPr>
    </w:p>
    <w:p>
      <w:pPr>
        <w:ind w:left="1280" w:right="560" w:hanging="410"/>
        <w:spacing w:after="0" w:line="278"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our business, financial condition, results of operations and future prospects would be materially and adversely affected.</w:t>
      </w:r>
    </w:p>
    <w:p>
      <w:pPr>
        <w:spacing w:after="0" w:line="68" w:lineRule="exact"/>
        <w:rPr>
          <w:rFonts w:ascii="Times New Roman" w:cs="Times New Roman" w:eastAsia="Times New Roman" w:hAnsi="Times New Roman"/>
          <w:sz w:val="18"/>
          <w:szCs w:val="18"/>
          <w:color w:val="auto"/>
        </w:rPr>
      </w:pPr>
    </w:p>
    <w:p>
      <w:pPr>
        <w:ind w:left="1280" w:right="100" w:hanging="410"/>
        <w:spacing w:after="0" w:line="263"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280" w:right="20" w:hanging="410"/>
        <w:spacing w:after="0" w:line="255"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90" w:lineRule="exact"/>
        <w:rPr>
          <w:rFonts w:ascii="Times New Roman" w:cs="Times New Roman" w:eastAsia="Times New Roman" w:hAnsi="Times New Roman"/>
          <w:sz w:val="18"/>
          <w:szCs w:val="18"/>
          <w:color w:val="auto"/>
        </w:rPr>
      </w:pPr>
    </w:p>
    <w:p>
      <w:pPr>
        <w:ind w:left="1280" w:right="20" w:hanging="410"/>
        <w:spacing w:after="0" w:line="278"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and integration of these acquisitions may disrupt our business and management.</w:t>
      </w:r>
    </w:p>
    <w:p>
      <w:pPr>
        <w:spacing w:after="0" w:line="68" w:lineRule="exact"/>
        <w:rPr>
          <w:rFonts w:ascii="Times New Roman" w:cs="Times New Roman" w:eastAsia="Times New Roman" w:hAnsi="Times New Roman"/>
          <w:sz w:val="18"/>
          <w:szCs w:val="18"/>
          <w:color w:val="auto"/>
        </w:rPr>
      </w:pPr>
    </w:p>
    <w:p>
      <w:pPr>
        <w:ind w:left="1280" w:right="100" w:hanging="410"/>
        <w:spacing w:after="0" w:line="263"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81" w:lineRule="exact"/>
        <w:rPr>
          <w:rFonts w:ascii="Times New Roman" w:cs="Times New Roman" w:eastAsia="Times New Roman" w:hAnsi="Times New Roman"/>
          <w:sz w:val="18"/>
          <w:szCs w:val="18"/>
          <w:color w:val="auto"/>
        </w:rPr>
      </w:pPr>
    </w:p>
    <w:p>
      <w:pPr>
        <w:ind w:left="1280" w:right="20" w:hanging="410"/>
        <w:spacing w:after="0" w:line="263"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under the Cooperation Agreement with DTR, including failing to enter into a commercial agreement with or successfully integrating our platform with DTR’s technology, and may be unable to successfully negotiate the terms to acquire DTR, either of which could adversely affect our business, financial condition and results of operations.</w:t>
      </w:r>
    </w:p>
    <w:p>
      <w:pPr>
        <w:spacing w:after="0" w:line="2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1"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203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4200" cy="62039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Risks Related to Crypto and Our Investment Policy</w:t>
      </w:r>
    </w:p>
    <w:p>
      <w:pPr>
        <w:spacing w:after="0" w:line="129" w:lineRule="exact"/>
        <w:rPr>
          <w:sz w:val="20"/>
          <w:szCs w:val="20"/>
          <w:color w:val="auto"/>
        </w:rPr>
      </w:pPr>
    </w:p>
    <w:p>
      <w:pPr>
        <w:ind w:left="1280" w:hanging="410"/>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27" w:lineRule="exact"/>
        <w:rPr>
          <w:rFonts w:ascii="Times New Roman" w:cs="Times New Roman" w:eastAsia="Times New Roman" w:hAnsi="Times New Roman"/>
          <w:sz w:val="18"/>
          <w:szCs w:val="18"/>
          <w:color w:val="auto"/>
        </w:rPr>
      </w:pPr>
    </w:p>
    <w:p>
      <w:pPr>
        <w:ind w:left="1280" w:right="760" w:hanging="410"/>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perception among regulators and others that crypto is used to facilitate illegal activity such as fraud, money laundering, tax evasion and ransomware scams.</w:t>
      </w:r>
    </w:p>
    <w:p>
      <w:pPr>
        <w:spacing w:after="0" w:line="68" w:lineRule="exact"/>
        <w:rPr>
          <w:rFonts w:ascii="Times New Roman" w:cs="Times New Roman" w:eastAsia="Times New Roman" w:hAnsi="Times New Roman"/>
          <w:sz w:val="18"/>
          <w:szCs w:val="18"/>
          <w:color w:val="auto"/>
        </w:rPr>
      </w:pPr>
    </w:p>
    <w:p>
      <w:pPr>
        <w:ind w:left="1280" w:right="20" w:hanging="410"/>
        <w:spacing w:after="0" w:line="263"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custodial solutions and related technology, including our systems and custodial arrangements, are subject to risks related to a loss of funds due to theft, employee or vendor sabotage, security and cybersecurity risks, system failures and other operational issues, the loss, destruction or other compromise of our private keys and a lack of sufficient insurance.</w:t>
      </w:r>
    </w:p>
    <w:p>
      <w:pPr>
        <w:spacing w:after="0" w:line="81" w:lineRule="exact"/>
        <w:rPr>
          <w:rFonts w:ascii="Times New Roman" w:cs="Times New Roman" w:eastAsia="Times New Roman" w:hAnsi="Times New Roman"/>
          <w:sz w:val="18"/>
          <w:szCs w:val="18"/>
          <w:color w:val="auto"/>
        </w:rPr>
      </w:pPr>
    </w:p>
    <w:p>
      <w:pPr>
        <w:ind w:left="1280" w:right="500" w:hanging="410"/>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and our customers’ crypto could adversely impact our business, operating results, and financial condition.</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27" w:lineRule="exact"/>
        <w:rPr>
          <w:rFonts w:ascii="Times New Roman" w:cs="Times New Roman" w:eastAsia="Times New Roman" w:hAnsi="Times New Roman"/>
          <w:sz w:val="18"/>
          <w:szCs w:val="18"/>
          <w:color w:val="auto"/>
        </w:rPr>
      </w:pPr>
    </w:p>
    <w:p>
      <w:pPr>
        <w:ind w:left="1280" w:right="240" w:hanging="410"/>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68" w:lineRule="exact"/>
        <w:rPr>
          <w:rFonts w:ascii="Times New Roman" w:cs="Times New Roman" w:eastAsia="Times New Roman" w:hAnsi="Times New Roman"/>
          <w:sz w:val="18"/>
          <w:szCs w:val="18"/>
          <w:color w:val="auto"/>
        </w:rPr>
      </w:pPr>
    </w:p>
    <w:p>
      <w:pPr>
        <w:ind w:left="1280" w:right="80" w:hanging="410"/>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and the market price of our securities are expected to be affected by fluctuations in the price of digital assets we may acquire in accordance with our Investment Policy, including Bitcoin, which are highly volatile assets.</w:t>
      </w:r>
    </w:p>
    <w:p>
      <w:pPr>
        <w:spacing w:after="0" w:line="68" w:lineRule="exact"/>
        <w:rPr>
          <w:rFonts w:ascii="Times New Roman" w:cs="Times New Roman" w:eastAsia="Times New Roman" w:hAnsi="Times New Roman"/>
          <w:sz w:val="18"/>
          <w:szCs w:val="18"/>
          <w:color w:val="auto"/>
        </w:rPr>
      </w:pPr>
    </w:p>
    <w:p>
      <w:pPr>
        <w:ind w:left="1280" w:hanging="410"/>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financial results may fluctuate significantly, including because we account for digital assets we hold at fair value, which may subject us to the corporate alternative minimum tax under the Inflation Reduction Act of 2022.</w:t>
      </w:r>
    </w:p>
    <w:p>
      <w:pPr>
        <w:spacing w:after="0" w:line="68" w:lineRule="exact"/>
        <w:rPr>
          <w:rFonts w:ascii="Times New Roman" w:cs="Times New Roman" w:eastAsia="Times New Roman" w:hAnsi="Times New Roman"/>
          <w:sz w:val="18"/>
          <w:szCs w:val="18"/>
          <w:color w:val="auto"/>
        </w:rPr>
      </w:pPr>
    </w:p>
    <w:p>
      <w:pPr>
        <w:ind w:left="1280" w:right="200" w:hanging="410"/>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any purchases of Bitcoin and other digital assets we may acquire in accordance with our Investment Policy will be limited.</w:t>
      </w:r>
    </w:p>
    <w:p>
      <w:pPr>
        <w:spacing w:after="0" w:line="68" w:lineRule="exact"/>
        <w:rPr>
          <w:rFonts w:ascii="Times New Roman" w:cs="Times New Roman" w:eastAsia="Times New Roman" w:hAnsi="Times New Roman"/>
          <w:sz w:val="18"/>
          <w:szCs w:val="18"/>
          <w:color w:val="auto"/>
        </w:rPr>
      </w:pPr>
    </w:p>
    <w:p>
      <w:pPr>
        <w:ind w:left="1280" w:right="480" w:hanging="410"/>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value of any digital assets we may acquire in accordance with our Investment Policy could adversely affect our ability to satisfy financial obligations, including any debt financings.</w:t>
      </w:r>
    </w:p>
    <w:p>
      <w:pPr>
        <w:spacing w:after="0" w:line="68" w:lineRule="exact"/>
        <w:rPr>
          <w:rFonts w:ascii="Times New Roman" w:cs="Times New Roman" w:eastAsia="Times New Roman" w:hAnsi="Times New Roman"/>
          <w:sz w:val="18"/>
          <w:szCs w:val="18"/>
          <w:color w:val="auto"/>
        </w:rPr>
      </w:pPr>
    </w:p>
    <w:p>
      <w:pPr>
        <w:jc w:val="both"/>
        <w:ind w:left="1280" w:right="200" w:hanging="410"/>
        <w:spacing w:after="0" w:line="263"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implementation of our Investment Policy, competition by other digital asset companies and the availability of spot exchange-traded products for Bitcoin and other digital assets may adversely affect our business, financial condition, results of operations and future prospects.</w:t>
      </w:r>
    </w:p>
    <w:p>
      <w:pPr>
        <w:spacing w:after="0" w:line="81" w:lineRule="exact"/>
        <w:rPr>
          <w:rFonts w:ascii="Times New Roman" w:cs="Times New Roman" w:eastAsia="Times New Roman" w:hAnsi="Times New Roman"/>
          <w:sz w:val="18"/>
          <w:szCs w:val="18"/>
          <w:color w:val="auto"/>
        </w:rPr>
      </w:pPr>
    </w:p>
    <w:p>
      <w:pPr>
        <w:ind w:left="1280" w:right="20" w:hanging="410"/>
        <w:spacing w:after="0" w:line="27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digital assets we may acquire in accordance with our Investment Policy may not be able to serve as a source of liquidity for us to the same extent as cash and cash equivalents.</w:t>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29" w:lineRule="exact"/>
        <w:rPr>
          <w:sz w:val="20"/>
          <w:szCs w:val="20"/>
          <w:color w:val="auto"/>
        </w:rPr>
      </w:pPr>
    </w:p>
    <w:p>
      <w:pPr>
        <w:ind w:left="1280" w:right="340" w:hanging="410"/>
        <w:spacing w:after="0" w:line="27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8" w:lineRule="exact"/>
        <w:rPr>
          <w:rFonts w:ascii="Times New Roman" w:cs="Times New Roman" w:eastAsia="Times New Roman" w:hAnsi="Times New Roman"/>
          <w:sz w:val="18"/>
          <w:szCs w:val="18"/>
          <w:color w:val="auto"/>
        </w:rPr>
      </w:pPr>
    </w:p>
    <w:p>
      <w:pPr>
        <w:ind w:left="1280" w:right="80" w:hanging="410"/>
        <w:spacing w:after="0" w:line="263"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regimes governing blockchain technologies and crypto are uncertain and may change rapidly. New regulations or policies may alter or significantly adversely affect our business practices with respect to crypto assets, and we may need to adapt our business to regulatory change quickly to succeed.</w:t>
      </w:r>
    </w:p>
    <w:p>
      <w:pPr>
        <w:spacing w:after="0" w:line="81" w:lineRule="exact"/>
        <w:rPr>
          <w:rFonts w:ascii="Times New Roman" w:cs="Times New Roman" w:eastAsia="Times New Roman" w:hAnsi="Times New Roman"/>
          <w:sz w:val="18"/>
          <w:szCs w:val="18"/>
          <w:color w:val="auto"/>
        </w:rPr>
      </w:pPr>
    </w:p>
    <w:p>
      <w:pPr>
        <w:ind w:left="1280" w:right="140" w:hanging="410"/>
        <w:spacing w:after="0" w:line="263"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currently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9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320" w:top="451" w:right="7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637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4200" cy="66370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400" w:hanging="410"/>
        <w:spacing w:after="0" w:line="278"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29" w:lineRule="exact"/>
        <w:rPr>
          <w:sz w:val="20"/>
          <w:szCs w:val="20"/>
          <w:color w:val="auto"/>
        </w:rPr>
      </w:pPr>
    </w:p>
    <w:p>
      <w:pPr>
        <w:ind w:left="1280" w:right="120" w:hanging="410"/>
        <w:spacing w:after="0" w:line="278"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29" w:lineRule="exact"/>
        <w:rPr>
          <w:sz w:val="20"/>
          <w:szCs w:val="20"/>
          <w:color w:val="auto"/>
        </w:rPr>
      </w:pPr>
    </w:p>
    <w:p>
      <w:pPr>
        <w:ind w:left="1280" w:right="400" w:hanging="410"/>
        <w:spacing w:after="0" w:line="278"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6" w:lineRule="exact"/>
        <w:rPr>
          <w:sz w:val="20"/>
          <w:szCs w:val="20"/>
          <w:color w:val="auto"/>
        </w:rPr>
      </w:pPr>
    </w:p>
    <w:p>
      <w:pPr>
        <w:ind w:left="340" w:right="100" w:firstLine="8"/>
        <w:spacing w:after="0" w:line="256" w:lineRule="auto"/>
        <w:tabs>
          <w:tab w:leader="none" w:pos="7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18" w:lineRule="exact"/>
        <w:rPr>
          <w:sz w:val="20"/>
          <w:szCs w:val="20"/>
          <w:color w:val="auto"/>
        </w:rPr>
      </w:pPr>
    </w:p>
    <w:p>
      <w:pPr>
        <w:ind w:left="340" w:right="60" w:firstLine="422"/>
        <w:spacing w:after="0" w:line="258" w:lineRule="auto"/>
        <w:rPr>
          <w:sz w:val="20"/>
          <w:szCs w:val="20"/>
          <w:color w:val="auto"/>
        </w:rPr>
      </w:pPr>
      <w:r>
        <w:rPr>
          <w:rFonts w:ascii="Times New Roman" w:cs="Times New Roman" w:eastAsia="Times New Roman" w:hAnsi="Times New Roman"/>
          <w:sz w:val="18"/>
          <w:szCs w:val="18"/>
          <w:color w:val="auto"/>
        </w:rPr>
        <w:t>We may offer or sell Class A Common Stock, preferred stock, debt securities, warrants and units in one or more offerings and in any combination. The aggregate offering price of the securities we sell pursuant to this prospectus will not exceed $1,000,000,000.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40" w:firstLine="422"/>
        <w:spacing w:after="0" w:line="258"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18" w:lineRule="exact"/>
        <w:rPr>
          <w:sz w:val="20"/>
          <w:szCs w:val="20"/>
          <w:color w:val="auto"/>
        </w:rPr>
      </w:pPr>
    </w:p>
    <w:p>
      <w:pPr>
        <w:ind w:left="340" w:right="340" w:firstLine="422"/>
        <w:spacing w:after="0" w:line="255" w:lineRule="auto"/>
        <w:rPr>
          <w:sz w:val="20"/>
          <w:szCs w:val="20"/>
          <w:color w:val="auto"/>
        </w:rPr>
      </w:pPr>
      <w:r>
        <w:rPr>
          <w:rFonts w:ascii="Times New Roman" w:cs="Times New Roman" w:eastAsia="Times New Roman" w:hAnsi="Times New Roman"/>
          <w:sz w:val="18"/>
          <w:szCs w:val="18"/>
          <w:color w:val="auto"/>
        </w:rPr>
        <w:t>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8" w:lineRule="exact"/>
        <w:rPr>
          <w:sz w:val="20"/>
          <w:szCs w:val="20"/>
          <w:color w:val="auto"/>
        </w:rPr>
      </w:pPr>
    </w:p>
    <w:p>
      <w:pPr>
        <w:ind w:left="340" w:right="200" w:firstLine="422"/>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3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1"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3018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0" cy="30187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18" w:lineRule="exact"/>
        <w:rPr>
          <w:sz w:val="20"/>
          <w:szCs w:val="20"/>
          <w:color w:val="auto"/>
        </w:rPr>
      </w:pPr>
    </w:p>
    <w:p>
      <w:pPr>
        <w:ind w:left="340" w:right="200" w:firstLine="422"/>
        <w:spacing w:after="0" w:line="274" w:lineRule="auto"/>
        <w:rPr>
          <w:sz w:val="20"/>
          <w:szCs w:val="20"/>
          <w:color w:val="auto"/>
        </w:rPr>
      </w:pPr>
      <w:r>
        <w:rPr>
          <w:rFonts w:ascii="Times New Roman" w:cs="Times New Roman" w:eastAsia="Times New Roman" w:hAnsi="Times New Roman"/>
          <w:sz w:val="17"/>
          <w:szCs w:val="17"/>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w:t>
      </w:r>
    </w:p>
    <w:p>
      <w:pPr>
        <w:spacing w:after="0" w:line="168" w:lineRule="exact"/>
        <w:rPr>
          <w:sz w:val="20"/>
          <w:szCs w:val="20"/>
          <w:color w:val="auto"/>
        </w:rPr>
      </w:pPr>
    </w:p>
    <w:p>
      <w:pPr>
        <w:jc w:val="both"/>
        <w:ind w:left="340" w:right="220" w:firstLine="422"/>
        <w:spacing w:after="0" w:line="285"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18" w:lineRule="exact"/>
        <w:rPr>
          <w:sz w:val="20"/>
          <w:szCs w:val="20"/>
          <w:color w:val="auto"/>
        </w:rPr>
      </w:pPr>
    </w:p>
    <w:p>
      <w:pPr>
        <w:ind w:left="340" w:right="120" w:firstLine="422"/>
        <w:spacing w:after="0" w:line="278" w:lineRule="auto"/>
        <w:rPr>
          <w:sz w:val="20"/>
          <w:szCs w:val="20"/>
          <w:color w:val="auto"/>
        </w:rPr>
      </w:pPr>
      <w:r>
        <w:rPr>
          <w:rFonts w:ascii="Times New Roman" w:cs="Times New Roman" w:eastAsia="Times New Roman" w:hAnsi="Times New Roman"/>
          <w:sz w:val="18"/>
          <w:szCs w:val="18"/>
          <w:color w:val="auto"/>
        </w:rPr>
        <w:t>We may offer warrants for the purchase of Class A Common Stock, preferred stock or debt securities. We may offer warrants independently or together with other securities.</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18" w:lineRule="exact"/>
        <w:rPr>
          <w:sz w:val="20"/>
          <w:szCs w:val="20"/>
          <w:color w:val="auto"/>
        </w:rPr>
      </w:pPr>
    </w:p>
    <w:p>
      <w:pPr>
        <w:ind w:left="340" w:firstLine="422"/>
        <w:spacing w:after="0" w:line="278"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320" w:top="451" w:right="7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In addition, you should consider the risks, uncertainties and assumptions discussed under the heading “Risk Factors Related to the Update of Our Investment Policy” in Exhibit 99.1 to our Current Report on Form 8-K filed on June 10, 2025 that is incorporated by reference in this prospectus before you invest in our securities. The risks and uncertainties we have described are not the only ones we face. Additional risks and uncertainties not presently known to us or that we currently deem immaterial may also affect our operations.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1"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ind w:left="160" w:right="160" w:firstLine="436"/>
        <w:spacing w:after="0" w:line="251"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95" w:lineRule="exact"/>
        <w:rPr>
          <w:sz w:val="20"/>
          <w:szCs w:val="20"/>
          <w:color w:val="auto"/>
        </w:rPr>
      </w:pPr>
    </w:p>
    <w:p>
      <w:pPr>
        <w:ind w:left="1140" w:hanging="438"/>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adoption of our updated Investment Policy.</w:t>
      </w:r>
    </w:p>
    <w:p>
      <w:pPr>
        <w:spacing w:after="0" w:line="221" w:lineRule="exact"/>
        <w:rPr>
          <w:sz w:val="20"/>
          <w:szCs w:val="20"/>
          <w:color w:val="auto"/>
        </w:rPr>
      </w:pPr>
    </w:p>
    <w:p>
      <w:pPr>
        <w:ind w:left="160" w:right="240" w:firstLine="436"/>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4" w:lineRule="exact"/>
        <w:rPr>
          <w:sz w:val="20"/>
          <w:szCs w:val="20"/>
          <w:color w:val="auto"/>
        </w:rPr>
      </w:pPr>
    </w:p>
    <w:p>
      <w:pPr>
        <w:jc w:val="both"/>
        <w:ind w:left="160" w:right="340" w:firstLine="436"/>
        <w:spacing w:after="0" w:line="285" w:lineRule="auto"/>
        <w:rPr>
          <w:sz w:val="20"/>
          <w:szCs w:val="20"/>
          <w:color w:val="auto"/>
        </w:rPr>
      </w:pPr>
      <w:r>
        <w:rPr>
          <w:rFonts w:ascii="Times New Roman" w:cs="Times New Roman" w:eastAsia="Times New Roman" w:hAnsi="Times New Roman"/>
          <w:sz w:val="17"/>
          <w:szCs w:val="17"/>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66" w:lineRule="exact"/>
        <w:rPr>
          <w:sz w:val="20"/>
          <w:szCs w:val="20"/>
          <w:color w:val="auto"/>
        </w:rPr>
      </w:pPr>
    </w:p>
    <w:p>
      <w:pPr>
        <w:ind w:left="1140" w:hanging="43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obtain the applicable regulatory approvals to execute on the cooperation agreement with DTR;</w:t>
      </w:r>
    </w:p>
    <w:p>
      <w:pPr>
        <w:spacing w:after="0" w:line="127" w:lineRule="exact"/>
        <w:rPr>
          <w:rFonts w:ascii="Times New Roman" w:cs="Times New Roman" w:eastAsia="Times New Roman" w:hAnsi="Times New Roman"/>
          <w:sz w:val="18"/>
          <w:szCs w:val="18"/>
          <w:color w:val="auto"/>
        </w:rPr>
      </w:pPr>
    </w:p>
    <w:p>
      <w:pPr>
        <w:ind w:left="1140" w:hanging="438"/>
        <w:spacing w:after="0" w:line="263"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crypto currencies and digital stablecoin payments;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including our adoption of the updated Investment Policy;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27" w:lineRule="exact"/>
        <w:rPr>
          <w:rFonts w:ascii="Times New Roman" w:cs="Times New Roman" w:eastAsia="Times New Roman" w:hAnsi="Times New Roman"/>
          <w:sz w:val="18"/>
          <w:szCs w:val="18"/>
          <w:color w:val="auto"/>
        </w:rPr>
      </w:pPr>
    </w:p>
    <w:p>
      <w:pPr>
        <w:ind w:left="1140" w:right="280" w:hanging="438"/>
        <w:spacing w:after="0" w:line="263"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may be required to account for our digital assets at fair value;</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2"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pursuant to our updated Investment Policy;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fair value gains on our digital asset holdings subjecting us to the corporate alternative minimum tax;</w:t>
      </w:r>
    </w:p>
    <w:p>
      <w:pPr>
        <w:spacing w:after="0" w:line="127" w:lineRule="exact"/>
        <w:rPr>
          <w:rFonts w:ascii="Times New Roman" w:cs="Times New Roman" w:eastAsia="Times New Roman" w:hAnsi="Times New Roman"/>
          <w:sz w:val="18"/>
          <w:szCs w:val="18"/>
          <w:color w:val="auto"/>
        </w:rPr>
      </w:pPr>
    </w:p>
    <w:p>
      <w:pPr>
        <w:ind w:left="1140" w:right="40" w:hanging="438"/>
        <w:spacing w:after="0" w:line="263"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updated Investment Policy;</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63"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expected digital asset holdings relative to non-digital assets;</w:t>
      </w:r>
    </w:p>
    <w:p>
      <w:pPr>
        <w:spacing w:after="0" w:line="127" w:lineRule="exact"/>
        <w:rPr>
          <w:rFonts w:ascii="Times New Roman" w:cs="Times New Roman" w:eastAsia="Times New Roman" w:hAnsi="Times New Roman"/>
          <w:sz w:val="18"/>
          <w:szCs w:val="18"/>
          <w:color w:val="auto"/>
        </w:rPr>
      </w:pPr>
    </w:p>
    <w:p>
      <w:pPr>
        <w:ind w:left="1140" w:right="140" w:hanging="438"/>
        <w:spacing w:after="0" w:line="27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8" w:lineRule="exact"/>
        <w:rPr>
          <w:rFonts w:ascii="Times New Roman" w:cs="Times New Roman" w:eastAsia="Times New Roman" w:hAnsi="Times New Roman"/>
          <w:sz w:val="18"/>
          <w:szCs w:val="18"/>
          <w:color w:val="auto"/>
        </w:rPr>
      </w:pPr>
    </w:p>
    <w:p>
      <w:pPr>
        <w:ind w:left="1140" w:right="440" w:hanging="438"/>
        <w:spacing w:after="0" w:line="27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digital assets;</w:t>
      </w:r>
    </w:p>
    <w:p>
      <w:pPr>
        <w:spacing w:after="0" w:line="68" w:lineRule="exact"/>
        <w:rPr>
          <w:rFonts w:ascii="Times New Roman" w:cs="Times New Roman" w:eastAsia="Times New Roman" w:hAnsi="Times New Roman"/>
          <w:sz w:val="18"/>
          <w:szCs w:val="18"/>
          <w:color w:val="auto"/>
        </w:rPr>
      </w:pPr>
    </w:p>
    <w:p>
      <w:pPr>
        <w:ind w:left="1140" w:right="320" w:hanging="438"/>
        <w:spacing w:after="0" w:line="27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8" w:lineRule="exact"/>
        <w:rPr>
          <w:rFonts w:ascii="Times New Roman" w:cs="Times New Roman" w:eastAsia="Times New Roman" w:hAnsi="Times New Roman"/>
          <w:sz w:val="18"/>
          <w:szCs w:val="18"/>
          <w:color w:val="auto"/>
        </w:rPr>
      </w:pPr>
    </w:p>
    <w:p>
      <w:pPr>
        <w:ind w:left="1140" w:hanging="438"/>
        <w:spacing w:after="0" w:line="25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w:t>
      </w:r>
    </w:p>
    <w:p>
      <w:pPr>
        <w:spacing w:after="0" w:line="86"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updated Investment Policy;</w:t>
      </w:r>
    </w:p>
    <w:p>
      <w:pPr>
        <w:spacing w:after="0" w:line="127"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 and continued access to the line of credit provided by Intercontinental Exchange Holdings, Inc.;</w:t>
      </w:r>
    </w:p>
    <w:p>
      <w:pPr>
        <w:spacing w:after="0" w:line="68" w:lineRule="exact"/>
        <w:rPr>
          <w:rFonts w:ascii="Times New Roman" w:cs="Times New Roman" w:eastAsia="Times New Roman" w:hAnsi="Times New Roman"/>
          <w:sz w:val="18"/>
          <w:szCs w:val="18"/>
          <w:color w:val="auto"/>
        </w:rPr>
      </w:pPr>
    </w:p>
    <w:p>
      <w:pPr>
        <w:ind w:left="1140" w:right="400" w:hanging="438"/>
        <w:spacing w:after="0" w:line="27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27" w:lineRule="exact"/>
        <w:rPr>
          <w:rFonts w:ascii="Times New Roman" w:cs="Times New Roman" w:eastAsia="Times New Roman" w:hAnsi="Times New Roman"/>
          <w:sz w:val="18"/>
          <w:szCs w:val="18"/>
          <w:color w:val="auto"/>
        </w:rPr>
      </w:pPr>
    </w:p>
    <w:p>
      <w:pPr>
        <w:ind w:left="1140" w:right="180" w:hanging="438"/>
        <w:spacing w:after="0" w:line="308"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46" w:lineRule="exact"/>
        <w:rPr>
          <w:rFonts w:ascii="Times New Roman" w:cs="Times New Roman" w:eastAsia="Times New Roman" w:hAnsi="Times New Roman"/>
          <w:sz w:val="17"/>
          <w:szCs w:val="17"/>
          <w:color w:val="auto"/>
        </w:rPr>
      </w:pPr>
    </w:p>
    <w:p>
      <w:pPr>
        <w:ind w:left="1140" w:hanging="438"/>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451"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line="278"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8"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 strategic transaction of the Loyalty business;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regulatory regime governing blockchain technologies, stablecoins, digital payments and crypto;</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and</w:t>
      </w:r>
    </w:p>
    <w:p>
      <w:pPr>
        <w:spacing w:after="0" w:line="125" w:lineRule="exact"/>
        <w:rPr>
          <w:rFonts w:ascii="Times New Roman" w:cs="Times New Roman" w:eastAsia="Times New Roman" w:hAnsi="Times New Roman"/>
          <w:sz w:val="18"/>
          <w:szCs w:val="18"/>
          <w:color w:val="auto"/>
        </w:rPr>
      </w:pPr>
    </w:p>
    <w:p>
      <w:pPr>
        <w:ind w:left="1140" w:right="220" w:hanging="438"/>
        <w:spacing w:after="0" w:line="280"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1"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w:t>
      </w:r>
    </w:p>
    <w:p>
      <w:pPr>
        <w:spacing w:after="0" w:line="3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4.9 to our Annual Report on Form 10-K for the fiscal year ended December 31, 2024, filed with the SEC on March 20, 2025.</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320" w:top="451" w:right="5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5" w:lineRule="exact"/>
        <w:rPr>
          <w:sz w:val="20"/>
          <w:szCs w:val="20"/>
          <w:color w:val="auto"/>
        </w:rPr>
      </w:pPr>
    </w:p>
    <w:p>
      <w:pPr>
        <w:ind w:left="160" w:right="240" w:firstLine="436"/>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5" w:lineRule="exact"/>
        <w:rPr>
          <w:sz w:val="20"/>
          <w:szCs w:val="20"/>
          <w:color w:val="auto"/>
        </w:rPr>
      </w:pPr>
    </w:p>
    <w:p>
      <w:pPr>
        <w:ind w:left="160" w:right="260" w:firstLine="436"/>
        <w:spacing w:after="0" w:line="255"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5" w:lineRule="exact"/>
        <w:rPr>
          <w:sz w:val="20"/>
          <w:szCs w:val="20"/>
          <w:color w:val="auto"/>
        </w:rPr>
      </w:pPr>
    </w:p>
    <w:p>
      <w:pPr>
        <w:jc w:val="both"/>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2" w:lineRule="exact"/>
        <w:rPr>
          <w:sz w:val="20"/>
          <w:szCs w:val="20"/>
          <w:color w:val="auto"/>
        </w:rPr>
      </w:pPr>
    </w:p>
    <w:p>
      <w:pPr>
        <w:ind w:left="1140" w:hanging="438"/>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27" w:lineRule="exact"/>
        <w:rPr>
          <w:rFonts w:ascii="Times New Roman" w:cs="Times New Roman" w:eastAsia="Times New Roman" w:hAnsi="Times New Roman"/>
          <w:sz w:val="18"/>
          <w:szCs w:val="18"/>
          <w:color w:val="auto"/>
        </w:rPr>
      </w:pPr>
    </w:p>
    <w:p>
      <w:pPr>
        <w:ind w:left="1140" w:right="140" w:hanging="438"/>
        <w:spacing w:after="0" w:line="258"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6" w:lineRule="exact"/>
        <w:rPr>
          <w:rFonts w:ascii="Times New Roman" w:cs="Times New Roman" w:eastAsia="Times New Roman" w:hAnsi="Times New Roman"/>
          <w:sz w:val="18"/>
          <w:szCs w:val="18"/>
          <w:color w:val="auto"/>
        </w:rPr>
      </w:pPr>
    </w:p>
    <w:p>
      <w:pPr>
        <w:jc w:val="both"/>
        <w:ind w:left="1140" w:right="80" w:hanging="438"/>
        <w:spacing w:after="0" w:line="263"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140" w:right="700" w:hanging="438"/>
        <w:spacing w:after="0" w:line="278"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2"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8"/>
        <w:spacing w:after="0" w:line="263"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140" w:right="300" w:hanging="438"/>
        <w:spacing w:after="0" w:line="278"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27" w:lineRule="exact"/>
        <w:rPr>
          <w:rFonts w:ascii="Times New Roman" w:cs="Times New Roman" w:eastAsia="Times New Roman" w:hAnsi="Times New Roman"/>
          <w:sz w:val="18"/>
          <w:szCs w:val="18"/>
          <w:color w:val="auto"/>
        </w:rPr>
      </w:pPr>
    </w:p>
    <w:p>
      <w:pPr>
        <w:ind w:left="1140" w:right="540" w:hanging="438"/>
        <w:spacing w:after="0" w:line="278"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8"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8" w:lineRule="exact"/>
        <w:rPr>
          <w:rFonts w:ascii="Times New Roman" w:cs="Times New Roman" w:eastAsia="Times New Roman" w:hAnsi="Times New Roman"/>
          <w:sz w:val="18"/>
          <w:szCs w:val="18"/>
          <w:color w:val="auto"/>
        </w:rPr>
      </w:pPr>
    </w:p>
    <w:p>
      <w:pPr>
        <w:ind w:left="1140" w:right="80" w:hanging="438"/>
        <w:spacing w:after="0" w:line="278"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8" w:lineRule="exact"/>
        <w:rPr>
          <w:rFonts w:ascii="Times New Roman" w:cs="Times New Roman" w:eastAsia="Times New Roman" w:hAnsi="Times New Roman"/>
          <w:sz w:val="18"/>
          <w:szCs w:val="18"/>
          <w:color w:val="auto"/>
        </w:rPr>
      </w:pPr>
    </w:p>
    <w:p>
      <w:pPr>
        <w:ind w:left="1140" w:right="100" w:hanging="438"/>
        <w:spacing w:after="0" w:line="263"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140" w:right="20" w:hanging="438"/>
        <w:spacing w:after="0" w:line="263"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27" w:lineRule="exact"/>
        <w:rPr>
          <w:rFonts w:ascii="Times New Roman" w:cs="Times New Roman" w:eastAsia="Times New Roman" w:hAnsi="Times New Roman"/>
          <w:sz w:val="18"/>
          <w:szCs w:val="18"/>
          <w:color w:val="auto"/>
        </w:rPr>
      </w:pPr>
    </w:p>
    <w:p>
      <w:pPr>
        <w:ind w:left="1140" w:right="80" w:hanging="438"/>
        <w:spacing w:after="0" w:line="308"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46" w:lineRule="exact"/>
        <w:rPr>
          <w:rFonts w:ascii="Times New Roman" w:cs="Times New Roman" w:eastAsia="Times New Roman" w:hAnsi="Times New Roman"/>
          <w:sz w:val="17"/>
          <w:szCs w:val="17"/>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27" w:lineRule="exact"/>
        <w:rPr>
          <w:rFonts w:ascii="Times New Roman" w:cs="Times New Roman" w:eastAsia="Times New Roman" w:hAnsi="Times New Roman"/>
          <w:sz w:val="18"/>
          <w:szCs w:val="18"/>
          <w:color w:val="auto"/>
        </w:rPr>
      </w:pPr>
    </w:p>
    <w:p>
      <w:pPr>
        <w:ind w:left="1140" w:right="180" w:hanging="438"/>
        <w:spacing w:after="0" w:line="263"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5"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451" w:right="5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40"/>
        <w:spacing w:after="0" w:line="263" w:lineRule="auto"/>
        <w:rPr>
          <w:sz w:val="20"/>
          <w:szCs w:val="20"/>
          <w:color w:val="auto"/>
        </w:rPr>
      </w:pPr>
      <w:r>
        <w:rPr>
          <w:rFonts w:ascii="Times New Roman" w:cs="Times New Roman" w:eastAsia="Times New Roman" w:hAnsi="Times New Roman"/>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18" w:lineRule="exact"/>
        <w:rPr>
          <w:sz w:val="20"/>
          <w:szCs w:val="20"/>
          <w:color w:val="auto"/>
        </w:rPr>
      </w:pPr>
    </w:p>
    <w:p>
      <w:pPr>
        <w:ind w:left="160" w:firstLine="436"/>
        <w:spacing w:after="0" w:line="274" w:lineRule="auto"/>
        <w:rPr>
          <w:sz w:val="20"/>
          <w:szCs w:val="20"/>
          <w:color w:val="auto"/>
        </w:rPr>
      </w:pPr>
      <w:r>
        <w:rPr>
          <w:rFonts w:ascii="Times New Roman" w:cs="Times New Roman" w:eastAsia="Times New Roman" w:hAnsi="Times New Roman"/>
          <w:sz w:val="17"/>
          <w:szCs w:val="17"/>
          <w:color w:val="auto"/>
        </w:rPr>
        <w:t>Each debt security will be represented by either one or more global securities registered in the name of a clearing agency registered under the Securities Exchange Act of 1934, as amended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cs="Times New Roman" w:eastAsia="Times New Roman" w:hAnsi="Times New Roman"/>
          <w:sz w:val="17"/>
          <w:szCs w:val="17"/>
          <w:i w:val="1"/>
          <w:iCs w:val="1"/>
          <w:color w:val="auto"/>
        </w:rPr>
        <w:t>Global Debt Securities and Book-Entry System</w:t>
      </w:r>
      <w:r>
        <w:rPr>
          <w:rFonts w:ascii="Times New Roman" w:cs="Times New Roman" w:eastAsia="Times New Roman" w:hAnsi="Times New Roman"/>
          <w:sz w:val="17"/>
          <w:szCs w:val="17"/>
          <w:color w:val="auto"/>
        </w:rPr>
        <w:t>” below, book-entry debt securities will not be issuable in certificated form.</w:t>
      </w: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18" w:lineRule="exact"/>
        <w:rPr>
          <w:sz w:val="20"/>
          <w:szCs w:val="20"/>
          <w:color w:val="auto"/>
        </w:rPr>
      </w:pPr>
    </w:p>
    <w:p>
      <w:pPr>
        <w:jc w:val="both"/>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18"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18"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18"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9" w:lineRule="exact"/>
        <w:rPr>
          <w:sz w:val="20"/>
          <w:szCs w:val="20"/>
          <w:color w:val="auto"/>
        </w:rPr>
      </w:pPr>
    </w:p>
    <w:p>
      <w:pPr>
        <w:ind w:left="1140" w:right="60" w:hanging="438"/>
        <w:spacing w:after="0" w:line="278"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1"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600" w:right="1320" w:firstLine="102"/>
        <w:spacing w:after="0" w:line="571" w:lineRule="auto"/>
        <w:tabs>
          <w:tab w:leader="none" w:pos="112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27" w:lineRule="exact"/>
        <w:rPr>
          <w:sz w:val="20"/>
          <w:szCs w:val="20"/>
          <w:color w:val="auto"/>
        </w:rPr>
      </w:pPr>
    </w:p>
    <w:p>
      <w:pPr>
        <w:ind w:left="1140" w:right="160" w:hanging="438"/>
        <w:spacing w:after="0" w:line="263"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58"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6"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1" w:lineRule="exact"/>
        <w:rPr>
          <w:sz w:val="20"/>
          <w:szCs w:val="20"/>
          <w:color w:val="auto"/>
        </w:rPr>
      </w:pPr>
    </w:p>
    <w:p>
      <w:pPr>
        <w:ind w:left="160" w:right="80" w:firstLine="436"/>
        <w:spacing w:after="0" w:line="285"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60"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5"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1"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4"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9" w:lineRule="exact"/>
        <w:rPr>
          <w:sz w:val="20"/>
          <w:szCs w:val="20"/>
          <w:color w:val="auto"/>
        </w:rPr>
      </w:pPr>
    </w:p>
    <w:p>
      <w:pPr>
        <w:ind w:left="1140" w:right="120" w:hanging="438"/>
        <w:spacing w:after="0" w:line="278"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8" w:lineRule="exact"/>
        <w:rPr>
          <w:rFonts w:ascii="Times New Roman" w:cs="Times New Roman" w:eastAsia="Times New Roman" w:hAnsi="Times New Roman"/>
          <w:sz w:val="18"/>
          <w:szCs w:val="18"/>
          <w:color w:val="auto"/>
        </w:rPr>
      </w:pPr>
    </w:p>
    <w:p>
      <w:pPr>
        <w:ind w:left="1140" w:right="20" w:hanging="438"/>
        <w:spacing w:after="0" w:line="258"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5"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18" w:lineRule="exact"/>
        <w:rPr>
          <w:sz w:val="20"/>
          <w:szCs w:val="20"/>
          <w:color w:val="auto"/>
        </w:rPr>
      </w:pPr>
    </w:p>
    <w:p>
      <w:pPr>
        <w:ind w:left="160" w:right="240" w:firstLine="436"/>
        <w:spacing w:after="0" w:line="278"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9" w:lineRule="exact"/>
        <w:rPr>
          <w:sz w:val="20"/>
          <w:szCs w:val="20"/>
          <w:color w:val="auto"/>
        </w:rPr>
      </w:pPr>
    </w:p>
    <w:p>
      <w:pPr>
        <w:ind w:left="1140" w:hanging="43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25"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27" w:lineRule="exact"/>
        <w:rPr>
          <w:rFonts w:ascii="Times New Roman" w:cs="Times New Roman" w:eastAsia="Times New Roman" w:hAnsi="Times New Roman"/>
          <w:sz w:val="18"/>
          <w:szCs w:val="18"/>
          <w:color w:val="auto"/>
        </w:rPr>
      </w:pPr>
    </w:p>
    <w:p>
      <w:pPr>
        <w:ind w:left="5540" w:hanging="4838"/>
        <w:spacing w:after="0" w:line="448" w:lineRule="auto"/>
        <w:tabs>
          <w:tab w:leader="none" w:pos="11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 15</w:t>
      </w:r>
    </w:p>
    <w:p>
      <w:pPr>
        <w:sectPr>
          <w:pgSz w:w="11900" w:h="16838" w:orient="portrait"/>
          <w:cols w:equalWidth="0" w:num="1">
            <w:col w:w="11060"/>
          </w:cols>
          <w:pgMar w:left="320" w:top="451"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right="760" w:hanging="438"/>
        <w:spacing w:after="0" w:line="278"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1" w:lineRule="exact"/>
        <w:rPr>
          <w:sz w:val="20"/>
          <w:szCs w:val="20"/>
          <w:color w:val="auto"/>
        </w:rPr>
      </w:pPr>
    </w:p>
    <w:p>
      <w:pPr>
        <w:jc w:val="both"/>
        <w:ind w:left="160" w:right="320" w:firstLine="436"/>
        <w:spacing w:after="0" w:line="263"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2" w:lineRule="exact"/>
        <w:rPr>
          <w:sz w:val="20"/>
          <w:szCs w:val="20"/>
          <w:color w:val="auto"/>
        </w:rPr>
      </w:pPr>
    </w:p>
    <w:p>
      <w:pPr>
        <w:ind w:left="1140" w:hanging="438"/>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27"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63"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27" w:lineRule="exact"/>
        <w:rPr>
          <w:rFonts w:ascii="Times New Roman" w:cs="Times New Roman" w:eastAsia="Times New Roman" w:hAnsi="Times New Roman"/>
          <w:sz w:val="18"/>
          <w:szCs w:val="18"/>
          <w:color w:val="auto"/>
        </w:rPr>
      </w:pPr>
    </w:p>
    <w:p>
      <w:pPr>
        <w:ind w:left="1140" w:hanging="438"/>
        <w:spacing w:after="0" w:line="263"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1"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87" w:lineRule="exact"/>
        <w:rPr>
          <w:sz w:val="20"/>
          <w:szCs w:val="20"/>
          <w:color w:val="auto"/>
        </w:rPr>
      </w:pPr>
    </w:p>
    <w:p>
      <w:pPr>
        <w:ind w:left="160" w:right="4880"/>
        <w:spacing w:after="0" w:line="374"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i w:val="1"/>
          <w:iCs w:val="1"/>
          <w:color w:val="auto"/>
        </w:rPr>
        <w:t>Legal Defeasance</w:t>
      </w:r>
    </w:p>
    <w:p>
      <w:pPr>
        <w:spacing w:after="0" w:line="1"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1"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120"/>
        <w:spacing w:after="0" w:line="258" w:lineRule="auto"/>
        <w:rPr>
          <w:sz w:val="20"/>
          <w:szCs w:val="20"/>
          <w:color w:val="auto"/>
        </w:rPr>
      </w:pPr>
      <w:r>
        <w:rPr>
          <w:rFonts w:ascii="Times New Roman" w:cs="Times New Roman" w:eastAsia="Times New Roman" w:hAnsi="Times New Roman"/>
          <w:sz w:val="18"/>
          <w:szCs w:val="18"/>
          <w:color w:val="auto"/>
        </w:rPr>
        <w:t>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0"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6"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7" w:lineRule="exact"/>
        <w:rPr>
          <w:sz w:val="20"/>
          <w:szCs w:val="20"/>
          <w:color w:val="auto"/>
        </w:rPr>
      </w:pPr>
    </w:p>
    <w:p>
      <w:pPr>
        <w:ind w:left="1140" w:right="160" w:hanging="438"/>
        <w:spacing w:after="0" w:line="264"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27" w:lineRule="exact"/>
        <w:rPr>
          <w:sz w:val="20"/>
          <w:szCs w:val="20"/>
          <w:color w:val="auto"/>
        </w:rPr>
      </w:pPr>
    </w:p>
    <w:p>
      <w:pPr>
        <w:ind w:left="1140" w:right="40" w:hanging="438"/>
        <w:spacing w:after="0" w:line="254"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89"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8" w:lineRule="exact"/>
        <w:rPr>
          <w:rFonts w:ascii="Times New Roman" w:cs="Times New Roman" w:eastAsia="Times New Roman" w:hAnsi="Times New Roman"/>
          <w:sz w:val="18"/>
          <w:szCs w:val="18"/>
          <w:color w:val="auto"/>
        </w:rPr>
      </w:pPr>
    </w:p>
    <w:p>
      <w:pPr>
        <w:ind w:left="1140" w:right="240" w:hanging="438"/>
        <w:spacing w:after="0" w:line="278"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8" w:lineRule="exact"/>
        <w:rPr>
          <w:rFonts w:ascii="Times New Roman" w:cs="Times New Roman" w:eastAsia="Times New Roman" w:hAnsi="Times New Roman"/>
          <w:sz w:val="18"/>
          <w:szCs w:val="18"/>
          <w:color w:val="auto"/>
        </w:rPr>
      </w:pPr>
    </w:p>
    <w:p>
      <w:pPr>
        <w:ind w:left="1140" w:hanging="438"/>
        <w:spacing w:after="0" w:line="254"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18"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320" w:top="451"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220"/>
        <w:spacing w:after="0" w:line="263" w:lineRule="auto"/>
        <w:rPr>
          <w:sz w:val="20"/>
          <w:szCs w:val="20"/>
          <w:color w:val="auto"/>
        </w:rPr>
      </w:pPr>
      <w:r>
        <w:rPr>
          <w:rFonts w:ascii="Times New Roman" w:cs="Times New Roman" w:eastAsia="Times New Roman" w:hAnsi="Times New Roman"/>
          <w:sz w:val="18"/>
          <w:szCs w:val="18"/>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18" w:lineRule="exact"/>
        <w:rPr>
          <w:sz w:val="20"/>
          <w:szCs w:val="20"/>
          <w:color w:val="auto"/>
        </w:rPr>
      </w:pPr>
    </w:p>
    <w:p>
      <w:pPr>
        <w:ind w:left="160" w:right="520" w:firstLine="436"/>
        <w:spacing w:after="0" w:line="278"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451" w:right="5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jc w:val="both"/>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or Class A Common Stock. We may offer warrants separately or together with one or more additional warrants, debt securities, preferred stock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91" w:lineRule="exact"/>
        <w:rPr>
          <w:sz w:val="20"/>
          <w:szCs w:val="20"/>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27" w:lineRule="exact"/>
        <w:rPr>
          <w:rFonts w:ascii="Times New Roman" w:cs="Times New Roman" w:eastAsia="Times New Roman" w:hAnsi="Times New Roman"/>
          <w:sz w:val="18"/>
          <w:szCs w:val="18"/>
          <w:color w:val="auto"/>
        </w:rPr>
      </w:pPr>
    </w:p>
    <w:p>
      <w:pPr>
        <w:ind w:left="1140" w:right="16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27" w:lineRule="exact"/>
        <w:rPr>
          <w:rFonts w:ascii="Times New Roman" w:cs="Times New Roman" w:eastAsia="Times New Roman" w:hAnsi="Times New Roman"/>
          <w:sz w:val="18"/>
          <w:szCs w:val="18"/>
          <w:color w:val="auto"/>
        </w:rPr>
      </w:pPr>
    </w:p>
    <w:p>
      <w:pPr>
        <w:ind w:left="1140" w:right="16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27" w:lineRule="exact"/>
        <w:rPr>
          <w:rFonts w:ascii="Times New Roman" w:cs="Times New Roman" w:eastAsia="Times New Roman" w:hAnsi="Times New Roman"/>
          <w:sz w:val="18"/>
          <w:szCs w:val="18"/>
          <w:color w:val="auto"/>
        </w:rPr>
      </w:pPr>
    </w:p>
    <w:p>
      <w:pPr>
        <w:ind w:left="1140" w:right="30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27" w:lineRule="exact"/>
        <w:rPr>
          <w:rFonts w:ascii="Times New Roman" w:cs="Times New Roman" w:eastAsia="Times New Roman" w:hAnsi="Times New Roman"/>
          <w:sz w:val="18"/>
          <w:szCs w:val="18"/>
          <w:color w:val="auto"/>
        </w:rPr>
      </w:pPr>
    </w:p>
    <w:p>
      <w:pPr>
        <w:ind w:left="1140" w:right="68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or Class A Common Stock with which the warrants are issued and the number of warrants issued with each security;</w:t>
      </w:r>
    </w:p>
    <w:p>
      <w:pPr>
        <w:spacing w:after="0" w:line="68" w:lineRule="exact"/>
        <w:rPr>
          <w:rFonts w:ascii="Times New Roman" w:cs="Times New Roman" w:eastAsia="Times New Roman" w:hAnsi="Times New Roman"/>
          <w:sz w:val="18"/>
          <w:szCs w:val="18"/>
          <w:color w:val="auto"/>
        </w:rPr>
      </w:pPr>
    </w:p>
    <w:p>
      <w:pPr>
        <w:ind w:left="1140" w:right="16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Class A Common Stock will be separately transferable;</w:t>
      </w:r>
    </w:p>
    <w:p>
      <w:pPr>
        <w:spacing w:after="0" w:line="68" w:lineRule="exact"/>
        <w:rPr>
          <w:rFonts w:ascii="Times New Roman" w:cs="Times New Roman" w:eastAsia="Times New Roman" w:hAnsi="Times New Roman"/>
          <w:sz w:val="18"/>
          <w:szCs w:val="18"/>
          <w:color w:val="auto"/>
        </w:rPr>
      </w:pPr>
    </w:p>
    <w:p>
      <w:pPr>
        <w:ind w:left="1140" w:right="80" w:hanging="438"/>
        <w:spacing w:after="0" w:line="27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or the number of shares of Class A Common Stock purchasable upon exercise of a warrant and the price at which those shares may be purchased;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1"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5" w:lineRule="exact"/>
        <w:rPr>
          <w:sz w:val="20"/>
          <w:szCs w:val="20"/>
          <w:color w:val="auto"/>
        </w:rPr>
      </w:pPr>
    </w:p>
    <w:p>
      <w:pPr>
        <w:ind w:left="160" w:right="360" w:firstLine="436"/>
        <w:spacing w:after="0" w:line="258"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9" w:lineRule="exact"/>
        <w:rPr>
          <w:sz w:val="20"/>
          <w:szCs w:val="20"/>
          <w:color w:val="auto"/>
        </w:rPr>
      </w:pPr>
    </w:p>
    <w:p>
      <w:pPr>
        <w:ind w:left="1140" w:right="500" w:hanging="438"/>
        <w:spacing w:after="0" w:line="27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1"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27" w:lineRule="exact"/>
        <w:rPr>
          <w:sz w:val="20"/>
          <w:szCs w:val="20"/>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1"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27" w:lineRule="exact"/>
        <w:rPr>
          <w:sz w:val="20"/>
          <w:szCs w:val="20"/>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1"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9" w:lineRule="exact"/>
        <w:rPr>
          <w:sz w:val="20"/>
          <w:szCs w:val="20"/>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1" w:lineRule="exact"/>
        <w:rPr>
          <w:sz w:val="20"/>
          <w:szCs w:val="20"/>
          <w:color w:val="auto"/>
        </w:rPr>
      </w:pPr>
    </w:p>
    <w:p>
      <w:pPr>
        <w:ind w:left="160" w:right="320" w:firstLine="436"/>
        <w:spacing w:after="0" w:line="263"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1"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560" w:firstLine="436"/>
        <w:spacing w:after="0" w:line="278"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60" w:right="240" w:firstLine="436"/>
        <w:spacing w:after="0" w:line="271"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0" w:lineRule="exact"/>
        <w:rPr>
          <w:sz w:val="20"/>
          <w:szCs w:val="20"/>
          <w:color w:val="auto"/>
        </w:rPr>
      </w:pPr>
    </w:p>
    <w:p>
      <w:pPr>
        <w:ind w:left="1140" w:right="140" w:hanging="438"/>
        <w:spacing w:after="0" w:line="27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8"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5" w:lineRule="exact"/>
        <w:rPr>
          <w:sz w:val="20"/>
          <w:szCs w:val="20"/>
          <w:color w:val="auto"/>
        </w:rPr>
      </w:pPr>
    </w:p>
    <w:p>
      <w:pPr>
        <w:ind w:left="160" w:right="20" w:firstLine="436"/>
        <w:spacing w:after="0" w:line="269"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3"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before the original issue date for your securities, you may be required to make alternative settlement arrangements to prevent a failed settlement.</w:t>
      </w:r>
    </w:p>
    <w:p>
      <w:pPr>
        <w:spacing w:after="0" w:line="180"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1"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Sullivan &amp; Cromwell LLP, New York, New York. Additional legal matters may be passed on for us, or any underwriters, dealers or agents by counsel we will name in the applicable prospectus supplement.</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660"/>
          </w:cols>
          <w:pgMar w:left="320" w:top="451" w:right="9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jc w:val="both"/>
        <w:ind w:left="160" w:right="340" w:firstLine="436"/>
        <w:spacing w:after="0" w:line="285"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as of and for the year ended December 31, 2024 appearing in the Company’s Annual Report (Form 10-K) have been incorporated by reference herein in reliance upon the report of KPMG LLP, independent registered public accounting firm, included thereon, and incorporated by reference herein, and upon the authority of said firm as experts in accounting and auditing.</w:t>
      </w:r>
    </w:p>
    <w:p>
      <w:pPr>
        <w:spacing w:after="0" w:line="160"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Bakkt Holdings, Inc., at December 31, 2023 and for each of the two years in the period ended December 31, 2023 appearing in the Company’s Annual Report (Form 10-K) for the period ended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51"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ind w:left="160" w:right="260" w:firstLine="436"/>
        <w:spacing w:after="0" w:line="263"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5"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40"/>
          </w:cols>
          <w:pgMar w:left="320" w:top="451"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5"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w:t>
      </w:r>
    </w:p>
    <w:p>
      <w:pPr>
        <w:spacing w:after="0" w:line="162" w:lineRule="exact"/>
        <w:rPr>
          <w:sz w:val="20"/>
          <w:szCs w:val="20"/>
          <w:color w:val="auto"/>
        </w:rPr>
      </w:pPr>
    </w:p>
    <w:p>
      <w:pPr>
        <w:ind w:left="160" w:right="120" w:firstLine="436"/>
        <w:spacing w:after="0" w:line="269" w:lineRule="auto"/>
        <w:rPr>
          <w:sz w:val="20"/>
          <w:szCs w:val="20"/>
          <w:color w:val="auto"/>
        </w:rPr>
      </w:pPr>
      <w:r>
        <w:rPr>
          <w:rFonts w:ascii="Times New Roman" w:cs="Times New Roman" w:eastAsia="Times New Roman" w:hAnsi="Times New Roman"/>
          <w:sz w:val="17"/>
          <w:szCs w:val="17"/>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79" w:lineRule="exact"/>
        <w:rPr>
          <w:sz w:val="20"/>
          <w:szCs w:val="20"/>
          <w:color w:val="auto"/>
        </w:rPr>
      </w:pPr>
    </w:p>
    <w:p>
      <w:pPr>
        <w:ind w:left="1140" w:hanging="438"/>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20, 2025 (our “Annual Report”);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12, 2025;</w:t>
      </w:r>
    </w:p>
    <w:p>
      <w:pPr>
        <w:spacing w:after="0" w:line="127" w:lineRule="exact"/>
        <w:rPr>
          <w:rFonts w:ascii="Times New Roman" w:cs="Times New Roman" w:eastAsia="Times New Roman" w:hAnsi="Times New Roman"/>
          <w:sz w:val="18"/>
          <w:szCs w:val="18"/>
          <w:color w:val="auto"/>
        </w:rPr>
      </w:pPr>
    </w:p>
    <w:p>
      <w:pPr>
        <w:ind w:left="1140" w:right="80" w:hanging="438"/>
        <w:spacing w:after="0" w:line="278"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58">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filed with the SEC on April 28, 2025, that are incorporated by reference into our Annual Report;</w:t>
      </w:r>
    </w:p>
    <w:p>
      <w:pPr>
        <w:spacing w:after="0" w:line="68" w:lineRule="exact"/>
        <w:rPr>
          <w:rFonts w:ascii="Times New Roman" w:cs="Times New Roman" w:eastAsia="Times New Roman" w:hAnsi="Times New Roman"/>
          <w:sz w:val="18"/>
          <w:szCs w:val="18"/>
          <w:color w:val="auto"/>
        </w:rPr>
      </w:pPr>
    </w:p>
    <w:p>
      <w:pPr>
        <w:jc w:val="both"/>
        <w:ind w:left="1140" w:right="140" w:hanging="438"/>
        <w:spacing w:after="0" w:line="263" w:lineRule="auto"/>
        <w:tabs>
          <w:tab w:leader="none" w:pos="1140" w:val="left"/>
        </w:tabs>
        <w:numPr>
          <w:ilvl w:val="0"/>
          <w:numId w:val="31"/>
        </w:numPr>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10, 2025, June 13,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20,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our Current Report on Form 8-K/A filed with the Commission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20,</w:t>
        </w:r>
      </w:hyperlink>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w:t>
        </w:r>
      </w:hyperlink>
    </w:p>
    <w:p>
      <w:pPr>
        <w:spacing w:after="0" w:line="81" w:lineRule="exact"/>
        <w:rPr>
          <w:rFonts w:ascii="Times New Roman" w:cs="Times New Roman" w:eastAsia="Times New Roman" w:hAnsi="Times New Roman"/>
          <w:sz w:val="18"/>
          <w:szCs w:val="18"/>
          <w:color w:val="0000EE"/>
        </w:rPr>
      </w:pPr>
    </w:p>
    <w:p>
      <w:pPr>
        <w:ind w:left="1140" w:hanging="438"/>
        <w:spacing w:after="0" w:line="278"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w:t>
      </w:r>
      <w:hyperlink r:id="rId6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October 15,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60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00" w:lineRule="exact"/>
        <w:rPr>
          <w:rFonts w:ascii="Times New Roman" w:cs="Times New Roman" w:eastAsia="Times New Roman" w:hAnsi="Times New Roman"/>
          <w:sz w:val="18"/>
          <w:szCs w:val="18"/>
          <w:color w:val="0000EE"/>
        </w:rPr>
      </w:pPr>
    </w:p>
    <w:p>
      <w:pPr>
        <w:spacing w:after="0" w:line="231" w:lineRule="exact"/>
        <w:rPr>
          <w:rFonts w:ascii="Times New Roman" w:cs="Times New Roman" w:eastAsia="Times New Roman" w:hAnsi="Times New Roman"/>
          <w:sz w:val="18"/>
          <w:szCs w:val="18"/>
          <w:color w:val="0000EE"/>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0" w:lineRule="exact"/>
        <w:rPr>
          <w:rFonts w:ascii="Times New Roman" w:cs="Times New Roman" w:eastAsia="Times New Roman" w:hAnsi="Times New Roman"/>
          <w:sz w:val="18"/>
          <w:szCs w:val="18"/>
          <w:color w:val="0000EE"/>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7" w:lineRule="exact"/>
        <w:rPr>
          <w:rFonts w:ascii="Times New Roman" w:cs="Times New Roman" w:eastAsia="Times New Roman" w:hAnsi="Times New Roman"/>
          <w:sz w:val="18"/>
          <w:szCs w:val="18"/>
          <w:color w:val="0000EE"/>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2" w:lineRule="exact"/>
        <w:rPr>
          <w:rFonts w:ascii="Times New Roman" w:cs="Times New Roman" w:eastAsia="Times New Roman" w:hAnsi="Times New Roman"/>
          <w:sz w:val="18"/>
          <w:szCs w:val="18"/>
          <w:color w:val="0000EE"/>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6" w:lineRule="exact"/>
        <w:rPr>
          <w:rFonts w:ascii="Times New Roman" w:cs="Times New Roman" w:eastAsia="Times New Roman" w:hAnsi="Times New Roman"/>
          <w:sz w:val="18"/>
          <w:szCs w:val="18"/>
          <w:color w:val="0000EE"/>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51"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100" w:type="dxa"/>
            <w:vAlign w:val="bottom"/>
            <w:gridSpan w:val="2"/>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2"/>
        </w:trPr>
        <w:tc>
          <w:tcPr>
            <w:tcW w:w="65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00" w:type="dxa"/>
            <w:vAlign w:val="bottom"/>
            <w:gridSpan w:val="2"/>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07"/>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$146,795.88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r>
      <w:tr>
        <w:trPr>
          <w:trHeight w:val="21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436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$150,500.00</w:t>
            </w:r>
          </w:p>
        </w:tc>
      </w:tr>
      <w:tr>
        <w:trPr>
          <w:trHeight w:val="21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436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436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36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36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436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436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436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$297,295.88</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7645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3" w:lineRule="exact"/>
        <w:rPr>
          <w:sz w:val="20"/>
          <w:szCs w:val="20"/>
          <w:color w:val="auto"/>
        </w:rPr>
      </w:pPr>
    </w:p>
    <w:p>
      <w:pPr>
        <w:ind w:left="600" w:hanging="433"/>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221" w:lineRule="exact"/>
        <w:rPr>
          <w:sz w:val="20"/>
          <w:szCs w:val="20"/>
          <w:color w:val="auto"/>
        </w:rPr>
      </w:pPr>
    </w:p>
    <w:p>
      <w:pPr>
        <w:ind w:left="160" w:right="160" w:firstLine="7"/>
        <w:spacing w:after="0" w:line="254" w:lineRule="auto"/>
        <w:tabs>
          <w:tab w:leader="none" w:pos="4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415(a)(6) the Securities Act, the securities registered pursuant to this registration statement include $41,176,471.37 of unsold securities previously registered on the Company’s Amendment No. 2 to the Registration Statement on Form S-3 (File No. 333-271361) filed on February 14, 2024, and declared effective on February 14, 2024 (the “Prior S-3 Registration Statement”). The filing fees previously paid in connection with such unsold securities will continue to be applied to such unsold securities and the Company paid an additional fee of $146,795.88 in connection with the filing of this Registration Statement. This Registration Statement is being filed to replace the Prior S-3 Registration Statement prior to its expiration.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18"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Section 145 of the Delaware General Corporation Law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2" w:lineRule="exact"/>
        <w:rPr>
          <w:sz w:val="20"/>
          <w:szCs w:val="20"/>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1"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80"/>
          </w:cols>
          <w:pgMar w:left="320" w:top="451"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75"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4" w:lineRule="exact"/>
        <w:rPr>
          <w:sz w:val="20"/>
          <w:szCs w:val="20"/>
          <w:color w:val="auto"/>
        </w:rPr>
      </w:pPr>
    </w:p>
    <w:p>
      <w:pPr>
        <w:ind w:left="160" w:right="180" w:firstLine="436"/>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4"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left="160" w:right="600" w:firstLine="436"/>
        <w:spacing w:after="0" w:line="278"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the Board.</w:t>
      </w:r>
    </w:p>
    <w:p>
      <w:pPr>
        <w:spacing w:after="0" w:line="162"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320" w:type="dxa"/>
            <w:vAlign w:val="bottom"/>
            <w:gridSpan w:val="6"/>
          </w:tcPr>
          <w:p>
            <w:pPr>
              <w:ind w:left="2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1"/>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gridSpan w:val="6"/>
          </w:tcPr>
          <w:p>
            <w:pPr>
              <w:ind w:left="3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1120" w:type="dxa"/>
            <w:vAlign w:val="bottom"/>
          </w:tcPr>
          <w:p>
            <w:pPr>
              <w:spacing w:after="0"/>
              <w:rPr>
                <w:sz w:val="24"/>
                <w:szCs w:val="24"/>
                <w:color w:val="auto"/>
              </w:rPr>
            </w:pPr>
          </w:p>
        </w:tc>
        <w:tc>
          <w:tcPr>
            <w:tcW w:w="8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1120" w:type="dxa"/>
            <w:vAlign w:val="bottom"/>
          </w:tcPr>
          <w:p>
            <w:pPr>
              <w:spacing w:after="0"/>
              <w:rPr>
                <w:sz w:val="24"/>
                <w:szCs w:val="24"/>
                <w:color w:val="auto"/>
              </w:rPr>
            </w:pPr>
          </w:p>
        </w:tc>
        <w:tc>
          <w:tcPr>
            <w:tcW w:w="8780" w:type="dxa"/>
            <w:vAlign w:val="bottom"/>
            <w:gridSpan w:val="7"/>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Agreement and Plan of Merger, dated January 11, 2021, by and among the Company, Merger Sub, and the Company</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360" w:type="dxa"/>
            <w:vAlign w:val="bottom"/>
            <w:tcBorders>
              <w:top w:val="single" w:sz="8" w:color="0000EE"/>
            </w:tcBorders>
            <w:gridSpan w:val="3"/>
          </w:tcPr>
          <w:p>
            <w:pPr>
              <w:spacing w:after="0" w:line="194"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(incorporated by reference to Exhibit 2.1 to the Company’s Form 8-K filed with the SEC on January 11, 2021).</w:t>
              </w:r>
            </w:hyperlink>
          </w:p>
        </w:tc>
        <w:tc>
          <w:tcPr>
            <w:tcW w:w="420" w:type="dxa"/>
            <w:vAlign w:val="bottom"/>
            <w:gridSpan w:val="4"/>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1120" w:type="dxa"/>
            <w:vAlign w:val="bottom"/>
          </w:tcPr>
          <w:p>
            <w:pPr>
              <w:spacing w:after="0"/>
              <w:rPr>
                <w:sz w:val="24"/>
                <w:szCs w:val="24"/>
                <w:color w:val="auto"/>
              </w:rPr>
            </w:pPr>
          </w:p>
        </w:tc>
        <w:tc>
          <w:tcPr>
            <w:tcW w:w="8780" w:type="dxa"/>
            <w:vAlign w:val="bottom"/>
            <w:gridSpan w:val="7"/>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Amendment to Agreement and Plan of Merger, dated March 30, 2021 by and among the Company, Merger Sub, and the</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0" w:type="dxa"/>
            <w:vAlign w:val="bottom"/>
            <w:tcBorders>
              <w:top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Company (incorporated by reference to Exhibit 2.1 to the Company’s Form 8-K filed with the SEC on March 31, 2021).</w:t>
              </w:r>
            </w:hyperlink>
          </w:p>
        </w:tc>
        <w:tc>
          <w:tcPr>
            <w:tcW w:w="180" w:type="dxa"/>
            <w:vAlign w:val="bottom"/>
            <w:gridSpan w:val="2"/>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12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1120" w:type="dxa"/>
            <w:vAlign w:val="bottom"/>
          </w:tcPr>
          <w:p>
            <w:pPr>
              <w:spacing w:after="0"/>
              <w:rPr>
                <w:sz w:val="24"/>
                <w:szCs w:val="24"/>
                <w:color w:val="auto"/>
              </w:rPr>
            </w:pPr>
          </w:p>
        </w:tc>
        <w:tc>
          <w:tcPr>
            <w:tcW w:w="86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Amendment to Agreement and Plan of Merger, dated September 29, 2021 by and among the Company, Merger Sub, and</w:t>
              </w:r>
            </w:hyperlink>
          </w:p>
        </w:tc>
        <w:tc>
          <w:tcPr>
            <w:tcW w:w="14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4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the Company (incorporated by reference to Exhibit 2.1 to the Company’s Form 8-K filed with the SEC on September 30,</w:t>
              </w:r>
            </w:hyperlink>
          </w:p>
        </w:tc>
        <w:tc>
          <w:tcPr>
            <w:tcW w:w="140" w:type="dxa"/>
            <w:vAlign w:val="bottom"/>
          </w:tcPr>
          <w:p>
            <w:pPr>
              <w:spacing w:after="0"/>
              <w:rPr>
                <w:sz w:val="16"/>
                <w:szCs w:val="16"/>
                <w:color w:val="auto"/>
              </w:rPr>
            </w:pPr>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4"/>
              </w:rPr>
            </w:pPr>
            <w:hyperlink r:id="rId67">
              <w:r>
                <w:rPr>
                  <w:rFonts w:ascii="Times New Roman" w:cs="Times New Roman" w:eastAsia="Times New Roman" w:hAnsi="Times New Roman"/>
                  <w:sz w:val="18"/>
                  <w:szCs w:val="18"/>
                  <w:color w:val="0000EE"/>
                  <w:w w:val="94"/>
                </w:rPr>
                <w:t>2021).</w:t>
              </w:r>
            </w:hyperlink>
          </w:p>
        </w:tc>
        <w:tc>
          <w:tcPr>
            <w:tcW w:w="7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1"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6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1120" w:type="dxa"/>
            <w:vAlign w:val="bottom"/>
          </w:tcPr>
          <w:p>
            <w:pPr>
              <w:spacing w:after="0"/>
              <w:rPr>
                <w:sz w:val="22"/>
                <w:szCs w:val="22"/>
                <w:color w:val="auto"/>
              </w:rPr>
            </w:pPr>
          </w:p>
        </w:tc>
        <w:tc>
          <w:tcPr>
            <w:tcW w:w="8780" w:type="dxa"/>
            <w:vAlign w:val="bottom"/>
            <w:gridSpan w:val="27"/>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Incorporation of the Company, as currently in effect (incorporated by reference to Exhibit 3.1 to the</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100" w:type="dxa"/>
            <w:vAlign w:val="bottom"/>
            <w:tcBorders>
              <w:top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Company’s Form 8-K filed with the SEC on October 21, 2021)</w:t>
              </w:r>
            </w:hyperlink>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1120" w:type="dxa"/>
            <w:vAlign w:val="bottom"/>
          </w:tcPr>
          <w:p>
            <w:pPr>
              <w:spacing w:after="0"/>
              <w:rPr>
                <w:sz w:val="24"/>
                <w:szCs w:val="24"/>
                <w:color w:val="auto"/>
              </w:rPr>
            </w:pPr>
          </w:p>
        </w:tc>
        <w:tc>
          <w:tcPr>
            <w:tcW w:w="6100" w:type="dxa"/>
            <w:vAlign w:val="bottom"/>
            <w:gridSpan w:val="13"/>
          </w:tcPr>
          <w:p>
            <w:pPr>
              <w:spacing w:after="0"/>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Certificate of Amendment to the Company’s Certificate of Incorporation, dated April</w:t>
              </w:r>
            </w:hyperlink>
          </w:p>
        </w:tc>
        <w:tc>
          <w:tcPr>
            <w:tcW w:w="2680" w:type="dxa"/>
            <w:vAlign w:val="bottom"/>
            <w:gridSpan w:val="14"/>
          </w:tcPr>
          <w:p>
            <w:pPr>
              <w:ind w:left="60"/>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26, 2024 (incorporated by reference</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20" w:type="dxa"/>
            <w:vAlign w:val="bottom"/>
            <w:tcBorders>
              <w:top w:val="single" w:sz="8" w:color="0000EE"/>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to Exhibit 3.1 to the Company’s Form 8-K filed with the SEC on April 29, 2024).</w:t>
              </w:r>
            </w:hyperlink>
          </w:p>
        </w:tc>
        <w:tc>
          <w:tcPr>
            <w:tcW w:w="280" w:type="dxa"/>
            <w:vAlign w:val="bottom"/>
            <w:tcBorders>
              <w:top w:val="single" w:sz="8" w:color="0000EE"/>
            </w:tcBorders>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1120" w:type="dxa"/>
            <w:vAlign w:val="bottom"/>
          </w:tcPr>
          <w:p>
            <w:pPr>
              <w:spacing w:after="0"/>
              <w:rPr>
                <w:sz w:val="24"/>
                <w:szCs w:val="24"/>
                <w:color w:val="auto"/>
              </w:rPr>
            </w:pPr>
          </w:p>
        </w:tc>
        <w:tc>
          <w:tcPr>
            <w:tcW w:w="6100" w:type="dxa"/>
            <w:vAlign w:val="bottom"/>
            <w:gridSpan w:val="13"/>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Certificate of Amendment to the Company’s Certificate of Incorporation, dated June</w:t>
              </w:r>
            </w:hyperlink>
          </w:p>
        </w:tc>
        <w:tc>
          <w:tcPr>
            <w:tcW w:w="2680" w:type="dxa"/>
            <w:vAlign w:val="bottom"/>
            <w:gridSpan w:val="14"/>
          </w:tcPr>
          <w:p>
            <w:pPr>
              <w:ind w:left="20"/>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17, 2025 (incorporated by reference</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780" w:type="dxa"/>
            <w:vAlign w:val="bottom"/>
            <w:tcBorders>
              <w:top w:val="single" w:sz="8" w:color="0000EE"/>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to Exhibit 3.1 to the Company’s Form 8-K filed with the SEC on June 20, 2025).</w:t>
              </w:r>
            </w:hyperlink>
          </w:p>
        </w:tc>
        <w:tc>
          <w:tcPr>
            <w:tcW w:w="320" w:type="dxa"/>
            <w:vAlign w:val="bottom"/>
            <w:tcBorders>
              <w:top w:val="single" w:sz="8" w:color="0000EE"/>
            </w:tcBorders>
            <w:gridSpan w:val="2"/>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1120" w:type="dxa"/>
            <w:vAlign w:val="bottom"/>
          </w:tcPr>
          <w:p>
            <w:pPr>
              <w:spacing w:after="0"/>
              <w:rPr>
                <w:sz w:val="24"/>
                <w:szCs w:val="24"/>
                <w:color w:val="auto"/>
              </w:rPr>
            </w:pPr>
          </w:p>
        </w:tc>
        <w:tc>
          <w:tcPr>
            <w:tcW w:w="6100" w:type="dxa"/>
            <w:vAlign w:val="bottom"/>
            <w:gridSpan w:val="13"/>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Certificate of Amendment to the Company’s Certificate of Incorporation, dated June</w:t>
              </w:r>
            </w:hyperlink>
          </w:p>
        </w:tc>
        <w:tc>
          <w:tcPr>
            <w:tcW w:w="2680" w:type="dxa"/>
            <w:vAlign w:val="bottom"/>
            <w:gridSpan w:val="14"/>
          </w:tcPr>
          <w:p>
            <w:pPr>
              <w:ind w:left="20"/>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17, 2025 (incorporated by reference</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780" w:type="dxa"/>
            <w:vAlign w:val="bottom"/>
            <w:tcBorders>
              <w:top w:val="single" w:sz="8" w:color="0000EE"/>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to Exhibit 3.2 to the Company’s Form 8-K filed with the SEC on June 20, 2025).</w:t>
              </w:r>
            </w:hyperlink>
          </w:p>
        </w:tc>
        <w:tc>
          <w:tcPr>
            <w:tcW w:w="320" w:type="dxa"/>
            <w:vAlign w:val="bottom"/>
            <w:tcBorders>
              <w:top w:val="single" w:sz="8" w:color="0000EE"/>
            </w:tcBorders>
            <w:gridSpan w:val="2"/>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3.5</w:t>
            </w:r>
          </w:p>
        </w:tc>
        <w:tc>
          <w:tcPr>
            <w:tcW w:w="1120" w:type="dxa"/>
            <w:vAlign w:val="bottom"/>
          </w:tcPr>
          <w:p>
            <w:pPr>
              <w:spacing w:after="0"/>
              <w:rPr>
                <w:sz w:val="24"/>
                <w:szCs w:val="24"/>
                <w:color w:val="auto"/>
              </w:rPr>
            </w:pPr>
          </w:p>
        </w:tc>
        <w:tc>
          <w:tcPr>
            <w:tcW w:w="6100" w:type="dxa"/>
            <w:vAlign w:val="bottom"/>
            <w:gridSpan w:val="13"/>
          </w:tcPr>
          <w:p>
            <w:pPr>
              <w:spacing w:after="0"/>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By-Laws of the Company, as currently in effect (incorporated by reference to Exhibit</w:t>
              </w:r>
            </w:hyperlink>
          </w:p>
        </w:tc>
        <w:tc>
          <w:tcPr>
            <w:tcW w:w="2680" w:type="dxa"/>
            <w:vAlign w:val="bottom"/>
            <w:gridSpan w:val="14"/>
          </w:tcPr>
          <w:p>
            <w:pPr>
              <w:ind w:left="80"/>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3.2 to the Company’s Form 8-K</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900" w:type="dxa"/>
            <w:vAlign w:val="bottom"/>
            <w:tcBorders>
              <w:top w:val="single" w:sz="8" w:color="0000EE"/>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filed with the SEC on October 21, 2021)</w:t>
              </w:r>
            </w:hyperlink>
          </w:p>
        </w:tc>
        <w:tc>
          <w:tcPr>
            <w:tcW w:w="3200" w:type="dxa"/>
            <w:vAlign w:val="bottom"/>
            <w:tcBorders>
              <w:top w:val="single" w:sz="8" w:color="0000EE"/>
            </w:tcBorders>
            <w:gridSpan w:val="6"/>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1120" w:type="dxa"/>
            <w:vAlign w:val="bottom"/>
          </w:tcPr>
          <w:p>
            <w:pPr>
              <w:spacing w:after="0"/>
              <w:rPr>
                <w:sz w:val="24"/>
                <w:szCs w:val="24"/>
                <w:color w:val="auto"/>
              </w:rPr>
            </w:pPr>
          </w:p>
        </w:tc>
        <w:tc>
          <w:tcPr>
            <w:tcW w:w="8780" w:type="dxa"/>
            <w:vAlign w:val="bottom"/>
            <w:gridSpan w:val="27"/>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Specimen Class A Common Stock Certificate of the Company (incorporated by reference to Exhibit 4.1 to the Company’s</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700" w:type="dxa"/>
            <w:vAlign w:val="bottom"/>
            <w:tcBorders>
              <w:top w:val="single" w:sz="8" w:color="0000EE"/>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Form 8-K filed with the SEC on October 21, 2021).</w:t>
              </w:r>
            </w:hyperlink>
          </w:p>
        </w:tc>
        <w:tc>
          <w:tcPr>
            <w:tcW w:w="2400" w:type="dxa"/>
            <w:vAlign w:val="bottom"/>
            <w:tcBorders>
              <w:top w:val="single" w:sz="8" w:color="0000EE"/>
            </w:tcBorders>
            <w:gridSpan w:val="4"/>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1120" w:type="dxa"/>
            <w:vAlign w:val="bottom"/>
          </w:tcPr>
          <w:p>
            <w:pPr>
              <w:spacing w:after="0"/>
              <w:rPr>
                <w:sz w:val="24"/>
                <w:szCs w:val="24"/>
                <w:color w:val="auto"/>
              </w:rPr>
            </w:pPr>
          </w:p>
        </w:tc>
        <w:tc>
          <w:tcPr>
            <w:tcW w:w="8780" w:type="dxa"/>
            <w:vAlign w:val="bottom"/>
            <w:gridSpan w:val="27"/>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Specimen Warrant Certificate of the Company (incorporated by reference to Exhibit 4.2 to the Company’s Form 8-K filed</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100" w:type="dxa"/>
            <w:vAlign w:val="bottom"/>
            <w:tcBorders>
              <w:top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with the SEC on October 21, 2021)</w:t>
              </w:r>
            </w:hyperlink>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112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1120" w:type="dxa"/>
            <w:vAlign w:val="bottom"/>
          </w:tcPr>
          <w:p>
            <w:pPr>
              <w:spacing w:after="0"/>
              <w:rPr>
                <w:sz w:val="24"/>
                <w:szCs w:val="24"/>
                <w:color w:val="auto"/>
              </w:rPr>
            </w:pPr>
          </w:p>
        </w:tc>
        <w:tc>
          <w:tcPr>
            <w:tcW w:w="8780" w:type="dxa"/>
            <w:vAlign w:val="bottom"/>
            <w:gridSpan w:val="27"/>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Warrant Agreement, dated September 22, 2020, by and between the Company and Continental Stock Transfer &amp; Trust</w:t>
              </w:r>
            </w:hyperlink>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18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780" w:type="dxa"/>
            <w:vAlign w:val="bottom"/>
            <w:gridSpan w:val="27"/>
          </w:tcPr>
          <w:p>
            <w:pPr>
              <w:spacing w:after="0" w:line="194"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Company, as warrant agent (incorporated by reference to Exhibit 4.1 of the Company’s Form 8-K filed with the SEC on</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Borders>
              <w:top w:val="single" w:sz="8" w:color="0000EE"/>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September 28, 2020)</w:t>
              </w:r>
            </w:hyperlink>
          </w:p>
        </w:tc>
        <w:tc>
          <w:tcPr>
            <w:tcW w:w="4600" w:type="dxa"/>
            <w:vAlign w:val="bottom"/>
            <w:tcBorders>
              <w:top w:val="single" w:sz="8" w:color="0000EE"/>
            </w:tcBorders>
            <w:gridSpan w:val="9"/>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1120" w:type="dxa"/>
            <w:vAlign w:val="bottom"/>
          </w:tcPr>
          <w:p>
            <w:pPr>
              <w:spacing w:after="0"/>
              <w:rPr>
                <w:sz w:val="24"/>
                <w:szCs w:val="24"/>
                <w:color w:val="auto"/>
              </w:rPr>
            </w:pPr>
          </w:p>
        </w:tc>
        <w:tc>
          <w:tcPr>
            <w:tcW w:w="8780" w:type="dxa"/>
            <w:vAlign w:val="bottom"/>
            <w:gridSpan w:val="27"/>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Third Amended and Restated Limited Liability Company Agreement, dated October 15, 2021, by and among Opco and</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580" w:type="dxa"/>
            <w:vAlign w:val="bottom"/>
            <w:tcBorders>
              <w:top w:val="single" w:sz="8" w:color="0000EE"/>
            </w:tcBorders>
            <w:gridSpan w:val="21"/>
          </w:tcPr>
          <w:p>
            <w:pPr>
              <w:spacing w:after="0" w:line="194"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the Opco Equity Holders (incorporated by reference to Exhibit 4.3 to the Company’s Form 8-K filed with the SEC on</w:t>
              </w:r>
            </w:hyperlink>
          </w:p>
        </w:tc>
        <w:tc>
          <w:tcPr>
            <w:tcW w:w="200" w:type="dxa"/>
            <w:vAlign w:val="bottom"/>
            <w:gridSpan w:val="6"/>
          </w:tcPr>
          <w:p>
            <w:pPr>
              <w:spacing w:after="0"/>
              <w:rPr>
                <w:sz w:val="16"/>
                <w:szCs w:val="16"/>
                <w:color w:val="auto"/>
              </w:rPr>
            </w:pPr>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100" w:type="dxa"/>
            <w:vAlign w:val="bottom"/>
            <w:tcBorders>
              <w:top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October 21, 2021)</w:t>
              </w:r>
            </w:hyperlink>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1120" w:type="dxa"/>
            <w:vAlign w:val="bottom"/>
          </w:tcPr>
          <w:p>
            <w:pPr>
              <w:spacing w:after="0"/>
              <w:rPr>
                <w:sz w:val="24"/>
                <w:szCs w:val="24"/>
                <w:color w:val="auto"/>
              </w:rPr>
            </w:pPr>
          </w:p>
        </w:tc>
        <w:tc>
          <w:tcPr>
            <w:tcW w:w="8780" w:type="dxa"/>
            <w:vAlign w:val="bottom"/>
            <w:gridSpan w:val="27"/>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Indenture (incorporated by reference to Exhibit 4.5 to the Company’s Registration Statement on Form S-3 filed</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100" w:type="dxa"/>
            <w:vAlign w:val="bottom"/>
            <w:tcBorders>
              <w:top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with the SEC on April 20, 2023)</w:t>
              </w:r>
            </w:hyperlink>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1120" w:type="dxa"/>
            <w:vAlign w:val="bottom"/>
          </w:tcPr>
          <w:p>
            <w:pPr>
              <w:spacing w:after="0"/>
              <w:rPr>
                <w:sz w:val="24"/>
                <w:szCs w:val="24"/>
                <w:color w:val="auto"/>
              </w:rPr>
            </w:pPr>
          </w:p>
        </w:tc>
        <w:tc>
          <w:tcPr>
            <w:tcW w:w="8780" w:type="dxa"/>
            <w:vAlign w:val="bottom"/>
            <w:gridSpan w:val="27"/>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Registration Rights Agreement, dated as of April 1, 2023, by and between Bakkt Holdings, Inc. and Apex Fintech</w:t>
              </w:r>
            </w:hyperlink>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418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60" w:type="dxa"/>
            <w:vAlign w:val="bottom"/>
            <w:tcBorders>
              <w:bottom w:val="single" w:sz="8" w:color="0000EE"/>
            </w:tcBorders>
            <w:gridSpan w:val="23"/>
          </w:tcPr>
          <w:p>
            <w:pPr>
              <w:spacing w:after="0" w:line="194" w:lineRule="exact"/>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Solutions Inc. (incorporated by reference to Exhibit 4.1 to the Company’s Form 8-K filed with the SEC on April 3, 2023)</w:t>
              </w:r>
            </w:hyperlink>
          </w:p>
        </w:tc>
        <w:tc>
          <w:tcPr>
            <w:tcW w:w="120" w:type="dxa"/>
            <w:vAlign w:val="bottom"/>
            <w:gridSpan w:val="4"/>
          </w:tcPr>
          <w:p>
            <w:pPr>
              <w:spacing w:after="0"/>
              <w:rPr>
                <w:sz w:val="16"/>
                <w:szCs w:val="16"/>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1120" w:type="dxa"/>
            <w:vAlign w:val="bottom"/>
          </w:tcPr>
          <w:p>
            <w:pPr>
              <w:spacing w:after="0"/>
              <w:rPr>
                <w:sz w:val="24"/>
                <w:szCs w:val="24"/>
                <w:color w:val="auto"/>
              </w:rPr>
            </w:pPr>
          </w:p>
        </w:tc>
        <w:tc>
          <w:tcPr>
            <w:tcW w:w="8780" w:type="dxa"/>
            <w:vAlign w:val="bottom"/>
            <w:gridSpan w:val="27"/>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Amendment Agreement, dated as of August 9, 2023, by and among Bakkt Holdings, Inc., Apex Fintech Solutions Inc.</w:t>
              </w:r>
            </w:hyperlink>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4180" w:type="dxa"/>
            <w:vAlign w:val="bottom"/>
            <w:gridSpan w:val="6"/>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780" w:type="dxa"/>
            <w:vAlign w:val="bottom"/>
            <w:gridSpan w:val="27"/>
          </w:tcPr>
          <w:p>
            <w:pPr>
              <w:spacing w:after="0" w:line="194"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and PEAK6 Investments LLC (incorporated by reference to Exhibit 4.2 to the Company’s Form 10-Q filed with the SEC</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on August 10, 2023)</w:t>
              </w:r>
            </w:hyperlink>
          </w:p>
        </w:tc>
        <w:tc>
          <w:tcPr>
            <w:tcW w:w="4620" w:type="dxa"/>
            <w:vAlign w:val="bottom"/>
            <w:tcBorders>
              <w:top w:val="single" w:sz="8" w:color="0000EE"/>
            </w:tcBorders>
            <w:gridSpan w:val="10"/>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112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4.10*</w:t>
            </w:r>
          </w:p>
        </w:tc>
        <w:tc>
          <w:tcPr>
            <w:tcW w:w="112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4.11*</w:t>
            </w:r>
          </w:p>
        </w:tc>
        <w:tc>
          <w:tcPr>
            <w:tcW w:w="112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4.12*</w:t>
            </w:r>
          </w:p>
        </w:tc>
        <w:tc>
          <w:tcPr>
            <w:tcW w:w="1120" w:type="dxa"/>
            <w:vAlign w:val="bottom"/>
          </w:tcPr>
          <w:p>
            <w:pPr>
              <w:spacing w:after="0"/>
              <w:rPr>
                <w:sz w:val="24"/>
                <w:szCs w:val="24"/>
                <w:color w:val="auto"/>
              </w:rPr>
            </w:pPr>
          </w:p>
        </w:tc>
        <w:tc>
          <w:tcPr>
            <w:tcW w:w="6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Unit</w:t>
            </w: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4.13</w:t>
            </w:r>
          </w:p>
        </w:tc>
        <w:tc>
          <w:tcPr>
            <w:tcW w:w="1120" w:type="dxa"/>
            <w:vAlign w:val="bottom"/>
          </w:tcPr>
          <w:p>
            <w:pPr>
              <w:spacing w:after="0"/>
              <w:rPr>
                <w:sz w:val="24"/>
                <w:szCs w:val="24"/>
                <w:color w:val="auto"/>
              </w:rPr>
            </w:pPr>
          </w:p>
        </w:tc>
        <w:tc>
          <w:tcPr>
            <w:tcW w:w="8780" w:type="dxa"/>
            <w:vAlign w:val="bottom"/>
            <w:gridSpan w:val="27"/>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Convertible Debenture, dated June 18, 2025 (incorporated by reference to Exhibit 10.2 to the Company’s Current Report</w:t>
              </w:r>
            </w:hyperlink>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80" w:type="dxa"/>
            <w:vAlign w:val="bottom"/>
            <w:tcBorders>
              <w:top w:val="single" w:sz="8" w:color="0000EE"/>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on Form 8-K filed with the SEC on June 20, 2025).</w:t>
              </w:r>
            </w:hyperlink>
          </w:p>
        </w:tc>
        <w:tc>
          <w:tcPr>
            <w:tcW w:w="2420" w:type="dxa"/>
            <w:vAlign w:val="bottom"/>
            <w:tcBorders>
              <w:top w:val="single" w:sz="8" w:color="0000EE"/>
            </w:tcBorders>
            <w:gridSpan w:val="5"/>
          </w:tcPr>
          <w:p>
            <w:pPr>
              <w:spacing w:after="0"/>
              <w:rPr>
                <w:sz w:val="16"/>
                <w:szCs w:val="16"/>
                <w:color w:val="auto"/>
              </w:rPr>
            </w:pPr>
          </w:p>
        </w:tc>
        <w:tc>
          <w:tcPr>
            <w:tcW w:w="17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4.14</w:t>
            </w:r>
          </w:p>
        </w:tc>
        <w:tc>
          <w:tcPr>
            <w:tcW w:w="1120" w:type="dxa"/>
            <w:vAlign w:val="bottom"/>
          </w:tcPr>
          <w:p>
            <w:pPr>
              <w:spacing w:after="0"/>
              <w:rPr>
                <w:sz w:val="24"/>
                <w:szCs w:val="24"/>
                <w:color w:val="auto"/>
              </w:rPr>
            </w:pPr>
          </w:p>
        </w:tc>
        <w:tc>
          <w:tcPr>
            <w:tcW w:w="8780" w:type="dxa"/>
            <w:vAlign w:val="bottom"/>
            <w:gridSpan w:val="27"/>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Global Guaranty Agreement, dated June 17, 2025, by Bakkt Opco Holdings, LLC in favor of YA II PN, LTD.</w:t>
              </w:r>
            </w:hyperlink>
          </w:p>
        </w:tc>
      </w:tr>
      <w:tr>
        <w:trPr>
          <w:trHeight w:val="20"/>
        </w:trPr>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0" w:type="dxa"/>
            <w:vAlign w:val="bottom"/>
            <w:gridSpan w:val="13"/>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4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(incorporated by reference to Exhibit 10.3 to the Company’s Current Report on Form 8-K filed with the SEC on June 20,</w:t>
              </w:r>
            </w:hyperlink>
          </w:p>
        </w:tc>
        <w:tc>
          <w:tcPr>
            <w:tcW w:w="140" w:type="dxa"/>
            <w:vAlign w:val="bottom"/>
            <w:gridSpan w:val="5"/>
          </w:tcPr>
          <w:p>
            <w:pPr>
              <w:spacing w:after="0"/>
              <w:rPr>
                <w:sz w:val="16"/>
                <w:szCs w:val="16"/>
                <w:color w:val="auto"/>
              </w:rPr>
            </w:pPr>
          </w:p>
        </w:tc>
      </w:tr>
      <w:tr>
        <w:trPr>
          <w:trHeight w:val="194"/>
        </w:trPr>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4"/>
              </w:rPr>
            </w:pPr>
            <w:hyperlink r:id="rId82">
              <w:r>
                <w:rPr>
                  <w:rFonts w:ascii="Times New Roman" w:cs="Times New Roman" w:eastAsia="Times New Roman" w:hAnsi="Times New Roman"/>
                  <w:sz w:val="18"/>
                  <w:szCs w:val="18"/>
                  <w:color w:val="0000EE"/>
                  <w:w w:val="94"/>
                </w:rPr>
                <w:t>2025).</w:t>
              </w:r>
            </w:hyperlink>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1"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5980" w:type="dxa"/>
            <w:vAlign w:val="bottom"/>
            <w:tcBorders>
              <w:bottom w:val="single" w:sz="8" w:color="auto"/>
            </w:tcBorders>
            <w:gridSpan w:val="7"/>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1"/>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4.15</w:t>
            </w:r>
          </w:p>
        </w:tc>
        <w:tc>
          <w:tcPr>
            <w:tcW w:w="8700" w:type="dxa"/>
            <w:vAlign w:val="bottom"/>
            <w:gridSpan w:val="10"/>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Registration Rights Agreement, dated as of June 17, 2025, between Bakkt Holdings, Inc. and YA II PN, LTD.</w:t>
              </w:r>
            </w:hyperlink>
          </w:p>
        </w:tc>
      </w:tr>
      <w:tr>
        <w:trPr>
          <w:trHeight w:val="20"/>
        </w:trPr>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700" w:type="dxa"/>
            <w:vAlign w:val="bottom"/>
            <w:gridSpan w:val="10"/>
          </w:tcPr>
          <w:p>
            <w:pPr>
              <w:spacing w:after="0" w:line="194"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(incorporated by reference to Exhibit 10.4 to the Company’s Current Report on Form 8-K filed with the SEC on June 20,</w:t>
              </w:r>
            </w:hyperlink>
          </w:p>
        </w:tc>
      </w:tr>
      <w:tr>
        <w:trPr>
          <w:trHeight w:val="194"/>
        </w:trPr>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4"/>
              </w:rPr>
            </w:pPr>
            <w:hyperlink r:id="rId84">
              <w:r>
                <w:rPr>
                  <w:rFonts w:ascii="Times New Roman" w:cs="Times New Roman" w:eastAsia="Times New Roman" w:hAnsi="Times New Roman"/>
                  <w:sz w:val="18"/>
                  <w:szCs w:val="18"/>
                  <w:color w:val="0000EE"/>
                  <w:w w:val="94"/>
                </w:rPr>
                <w:t>2025).</w:t>
              </w:r>
            </w:hyperlink>
          </w:p>
        </w:tc>
        <w:tc>
          <w:tcPr>
            <w:tcW w:w="72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310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r>
      <w:tr>
        <w:trPr>
          <w:trHeight w:val="301"/>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Opinion of Sullivan &amp; Cromwell LLP</w:t>
            </w:r>
          </w:p>
        </w:tc>
      </w:tr>
      <w:tr>
        <w:trPr>
          <w:trHeight w:val="20"/>
        </w:trPr>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0" w:type="dxa"/>
            <w:vAlign w:val="bottom"/>
          </w:tcPr>
          <w:p>
            <w:pPr>
              <w:spacing w:after="0"/>
              <w:rPr>
                <w:sz w:val="24"/>
                <w:szCs w:val="24"/>
                <w:color w:val="auto"/>
              </w:rPr>
            </w:pPr>
          </w:p>
        </w:tc>
        <w:tc>
          <w:tcPr>
            <w:tcW w:w="68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 of the Company</w:t>
            </w:r>
          </w:p>
        </w:tc>
        <w:tc>
          <w:tcPr>
            <w:tcW w:w="1880" w:type="dxa"/>
            <w:vAlign w:val="bottom"/>
            <w:gridSpan w:val="4"/>
          </w:tcPr>
          <w:p>
            <w:pPr>
              <w:spacing w:after="0"/>
              <w:rPr>
                <w:sz w:val="24"/>
                <w:szCs w:val="24"/>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200" w:type="dxa"/>
            <w:vAlign w:val="bottom"/>
          </w:tcPr>
          <w:p>
            <w:pPr>
              <w:spacing w:after="0"/>
              <w:rPr>
                <w:sz w:val="24"/>
                <w:szCs w:val="24"/>
                <w:color w:val="auto"/>
              </w:rPr>
            </w:pPr>
          </w:p>
        </w:tc>
        <w:tc>
          <w:tcPr>
            <w:tcW w:w="62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KPMG LLP, independent registered public accounting firm of the Company</w:t>
            </w:r>
          </w:p>
        </w:tc>
        <w:tc>
          <w:tcPr>
            <w:tcW w:w="2440" w:type="dxa"/>
            <w:vAlign w:val="bottom"/>
            <w:gridSpan w:val="5"/>
          </w:tcPr>
          <w:p>
            <w:pPr>
              <w:spacing w:after="0"/>
              <w:rPr>
                <w:sz w:val="24"/>
                <w:szCs w:val="24"/>
                <w:color w:val="auto"/>
              </w:rPr>
            </w:pP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1200" w:type="dxa"/>
            <w:vAlign w:val="bottom"/>
          </w:tcPr>
          <w:p>
            <w:pPr>
              <w:spacing w:after="0"/>
              <w:rPr>
                <w:sz w:val="24"/>
                <w:szCs w:val="24"/>
                <w:color w:val="auto"/>
              </w:rPr>
            </w:pPr>
          </w:p>
        </w:tc>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Sullivan &amp; Cromwell LLP (included in the opinion filed as Exhibit 5.1 to this registration statement)</w:t>
            </w:r>
          </w:p>
        </w:tc>
      </w:tr>
      <w:tr>
        <w:trPr>
          <w:trHeight w:val="3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200" w:type="dxa"/>
            <w:vAlign w:val="bottom"/>
          </w:tcPr>
          <w:p>
            <w:pPr>
              <w:spacing w:after="0"/>
              <w:rPr>
                <w:sz w:val="24"/>
                <w:szCs w:val="24"/>
                <w:color w:val="auto"/>
              </w:rPr>
            </w:pPr>
          </w:p>
        </w:tc>
        <w:tc>
          <w:tcPr>
            <w:tcW w:w="58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Powers of Attorney (included on the signature page to this registration statement)</w:t>
            </w:r>
          </w:p>
        </w:tc>
        <w:tc>
          <w:tcPr>
            <w:tcW w:w="2180" w:type="dxa"/>
            <w:vAlign w:val="bottom"/>
            <w:tcBorders>
              <w:top w:val="single" w:sz="8" w:color="0000EE"/>
            </w:tcBorders>
            <w:gridSpan w:val="4"/>
          </w:tcPr>
          <w:p>
            <w:pPr>
              <w:spacing w:after="0"/>
              <w:rPr>
                <w:sz w:val="24"/>
                <w:szCs w:val="24"/>
                <w:color w:val="auto"/>
              </w:rPr>
            </w:pPr>
          </w:p>
        </w:tc>
        <w:tc>
          <w:tcPr>
            <w:tcW w:w="700" w:type="dxa"/>
            <w:vAlign w:val="bottom"/>
            <w:gridSpan w:val="2"/>
          </w:tcPr>
          <w:p>
            <w:pPr>
              <w:spacing w:after="0"/>
              <w:rPr>
                <w:sz w:val="24"/>
                <w:szCs w:val="24"/>
                <w:color w:val="auto"/>
              </w:rPr>
            </w:pPr>
          </w:p>
        </w:tc>
      </w:tr>
      <w:tr>
        <w:trPr>
          <w:trHeight w:val="34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1200" w:type="dxa"/>
            <w:vAlign w:val="bottom"/>
          </w:tcPr>
          <w:p>
            <w:pPr>
              <w:spacing w:after="0"/>
              <w:rPr>
                <w:sz w:val="24"/>
                <w:szCs w:val="24"/>
                <w:color w:val="auto"/>
              </w:rPr>
            </w:pPr>
          </w:p>
        </w:tc>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Indenture under the Trust Indenture Act of 1939</w:t>
            </w:r>
          </w:p>
        </w:tc>
      </w:tr>
      <w:tr>
        <w:trPr>
          <w:trHeight w:val="28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0" w:type="dxa"/>
            <w:vAlign w:val="bottom"/>
          </w:tcPr>
          <w:p>
            <w:pPr>
              <w:spacing w:after="0"/>
              <w:rPr>
                <w:sz w:val="24"/>
                <w:szCs w:val="24"/>
                <w:color w:val="auto"/>
              </w:rPr>
            </w:pPr>
          </w:p>
        </w:tc>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7520" w:type="dxa"/>
            <w:vAlign w:val="bottom"/>
            <w:gridSpan w:val="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6" w:lineRule="exact"/>
        <w:rPr>
          <w:sz w:val="20"/>
          <w:szCs w:val="20"/>
          <w:color w:val="auto"/>
        </w:rPr>
      </w:pPr>
    </w:p>
    <w:p>
      <w:pPr>
        <w:ind w:left="160" w:right="2420" w:firstLine="7"/>
        <w:spacing w:after="0" w:line="259" w:lineRule="auto"/>
        <w:tabs>
          <w:tab w:leader="none" w:pos="5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by amendment or incorporated by reference pursuant to a Current Report on Form 8-K. ** To be filed pursuant to Section 305(b)(2) of the Trust Indenture Act of 1939, as amended.</w:t>
      </w:r>
    </w:p>
    <w:p>
      <w:pPr>
        <w:ind w:left="600" w:right="80" w:hanging="4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8" w:lineRule="exact"/>
        <w:rPr>
          <w:sz w:val="20"/>
          <w:szCs w:val="20"/>
          <w:color w:val="auto"/>
        </w:rPr>
      </w:pPr>
    </w:p>
    <w:p>
      <w:pPr>
        <w:ind w:left="840" w:hanging="236"/>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3"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1800" w:hanging="214"/>
        <w:spacing w:after="0"/>
        <w:tabs>
          <w:tab w:leader="none" w:pos="180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ind w:left="160" w:right="20" w:firstLine="1426"/>
        <w:spacing w:after="0" w:line="253" w:lineRule="auto"/>
        <w:tabs>
          <w:tab w:leader="none" w:pos="184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4" w:lineRule="exact"/>
        <w:rPr>
          <w:rFonts w:ascii="Times New Roman" w:cs="Times New Roman" w:eastAsia="Times New Roman" w:hAnsi="Times New Roman"/>
          <w:sz w:val="18"/>
          <w:szCs w:val="18"/>
          <w:color w:val="auto"/>
        </w:rPr>
      </w:pPr>
    </w:p>
    <w:p>
      <w:pPr>
        <w:ind w:left="160" w:right="80" w:firstLine="1426"/>
        <w:spacing w:after="0" w:line="278" w:lineRule="auto"/>
        <w:tabs>
          <w:tab w:leader="none" w:pos="189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60" w:right="12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80"/>
          </w:cols>
          <w:pgMar w:left="320" w:top="451"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60" w:firstLine="990"/>
        <w:spacing w:after="0" w:line="263" w:lineRule="auto"/>
        <w:tabs>
          <w:tab w:leader="none" w:pos="13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60" w:right="120" w:firstLine="990"/>
        <w:spacing w:after="0" w:line="278" w:lineRule="auto"/>
        <w:tabs>
          <w:tab w:leader="none" w:pos="13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3" w:lineRule="exact"/>
        <w:rPr>
          <w:rFonts w:ascii="Times New Roman" w:cs="Times New Roman" w:eastAsia="Times New Roman" w:hAnsi="Times New Roman"/>
          <w:sz w:val="18"/>
          <w:szCs w:val="18"/>
          <w:color w:val="auto"/>
        </w:rPr>
      </w:pPr>
    </w:p>
    <w:p>
      <w:pPr>
        <w:ind w:left="160" w:firstLine="1426"/>
        <w:spacing w:after="0" w:line="278" w:lineRule="auto"/>
        <w:tabs>
          <w:tab w:leader="none" w:pos="17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2" w:lineRule="exact"/>
        <w:rPr>
          <w:rFonts w:ascii="Times New Roman" w:cs="Times New Roman" w:eastAsia="Times New Roman" w:hAnsi="Times New Roman"/>
          <w:sz w:val="18"/>
          <w:szCs w:val="18"/>
          <w:color w:val="auto"/>
        </w:rPr>
      </w:pPr>
    </w:p>
    <w:p>
      <w:pPr>
        <w:ind w:left="160" w:right="40" w:firstLine="1426"/>
        <w:spacing w:after="0" w:line="251" w:lineRule="auto"/>
        <w:tabs>
          <w:tab w:leader="none" w:pos="18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6" w:lineRule="exact"/>
        <w:rPr>
          <w:rFonts w:ascii="Times New Roman" w:cs="Times New Roman" w:eastAsia="Times New Roman" w:hAnsi="Times New Roman"/>
          <w:sz w:val="18"/>
          <w:szCs w:val="18"/>
          <w:color w:val="auto"/>
        </w:rPr>
      </w:pPr>
    </w:p>
    <w:p>
      <w:pPr>
        <w:ind w:left="160" w:right="240" w:firstLine="990"/>
        <w:spacing w:after="0" w:line="255" w:lineRule="auto"/>
        <w:tabs>
          <w:tab w:leader="none" w:pos="13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Times New Roman" w:cs="Times New Roman" w:eastAsia="Times New Roman" w:hAnsi="Times New Roman"/>
          <w:sz w:val="18"/>
          <w:szCs w:val="18"/>
          <w:color w:val="auto"/>
        </w:rPr>
      </w:pPr>
    </w:p>
    <w:p>
      <w:pPr>
        <w:ind w:left="1800" w:hanging="214"/>
        <w:spacing w:after="0"/>
        <w:tabs>
          <w:tab w:leader="none" w:pos="18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5"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02" w:lineRule="exact"/>
        <w:rPr>
          <w:rFonts w:ascii="Times New Roman" w:cs="Times New Roman" w:eastAsia="Times New Roman" w:hAnsi="Times New Roman"/>
          <w:sz w:val="18"/>
          <w:szCs w:val="18"/>
          <w:color w:val="auto"/>
        </w:rPr>
      </w:pPr>
    </w:p>
    <w:p>
      <w:pPr>
        <w:ind w:left="160" w:right="180" w:firstLine="1426"/>
        <w:spacing w:after="0" w:line="278" w:lineRule="auto"/>
        <w:tabs>
          <w:tab w:leader="none" w:pos="18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2" w:lineRule="exact"/>
        <w:rPr>
          <w:rFonts w:ascii="Times New Roman" w:cs="Times New Roman" w:eastAsia="Times New Roman" w:hAnsi="Times New Roman"/>
          <w:sz w:val="18"/>
          <w:szCs w:val="18"/>
          <w:color w:val="auto"/>
        </w:rPr>
      </w:pPr>
    </w:p>
    <w:p>
      <w:pPr>
        <w:ind w:left="160" w:right="220" w:firstLine="1426"/>
        <w:spacing w:after="0" w:line="278" w:lineRule="auto"/>
        <w:tabs>
          <w:tab w:leader="none" w:pos="18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2" w:lineRule="exact"/>
        <w:rPr>
          <w:rFonts w:ascii="Times New Roman" w:cs="Times New Roman" w:eastAsia="Times New Roman" w:hAnsi="Times New Roman"/>
          <w:sz w:val="18"/>
          <w:szCs w:val="18"/>
          <w:color w:val="auto"/>
        </w:rPr>
      </w:pPr>
    </w:p>
    <w:p>
      <w:pPr>
        <w:ind w:left="1880" w:hanging="294"/>
        <w:spacing w:after="0"/>
        <w:tabs>
          <w:tab w:leader="none" w:pos="18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0"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w:t>
      </w:r>
    </w:p>
    <w:p>
      <w:pPr>
        <w:spacing w:after="0" w:line="26" w:lineRule="exact"/>
        <w:rPr>
          <w:sz w:val="20"/>
          <w:szCs w:val="20"/>
          <w:color w:val="auto"/>
        </w:rPr>
      </w:pPr>
    </w:p>
    <w:p>
      <w:pPr>
        <w:ind w:left="160" w:right="120"/>
        <w:spacing w:after="0" w:line="252" w:lineRule="auto"/>
        <w:rPr>
          <w:sz w:val="20"/>
          <w:szCs w:val="20"/>
          <w:color w:val="auto"/>
        </w:rPr>
      </w:pPr>
      <w:r>
        <w:rPr>
          <w:rFonts w:ascii="Times New Roman" w:cs="Times New Roman" w:eastAsia="Times New Roman" w:hAnsi="Times New Roman"/>
          <w:sz w:val="18"/>
          <w:szCs w:val="18"/>
          <w:color w:val="auto"/>
        </w:rPr>
        <w:t xml:space="preserve">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60"/>
          </w:cols>
          <w:pgMar w:left="320" w:top="451"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80" w:firstLine="990"/>
        <w:spacing w:after="0" w:line="278" w:lineRule="auto"/>
        <w:tabs>
          <w:tab w:leader="none" w:pos="13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62" w:lineRule="exact"/>
        <w:rPr>
          <w:rFonts w:ascii="Times New Roman" w:cs="Times New Roman" w:eastAsia="Times New Roman" w:hAnsi="Times New Roman"/>
          <w:sz w:val="18"/>
          <w:szCs w:val="18"/>
          <w:color w:val="auto"/>
        </w:rPr>
      </w:pPr>
    </w:p>
    <w:p>
      <w:pPr>
        <w:ind w:left="160" w:firstLine="444"/>
        <w:spacing w:after="0" w:line="252" w:lineRule="auto"/>
        <w:tabs>
          <w:tab w:leader="none" w:pos="8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20"/>
          </w:cols>
          <w:pgMar w:left="320" w:top="451"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June 26, 2025.</w:t>
      </w:r>
    </w:p>
    <w:p>
      <w:pPr>
        <w:spacing w:after="0" w:line="19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/s/ Andrew 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15875</wp:posOffset>
            </wp:positionV>
            <wp:extent cx="25393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3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Andrew A. Main</w:t>
      </w:r>
    </w:p>
    <w:p>
      <w:pPr>
        <w:spacing w:after="0" w:line="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Co-Chief Executive Officer, President and Director</w:t>
      </w:r>
    </w:p>
    <w:p>
      <w:pPr>
        <w:spacing w:after="0" w:line="20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15875</wp:posOffset>
            </wp:positionV>
            <wp:extent cx="2539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3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Akshay Naheta</w:t>
      </w:r>
    </w:p>
    <w:p>
      <w:pPr>
        <w:spacing w:after="0" w:line="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1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0880"/>
          </w:cols>
          <w:pgMar w:left="320" w:top="451" w:right="6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Andrew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 Akshay Naheta, Karen Alexander and Marc D’Annunzio, or each one of them individually, as the undersigned’s true and lawful attorney-in-fact and agents, with full power of substitution and resubstitution for such person and in such person’s name, place and stead, in any and all capacities, to sign any and all amendments (including post-effective amendments, exhibits thereto, and other documents in connection therewith to this Registration Statement and any later registration statement filed by the registrant under Rule 462(b) of the Securities Act of 1933, which relates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each of said attorney-in-fact and agent, or their substitute or substitutes may lawfully do or cause to be done by virtue hereof.</w:t>
      </w:r>
    </w:p>
    <w:p>
      <w:pPr>
        <w:spacing w:after="0" w:line="188"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500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08"/>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A. Main</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Co-Chief Executive Officer, President and Director (Principal Executive</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Andrew A. Main</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Officer)</w:t>
            </w:r>
          </w:p>
        </w:tc>
      </w:tr>
      <w:tr>
        <w:trPr>
          <w:trHeight w:val="42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Co-Chief Executive Officer and Director (Principal Executive Officer)</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Brown</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Colleen Brown</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Clifton</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David C. Clifton</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De’Ana Dow</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De’Ana Dow</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J. Goldberg</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Michelle J. Goldberg</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Jill Simeone</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Jill Simeone</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Gordon Watson</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Gordon Watson</w:t>
            </w:r>
          </w:p>
        </w:tc>
        <w:tc>
          <w:tcPr>
            <w:tcW w:w="22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356"/>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II-8</w:t>
            </w:r>
          </w:p>
        </w:tc>
      </w:tr>
    </w:tbl>
    <w:p>
      <w:pPr>
        <w:sectPr>
          <w:pgSz w:w="11900" w:h="16838" w:orient="portrait"/>
          <w:cols w:equalWidth="0" w:num="1">
            <w:col w:w="11080"/>
          </w:cols>
          <w:pgMar w:left="320" w:top="451" w:right="49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tc>
        <w:tc>
          <w:tcPr>
            <w:tcW w:w="0" w:type="dxa"/>
            <w:vAlign w:val="bottom"/>
          </w:tcPr>
          <w:p>
            <w:pPr>
              <w:spacing w:after="0"/>
              <w:rPr>
                <w:sz w:val="1"/>
                <w:szCs w:val="1"/>
                <w:color w:val="auto"/>
              </w:rPr>
            </w:pPr>
          </w:p>
        </w:tc>
      </w:tr>
      <w:tr>
        <w:trPr>
          <w:trHeight w:val="891"/>
        </w:trPr>
        <w:tc>
          <w:tcPr>
            <w:tcW w:w="37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TELEPHONE: 1-212-558-4000</w:t>
            </w:r>
          </w:p>
        </w:tc>
        <w:tc>
          <w:tcPr>
            <w:tcW w:w="2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                         </w:t>
            </w:r>
          </w:p>
        </w:tc>
        <w:tc>
          <w:tcPr>
            <w:tcW w:w="47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0" w:type="dxa"/>
            <w:vAlign w:val="bottom"/>
          </w:tcPr>
          <w:p>
            <w:pPr>
              <w:spacing w:after="0"/>
              <w:rPr>
                <w:sz w:val="1"/>
                <w:szCs w:val="1"/>
                <w:color w:val="auto"/>
              </w:rPr>
            </w:pPr>
          </w:p>
        </w:tc>
      </w:tr>
      <w:tr>
        <w:trPr>
          <w:trHeight w:val="214"/>
        </w:trPr>
        <w:tc>
          <w:tcPr>
            <w:tcW w:w="37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FACSIMILE: 1-212-558-3588</w:t>
            </w:r>
          </w:p>
        </w:tc>
        <w:tc>
          <w:tcPr>
            <w:tcW w:w="2460" w:type="dxa"/>
            <w:vAlign w:val="bottom"/>
          </w:tcPr>
          <w:p>
            <w:pPr>
              <w:spacing w:after="0"/>
              <w:rPr>
                <w:sz w:val="18"/>
                <w:szCs w:val="18"/>
                <w:color w:val="auto"/>
              </w:rPr>
            </w:pPr>
          </w:p>
        </w:tc>
        <w:tc>
          <w:tcPr>
            <w:tcW w:w="4760" w:type="dxa"/>
            <w:vAlign w:val="bottom"/>
            <w:gridSpan w:val="3"/>
            <w:vMerge w:val="restart"/>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7"/>
              </w:rPr>
              <w:t>New York, New York 10004-2498</w:t>
            </w:r>
          </w:p>
        </w:tc>
        <w:tc>
          <w:tcPr>
            <w:tcW w:w="0" w:type="dxa"/>
            <w:vAlign w:val="bottom"/>
          </w:tcPr>
          <w:p>
            <w:pPr>
              <w:spacing w:after="0"/>
              <w:rPr>
                <w:sz w:val="1"/>
                <w:szCs w:val="1"/>
                <w:color w:val="auto"/>
              </w:rPr>
            </w:pPr>
          </w:p>
        </w:tc>
      </w:tr>
      <w:tr>
        <w:trPr>
          <w:trHeight w:val="139"/>
        </w:trPr>
        <w:tc>
          <w:tcPr>
            <w:tcW w:w="3700" w:type="dxa"/>
            <w:vAlign w:val="bottom"/>
            <w:vMerge w:val="restart"/>
          </w:tcPr>
          <w:p>
            <w:pPr>
              <w:jc w:val="center"/>
              <w:ind w:left="91"/>
              <w:spacing w:after="0"/>
              <w:rPr>
                <w:sz w:val="20"/>
                <w:szCs w:val="20"/>
                <w:color w:val="auto"/>
              </w:rPr>
            </w:pPr>
            <w:r>
              <w:rPr>
                <w:rFonts w:ascii="Times New Roman" w:cs="Times New Roman" w:eastAsia="Times New Roman" w:hAnsi="Times New Roman"/>
                <w:sz w:val="18"/>
                <w:szCs w:val="18"/>
                <w:color w:val="auto"/>
                <w:w w:val="98"/>
              </w:rPr>
              <w:t>WWW.SULLCROM.COM</w:t>
            </w:r>
          </w:p>
        </w:tc>
        <w:tc>
          <w:tcPr>
            <w:tcW w:w="2460" w:type="dxa"/>
            <w:vAlign w:val="bottom"/>
          </w:tcPr>
          <w:p>
            <w:pPr>
              <w:spacing w:after="0"/>
              <w:rPr>
                <w:sz w:val="12"/>
                <w:szCs w:val="12"/>
                <w:color w:val="auto"/>
              </w:rPr>
            </w:pPr>
          </w:p>
        </w:tc>
        <w:tc>
          <w:tcPr>
            <w:tcW w:w="4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0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37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3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7"/>
              </w:rPr>
              <w:t>LOS ANGELES • PALO ALTO • WASHINGTON, D.C.</w:t>
            </w:r>
          </w:p>
        </w:tc>
        <w:tc>
          <w:tcPr>
            <w:tcW w:w="0" w:type="dxa"/>
            <w:vAlign w:val="bottom"/>
          </w:tcPr>
          <w:p>
            <w:pPr>
              <w:spacing w:after="0"/>
              <w:rPr>
                <w:sz w:val="1"/>
                <w:szCs w:val="1"/>
                <w:color w:val="auto"/>
              </w:rPr>
            </w:pPr>
          </w:p>
        </w:tc>
      </w:tr>
      <w:tr>
        <w:trPr>
          <w:trHeight w:val="334"/>
        </w:trPr>
        <w:tc>
          <w:tcPr>
            <w:tcW w:w="3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BRUSSELS • FRANKFURT • LONDON • PARIS</w:t>
            </w:r>
          </w:p>
        </w:tc>
        <w:tc>
          <w:tcPr>
            <w:tcW w:w="0" w:type="dxa"/>
            <w:vAlign w:val="bottom"/>
          </w:tcPr>
          <w:p>
            <w:pPr>
              <w:spacing w:after="0"/>
              <w:rPr>
                <w:sz w:val="1"/>
                <w:szCs w:val="1"/>
                <w:color w:val="auto"/>
              </w:rPr>
            </w:pPr>
          </w:p>
        </w:tc>
      </w:tr>
      <w:tr>
        <w:trPr>
          <w:trHeight w:val="334"/>
        </w:trPr>
        <w:tc>
          <w:tcPr>
            <w:tcW w:w="3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BEIJING • HONG KONG • TOKYO</w:t>
            </w:r>
          </w:p>
        </w:tc>
        <w:tc>
          <w:tcPr>
            <w:tcW w:w="0" w:type="dxa"/>
            <w:vAlign w:val="bottom"/>
          </w:tcPr>
          <w:p>
            <w:pPr>
              <w:spacing w:after="0"/>
              <w:rPr>
                <w:sz w:val="1"/>
                <w:szCs w:val="1"/>
                <w:color w:val="auto"/>
              </w:rPr>
            </w:pPr>
          </w:p>
        </w:tc>
      </w:tr>
      <w:tr>
        <w:trPr>
          <w:trHeight w:val="334"/>
        </w:trPr>
        <w:tc>
          <w:tcPr>
            <w:tcW w:w="3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MELBOURNE • SYDNEY</w:t>
            </w:r>
          </w:p>
        </w:tc>
        <w:tc>
          <w:tcPr>
            <w:tcW w:w="0" w:type="dxa"/>
            <w:vAlign w:val="bottom"/>
          </w:tcPr>
          <w:p>
            <w:pPr>
              <w:spacing w:after="0"/>
              <w:rPr>
                <w:sz w:val="1"/>
                <w:szCs w:val="1"/>
                <w:color w:val="auto"/>
              </w:rPr>
            </w:pPr>
          </w:p>
        </w:tc>
      </w:tr>
      <w:tr>
        <w:trPr>
          <w:trHeight w:val="441"/>
        </w:trPr>
        <w:tc>
          <w:tcPr>
            <w:tcW w:w="3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26, 2025</w:t>
            </w:r>
          </w:p>
        </w:tc>
        <w:tc>
          <w:tcPr>
            <w:tcW w:w="0" w:type="dxa"/>
            <w:vAlign w:val="bottom"/>
          </w:tcPr>
          <w:p>
            <w:pPr>
              <w:spacing w:after="0"/>
              <w:rPr>
                <w:sz w:val="1"/>
                <w:szCs w:val="1"/>
                <w:color w:val="auto"/>
              </w:rPr>
            </w:pPr>
          </w:p>
        </w:tc>
      </w:tr>
      <w:tr>
        <w:trPr>
          <w:trHeight w:val="4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2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10000 Avalon Boulevard, Suite 1000,</w:t>
            </w:r>
          </w:p>
        </w:tc>
        <w:tc>
          <w:tcPr>
            <w:tcW w:w="2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Alpharetta, Georgia, 30009.</w:t>
            </w:r>
          </w:p>
        </w:tc>
        <w:tc>
          <w:tcPr>
            <w:tcW w:w="2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-2419985</wp:posOffset>
            </wp:positionV>
            <wp:extent cx="3040380" cy="212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3040380" cy="2120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40" w:firstLine="436"/>
        <w:spacing w:after="0" w:line="254" w:lineRule="auto"/>
        <w:rPr>
          <w:sz w:val="20"/>
          <w:szCs w:val="20"/>
          <w:color w:val="auto"/>
        </w:rPr>
      </w:pPr>
      <w:r>
        <w:rPr>
          <w:rFonts w:ascii="Times New Roman" w:cs="Times New Roman" w:eastAsia="Times New Roman" w:hAnsi="Times New Roman"/>
          <w:sz w:val="18"/>
          <w:szCs w:val="18"/>
          <w:color w:val="auto"/>
        </w:rPr>
        <w:t>We are acting as counsel to Bakkt Holdings, Inc., a Delaware corporation (the “Company”) in connection with the filing today by the Company of a registration statement on Form S-3 (the “Registration Statement”) under the Securities Act of 1933 (the “Act”). The Registration Statement registers the following securities: shares of Class A common stock, par value $0.0001 per share (the “Common Stock”); preferred stock, par value $0.0001 per share (the “Preferred Stock”); senior debt securities and subordinated debt securities (collectively, the “Debt Securities”); warrants for the purchase of Common Stock, Preferred Stock or Debt Securities (the “Warrants”); and units comprised of one or more of the Common Stock, Preferred Stock, Debt Securities or Warrants in any combination (the “Units”). The foregoing securities are referred to collectively as the “Securities”.</w:t>
      </w:r>
    </w:p>
    <w:p>
      <w:pPr>
        <w:spacing w:after="0" w:line="184"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the filing of the Registration Statement, we, as your counsel, have examined such corporate records, certificates and other documents, including the resolutions of the Company’s Board of Directors authorizing the issuance of the Securities, and such questions of law, as we have considered necessary or appropriate for the purposes of this opinion.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the basis of such examination, it is our opinion that:</w:t>
      </w:r>
    </w:p>
    <w:p>
      <w:pPr>
        <w:spacing w:after="0" w:line="112" w:lineRule="exact"/>
        <w:rPr>
          <w:sz w:val="20"/>
          <w:szCs w:val="20"/>
          <w:color w:val="auto"/>
        </w:rPr>
      </w:pPr>
    </w:p>
    <w:p>
      <w:pPr>
        <w:jc w:val="both"/>
        <w:ind w:right="120" w:firstLine="444"/>
        <w:spacing w:after="0" w:line="278" w:lineRule="auto"/>
        <w:tabs>
          <w:tab w:leader="none" w:pos="68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Common Stock of the Company. </w:t>
      </w:r>
      <w:r>
        <w:rPr>
          <w:rFonts w:ascii="Times New Roman" w:cs="Times New Roman" w:eastAsia="Times New Roman" w:hAnsi="Times New Roman"/>
          <w:sz w:val="17"/>
          <w:szCs w:val="17"/>
          <w:color w:val="auto"/>
        </w:rPr>
        <w:t>When the Registration Statement has become effective under the Act, the terms of the sale of the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have been duly established in conformity with the Company’s Certificate of Incorporation so as not to violate any applicable law or result in a default under or breach of any agreement or instrument binding upon the Company and so as to comply with any requirement or restriction imposed by any court or governmental body having jurisdiction over the Company and to include a number of shares of Common Stock to be issued not in excess</w:t>
      </w:r>
    </w:p>
    <w:p>
      <w:pPr>
        <w:sectPr>
          <w:pgSz w:w="11900" w:h="16838" w:orient="portrait"/>
          <w:cols w:equalWidth="0" w:num="1">
            <w:col w:w="10920"/>
          </w:cols>
          <w:pgMar w:left="480" w:top="117" w:right="499" w:bottom="1440" w:gutter="0" w:footer="0" w:header="0"/>
        </w:sectPr>
      </w:pPr>
    </w:p>
    <w:bookmarkStart w:id="40" w:name="page41"/>
    <w:bookmarkEnd w:id="40"/>
    <w:p>
      <w:pPr>
        <w:jc w:val="both"/>
        <w:ind w:right="1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the number of shares of Common Stock then authorized and not outstanding or reserved for issuance, and the Common Stock has been duly issued and sold for a price per share determined by the Company’s Board of Directors which is not less than the par value thereof, the Common Stock will be validly issued, fully paid and nonassessable.</w:t>
      </w:r>
    </w:p>
    <w:p>
      <w:pPr>
        <w:spacing w:after="0" w:line="173" w:lineRule="exact"/>
        <w:rPr>
          <w:sz w:val="20"/>
          <w:szCs w:val="20"/>
          <w:color w:val="auto"/>
        </w:rPr>
      </w:pPr>
    </w:p>
    <w:p>
      <w:pPr>
        <w:ind w:right="40" w:firstLine="444"/>
        <w:spacing w:after="0" w:line="252" w:lineRule="auto"/>
        <w:tabs>
          <w:tab w:leader="none" w:pos="6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Preferred Stock of the Company. </w:t>
      </w:r>
      <w:r>
        <w:rPr>
          <w:rFonts w:ascii="Times New Roman" w:cs="Times New Roman" w:eastAsia="Times New Roman" w:hAnsi="Times New Roman"/>
          <w:sz w:val="18"/>
          <w:szCs w:val="18"/>
          <w:color w:val="auto"/>
        </w:rPr>
        <w:t>When the Registration Statement has become effective under the Act, the terms of the Preferred Stock and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issuance and sale have been duly established in conformity with the Company’s Certificate of Incorporation so as not to violate any applicable law or result in a default under or breach of any agreement or instrument binding upon the Company and so as to comply with any requirement or restriction imposed by any court or governmental body having jurisdiction over the Company and to include a number of shares of Preferred Stock to be issued not in excess of the number of shares of Preferred Stock then authorized and not outstanding or reserved for issuance, a certificate of designations with respect to the Preferred Stock has been duly filed with the Secretary of State of the State of Delaware, and the Preferred Stock has been duly issued and sold for a price per share determined by the Company’s Board of Directors which is not less than the par value thereof, the Preferred Stock will be validly issued, fully paid and nonassessable.</w:t>
      </w:r>
    </w:p>
    <w:p>
      <w:pPr>
        <w:spacing w:after="0" w:line="187" w:lineRule="exact"/>
        <w:rPr>
          <w:rFonts w:ascii="Times New Roman" w:cs="Times New Roman" w:eastAsia="Times New Roman" w:hAnsi="Times New Roman"/>
          <w:sz w:val="18"/>
          <w:szCs w:val="18"/>
          <w:color w:val="auto"/>
        </w:rPr>
      </w:pPr>
    </w:p>
    <w:p>
      <w:pPr>
        <w:ind w:right="40" w:firstLine="444"/>
        <w:spacing w:after="0" w:line="268" w:lineRule="auto"/>
        <w:tabs>
          <w:tab w:leader="none" w:pos="68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Warrants of the Company. </w:t>
      </w:r>
      <w:r>
        <w:rPr>
          <w:rFonts w:ascii="Times New Roman" w:cs="Times New Roman" w:eastAsia="Times New Roman" w:hAnsi="Times New Roman"/>
          <w:sz w:val="17"/>
          <w:szCs w:val="17"/>
          <w:color w:val="auto"/>
        </w:rPr>
        <w:t>When the Registration Statement has become effective under the Act, the terms of the governing instrument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under which one or more Warrants are to be issued (the “Warrant Agreement”)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 the Warrant Agreement has been duly authorized, executed and delivered by the parties thereto, the terms of such Warrants and of their issuance and sale have been duly established in conformity with the Warrant Agreement so as not to violate any applicable law or result in a default under or breach of any agreement or instrument binding upon the Company and so as to comply with any requirement or restriction imposed by any court or governmental body having jurisdiction over the Company, and such Warrants have been duly executed and authenticated in accordance with the Warrant Agreement and issued and sold as contemplated by the Registration Statement, such Warrants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70" w:lineRule="exact"/>
        <w:rPr>
          <w:rFonts w:ascii="Times New Roman" w:cs="Times New Roman" w:eastAsia="Times New Roman" w:hAnsi="Times New Roman"/>
          <w:sz w:val="17"/>
          <w:szCs w:val="17"/>
          <w:color w:val="auto"/>
        </w:rPr>
      </w:pPr>
    </w:p>
    <w:p>
      <w:pPr>
        <w:ind w:left="700" w:hanging="256"/>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Units of the Company. </w:t>
      </w:r>
      <w:r>
        <w:rPr>
          <w:rFonts w:ascii="Times New Roman" w:cs="Times New Roman" w:eastAsia="Times New Roman" w:hAnsi="Times New Roman"/>
          <w:sz w:val="18"/>
          <w:szCs w:val="18"/>
          <w:color w:val="auto"/>
        </w:rPr>
        <w:t>When the Registration Statement has become effective under the Act, the terms of the governing instrument or</w:t>
      </w:r>
    </w:p>
    <w:p>
      <w:pPr>
        <w:spacing w:after="0" w:line="27" w:lineRule="exact"/>
        <w:rPr>
          <w:rFonts w:ascii="Times New Roman" w:cs="Times New Roman" w:eastAsia="Times New Roman" w:hAnsi="Times New Roman"/>
          <w:sz w:val="18"/>
          <w:szCs w:val="18"/>
          <w:color w:val="auto"/>
        </w:rPr>
      </w:pPr>
    </w:p>
    <w:p>
      <w:pPr>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under which one or more Units are to be issued (the “Unit Agreement”)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 the Unit Agreement has been duly authorized, executed and delivered by the parties thereto, the terms of such Units and of their issuance and sale have been duly established in conformity with the Unit Agreement so as not to violate any applicable law or result in a default under or breach of any agreement or instrument binding upon the Company and so as to comply with any requirement or restriction imposed by any court or governmental body having jurisdiction over the Company, and such Units have been duly executed and authenticated in accordance with the Unit Agreement and issued and sold as contemplated by the Registration Statement, such Units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ectPr>
          <w:pgSz w:w="11900" w:h="16838" w:orient="portrait"/>
          <w:cols w:equalWidth="0" w:num="1">
            <w:col w:w="10920"/>
          </w:cols>
          <w:pgMar w:left="480" w:top="268" w:right="499" w:bottom="1440" w:gutter="0" w:footer="0" w:header="0"/>
        </w:sectPr>
      </w:pPr>
    </w:p>
    <w:bookmarkStart w:id="41" w:name="page42"/>
    <w:bookmarkEnd w:id="41"/>
    <w:p>
      <w:pPr>
        <w:ind w:firstLine="444"/>
        <w:spacing w:after="0" w:line="251" w:lineRule="auto"/>
        <w:tabs>
          <w:tab w:leader="none" w:pos="6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Debt Securities of the Company. </w:t>
      </w:r>
      <w:r>
        <w:rPr>
          <w:rFonts w:ascii="Times New Roman" w:cs="Times New Roman" w:eastAsia="Times New Roman" w:hAnsi="Times New Roman"/>
          <w:sz w:val="18"/>
          <w:szCs w:val="18"/>
          <w:color w:val="auto"/>
        </w:rPr>
        <w:t>When the Registration Statement has become effective under the Act, the terms of the indenture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Debt Securities are to be issued (the “Indenture”)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 the Indenture has been duly authorized, executed and delivered by the parties thereto, the terms of such Debt Securities and of their issuance and sale have been duly established in conformity with the Indenture so as not to violate any applicable law or result in a default under or breach of any agreement or instrument binding upon the Company and so as to comply with any requirement or restriction imposed by any court or governmental body having jurisdiction over the Company, and such Debt Securities have been duly executed, authenticated and issued in accordance with the Indenture and issued and sold as contemplated by the Registration Statement, such Debt Securities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91"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We note that, as of the date of this opinion, a judgment for money in an action based on debt securities denominated in foreign currencies or currency units in a Federal or state court in the United States ordinarily would be enforced in the United States only in U.S. dollars. The date used to determine the rate of conversion of the foreign currency or currency unit in which a particular debt security is denominated into U.S. dollars will depend upon various factors, including which court renders the judgment. In the case of a debt security denominated in a foreign currency, a state court in the State of New York rendering a judgment on such debt security would be required under Section 27 of the New York Judiciary Law to render such judgment in the foreign currency in which the debt security is denominated, and such judgment would be converted into U.S. dollars at the exchange rate prevailing on the date of entry of the judgment.</w:t>
      </w:r>
    </w:p>
    <w:p>
      <w:pPr>
        <w:sectPr>
          <w:pgSz w:w="11900" w:h="16838" w:orient="portrait"/>
          <w:cols w:equalWidth="0" w:num="1">
            <w:col w:w="10900"/>
          </w:cols>
          <w:pgMar w:left="480" w:top="266" w:right="519" w:bottom="1440" w:gutter="0" w:footer="0" w:header="0"/>
        </w:sectPr>
      </w:pPr>
    </w:p>
    <w:bookmarkStart w:id="42" w:name="page43"/>
    <w:bookmarkEnd w:id="42"/>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foregoing opinion is limited to the Federal laws of the United States and the laws of the State of New York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20" w:firstLine="436"/>
        <w:spacing w:after="0" w:line="285" w:lineRule="auto"/>
        <w:rPr>
          <w:sz w:val="20"/>
          <w:szCs w:val="20"/>
          <w:color w:val="auto"/>
        </w:rPr>
      </w:pPr>
      <w:r>
        <w:rPr>
          <w:rFonts w:ascii="Times New Roman" w:cs="Times New Roman" w:eastAsia="Times New Roman" w:hAnsi="Times New Roman"/>
          <w:sz w:val="17"/>
          <w:szCs w:val="17"/>
          <w:color w:val="auto"/>
        </w:rPr>
        <w:t>We have relied as to certain matters on information obtained from public officials, officers of the Company and other sources believed by us to be responsible. We have assumed, without independent verification, that all documents under which the Securities are to be issued will have been duly authorized, executed and delivered by all parties thereto other than the Company and that the signatures on documents examined by us are genuine.</w:t>
      </w:r>
    </w:p>
    <w:p>
      <w:pPr>
        <w:spacing w:after="0" w:line="160"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us under the heading “Validity of the Securities” in the prospectus included in the Registration Statement. In giving such consent, we do not thereby admit that we are in the category of persons whose consent is required under Section 7 of the Act.</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0860"/>
          </w:cols>
          <w:pgMar w:left="480" w:top="268" w:right="5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Form S-3 Registration Statement and the related Prospectus of Bakkt Holdings, Inc. for the registration of Class A Common Stock, Preferred Stock, Debt Securities, Warrants and Units with an aggregate offering price not to exceed $1,000,000,000 and to the incorporation by reference therein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w:t>
      </w:r>
    </w:p>
    <w:p>
      <w:pPr>
        <w:spacing w:after="0" w:line="18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2025</w:t>
      </w:r>
    </w:p>
    <w:p>
      <w:pPr>
        <w:sectPr>
          <w:pgSz w:w="11900" w:h="16838" w:orient="portrait"/>
          <w:cols w:equalWidth="0" w:num="1">
            <w:col w:w="10920"/>
          </w:cols>
          <w:pgMar w:left="480" w:top="117" w:right="4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5"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8"/>
          <w:szCs w:val="18"/>
          <w:color w:val="auto"/>
        </w:rPr>
        <w:t>We consent to the use of our reports dated March 19, 2025, with respect to the consolidated financial statements of Bakkt Holdings, Inc., and the effectiveness of internal control over financial reporting, appearing in the Company’s Annual Report (Form 10-K) as of and for the year ended December 31, 2024 incorporated herein by reference, and to the reference to our firm under the heading “Experts” in the prospectus.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2025</w:t>
      </w:r>
    </w:p>
    <w:p>
      <w:pPr>
        <w:sectPr>
          <w:pgSz w:w="11900" w:h="16838" w:orient="portrait"/>
          <w:cols w:equalWidth="0" w:num="1">
            <w:col w:w="10920"/>
          </w:cols>
          <w:pgMar w:left="480" w:top="117" w:right="499" w:bottom="1440" w:gutter="0" w:footer="0" w:header="0"/>
        </w:sectPr>
      </w:pPr>
    </w:p>
    <w:bookmarkStart w:id="45" w:name="page46"/>
    <w:bookmarkEnd w:id="45"/>
    <w:p>
      <w:pPr>
        <w:ind w:left="1004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(Form Type)</w:t>
      </w:r>
    </w:p>
    <w:p>
      <w:pPr>
        <w:spacing w:after="0" w:line="21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860" w:type="dxa"/>
            <w:vAlign w:val="bottom"/>
            <w:tcBorders>
              <w:top w:val="single" w:sz="8" w:color="auto"/>
              <w:left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5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Filing Fee</w:t>
            </w:r>
          </w:p>
        </w:tc>
      </w:tr>
      <w:tr>
        <w:trPr>
          <w:trHeight w:val="134"/>
        </w:trPr>
        <w:tc>
          <w:tcPr>
            <w:tcW w:w="8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Previously</w:t>
            </w:r>
          </w:p>
        </w:tc>
      </w:tr>
      <w:tr>
        <w:trPr>
          <w:trHeight w:val="134"/>
        </w:trPr>
        <w:tc>
          <w:tcPr>
            <w:tcW w:w="8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w w:val="98"/>
              </w:rPr>
              <w:t>Paid In</w:t>
            </w:r>
          </w:p>
        </w:tc>
      </w:tr>
      <w:tr>
        <w:trPr>
          <w:trHeight w:val="134"/>
        </w:trPr>
        <w:tc>
          <w:tcPr>
            <w:tcW w:w="8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Fee</w:t>
            </w:r>
          </w:p>
        </w:tc>
        <w:tc>
          <w:tcPr>
            <w:tcW w:w="7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auto"/>
              </w:rPr>
              <w:t>Proposed</w:t>
            </w:r>
          </w:p>
        </w:tc>
        <w:tc>
          <w:tcPr>
            <w:tcW w:w="6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Connection</w:t>
            </w:r>
          </w:p>
        </w:tc>
      </w:tr>
      <w:tr>
        <w:trPr>
          <w:trHeight w:val="134"/>
        </w:trPr>
        <w:tc>
          <w:tcPr>
            <w:tcW w:w="8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Calculation</w:t>
            </w:r>
          </w:p>
        </w:tc>
        <w:tc>
          <w:tcPr>
            <w:tcW w:w="7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auto"/>
              </w:rPr>
              <w:t>Maximum</w:t>
            </w:r>
          </w:p>
        </w:tc>
        <w:tc>
          <w:tcPr>
            <w:tcW w:w="6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ind w:left="120"/>
              <w:spacing w:after="0" w:line="134" w:lineRule="exact"/>
              <w:rPr>
                <w:sz w:val="20"/>
                <w:szCs w:val="20"/>
                <w:color w:val="auto"/>
              </w:rPr>
            </w:pPr>
            <w:r>
              <w:rPr>
                <w:rFonts w:ascii="Times New Roman" w:cs="Times New Roman" w:eastAsia="Times New Roman" w:hAnsi="Times New Roman"/>
                <w:sz w:val="12"/>
                <w:szCs w:val="12"/>
                <w:color w:val="auto"/>
              </w:rPr>
              <w:t>Carry</w:t>
            </w:r>
          </w:p>
        </w:tc>
        <w:tc>
          <w:tcPr>
            <w:tcW w:w="9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with Unsold</w:t>
            </w:r>
          </w:p>
        </w:tc>
      </w:tr>
      <w:tr>
        <w:trPr>
          <w:trHeight w:val="134"/>
        </w:trPr>
        <w:tc>
          <w:tcPr>
            <w:tcW w:w="8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or Carry</w:t>
            </w:r>
          </w:p>
        </w:tc>
        <w:tc>
          <w:tcPr>
            <w:tcW w:w="7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auto"/>
              </w:rPr>
              <w:t>Offering</w:t>
            </w:r>
          </w:p>
        </w:tc>
        <w:tc>
          <w:tcPr>
            <w:tcW w:w="6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Forward</w:t>
            </w:r>
          </w:p>
        </w:tc>
        <w:tc>
          <w:tcPr>
            <w:tcW w:w="9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Securities to</w:t>
            </w:r>
          </w:p>
        </w:tc>
      </w:tr>
      <w:tr>
        <w:trPr>
          <w:trHeight w:val="134"/>
        </w:trPr>
        <w:tc>
          <w:tcPr>
            <w:tcW w:w="8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Forward</w:t>
            </w:r>
          </w:p>
        </w:tc>
        <w:tc>
          <w:tcPr>
            <w:tcW w:w="70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Amount</w:t>
            </w:r>
          </w:p>
        </w:tc>
        <w:tc>
          <w:tcPr>
            <w:tcW w:w="600" w:type="dxa"/>
            <w:vAlign w:val="bottom"/>
            <w:tcBorders>
              <w:right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auto"/>
              </w:rPr>
              <w:t>Price Per</w:t>
            </w:r>
          </w:p>
        </w:tc>
        <w:tc>
          <w:tcPr>
            <w:tcW w:w="60" w:type="dxa"/>
            <w:vAlign w:val="bottom"/>
          </w:tcPr>
          <w:p>
            <w:pPr>
              <w:spacing w:after="0"/>
              <w:rPr>
                <w:sz w:val="11"/>
                <w:szCs w:val="11"/>
                <w:color w:val="auto"/>
              </w:rPr>
            </w:pPr>
          </w:p>
        </w:tc>
        <w:tc>
          <w:tcPr>
            <w:tcW w:w="122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Maximum Aggregate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Amount of</w:t>
            </w:r>
          </w:p>
        </w:tc>
        <w:tc>
          <w:tcPr>
            <w:tcW w:w="50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Form</w:t>
            </w:r>
          </w:p>
        </w:tc>
        <w:tc>
          <w:tcPr>
            <w:tcW w:w="90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Carry Forward</w:t>
            </w:r>
          </w:p>
        </w:tc>
        <w:tc>
          <w:tcPr>
            <w:tcW w:w="128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Carry Forward Initial</w:t>
            </w: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auto"/>
              </w:rPr>
              <w:t>be Carried</w:t>
            </w:r>
          </w:p>
        </w:tc>
      </w:tr>
      <w:tr>
        <w:trPr>
          <w:trHeight w:val="165"/>
        </w:trPr>
        <w:tc>
          <w:tcPr>
            <w:tcW w:w="860" w:type="dxa"/>
            <w:vAlign w:val="bottom"/>
            <w:tcBorders>
              <w:left w:val="single" w:sz="8" w:color="auto"/>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Security Type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Security Class Title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Rule</w:t>
            </w:r>
          </w:p>
        </w:tc>
        <w:tc>
          <w:tcPr>
            <w:tcW w:w="70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2"/>
                <w:szCs w:val="12"/>
                <w:color w:val="auto"/>
                <w:w w:val="97"/>
              </w:rPr>
              <w:t>Registered</w:t>
            </w:r>
            <w:r>
              <w:rPr>
                <w:rFonts w:ascii="Times New Roman" w:cs="Times New Roman" w:eastAsia="Times New Roman" w:hAnsi="Times New Roman"/>
                <w:sz w:val="18"/>
                <w:szCs w:val="18"/>
                <w:color w:val="auto"/>
                <w:w w:val="97"/>
                <w:vertAlign w:val="superscript"/>
              </w:rPr>
              <w:t>(1)</w:t>
            </w:r>
          </w:p>
        </w:tc>
        <w:tc>
          <w:tcPr>
            <w:tcW w:w="600" w:type="dxa"/>
            <w:vAlign w:val="bottom"/>
            <w:tcBorders>
              <w:bottom w:val="single" w:sz="8" w:color="auto"/>
              <w:right w:val="single" w:sz="8" w:color="auto"/>
            </w:tcBorders>
            <w:gridSpan w:val="2"/>
          </w:tcPr>
          <w:p>
            <w:pPr>
              <w:jc w:val="center"/>
              <w:spacing w:after="0" w:line="165" w:lineRule="exact"/>
              <w:rPr>
                <w:sz w:val="20"/>
                <w:szCs w:val="20"/>
                <w:color w:val="auto"/>
              </w:rPr>
            </w:pPr>
            <w:r>
              <w:rPr>
                <w:rFonts w:ascii="Times New Roman" w:cs="Times New Roman" w:eastAsia="Times New Roman" w:hAnsi="Times New Roman"/>
                <w:sz w:val="12"/>
                <w:szCs w:val="12"/>
                <w:color w:val="auto"/>
                <w:w w:val="96"/>
              </w:rPr>
              <w:t>Unit</w:t>
            </w:r>
            <w:r>
              <w:rPr>
                <w:rFonts w:ascii="Times New Roman" w:cs="Times New Roman" w:eastAsia="Times New Roman" w:hAnsi="Times New Roman"/>
                <w:sz w:val="18"/>
                <w:szCs w:val="18"/>
                <w:color w:val="auto"/>
                <w:w w:val="96"/>
                <w:vertAlign w:val="superscript"/>
              </w:rPr>
              <w:t>(2)</w:t>
            </w: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2"/>
                <w:szCs w:val="12"/>
                <w:color w:val="auto"/>
                <w:w w:val="98"/>
              </w:rPr>
              <w:t>Offering Price</w:t>
            </w:r>
            <w:r>
              <w:rPr>
                <w:rFonts w:ascii="Times New Roman" w:cs="Times New Roman" w:eastAsia="Times New Roman" w:hAnsi="Times New Roman"/>
                <w:sz w:val="18"/>
                <w:szCs w:val="18"/>
                <w:color w:val="auto"/>
                <w:w w:val="98"/>
                <w:vertAlign w:val="superscript"/>
              </w:rPr>
              <w:t>(2)</w:t>
            </w:r>
          </w:p>
        </w:tc>
        <w:tc>
          <w:tcPr>
            <w:tcW w:w="8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rPr>
              <w:t>Fee 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Registration Fee</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Type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File Number</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effective date</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Forward</w:t>
            </w:r>
          </w:p>
        </w:tc>
      </w:tr>
      <w:tr>
        <w:trPr>
          <w:trHeight w:val="181"/>
        </w:trPr>
        <w:tc>
          <w:tcPr>
            <w:tcW w:w="860" w:type="dxa"/>
            <w:vAlign w:val="bottom"/>
            <w:tcBorders>
              <w:lef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40" w:type="dxa"/>
            <w:vAlign w:val="bottom"/>
            <w:gridSpan w:val="7"/>
          </w:tcPr>
          <w:p>
            <w:pPr>
              <w:jc w:val="center"/>
              <w:ind w:left="144"/>
              <w:spacing w:after="0" w:line="181" w:lineRule="exact"/>
              <w:rPr>
                <w:sz w:val="20"/>
                <w:szCs w:val="20"/>
                <w:color w:val="auto"/>
              </w:rPr>
            </w:pPr>
            <w:r>
              <w:rPr>
                <w:rFonts w:ascii="Times New Roman" w:cs="Times New Roman" w:eastAsia="Times New Roman" w:hAnsi="Times New Roman"/>
                <w:sz w:val="18"/>
                <w:szCs w:val="18"/>
                <w:color w:val="auto"/>
                <w:w w:val="99"/>
              </w:rPr>
              <w:t>Newly Registered Securities</w:t>
            </w: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3"/>
        </w:trPr>
        <w:tc>
          <w:tcPr>
            <w:tcW w:w="86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3"/>
        </w:trPr>
        <w:tc>
          <w:tcPr>
            <w:tcW w:w="86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Class A common</w:t>
            </w:r>
          </w:p>
        </w:tc>
        <w:tc>
          <w:tcPr>
            <w:tcW w:w="6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stock, par value</w:t>
            </w: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6"/>
              </w:rPr>
              <w:t>Fees to</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$0.0001 per</w:t>
            </w: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Be Paid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8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Preferred Stock,</w:t>
            </w: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par value</w:t>
            </w: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6"/>
              </w:rPr>
              <w:t>Fees to</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$0.0001 per</w:t>
            </w: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Be Paid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8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200"/>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6"/>
              </w:rPr>
              <w:t>Fees to</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Be Paid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Debt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Debt Securities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8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200"/>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6"/>
              </w:rPr>
              <w:t>Fees to</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Be Paid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Warrants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8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200"/>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6"/>
              </w:rPr>
              <w:t>Fees to</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Be Paid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Units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8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Unallocated</w:t>
            </w: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6"/>
              </w:rPr>
              <w:t>Fees to</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(Universal)</w:t>
            </w: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$153.10 per</w:t>
            </w: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8"/>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Be Paid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Shelf</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1280" w:type="dxa"/>
            <w:vAlign w:val="bottom"/>
            <w:tcBorders>
              <w:bottom w:val="single" w:sz="8" w:color="auto"/>
              <w:right w:val="single" w:sz="8" w:color="auto"/>
            </w:tcBorders>
            <w:gridSpan w:val="2"/>
          </w:tcPr>
          <w:p>
            <w:pPr>
              <w:jc w:val="center"/>
              <w:spacing w:after="0" w:line="228" w:lineRule="exact"/>
              <w:rPr>
                <w:sz w:val="20"/>
                <w:szCs w:val="20"/>
                <w:color w:val="auto"/>
              </w:rPr>
            </w:pPr>
            <w:r>
              <w:rPr>
                <w:rFonts w:ascii="Times New Roman" w:cs="Times New Roman" w:eastAsia="Times New Roman" w:hAnsi="Times New Roman"/>
                <w:sz w:val="16"/>
                <w:szCs w:val="16"/>
                <w:color w:val="auto"/>
                <w:w w:val="96"/>
              </w:rPr>
              <w:t>958,823,528.63</w:t>
            </w:r>
            <w:r>
              <w:rPr>
                <w:rFonts w:ascii="Times New Roman" w:cs="Times New Roman" w:eastAsia="Times New Roman" w:hAnsi="Times New Roman"/>
                <w:sz w:val="24"/>
                <w:szCs w:val="24"/>
                <w:color w:val="auto"/>
                <w:w w:val="96"/>
                <w:vertAlign w:val="superscript"/>
              </w:rPr>
              <w:t>(3)</w:t>
            </w:r>
          </w:p>
        </w:tc>
        <w:tc>
          <w:tcPr>
            <w:tcW w:w="8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$1,000,000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146,795.88</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167"/>
        </w:trPr>
        <w:tc>
          <w:tcPr>
            <w:tcW w:w="860" w:type="dxa"/>
            <w:vAlign w:val="bottom"/>
            <w:tcBorders>
              <w:lef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4"/>
          </w:tcPr>
          <w:p>
            <w:pPr>
              <w:jc w:val="center"/>
              <w:ind w:right="460"/>
              <w:spacing w:after="0" w:line="168" w:lineRule="exact"/>
              <w:rPr>
                <w:sz w:val="20"/>
                <w:szCs w:val="20"/>
                <w:color w:val="auto"/>
              </w:rPr>
            </w:pPr>
            <w:r>
              <w:rPr>
                <w:rFonts w:ascii="Times New Roman" w:cs="Times New Roman" w:eastAsia="Times New Roman" w:hAnsi="Times New Roman"/>
                <w:sz w:val="16"/>
                <w:szCs w:val="16"/>
                <w:color w:val="auto"/>
              </w:rPr>
              <w:t>Carry Forward Securities</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
        </w:trPr>
        <w:tc>
          <w:tcPr>
            <w:tcW w:w="86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3"/>
        </w:trPr>
        <w:tc>
          <w:tcPr>
            <w:tcW w:w="86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Class A</w:t>
            </w:r>
          </w:p>
        </w:tc>
        <w:tc>
          <w:tcPr>
            <w:tcW w:w="6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8"/>
              </w:rPr>
              <w:t>Carry</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par value</w:t>
            </w: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Forward</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$0.0001 per</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415(a)</w:t>
            </w: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Securities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333-271361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February 14, 2024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Preferred Stock,</w:t>
            </w: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8"/>
              </w:rPr>
              <w:t>Carry</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par value</w:t>
            </w: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Forward</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$0.0001 per</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415(a)</w:t>
            </w: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Securities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333-271361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February 14, 2024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200"/>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8"/>
              </w:rPr>
              <w:t>Carry</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Forward</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415(a)</w:t>
            </w: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Securities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Debt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Debt Securities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333-271361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February 14, 2024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200"/>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8"/>
              </w:rPr>
              <w:t>Carry</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Forward</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415(a)</w:t>
            </w: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Securities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Warrants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333-271361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February 14, 2024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200"/>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8"/>
              </w:rPr>
              <w:t>Carry</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Forward</w:t>
            </w:r>
          </w:p>
        </w:tc>
        <w:tc>
          <w:tcPr>
            <w:tcW w:w="8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415(a)</w:t>
            </w: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Securities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Units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333-271361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February 14, 2024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r>
      <w:tr>
        <w:trPr>
          <w:trHeight w:val="200"/>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8"/>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Unallocated</w:t>
            </w: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01"/>
        </w:trPr>
        <w:tc>
          <w:tcPr>
            <w:tcW w:w="86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(Universal)</w:t>
            </w:r>
          </w:p>
        </w:tc>
        <w:tc>
          <w:tcPr>
            <w:tcW w:w="11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415(a)</w:t>
            </w: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$110.20 per</w:t>
            </w:r>
          </w:p>
        </w:tc>
        <w:tc>
          <w:tcPr>
            <w:tcW w:w="9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rPr>
              <w:t>Securities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Shelf</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w:t>
            </w:r>
          </w:p>
        </w:tc>
        <w:tc>
          <w:tcPr>
            <w:tcW w:w="6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1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 xml:space="preserve">$41,176,471.37(4) </w:t>
            </w:r>
          </w:p>
        </w:tc>
        <w:tc>
          <w:tcPr>
            <w:tcW w:w="8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$1,000,000</w:t>
            </w:r>
          </w:p>
        </w:tc>
        <w:tc>
          <w:tcPr>
            <w:tcW w:w="90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333-271361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February 14, 2024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$4,537.65</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21"/>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Total Offering Amounts </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$1,000,000,000</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$146,795.88 </w:t>
            </w:r>
          </w:p>
        </w:tc>
        <w:tc>
          <w:tcPr>
            <w:tcW w:w="5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1"/>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Total Fees Previously Paid </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1"/>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Total Fee Offsets </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21"/>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Net Fee Due </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$146,795.88</w:t>
            </w:r>
          </w:p>
        </w:tc>
        <w:tc>
          <w:tcPr>
            <w:tcW w:w="5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bl>
    <w:p>
      <w:pPr>
        <w:spacing w:after="0" w:line="222" w:lineRule="exact"/>
        <w:rPr>
          <w:sz w:val="20"/>
          <w:szCs w:val="20"/>
          <w:color w:val="auto"/>
        </w:rPr>
      </w:pPr>
    </w:p>
    <w:p>
      <w:pPr>
        <w:ind w:left="440" w:right="360" w:hanging="433"/>
        <w:spacing w:after="0" w:line="253" w:lineRule="auto"/>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registered hereunder include such indeterminate number of (a) shares of Class A common stock, par value $0.0001, (b) shares of preferred stock, par value $0.0001, (c) debt securities, (d) warrants and (e) units consisting of two or more of these securities in any combination, as may be sold from time to time by the registrant. There are also being registered hereunder an indeterminate number of the securities as shall be issuable upon conversion, exchange or exercise of any securities that provide for such issuance.</w:t>
      </w:r>
    </w:p>
    <w:p>
      <w:pPr>
        <w:spacing w:after="0" w:line="2" w:lineRule="exact"/>
        <w:rPr>
          <w:rFonts w:ascii="Times New Roman" w:cs="Times New Roman" w:eastAsia="Times New Roman" w:hAnsi="Times New Roman"/>
          <w:sz w:val="18"/>
          <w:szCs w:val="18"/>
          <w:color w:val="auto"/>
        </w:rPr>
      </w:pPr>
    </w:p>
    <w:p>
      <w:pPr>
        <w:ind w:left="440" w:right="380" w:hanging="433"/>
        <w:spacing w:after="0" w:line="248" w:lineRule="auto"/>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Unit and Maximum Aggregate Offering Price for each class of security will be determined from time to time by the registrant in connection with the issuance by the registrants of the securities hereunder and is not specified as to each class of security.</w:t>
      </w:r>
    </w:p>
    <w:p>
      <w:pPr>
        <w:ind w:left="440" w:right="340" w:hanging="433"/>
        <w:spacing w:after="0" w:line="252" w:lineRule="auto"/>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457(o) under the Securities Act. The aggregate maximum offering price of all securities sold by the registrant from time to time pursuant to this registration statement will not exceed $1,000,000,000 when factoring in the securities listed on the Carry Forward Securities Table.</w:t>
      </w:r>
    </w:p>
    <w:p>
      <w:pPr>
        <w:sectPr>
          <w:pgSz w:w="11900" w:h="16838" w:orient="portrait"/>
          <w:cols w:equalWidth="0" w:num="1">
            <w:col w:w="11180"/>
          </w:cols>
          <w:pgMar w:left="480" w:top="117" w:right="239" w:bottom="0" w:gutter="0" w:footer="0" w:header="0"/>
        </w:sectPr>
      </w:pPr>
    </w:p>
    <w:bookmarkStart w:id="46" w:name="page47"/>
    <w:bookmarkEnd w:id="46"/>
    <w:p>
      <w:pPr>
        <w:ind w:left="433" w:hanging="433"/>
        <w:spacing w:after="0" w:line="250" w:lineRule="auto"/>
        <w:tabs>
          <w:tab w:leader="none" w:pos="4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415(a)(6) under the Securities Act, securities with a maximum aggregate price of $41,176,471.37 registered hereunder are unsold securities (the “Unsold Securities”) previously covered by the registrant’s registration statement on Form S-3 (File No. 333-271361) which was initially filed with the Securities and Exchange Commission on April 20, 2023 and became effective on February 14, 2024 (the “Prior Registration Statement”), and are included in this registration statement. The registrant paid a filing fee relating to the Unsold Securities under the Prior Registration Statement, and no additional filing fee is due with respect to the Unsold Securities in connection with the filing of this registration statement.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Unsold Securities under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under the Securities Act, the offering of Unsold Securities under the Prior Registration Statement will be deemed terminated as of the date of effectiveness of this registration statement.</w:t>
      </w:r>
    </w:p>
    <w:p>
      <w:pPr>
        <w:spacing w:after="0" w:line="128"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0893"/>
      </w:cols>
      <w:pgMar w:left="487" w:top="12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678"/>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
    <w:nsid w:val="580BD78F"/>
    <w:multiLevelType w:val="hybridMultilevel"/>
    <w:lvl w:ilvl="0">
      <w:lvlJc w:val="left"/>
      <w:lvlText w:val="(%1)"/>
      <w:numFmt w:val="decimal"/>
      <w:start w:val="2"/>
    </w:lvl>
    <w:lvl w:ilvl="1">
      <w:lvlJc w:val="left"/>
      <w:lvlText w:val="(%2)"/>
      <w:numFmt w:val="lowerRoman"/>
      <w:start w:val="1"/>
    </w:lvl>
  </w:abstractNum>
  <w:abstractNum w:abstractNumId="37">
    <w:nsid w:val="153EA438"/>
    <w:multiLevelType w:val="hybridMultilevel"/>
    <w:lvl w:ilvl="0">
      <w:lvlJc w:val="left"/>
      <w:lvlText w:val="%1"/>
      <w:numFmt w:val="lowerLetter"/>
      <w:start w:val="1"/>
    </w:lvl>
    <w:lvl w:ilvl="1">
      <w:lvlJc w:val="left"/>
      <w:lvlText w:val="(%2)"/>
      <w:numFmt w:val="decimal"/>
      <w:start w:val="7"/>
    </w:lvl>
  </w:abstractNum>
  <w:abstractNum w:abstractNumId="38">
    <w:nsid w:val="3855585C"/>
    <w:multiLevelType w:val="hybridMultilevel"/>
    <w:lvl w:ilvl="0">
      <w:lvlJc w:val="left"/>
      <w:lvlText w:val="(%1)"/>
      <w:numFmt w:val="lowerLetter"/>
      <w:start w:val="2"/>
    </w:lvl>
    <w:lvl w:ilvl="1">
      <w:lvlJc w:val="left"/>
      <w:lvlText w:val="%2"/>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2"/>
    </w:lvl>
  </w:abstractNum>
  <w:abstractNum w:abstractNumId="41">
    <w:nsid w:val="2A487CB0"/>
    <w:multiLevelType w:val="hybridMultilevel"/>
    <w:lvl w:ilvl="0">
      <w:lvlJc w:val="left"/>
      <w:lvlText w:val="(%1)"/>
      <w:numFmt w:val="decimal"/>
      <w:start w:val="5"/>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8" Type="http://schemas.openxmlformats.org/officeDocument/2006/relationships/image" Target="media/image52.png"/><Relationship Id="rId83"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jpe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56" Type="http://schemas.openxmlformats.org/officeDocument/2006/relationships/hyperlink" Target="http://www.sec.gov/ix?doc=/Archives/edgar/data/1820302/000162828025013959/bakkt-20241231.htm" TargetMode="External"/><Relationship Id="rId57" Type="http://schemas.openxmlformats.org/officeDocument/2006/relationships/hyperlink" Target="http://www.sec.gov/ix?doc=/Archives/edgar/data/1820302/000162828025024743/bakkt-20250331.htm" TargetMode="External"/><Relationship Id="rId58" Type="http://schemas.openxmlformats.org/officeDocument/2006/relationships/hyperlink" Target="http://www.sec.gov/ix?doc=/Archives/edgar/data/1820302/000162828025020274/bakkt-20250428.htm" TargetMode="External"/><Relationship Id="rId59" Type="http://schemas.openxmlformats.org/officeDocument/2006/relationships/hyperlink" Target="http://www.sec.gov/ix?doc=/Archives/edgar/data/1820302/000119312525138191/d76438d8k.htm" TargetMode="External"/><Relationship Id="rId60" Type="http://schemas.openxmlformats.org/officeDocument/2006/relationships/hyperlink" Target="http://www.sec.gov/ix?doc=/Archives/edgar/data/1820302/000162828025013995/bakkt-20250319.htm" TargetMode="External"/><Relationship Id="rId61" Type="http://schemas.openxmlformats.org/officeDocument/2006/relationships/hyperlink" Target="http://www.sec.gov/Archives/edgar/data/1820302/000119312521299620/d211377d8a12b.htm" TargetMode="External"/><Relationship Id="rId65" Type="http://schemas.openxmlformats.org/officeDocument/2006/relationships/hyperlink" Target="http://www.sec.gov/Archives/edgar/data/1820302/000119312521005832/d913171dex21.htm" TargetMode="External"/><Relationship Id="rId66" Type="http://schemas.openxmlformats.org/officeDocument/2006/relationships/hyperlink" Target="http://www.sec.gov/Archives/edgar/data/1820302/000119312521101249/d107545dex21.htm" TargetMode="External"/><Relationship Id="rId67" Type="http://schemas.openxmlformats.org/officeDocument/2006/relationships/hyperlink" Target="http://www.sec.gov/Archives/edgar/data/1820302/000119312521286927/d204551dex21.htm" TargetMode="External"/><Relationship Id="rId69" Type="http://schemas.openxmlformats.org/officeDocument/2006/relationships/hyperlink" Target="http://www.sec.gov/Archives/edgar/data/1820302/000119312521303985/d219325dex31.htm" TargetMode="External"/><Relationship Id="rId70" Type="http://schemas.openxmlformats.org/officeDocument/2006/relationships/hyperlink" Target="http://www.sec.gov/Archives/edgar/data/1820302/000182030224000080/bakkt-charteramendmentreve.htm" TargetMode="External"/><Relationship Id="rId71" Type="http://schemas.openxmlformats.org/officeDocument/2006/relationships/hyperlink" Target="http://www.sec.gov/Archives/edgar/data/1820302/000119312525142918/d80998dex31.htm" TargetMode="External"/><Relationship Id="rId72" Type="http://schemas.openxmlformats.org/officeDocument/2006/relationships/hyperlink" Target="http://www.sec.gov/Archives/edgar/data/1820302/000119312525142918/d80998dex32.htm" TargetMode="External"/><Relationship Id="rId73" Type="http://schemas.openxmlformats.org/officeDocument/2006/relationships/hyperlink" Target="http://www.sec.gov/Archives/edgar/data/1820302/000119312521303985/d219325dex32.htm" TargetMode="External"/><Relationship Id="rId74" Type="http://schemas.openxmlformats.org/officeDocument/2006/relationships/hyperlink" Target="http://www.sec.gov/Archives/edgar/data/1820302/000119312521303985/d219325dex41.htm" TargetMode="External"/><Relationship Id="rId75" Type="http://schemas.openxmlformats.org/officeDocument/2006/relationships/hyperlink" Target="http://www.sec.gov/Archives/edgar/data/1820302/000119312521303985/d219325dex42.htm" TargetMode="External"/><Relationship Id="rId76" Type="http://schemas.openxmlformats.org/officeDocument/2006/relationships/hyperlink" Target="http://www.sec.gov/Archives/edgar/data/1820302/000119312520256308/d38926dex41.htm" TargetMode="External"/><Relationship Id="rId77" Type="http://schemas.openxmlformats.org/officeDocument/2006/relationships/hyperlink" Target="http://www.sec.gov/Archives/edgar/data/1820302/000119312521303985/d219325dex43.htm" TargetMode="External"/><Relationship Id="rId78" Type="http://schemas.openxmlformats.org/officeDocument/2006/relationships/hyperlink" Target="http://www.sec.gov/Archives/edgar/data/1820302/000119312523108799/d492054dex45.htm" TargetMode="External"/><Relationship Id="rId79" Type="http://schemas.openxmlformats.org/officeDocument/2006/relationships/hyperlink" Target="http://www.sec.gov/Archives/edgar/data/1820302/000119312523089016/d482123dex41.htm" TargetMode="External"/><Relationship Id="rId80" Type="http://schemas.openxmlformats.org/officeDocument/2006/relationships/hyperlink" Target="http://www.sec.gov/Archives/edgar/data/1820302/000182030223000080/exhibit42amendmentagreemen.htm" TargetMode="External"/><Relationship Id="rId81" Type="http://schemas.openxmlformats.org/officeDocument/2006/relationships/hyperlink" Target="http://www.sec.gov/Archives/edgar/data/1820302/000119312525142918/d80998dex102.htm" TargetMode="External"/><Relationship Id="rId82" Type="http://schemas.openxmlformats.org/officeDocument/2006/relationships/hyperlink" Target="http://www.sec.gov/Archives/edgar/data/1820302/000119312525142918/d80998dex103.htm" TargetMode="External"/><Relationship Id="rId84" Type="http://schemas.openxmlformats.org/officeDocument/2006/relationships/hyperlink" Target="http://www.sec.gov/Archives/edgar/data/1820302/000119312525142918/d8099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2025-06-26T16:43:27Z</dcterms:created>
  <dcterms:modified xsi:type="dcterms:W3CDTF">2025-06-26T16:43:27Z</dcterms:modified>
</cp:coreProperties>
</file>