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Alexander Karen</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8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900" w:type="dxa"/>
            <w:vAlign w:val="bottom"/>
            <w:tcBorders>
              <w:top w:val="single" w:sz="8" w:color="EEEEEE"/>
            </w:tcBorders>
          </w:tcPr>
          <w:p>
            <w:pPr>
              <w:spacing w:after="0"/>
              <w:rPr>
                <w:sz w:val="4"/>
                <w:szCs w:val="4"/>
                <w:color w:val="auto"/>
              </w:rPr>
            </w:pPr>
          </w:p>
        </w:tc>
        <w:tc>
          <w:tcPr>
            <w:tcW w:w="12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08/28/2025</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ALPHARETTE GA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30009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08/28/2025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483</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69,285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("RSUs") on August 26, 2025, the issuer withheld Class A Common Stock that would otherwise have been issued to the reporting person to satisfy such person's tax withholding obligations. The number of shares withheld was determined based on the closing price per share of Class A Common Stock on August 26,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50,229 shares of Class A Common Stock subject to RSUs and performance stock units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7"/>
          <w:szCs w:val="17"/>
          <w:color w:val="0000FF"/>
        </w:rPr>
        <w:t>08/29/2025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0910"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2025-08-29T19:24:42Z</dcterms:created>
  <dcterms:modified xsi:type="dcterms:W3CDTF">2025-08-29T19:24:42Z</dcterms:modified>
</cp:coreProperties>
</file>