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Jared Fishman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4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Sullivan &amp; Cromwell</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860" w:type="dxa"/>
            <w:vAlign w:val="bottom"/>
          </w:tcPr>
          <w:p>
            <w:pPr>
              <w:spacing w:after="0"/>
              <w:rPr>
                <w:sz w:val="18"/>
                <w:szCs w:val="18"/>
                <w:color w:val="auto"/>
              </w:rPr>
            </w:pPr>
          </w:p>
        </w:tc>
      </w:tr>
      <w:tr>
        <w:trPr>
          <w:trHeight w:val="238"/>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(the “Amendment”) to the Registration Statement on Form S-3 (File No. 333-271438) (the “Registration Statement”) is being filed pursuant to Rule 414 under the Securities Act of 1933, as amended (the “Securities Act”), by Bakkt Holdings, Inc. (formerly “Bakkt NewCo Holdings, Inc.”), a Delaware corporation (the “Successor Registrant”), as the successor registrant to Bakkt Intermediate Holdings, Inc. (formerly “Bakkt Holdings, Inc.”), a Delaware corporation (the “Predecessor Registrant”), solely to reflect a holding company reorganization in accordance with Section 251(g) of the General Corporation Law of the State of Delaware (the “Reorganization”). No additional securities are being registered pursuant to this Amendment.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Reorganization was completed on November 3, 2025 pursuant to the Agreement and Plan of Merger, dated as of November 3, 2025 (the “Merger Agreement”), among the Successor Registrant, the Predecessor Registrant and Bakkt Merger Sub 1, Inc., a Delaware corporation (“Merger Sub”) and a direct wholly-owned subsidiary of the Successor Registrant, pursuant to which Merger Sub was merged with and into the Predecessor Registrant, with the Predecessor Registrant surviving as a direct wholly owned subsidiary of the Successor Registrant. The Successor Registrant changed its name from “Bakkt NewCo Holdings, Inc.” to “Bakkt Holdings, Inc.” and the Predecessor Registrant changed its name from “Bakkt Holdings, Inc.” to “Bakkt Intermediate Holdings, Inc.” In accordance with the terms of the Merger Agreement, (i) each outstanding share of the Predecessor Registrant’s Class A common stock, par value $0.0001 per share (the “Predecessor Class A Common Stock”), was converted into one share of the Successor Registrant’s Class A common stock, par value $0.0001 per share, evidencing the same proportional interests in the Successor Registrant and having the same designations, rights, powers and preferences, and the same qualifications, limitations and restrictions as a share of the Predecessor Class A Common Stock immediately prior to the Reorganization, and (ii) the Successor Registrant adopted organizational documents substantially identical to those of the Predecessor Registrant and assumed certain obligations of the Predecessor Registrant, in each case, to enable the Successor Registrant to offer and sell the securities listed in the Registration Statement on the same terms and conditions as the Predecessor Registrant prior to the Reorganization as required by Rule 414.</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Registration fees were paid at the time of filing of the original Registration Statement.</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14 of Registration Statement Form S-3, File No. 333-271438, effective as of February 14,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15 of Registration Statement on Form S-3, File No. 333-271438, effective as of February 14,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20" w:type="dxa"/>
            <w:vAlign w:val="bottom"/>
            <w:gridSpan w:val="12"/>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20" w:type="dxa"/>
            <w:vAlign w:val="bottom"/>
            <w:gridSpan w:val="1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540" w:type="dxa"/>
            <w:vAlign w:val="bottom"/>
          </w:tcPr>
          <w:p>
            <w:pPr>
              <w:spacing w:after="0"/>
              <w:rPr>
                <w:sz w:val="23"/>
                <w:szCs w:val="23"/>
                <w:color w:val="auto"/>
              </w:rPr>
            </w:pPr>
          </w:p>
        </w:tc>
        <w:tc>
          <w:tcPr>
            <w:tcW w:w="9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Agreement and Plan of Merger, dated as of November 3, 2025, by and among Bakkt Holdings, Inc. (formerly Bakkt NewCo Holdings,</w:t>
              </w:r>
            </w:hyperlink>
          </w:p>
        </w:tc>
        <w:tc>
          <w:tcPr>
            <w:tcW w:w="2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 Bakkt Intermediate Holdings, Inc. (formerly Bakkt Holdings, Inc.) and Bakkt Merger Sub 1,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Exhibit 2.1 to Bakkt Holdings, Inc.’s Current Report on Form 8-K (File No. 001-39544) filed with the SEC on November 3, 2025).</w:t>
              </w:r>
            </w:hyperlink>
          </w:p>
        </w:tc>
        <w:tc>
          <w:tcPr>
            <w:tcW w:w="80" w:type="dxa"/>
            <w:vAlign w:val="bottom"/>
            <w:tcBorders>
              <w:top w:val="single" w:sz="8" w:color="0000EE"/>
            </w:tcBorders>
          </w:tcPr>
          <w:p>
            <w:pPr>
              <w:spacing w:after="0"/>
              <w:rPr>
                <w:sz w:val="17"/>
                <w:szCs w:val="17"/>
                <w:color w:val="auto"/>
              </w:rPr>
            </w:pPr>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4"/>
                <w:szCs w:val="24"/>
                <w:color w:val="auto"/>
              </w:rPr>
            </w:pPr>
          </w:p>
        </w:tc>
        <w:tc>
          <w:tcPr>
            <w:tcW w:w="9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Certificate of Incorporation of Bakkt Holdings, Inc. (incorporated by reference to Exhibit 3.1 to Bakkt Holdings,</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Inc.’s Current Report on Form 8-K (File No. 001-39544) filed with the SEC on November 3,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Amended and Restated Bylaws of Bakkt Holdings, Inc. (incorporated by reference to Exhibit 3.2 to Bakkt Holdings, Inc.’s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on Form 8-K (File No. 001-39544) filed with the SEC on November 3, 2025).</w:t>
              </w:r>
            </w:hyperlink>
          </w:p>
        </w:tc>
        <w:tc>
          <w:tcPr>
            <w:tcW w:w="432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 of Bakkt Holdings, Inc.</w:t>
            </w:r>
          </w:p>
        </w:tc>
        <w:tc>
          <w:tcPr>
            <w:tcW w:w="2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6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 of Bakkt Holdings, Inc.</w:t>
            </w:r>
          </w:p>
        </w:tc>
        <w:tc>
          <w:tcPr>
            <w:tcW w:w="3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Sullivan &amp; Cromwell LLP (included in the opinion filed as Exhibit 5.1 to this Registration Statement).</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82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Powers of Attorney (included on the signature page to this Registration Statement).</w:t>
            </w:r>
          </w:p>
        </w:tc>
        <w:tc>
          <w:tcPr>
            <w:tcW w:w="1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top w:val="single" w:sz="8" w:color="0000EE"/>
              <w:bottom w:val="single" w:sz="8" w:color="auto"/>
            </w:tcBorders>
          </w:tcPr>
          <w:p>
            <w:pPr>
              <w:spacing w:after="0"/>
              <w:rPr>
                <w:sz w:val="14"/>
                <w:szCs w:val="14"/>
                <w:color w:val="auto"/>
              </w:rPr>
            </w:pPr>
          </w:p>
        </w:tc>
        <w:tc>
          <w:tcPr>
            <w:tcW w:w="258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17. Undertakings</w:t>
      </w:r>
    </w:p>
    <w:p>
      <w:pPr>
        <w:spacing w:after="0" w:line="121"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right="60" w:firstLine="1428"/>
        <w:spacing w:after="0" w:line="282" w:lineRule="auto"/>
        <w:tabs>
          <w:tab w:leader="none" w:pos="1747"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right="60" w:firstLine="987"/>
        <w:spacing w:after="0" w:line="266"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1428"/>
        <w:spacing w:after="0" w:line="253" w:lineRule="auto"/>
        <w:tabs>
          <w:tab w:leader="none" w:pos="169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440" w:top="266" w:right="479" w:bottom="1440" w:gutter="0" w:footer="0" w:header="0"/>
        </w:sectPr>
      </w:pPr>
    </w:p>
    <w:bookmarkStart w:id="5" w:name="page6"/>
    <w:bookmarkEnd w:id="5"/>
    <w:p>
      <w:pPr>
        <w:ind w:right="180"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right="140" w:firstLine="1428"/>
        <w:spacing w:after="0" w:line="282" w:lineRule="auto"/>
        <w:tabs>
          <w:tab w:leader="none" w:pos="169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160" w:firstLine="1428"/>
        <w:spacing w:after="0" w:line="282" w:lineRule="auto"/>
        <w:tabs>
          <w:tab w:leader="none" w:pos="174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40"/>
          </w:cols>
          <w:pgMar w:left="440"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New York, State of New York, on December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Akshay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below by the following persons on behalf of the registrant in the capacities indicated on the 10th day of December,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020"/>
          </w:cols>
          <w:pgMar w:left="440" w:top="266" w:right="439" w:bottom="1440" w:gutter="0" w:footer="0" w:header="0"/>
        </w:sectPr>
      </w:pPr>
    </w:p>
    <w:bookmarkStart w:id="7" w:name="page8"/>
    <w:bookmarkEnd w:id="7"/>
    <w:p>
      <w:pPr>
        <w:ind w:left="18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Brown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70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Galvin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jc w:val="center"/>
        <w:ind w:right="33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2">
            <w:col w:w="3660" w:space="720"/>
            <w:col w:w="5639"/>
          </w:cols>
          <w:pgMar w:left="440" w:top="263"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923"/>
        </w:trPr>
        <w:tc>
          <w:tcPr>
            <w:tcW w:w="5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TELEPHONE: 1-212-558-4000</w:t>
            </w:r>
          </w:p>
        </w:tc>
        <w:tc>
          <w:tcPr>
            <w:tcW w:w="2560" w:type="dxa"/>
            <w:vAlign w:val="bottom"/>
          </w:tcPr>
          <w:p>
            <w:pPr>
              <w:spacing w:after="0"/>
              <w:rPr>
                <w:sz w:val="24"/>
                <w:szCs w:val="24"/>
                <w:color w:val="auto"/>
              </w:rPr>
            </w:pPr>
          </w:p>
        </w:tc>
        <w:tc>
          <w:tcPr>
            <w:tcW w:w="332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9"/>
              </w:rPr>
              <w:t>125 Broad Street</w:t>
            </w:r>
          </w:p>
        </w:tc>
      </w:tr>
      <w:tr>
        <w:trPr>
          <w:trHeight w:val="220"/>
        </w:trPr>
        <w:tc>
          <w:tcPr>
            <w:tcW w:w="5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FACSIMILE: 1-212-558-3588</w:t>
            </w: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New York, New York 10004-2498</w:t>
            </w:r>
          </w:p>
        </w:tc>
      </w:tr>
      <w:tr>
        <w:trPr>
          <w:trHeight w:val="194"/>
        </w:trPr>
        <w:tc>
          <w:tcPr>
            <w:tcW w:w="5140" w:type="dxa"/>
            <w:vAlign w:val="bottom"/>
          </w:tcPr>
          <w:p>
            <w:pPr>
              <w:jc w:val="center"/>
              <w:ind w:left="390"/>
              <w:spacing w:after="0" w:line="194" w:lineRule="exact"/>
              <w:rPr>
                <w:sz w:val="20"/>
                <w:szCs w:val="20"/>
                <w:color w:val="auto"/>
              </w:rPr>
            </w:pPr>
            <w:r>
              <w:rPr>
                <w:rFonts w:ascii="Times New Roman" w:cs="Times New Roman" w:eastAsia="Times New Roman" w:hAnsi="Times New Roman"/>
                <w:sz w:val="18"/>
                <w:szCs w:val="18"/>
                <w:color w:val="auto"/>
                <w:w w:val="99"/>
              </w:rPr>
              <w:t>WWW.SULLCROM.COM</w:t>
            </w:r>
          </w:p>
        </w:tc>
        <w:tc>
          <w:tcPr>
            <w:tcW w:w="2560" w:type="dxa"/>
            <w:vAlign w:val="bottom"/>
          </w:tcPr>
          <w:p>
            <w:pPr>
              <w:spacing w:after="0"/>
              <w:rPr>
                <w:sz w:val="16"/>
                <w:szCs w:val="16"/>
                <w:color w:val="auto"/>
              </w:rPr>
            </w:pPr>
          </w:p>
        </w:tc>
        <w:tc>
          <w:tcPr>
            <w:tcW w:w="134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980" w:type="dxa"/>
            <w:vAlign w:val="bottom"/>
          </w:tcPr>
          <w:p>
            <w:pPr>
              <w:spacing w:after="0"/>
              <w:rPr>
                <w:sz w:val="16"/>
                <w:szCs w:val="16"/>
                <w:color w:val="auto"/>
              </w:rPr>
            </w:pPr>
          </w:p>
        </w:tc>
      </w:tr>
      <w:tr>
        <w:trPr>
          <w:trHeight w:val="340"/>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LOS ANGELES • PALO ALTO • WASHINGTON, D.C.</w:t>
            </w:r>
          </w:p>
        </w:tc>
      </w:tr>
      <w:tr>
        <w:trPr>
          <w:trHeight w:val="216"/>
        </w:trPr>
        <w:tc>
          <w:tcPr>
            <w:tcW w:w="5140" w:type="dxa"/>
            <w:vAlign w:val="bottom"/>
          </w:tcPr>
          <w:p>
            <w:pPr>
              <w:spacing w:after="0"/>
              <w:rPr>
                <w:sz w:val="18"/>
                <w:szCs w:val="18"/>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BRUSSELS • FRANKFURT • LONDON • PARIS</w:t>
            </w:r>
          </w:p>
        </w:tc>
      </w:tr>
      <w:tr>
        <w:trPr>
          <w:trHeight w:val="216"/>
        </w:trPr>
        <w:tc>
          <w:tcPr>
            <w:tcW w:w="5140" w:type="dxa"/>
            <w:vAlign w:val="bottom"/>
          </w:tcPr>
          <w:p>
            <w:pPr>
              <w:spacing w:after="0"/>
              <w:rPr>
                <w:sz w:val="18"/>
                <w:szCs w:val="18"/>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BEIJING • HONG KONG • TOKYO</w:t>
            </w:r>
          </w:p>
        </w:tc>
      </w:tr>
      <w:tr>
        <w:trPr>
          <w:trHeight w:val="234"/>
        </w:trPr>
        <w:tc>
          <w:tcPr>
            <w:tcW w:w="5140" w:type="dxa"/>
            <w:vAlign w:val="bottom"/>
          </w:tcPr>
          <w:p>
            <w:pPr>
              <w:spacing w:after="0"/>
              <w:rPr>
                <w:sz w:val="20"/>
                <w:szCs w:val="20"/>
                <w:color w:val="auto"/>
              </w:rPr>
            </w:pPr>
          </w:p>
        </w:tc>
        <w:tc>
          <w:tcPr>
            <w:tcW w:w="58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MELBOURNE • SYDNEY</w:t>
            </w:r>
          </w:p>
        </w:tc>
      </w:tr>
      <w:tr>
        <w:trPr>
          <w:trHeight w:val="445"/>
        </w:trPr>
        <w:tc>
          <w:tcPr>
            <w:tcW w:w="5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10, 2025</w:t>
            </w: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2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Liberty Plaza,</w:t>
            </w: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One Liberty Street, Suite 305-306,</w:t>
            </w:r>
          </w:p>
        </w:tc>
        <w:tc>
          <w:tcPr>
            <w:tcW w:w="2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5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New York, New York, 10006.</w:t>
            </w:r>
          </w:p>
        </w:tc>
        <w:tc>
          <w:tcPr>
            <w:tcW w:w="2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-2313940</wp:posOffset>
            </wp:positionV>
            <wp:extent cx="2665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46,402,403 shares of Class A common stock, par value $0.0001 per share (“Class A Common Stock”), of Bakkt Holdings, Inc., a Delaware corporation (the “Company”), issuable as earnout payments pursuant to the terms of the Membership Interest Purchase Agreement, dated as of November 2, 2022, by and among the Company, Bakkt Marketplace, LLC, Apex Crypto LLC and Apex Fintech Solutions Inc. (the “Purchase Agreement” and, such shares of Class A Common Stock issuable pursuant to the terms of the Purchase Agreement, the “Securities”), we, as your counsel, have examined such corporate records, certificates and other documents, and such questions of law, as we have considered necessary or appropriate for the purposes of this opinion.</w:t>
      </w:r>
    </w:p>
    <w:p>
      <w:pPr>
        <w:spacing w:after="0" w:line="18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under the Purchase Agreement in accordance with the terms thereof, the Securities will be validly issued, fully paid and nonassessable.</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ectPr>
          <w:pgSz w:w="11900" w:h="16838" w:orient="portrait"/>
          <w:cols w:equalWidth="0" w:num="1">
            <w:col w:w="11020"/>
          </w:cols>
          <w:pgMar w:left="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Post Effective Amendment No. 1 to the Form S-3 Registration Statement (No. 333-271438) and related Prospectus of Bakkt Holdings, Inc. for the registration of the 46,402,403 shares of Class A Common Stock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fiscal year ended December 31, 2023, filed with the Securities and Exchange Commission.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except for the effects of the discontinued operations as discussed in Notes 3, 13, 18, 20 and 21, as to which the date is December 10, 2025, with respect to the consolidated financial statements of Bakkt Holdings, Inc., and the effectiveness of internal control over financial reporting,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19495CFF"/>
    <w:multiLevelType w:val="hybridMultilevel"/>
    <w:lvl w:ilvl="0">
      <w:lvlJc w:val="left"/>
      <w:lvlText w:val="(%1)"/>
      <w:numFmt w:val="decimal"/>
      <w:start w:val="2"/>
    </w:lvl>
    <w:lvl w:ilvl="1">
      <w:lvlJc w:val="left"/>
      <w:lvlText w:val="(%2)"/>
      <w:numFmt w:val="lowerRoman"/>
      <w:start w:val="1"/>
    </w:lvl>
  </w:abstractNum>
  <w:abstractNum w:abstractNumId="2">
    <w:nsid w:val="2AE8944A"/>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
    <w:nsid w:val="625558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png"/><Relationship Id="rId21" Type="http://schemas.openxmlformats.org/officeDocument/2006/relationships/hyperlink" Target="http://www.sec.gov/Archives/edgar/data/1820302/000119312525262732/d83327dex21.htm" TargetMode="External"/><Relationship Id="rId22" Type="http://schemas.openxmlformats.org/officeDocument/2006/relationships/hyperlink" Target="http://www.sec.gov/Archives/edgar/data/1820302/000119312525262732/d83327dex31.htm" TargetMode="External"/><Relationship Id="rId23" Type="http://schemas.openxmlformats.org/officeDocument/2006/relationships/hyperlink" Target="http://www.sec.gov/Archives/edgar/data/1820302/000119312525262732/d8332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2025-12-10T15:31:44Z</dcterms:created>
  <dcterms:modified xsi:type="dcterms:W3CDTF">2025-12-10T15:31:44Z</dcterms:modified>
</cp:coreProperties>
</file>