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0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2"/>
                <w:szCs w:val="12"/>
                <w:color w:val="auto"/>
              </w:rPr>
            </w:pPr>
          </w:p>
        </w:tc>
        <w:tc>
          <w:tcPr>
            <w:tcW w:w="11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03/14/2023</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2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03/14/2023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7,573,540</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from $1.30-1.40,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Following the sale transactions discussed above, the Reporting Persons are no longer 10% Owners.</w:t>
      </w:r>
    </w:p>
    <w:p>
      <w:pPr>
        <w:sectPr>
          <w:pgSz w:w="11900" w:h="16838" w:orient="portrait"/>
          <w:cols w:equalWidth="0" w:num="1">
            <w:col w:w="10520"/>
          </w:cols>
          <w:pgMar w:left="500" w:top="127" w:right="879" w:bottom="1440" w:gutter="0" w:footer="0" w:header="0"/>
        </w:sectPr>
      </w:pP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780"/>
          </w:cols>
          <w:pgMar w:left="500" w:top="127" w:right="8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20"/>
          </w:cols>
          <w:pgMar w:left="500" w:top="127" w:right="87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Sponsor, LLC</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VPC Impact Acquisition Holdings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03/14/2023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left="100"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03/14/2023</w:t>
      </w:r>
    </w:p>
    <w:sectPr>
      <w:pgSz w:w="11900" w:h="16838" w:orient="portrait"/>
      <w:cols w:equalWidth="0" w:num="2">
        <w:col w:w="3960" w:space="200"/>
        <w:col w:w="58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2023-03-14T18:37:22Z</dcterms:created>
  <dcterms:modified xsi:type="dcterms:W3CDTF">2023-03-14T18:37:22Z</dcterms:modified>
</cp:coreProperties>
</file>