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D'Annunzio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BAKKT,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LIBERTY ST FL 3 STE 305-306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Bakkt, Inc.</w:t>
              </w:r>
            </w:hyperlink>
            <w:r>
              <w:rPr/>
              <w:t xml:space="preserve"> [ </w:t>
            </w:r>
            <w:r>
              <w:rPr>
                <w:rFonts w:ascii="Times;serif" w:hAnsi="Times;serif"/>
                <w:color w:val="0000FF"/>
                <w:sz w:val="24"/>
                <w:shd w:fill="FFFFFF" w:val="clear"/>
              </w:rPr>
              <w:t>BKKT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78"/>
        <w:gridCol w:w="447"/>
        <w:gridCol w:w="878"/>
        <w:gridCol w:w="1181"/>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6,422</w:t>
            </w:r>
            <w:r>
              <w:rPr>
                <w:rFonts w:ascii="Times;serif" w:hAnsi="Times;serif"/>
                <w:color w:val="008000"/>
                <w:position w:val="7"/>
                <w:sz w:val="16"/>
                <w:sz w:val="20"/>
                <w:shd w:fill="FFFFFF" w:val="clear"/>
              </w:rPr>
              <w:t>(1)</w:t>
            </w:r>
            <w:r>
              <w:rPr/>
              <w:t xml:space="preserve"> </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8.55</w:t>
            </w:r>
            <w:r>
              <w:rPr/>
              <w:t xml:space="preserve"> </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111,411</w:t>
            </w:r>
            <w:r>
              <w:rPr>
                <w:rFonts w:ascii="Times;serif" w:hAnsi="Times;serif"/>
                <w:color w:val="008000"/>
                <w:position w:val="7"/>
                <w:sz w:val="16"/>
                <w:sz w:val="20"/>
                <w:shd w:fill="FFFFFF" w:val="clear"/>
              </w:rPr>
              <w:t>(2)</w:t>
            </w:r>
            <w:r>
              <w:rPr/>
              <w:t xml:space="preserve"> </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5,342</w:t>
            </w:r>
            <w:r>
              <w:rPr>
                <w:rFonts w:ascii="Times;serif" w:hAnsi="Times;serif"/>
                <w:color w:val="008000"/>
                <w:position w:val="7"/>
                <w:sz w:val="16"/>
                <w:sz w:val="20"/>
                <w:shd w:fill="FFFFFF" w:val="clear"/>
              </w:rPr>
              <w:t>(4)</w:t>
            </w:r>
            <w:r>
              <w:rPr/>
              <w:t xml:space="preserve"> </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7.0788</w:t>
            </w:r>
            <w:r>
              <w:rPr>
                <w:rFonts w:ascii="Times;serif" w:hAnsi="Times;serif"/>
                <w:color w:val="008000"/>
                <w:position w:val="7"/>
                <w:sz w:val="16"/>
                <w:sz w:val="20"/>
                <w:shd w:fill="FFFFFF" w:val="clear"/>
              </w:rPr>
              <w:t>(3)</w:t>
            </w:r>
            <w:r>
              <w:rPr/>
              <w:t xml:space="preserve"> </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106,069</w:t>
            </w:r>
            <w:r>
              <w:rPr>
                <w:rFonts w:ascii="Times;serif" w:hAnsi="Times;serif"/>
                <w:color w:val="008000"/>
                <w:position w:val="7"/>
                <w:sz w:val="16"/>
                <w:sz w:val="20"/>
                <w:shd w:fill="FFFFFF" w:val="clear"/>
              </w:rPr>
              <w:t>(2)</w:t>
            </w:r>
            <w:r>
              <w:rPr/>
              <w:t xml:space="preserve"> </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sale to cover tax obligations associated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30,622 shares of Class A Common Stock subject to restricted stock units and performance stock units awards that remain subject to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weighted-average price. These shares were sold in multiple transactions at prices ranging from $6.8900 to $7.8899,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sales were effectuated pursuant to a Rule 10b5-1 trading plan adopted by the reporting person on 09/10/2025.</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Marc D'Annunzio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03/31/2026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1559" TargetMode="External"/><Relationship Id="rId5" Type="http://schemas.openxmlformats.org/officeDocument/2006/relationships/hyperlink" Target="http://www.sec.gov/cgi-bin/browse-edgar?action=getcompany&amp;CIK=00018203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3781</Characters>
  <CharactersWithSpaces>4415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