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89103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891032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right="680"/>
        <w:spacing w:after="0" w:line="250"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w:t>
        </w:r>
      </w:hyperlink>
      <w:r>
        <w:rPr>
          <w:rFonts w:ascii="Times New Roman" w:cs="Times New Roman" w:eastAsia="Times New Roman" w:hAnsi="Times New Roman"/>
          <w:sz w:val="21"/>
          <w:szCs w:val="21"/>
          <w:u w:val="single" w:color="auto"/>
          <w:color w:val="0000EE"/>
        </w:rPr>
        <w:t xml:space="preserve"> </w:t>
      </w:r>
      <w:hyperlink r:id="rId12">
        <w:r>
          <w:rPr>
            <w:rFonts w:ascii="Times New Roman" w:cs="Times New Roman" w:eastAsia="Times New Roman" w:hAnsi="Times New Roman"/>
            <w:sz w:val="21"/>
            <w:szCs w:val="21"/>
            <w:u w:val="single" w:color="auto"/>
            <w:color w:val="0000EE"/>
          </w:rPr>
          <w:t>Sponsor, LLC</w:t>
        </w:r>
      </w:hyperlink>
    </w:p>
    <w:p>
      <w:pPr>
        <w:spacing w:after="0" w:line="287" w:lineRule="exact"/>
        <w:rPr>
          <w:sz w:val="20"/>
          <w:szCs w:val="20"/>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right="340"/>
        <w:spacing w:after="0" w:line="294" w:lineRule="auto"/>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Bakkt Holdings,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BKKT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4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40" w:type="dxa"/>
            <w:vAlign w:val="bottom"/>
            <w:tcBorders>
              <w:bottom w:val="single" w:sz="8" w:color="0000EE"/>
            </w:tcBorders>
          </w:tcPr>
          <w:p>
            <w:pPr>
              <w:spacing w:after="0"/>
              <w:rPr>
                <w:sz w:val="3"/>
                <w:szCs w:val="3"/>
                <w:color w:val="auto"/>
              </w:rPr>
            </w:pPr>
          </w:p>
        </w:tc>
        <w:tc>
          <w:tcPr>
            <w:tcW w:w="1980" w:type="dxa"/>
            <w:vAlign w:val="bottom"/>
          </w:tcPr>
          <w:p>
            <w:pPr>
              <w:spacing w:after="0"/>
              <w:rPr>
                <w:sz w:val="3"/>
                <w:szCs w:val="3"/>
                <w:color w:val="auto"/>
              </w:rPr>
            </w:pPr>
          </w:p>
        </w:tc>
        <w:tc>
          <w:tcPr>
            <w:tcW w:w="17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tcPr>
          <w:p>
            <w:pPr>
              <w:spacing w:after="0"/>
              <w:rPr>
                <w:sz w:val="3"/>
                <w:szCs w:val="3"/>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980" w:type="dxa"/>
            <w:vAlign w:val="bottom"/>
          </w:tcPr>
          <w:p>
            <w:pPr>
              <w:spacing w:after="0"/>
              <w:rPr>
                <w:sz w:val="15"/>
                <w:szCs w:val="15"/>
                <w:color w:val="auto"/>
              </w:rPr>
            </w:pPr>
          </w:p>
        </w:tc>
        <w:tc>
          <w:tcPr>
            <w:tcW w:w="170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40" w:type="dxa"/>
            <w:vAlign w:val="bottom"/>
            <w:tcBorders>
              <w:bottom w:val="single" w:sz="8" w:color="2C2C2C"/>
            </w:tcBorders>
          </w:tcPr>
          <w:p>
            <w:pPr>
              <w:spacing w:after="0"/>
              <w:rPr>
                <w:sz w:val="5"/>
                <w:szCs w:val="5"/>
                <w:color w:val="auto"/>
              </w:rPr>
            </w:pPr>
          </w:p>
        </w:tc>
        <w:tc>
          <w:tcPr>
            <w:tcW w:w="1980" w:type="dxa"/>
            <w:vAlign w:val="bottom"/>
            <w:tcBorders>
              <w:bottom w:val="single" w:sz="8" w:color="2C2C2C"/>
            </w:tcBorders>
          </w:tcPr>
          <w:p>
            <w:pPr>
              <w:spacing w:after="0"/>
              <w:rPr>
                <w:sz w:val="5"/>
                <w:szCs w:val="5"/>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700" w:type="dxa"/>
            <w:vAlign w:val="bottom"/>
            <w:vMerge w:val="continue"/>
          </w:tcPr>
          <w:p>
            <w:pPr>
              <w:spacing w:after="0"/>
              <w:rPr>
                <w:sz w:val="9"/>
                <w:szCs w:val="9"/>
                <w:color w:val="auto"/>
              </w:rPr>
            </w:pPr>
          </w:p>
        </w:tc>
        <w:tc>
          <w:tcPr>
            <w:tcW w:w="440" w:type="dxa"/>
            <w:vAlign w:val="bottom"/>
            <w:vMerge w:val="continue"/>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170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440" w:type="dxa"/>
            <w:vAlign w:val="bottom"/>
            <w:vMerge w:val="continue"/>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4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12/06/2023</w:t>
            </w:r>
          </w:p>
        </w:tc>
        <w:tc>
          <w:tcPr>
            <w:tcW w:w="198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40" w:type="dxa"/>
            <w:vAlign w:val="bottom"/>
            <w:gridSpan w:val="3"/>
            <w:vMerge w:val="continue"/>
          </w:tcPr>
          <w:p>
            <w:pPr>
              <w:spacing w:after="0"/>
              <w:rPr>
                <w:sz w:val="11"/>
                <w:szCs w:val="11"/>
                <w:color w:val="auto"/>
              </w:rPr>
            </w:pPr>
          </w:p>
        </w:tc>
        <w:tc>
          <w:tcPr>
            <w:tcW w:w="1980" w:type="dxa"/>
            <w:vAlign w:val="bottom"/>
          </w:tcPr>
          <w:p>
            <w:pPr>
              <w:spacing w:after="0"/>
              <w:rPr>
                <w:sz w:val="11"/>
                <w:szCs w:val="11"/>
                <w:color w:val="auto"/>
              </w:rPr>
            </w:pPr>
          </w:p>
        </w:tc>
        <w:tc>
          <w:tcPr>
            <w:tcW w:w="214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40" w:type="dxa"/>
            <w:vAlign w:val="bottom"/>
          </w:tcPr>
          <w:p>
            <w:pPr>
              <w:spacing w:after="0"/>
              <w:rPr>
                <w:sz w:val="10"/>
                <w:szCs w:val="10"/>
                <w:color w:val="auto"/>
              </w:rPr>
            </w:pPr>
          </w:p>
        </w:tc>
        <w:tc>
          <w:tcPr>
            <w:tcW w:w="1980" w:type="dxa"/>
            <w:vAlign w:val="bottom"/>
          </w:tcPr>
          <w:p>
            <w:pPr>
              <w:spacing w:after="0"/>
              <w:rPr>
                <w:sz w:val="10"/>
                <w:szCs w:val="10"/>
                <w:color w:val="auto"/>
              </w:rPr>
            </w:pPr>
          </w:p>
        </w:tc>
        <w:tc>
          <w:tcPr>
            <w:tcW w:w="21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3"/>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0"/>
          <w:szCs w:val="20"/>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8" w:lineRule="exact"/>
        <w:rPr>
          <w:sz w:val="20"/>
          <w:szCs w:val="20"/>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6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68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 par value</w:t>
            </w:r>
          </w:p>
        </w:tc>
        <w:tc>
          <w:tcPr>
            <w:tcW w:w="15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7"/>
                <w:szCs w:val="17"/>
                <w:color w:val="0000FF"/>
              </w:rPr>
              <w:t>12/06/2023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40,283</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gridSpan w:val="3"/>
            <w:vMerge w:val="restart"/>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2.0544</w:t>
            </w:r>
          </w:p>
        </w:tc>
        <w:tc>
          <w:tcPr>
            <w:tcW w:w="1200" w:type="dxa"/>
            <w:vAlign w:val="bottom"/>
            <w:gridSpan w:val="2"/>
            <w:vMerge w:val="restart"/>
          </w:tcPr>
          <w:p>
            <w:pPr>
              <w:ind w:left="220"/>
              <w:spacing w:after="0"/>
              <w:rPr>
                <w:sz w:val="20"/>
                <w:szCs w:val="20"/>
                <w:color w:val="auto"/>
              </w:rPr>
            </w:pPr>
            <w:r>
              <w:rPr>
                <w:rFonts w:ascii="Times New Roman" w:cs="Times New Roman" w:eastAsia="Times New Roman" w:hAnsi="Times New Roman"/>
                <w:sz w:val="17"/>
                <w:szCs w:val="17"/>
                <w:color w:val="0000FF"/>
              </w:rPr>
              <w:t>4,103,069</w:t>
            </w:r>
          </w:p>
        </w:tc>
        <w:tc>
          <w:tcPr>
            <w:tcW w:w="920" w:type="dxa"/>
            <w:vAlign w:val="bottom"/>
            <w:vMerge w:val="restart"/>
          </w:tcPr>
          <w:p>
            <w:pPr>
              <w:ind w:left="280"/>
              <w:spacing w:after="0"/>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(2)</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$0.0001 per share</w:t>
            </w:r>
          </w:p>
        </w:tc>
        <w:tc>
          <w:tcPr>
            <w:tcW w:w="1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820" w:type="dxa"/>
            <w:vAlign w:val="bottom"/>
            <w:gridSpan w:val="3"/>
            <w:vMerge w:val="continue"/>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20" w:type="dxa"/>
            <w:vAlign w:val="bottom"/>
            <w:gridSpan w:val="2"/>
            <w:vMerge w:val="continue"/>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220" w:type="dxa"/>
            <w:vAlign w:val="bottom"/>
          </w:tcPr>
          <w:p>
            <w:pPr>
              <w:spacing w:after="0"/>
              <w:rPr>
                <w:sz w:val="4"/>
                <w:szCs w:val="4"/>
                <w:color w:val="auto"/>
              </w:rPr>
            </w:pPr>
          </w:p>
        </w:tc>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760" w:type="dxa"/>
            <w:vAlign w:val="bottom"/>
          </w:tcPr>
          <w:p>
            <w:pPr>
              <w:spacing w:after="0"/>
              <w:rPr>
                <w:sz w:val="4"/>
                <w:szCs w:val="4"/>
                <w:color w:val="auto"/>
              </w:rPr>
            </w:pPr>
          </w:p>
        </w:tc>
        <w:tc>
          <w:tcPr>
            <w:tcW w:w="440" w:type="dxa"/>
            <w:vAlign w:val="bottom"/>
          </w:tcPr>
          <w:p>
            <w:pPr>
              <w:spacing w:after="0"/>
              <w:rPr>
                <w:sz w:val="4"/>
                <w:szCs w:val="4"/>
                <w:color w:val="auto"/>
              </w:rPr>
            </w:pPr>
          </w:p>
        </w:tc>
        <w:tc>
          <w:tcPr>
            <w:tcW w:w="5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840" w:type="dxa"/>
            <w:vAlign w:val="bottom"/>
            <w:tcBorders>
              <w:bottom w:val="single" w:sz="8" w:color="2C2C2C"/>
            </w:tcBorders>
            <w:gridSpan w:val="4"/>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460" w:type="dxa"/>
            <w:vAlign w:val="bottom"/>
            <w:tcBorders>
              <w:bottom w:val="single" w:sz="8" w:color="2C2C2C"/>
            </w:tcBorders>
            <w:gridSpan w:val="6"/>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3"/>
          </w:tcPr>
          <w:p>
            <w:pPr>
              <w:ind w:left="80"/>
              <w:spacing w:after="0"/>
              <w:rPr>
                <w:sz w:val="20"/>
                <w:szCs w:val="20"/>
                <w:color w:val="auto"/>
              </w:rPr>
            </w:pPr>
            <w:r>
              <w:rPr>
                <w:rFonts w:ascii="Arial" w:cs="Arial" w:eastAsia="Arial" w:hAnsi="Arial"/>
                <w:sz w:val="12"/>
                <w:szCs w:val="12"/>
                <w:b w:val="1"/>
                <w:bCs w:val="1"/>
                <w:color w:val="auto"/>
              </w:rPr>
              <w:t>V</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00" w:type="dxa"/>
            <w:vAlign w:val="bottom"/>
            <w:tcBorders>
              <w:bottom w:val="single" w:sz="8" w:color="2C2C2C"/>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420" w:type="dxa"/>
            <w:vAlign w:val="bottom"/>
            <w:tcBorders>
              <w:top w:val="single" w:sz="8" w:color="808080"/>
            </w:tcBorders>
            <w:shd w:val="clear" w:color="auto" w:fill="2C2C2C"/>
          </w:tcPr>
          <w:p>
            <w:pPr>
              <w:spacing w:after="0" w:line="20" w:lineRule="exact"/>
              <w:rPr>
                <w:sz w:val="1"/>
                <w:szCs w:val="1"/>
                <w:color w:val="auto"/>
              </w:rPr>
            </w:pPr>
          </w:p>
        </w:tc>
        <w:tc>
          <w:tcPr>
            <w:tcW w:w="1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-1814195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line="238" w:lineRule="auto"/>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VPC Impact Acquisition Holdings Sponsor,</w:t>
        </w:r>
      </w:hyperlink>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LLC</w:t>
        </w:r>
      </w:hyperlink>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20" w:type="dxa"/>
        <w:tblCellMar>
          <w:top w:w="0" w:type="dxa"/>
          <w:left w:w="0" w:type="dxa"/>
          <w:bottom w:w="0" w:type="dxa"/>
          <w:right w:w="0" w:type="dxa"/>
        </w:tblCellMar>
      </w:tblPr>
      <w:tr>
        <w:trPr>
          <w:trHeight w:val="175"/>
        </w:trPr>
        <w:tc>
          <w:tcPr>
            <w:tcW w:w="15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4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260" w:type="dxa"/>
            <w:vAlign w:val="bottom"/>
          </w:tcPr>
          <w:p>
            <w:pPr>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60606</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(City)</w:t>
            </w:r>
          </w:p>
        </w:tc>
        <w:tc>
          <w:tcPr>
            <w:tcW w:w="1260" w:type="dxa"/>
            <w:vAlign w:val="bottom"/>
          </w:tcPr>
          <w:p>
            <w:pPr>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1380" w:type="dxa"/>
            <w:vAlign w:val="bottom"/>
            <w:tcBorders>
              <w:bottom w:val="single" w:sz="8" w:color="2C2C2C"/>
            </w:tcBorders>
          </w:tcPr>
          <w:p>
            <w:pPr>
              <w:spacing w:after="0"/>
              <w:rPr>
                <w:sz w:val="7"/>
                <w:szCs w:val="7"/>
                <w:color w:val="auto"/>
              </w:rPr>
            </w:pPr>
          </w:p>
        </w:tc>
        <w:tc>
          <w:tcPr>
            <w:tcW w:w="1280" w:type="dxa"/>
            <w:vAlign w:val="bottom"/>
            <w:tcBorders>
              <w:bottom w:val="single" w:sz="8" w:color="2C2C2C"/>
            </w:tcBorders>
            <w:gridSpan w:val="2"/>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400" w:type="dxa"/>
            <w:vAlign w:val="bottom"/>
            <w:gridSpan w:val="2"/>
          </w:tcPr>
          <w:p>
            <w:pPr>
              <w:spacing w:after="0" w:line="227" w:lineRule="exact"/>
              <w:rPr>
                <w:rFonts w:ascii="Times New Roman" w:cs="Times New Roman" w:eastAsia="Times New Roman" w:hAnsi="Times New Roman"/>
                <w:sz w:val="21"/>
                <w:szCs w:val="21"/>
                <w:color w:val="0000EE"/>
              </w:rPr>
            </w:pPr>
            <w:hyperlink r:id="rId15">
              <w:r>
                <w:rPr>
                  <w:rFonts w:ascii="Times New Roman" w:cs="Times New Roman" w:eastAsia="Times New Roman" w:hAnsi="Times New Roman"/>
                  <w:sz w:val="21"/>
                  <w:szCs w:val="21"/>
                  <w:color w:val="0000EE"/>
                </w:rPr>
                <w:t>Levy Richard N</w:t>
              </w:r>
            </w:hyperlink>
          </w:p>
        </w:tc>
        <w:tc>
          <w:tcPr>
            <w:tcW w:w="1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400" w:type="dxa"/>
            <w:vAlign w:val="bottom"/>
            <w:gridSpan w:val="2"/>
          </w:tcPr>
          <w:p>
            <w:pPr>
              <w:spacing w:after="0"/>
              <w:rPr>
                <w:sz w:val="20"/>
                <w:szCs w:val="20"/>
                <w:color w:val="auto"/>
              </w:rPr>
            </w:pPr>
            <w:r>
              <w:rPr>
                <w:rFonts w:ascii="Arial" w:cs="Arial" w:eastAsia="Arial" w:hAnsi="Arial"/>
                <w:sz w:val="13"/>
                <w:szCs w:val="13"/>
                <w:color w:val="auto"/>
              </w:rPr>
              <w:t>(Last)</w:t>
            </w:r>
          </w:p>
        </w:tc>
        <w:tc>
          <w:tcPr>
            <w:tcW w:w="1260" w:type="dxa"/>
            <w:vAlign w:val="bottom"/>
          </w:tcPr>
          <w:p>
            <w:pPr>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VICTORY PARK CAPITAL ADVISORS, LLC</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150 NORTH RIVERSIDE PLAZA, SUITE 5200</w:t>
      </w:r>
    </w:p>
    <w:p>
      <w:pPr>
        <w:spacing w:after="0" w:line="299"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60606</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effected multiple same-way open market sale transactions on the same day at the same price through a trade order executed by a broker-dealer. The reporting person reported on a single line all such transactions that occurred within a one dollar price range. The price reported in Column 4 is a weighted average price. These shares were sold in multiple transactions at prices ranging</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280"/>
        <w:spacing w:after="0" w:line="272" w:lineRule="auto"/>
        <w:rPr>
          <w:sz w:val="20"/>
          <w:szCs w:val="20"/>
          <w:color w:val="auto"/>
        </w:rPr>
      </w:pPr>
      <w:r>
        <w:rPr>
          <w:rFonts w:ascii="Times New Roman" w:cs="Times New Roman" w:eastAsia="Times New Roman" w:hAnsi="Times New Roman"/>
          <w:sz w:val="13"/>
          <w:szCs w:val="13"/>
          <w:color w:val="008000"/>
        </w:rPr>
        <w:t>from $2.05-2.0719, inclusive. The reporting person hereby undertakes to provide upon request by the Securities Exchange Commission staff, the issuer, or a shareholder of the issuer, full information regarding the number of shares sold at each separate price.</w:t>
      </w:r>
    </w:p>
    <w:p>
      <w:pPr>
        <w:spacing w:after="0" w:line="8" w:lineRule="exact"/>
        <w:rPr>
          <w:sz w:val="20"/>
          <w:szCs w:val="20"/>
          <w:color w:val="auto"/>
        </w:rPr>
      </w:pPr>
    </w:p>
    <w:p>
      <w:pPr>
        <w:jc w:val="both"/>
        <w:ind w:right="3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VPC Impact Acquisition Holdings Sponsor, LLC ("VIH Sponsor") is the record holder of the securities reported herein. Richard N. Levy, as Chief Executive Officer and Founder of Victory Park Capital Advisors, LLC, has voting and investment discretion with respect to the securities held of record by VIH Sponsor. Mr. Levy disclaims any beneficial ownership of the securities held by VIH Sponsor other than to the extent of any pecuniary interest he may have therein, directly or indirectly.</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persons both may be deemed a Director by Deputization. See Exhibit 99.1 - Joint Filer Information, which is incorporated herein by reference and describes in further detail the relationships of the Reporting Persons to the Issuer.</w:t>
      </w:r>
    </w:p>
    <w:p>
      <w:pPr>
        <w:sectPr>
          <w:pgSz w:w="11900" w:h="16838" w:orient="portrait"/>
          <w:cols w:equalWidth="0" w:num="1">
            <w:col w:w="10860"/>
          </w:cols>
          <w:pgMar w:left="500" w:top="127" w:right="539" w:bottom="1440" w:gutter="0" w:footer="0" w:header="0"/>
        </w:sectPr>
      </w:pPr>
    </w:p>
    <w:p>
      <w:pPr>
        <w:spacing w:after="0" w:line="33"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VPC Impact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414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104140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Acquisition Holdings Sponsor,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5509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8">
                      <a:extLst>
                        <a:ext uri="{28A0092B-C50C-407E-A947-70E740481C1C}"/>
                      </a:extLst>
                    </a:blip>
                    <a:srcRect/>
                    <a:stretch>
                      <a:fillRect/>
                    </a:stretch>
                  </pic:blipFill>
                  <pic:spPr bwMode="auto">
                    <a:xfrm>
                      <a:off x="0" y="0"/>
                      <a:ext cx="13550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076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9">
                      <a:extLst>
                        <a:ext uri="{28A0092B-C50C-407E-A947-70E740481C1C}"/>
                      </a:extLst>
                    </a:blip>
                    <a:srcRect/>
                    <a:stretch>
                      <a:fillRect/>
                    </a:stretch>
                  </pic:blipFill>
                  <pic:spPr bwMode="auto">
                    <a:xfrm>
                      <a:off x="0" y="0"/>
                      <a:ext cx="20764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Sam Tuttleman,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8524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0">
                      <a:extLst>
                        <a:ext uri="{28A0092B-C50C-407E-A947-70E740481C1C}"/>
                      </a:extLst>
                    </a:blip>
                    <a:srcRect/>
                    <a:stretch>
                      <a:fillRect/>
                    </a:stretch>
                  </pic:blipFill>
                  <pic:spPr bwMode="auto">
                    <a:xfrm>
                      <a:off x="0" y="0"/>
                      <a:ext cx="128524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in-Fact for Richard N. Levy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3063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1">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12/06/2023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2">
            <w:col w:w="8680" w:space="60"/>
            <w:col w:w="2120"/>
          </w:cols>
          <w:pgMar w:left="500" w:top="127" w:right="539" w:bottom="1440" w:gutter="0" w:footer="0" w:header="0"/>
          <w:type w:val="continuous"/>
        </w:sect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860"/>
          </w:cols>
          <w:pgMar w:left="500" w:top="127" w:right="539" w:bottom="1440" w:gutter="0" w:footer="0" w:header="0"/>
          <w:type w:val="continuous"/>
        </w:sectPr>
      </w:pPr>
    </w:p>
    <w:bookmarkStart w:id="2" w:name="page3"/>
    <w:bookmarkEnd w:id="2"/>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Joint Filer:</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Address of Joint Filer:</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Relationship of Joint Filer to Issuer:</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Name and Ticker</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Trading Symbol:</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of Event Requiring Statement: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(Month/Day/Year):</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Times New Roman" w:cs="Times New Roman" w:eastAsia="Times New Roman" w:hAnsi="Times New Roman"/>
          <w:sz w:val="18"/>
          <w:szCs w:val="18"/>
          <w:color w:val="auto"/>
        </w:rPr>
        <w:t>Exhibit 99.1</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Joint Filer Information</w:t>
      </w:r>
    </w:p>
    <w:p>
      <w:pPr>
        <w:spacing w:after="0" w:line="214"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VPC Impact Acquisition Holdings Sponsor, LLC</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52"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88"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3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12/06/2023</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Richard N. Levy</w:t>
      </w:r>
    </w:p>
    <w:p>
      <w:pPr>
        <w:spacing w:after="0" w:line="27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c/o Victory Park Capital Advisors, LLC</w:t>
      </w:r>
    </w:p>
    <w:p>
      <w:pPr>
        <w:spacing w:after="0" w:line="2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150 North Riverside Plaza, Suite 5200</w:t>
      </w:r>
    </w:p>
    <w:p>
      <w:pPr>
        <w:spacing w:after="0" w:line="6"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Chicago, Illinois 60606</w:t>
      </w:r>
    </w:p>
    <w:p>
      <w:pPr>
        <w:spacing w:after="0" w:line="252" w:lineRule="exact"/>
        <w:rPr>
          <w:sz w:val="20"/>
          <w:szCs w:val="20"/>
          <w:color w:val="auto"/>
        </w:rPr>
      </w:pPr>
    </w:p>
    <w:p>
      <w:pPr>
        <w:jc w:val="center"/>
        <w:ind w:right="2220"/>
        <w:spacing w:after="0"/>
        <w:rPr>
          <w:sz w:val="20"/>
          <w:szCs w:val="20"/>
          <w:color w:val="auto"/>
        </w:rPr>
      </w:pPr>
      <w:r>
        <w:rPr>
          <w:rFonts w:ascii="Times New Roman" w:cs="Times New Roman" w:eastAsia="Times New Roman" w:hAnsi="Times New Roman"/>
          <w:sz w:val="18"/>
          <w:szCs w:val="18"/>
          <w:color w:val="auto"/>
        </w:rPr>
        <w:t xml:space="preserve">Director </w:t>
      </w:r>
      <w:r>
        <w:rPr>
          <w:rFonts w:ascii="Times New Roman" w:cs="Times New Roman" w:eastAsia="Times New Roman" w:hAnsi="Times New Roman"/>
          <w:sz w:val="18"/>
          <w:szCs w:val="18"/>
          <w:b w:val="1"/>
          <w:bCs w:val="1"/>
          <w:color w:val="auto"/>
        </w:rPr>
        <w:t>(See Remarks)</w:t>
      </w:r>
    </w:p>
    <w:p>
      <w:pPr>
        <w:spacing w:after="0" w:line="200" w:lineRule="exact"/>
        <w:rPr>
          <w:sz w:val="20"/>
          <w:szCs w:val="20"/>
          <w:color w:val="auto"/>
        </w:rPr>
      </w:pPr>
    </w:p>
    <w:p>
      <w:pPr>
        <w:spacing w:after="0" w:line="288" w:lineRule="exact"/>
        <w:rPr>
          <w:sz w:val="20"/>
          <w:szCs w:val="20"/>
          <w:color w:val="auto"/>
        </w:rPr>
      </w:pPr>
    </w:p>
    <w:p>
      <w:pPr>
        <w:jc w:val="center"/>
        <w:ind w:right="1840"/>
        <w:spacing w:after="0"/>
        <w:rPr>
          <w:sz w:val="20"/>
          <w:szCs w:val="20"/>
          <w:color w:val="auto"/>
        </w:rPr>
      </w:pPr>
      <w:r>
        <w:rPr>
          <w:rFonts w:ascii="Times New Roman" w:cs="Times New Roman" w:eastAsia="Times New Roman" w:hAnsi="Times New Roman"/>
          <w:sz w:val="18"/>
          <w:szCs w:val="18"/>
          <w:color w:val="auto"/>
        </w:rPr>
        <w:t>Bakkt Holdings, Inc. [BKKT]</w:t>
      </w:r>
    </w:p>
    <w:p>
      <w:pPr>
        <w:spacing w:after="0" w:line="200" w:lineRule="exact"/>
        <w:rPr>
          <w:sz w:val="20"/>
          <w:szCs w:val="20"/>
          <w:color w:val="auto"/>
        </w:rPr>
      </w:pPr>
    </w:p>
    <w:p>
      <w:pPr>
        <w:spacing w:after="0" w:line="313"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8"/>
          <w:szCs w:val="18"/>
          <w:color w:val="auto"/>
        </w:rPr>
        <w:t>12/06/2023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-2979420</wp:posOffset>
            </wp:positionH>
            <wp:positionV relativeFrom="paragraph">
              <wp:posOffset>214630</wp:posOffset>
            </wp:positionV>
            <wp:extent cx="698944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4">
                      <a:extLst>
                        <a:ext uri="{28A0092B-C50C-407E-A947-70E740481C1C}"/>
                      </a:extLst>
                    </a:blip>
                    <a:srcRect/>
                    <a:stretch>
                      <a:fillRect/>
                    </a:stretch>
                  </pic:blipFill>
                  <pic:spPr bwMode="auto">
                    <a:xfrm>
                      <a:off x="0" y="0"/>
                      <a:ext cx="6989445" cy="42545"/>
                    </a:xfrm>
                    <a:prstGeom prst="rect">
                      <a:avLst/>
                    </a:prstGeom>
                    <a:noFill/>
                  </pic:spPr>
                </pic:pic>
              </a:graphicData>
            </a:graphic>
          </wp:anchor>
        </w:drawing>
      </w:r>
    </w:p>
    <w:sectPr>
      <w:pgSz w:w="11900" w:h="16838" w:orient="portrait"/>
      <w:cols w:equalWidth="0" w:num="2">
        <w:col w:w="3940" w:space="720"/>
        <w:col w:w="6300"/>
      </w:cols>
      <w:pgMar w:left="480" w:top="121"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pn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12" Type="http://schemas.openxmlformats.org/officeDocument/2006/relationships/hyperlink" Target="http://www.sec.gov/cgi-bin/browse-edgar?action=getcompany&amp;CIK=0001825041" TargetMode="External"/><Relationship Id="rId13" Type="http://schemas.openxmlformats.org/officeDocument/2006/relationships/hyperlink" Target="http://www.sec.gov/cgi-bin/browse-edgar?action=getcompany&amp;CIK=0001820302" TargetMode="External"/><Relationship Id="rId15" Type="http://schemas.openxmlformats.org/officeDocument/2006/relationships/hyperlink" Target="http://www.sec.gov/cgi-bin/browse-edgar?action=getcompany&amp;CIK=000141381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2023-12-06T15:11:05Z</dcterms:created>
  <dcterms:modified xsi:type="dcterms:W3CDTF">2023-12-06T15:11:05Z</dcterms:modified>
</cp:coreProperties>
</file>