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00" w:firstLine="8"/>
        <w:spacing w:after="0" w:line="224" w:lineRule="exact"/>
        <w:tabs>
          <w:tab w:leader="none" w:pos="67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1"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firstLine="8"/>
        <w:spacing w:after="0" w:line="194" w:lineRule="auto"/>
        <w:tabs>
          <w:tab w:leader="none" w:pos="117"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Atlas Master Fund, LLC</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Atlas Management, LLC</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3" w:name="page4"/>
    <w:bookmarkEnd w:id="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PPF Credit Strategies, LLC</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NUMBER OF SHARES</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8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4" w:name="page5"/>
    <w:bookmarkEnd w:id="4"/>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Credit Strategies Master Fund Ltd.</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CO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5" w:name="page6"/>
    <w:bookmarkEnd w:id="5"/>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Apollo ST Fund Management LLC</w:t>
            </w:r>
          </w:p>
        </w:tc>
        <w:tc>
          <w:tcPr>
            <w:tcW w:w="1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80" w:type="dxa"/>
            <w:vAlign w:val="bottom"/>
            <w:tcBorders>
              <w:right w:val="single" w:sz="8" w:color="auto"/>
            </w:tcBorders>
            <w:vMerge w:val="restart"/>
          </w:tcPr>
          <w:p>
            <w:pPr>
              <w:jc w:val="right"/>
              <w:ind w:right="47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14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80" w:type="dxa"/>
            <w:vAlign w:val="bottom"/>
            <w:tcBorders>
              <w:right w:val="single" w:sz="8" w:color="auto"/>
            </w:tcBorders>
          </w:tcPr>
          <w:p>
            <w:pPr>
              <w:jc w:val="right"/>
              <w:ind w:right="47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00" w:type="dxa"/>
            <w:vAlign w:val="bottom"/>
            <w:vMerge w:val="continue"/>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00" w:type="dxa"/>
            <w:vAlign w:val="bottom"/>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40" w:type="dxa"/>
            <w:vAlign w:val="bottom"/>
            <w:tcBorders>
              <w:bottom w:val="single" w:sz="8" w:color="auto"/>
            </w:tcBorders>
            <w:gridSpan w:val="3"/>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80" w:type="dxa"/>
            <w:vAlign w:val="bottom"/>
            <w:tcBorders>
              <w:right w:val="single" w:sz="8" w:color="auto"/>
            </w:tcBorders>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40" w:type="dxa"/>
            <w:vAlign w:val="bottom"/>
            <w:tcBorders>
              <w:bottom w:val="single" w:sz="8" w:color="auto"/>
            </w:tcBorders>
            <w:gridSpan w:val="3"/>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4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Apollo ST Operating LP</w:t>
            </w:r>
          </w:p>
        </w:tc>
        <w:tc>
          <w:tcPr>
            <w:tcW w:w="67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vMerge w:val="restart"/>
          </w:tcPr>
          <w:p>
            <w:pPr>
              <w:jc w:val="right"/>
              <w:ind w:right="4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4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2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6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7</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6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w w:val="94"/>
              </w:rPr>
              <w:t>Apollo ST Capital LLC</w:t>
            </w:r>
          </w:p>
        </w:tc>
        <w:tc>
          <w:tcPr>
            <w:tcW w:w="4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vMerge w:val="restart"/>
          </w:tcPr>
          <w:p>
            <w:pPr>
              <w:jc w:val="right"/>
              <w:ind w:right="4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4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5</w:t>
            </w:r>
          </w:p>
        </w:tc>
        <w:tc>
          <w:tcPr>
            <w:tcW w:w="6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00" w:type="dxa"/>
            <w:vAlign w:val="bottom"/>
          </w:tcPr>
          <w:p>
            <w:pPr>
              <w:spacing w:after="0"/>
              <w:rPr>
                <w:sz w:val="24"/>
                <w:szCs w:val="24"/>
                <w:color w:val="auto"/>
              </w:rPr>
            </w:pPr>
          </w:p>
        </w:tc>
        <w:tc>
          <w:tcPr>
            <w:tcW w:w="4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6</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w w:val="79"/>
              </w:rPr>
              <w:t>7</w:t>
            </w: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00" w:type="dxa"/>
            <w:vAlign w:val="bottom"/>
          </w:tcPr>
          <w:p>
            <w:pPr>
              <w:spacing w:after="0"/>
              <w:rPr>
                <w:sz w:val="18"/>
                <w:szCs w:val="18"/>
                <w:color w:val="auto"/>
              </w:rPr>
            </w:pPr>
          </w:p>
        </w:tc>
        <w:tc>
          <w:tcPr>
            <w:tcW w:w="48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3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72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0 shares</w:t>
            </w: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4"/>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6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4"/>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4"/>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6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8" w:name="page9"/>
    <w:bookmarkEnd w:id="8"/>
    <w:p>
      <w:pPr>
        <w:ind w:lef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5254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25462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20" w:right="3048" w:hanging="502"/>
        <w:spacing w:after="0" w:line="219" w:lineRule="auto"/>
        <w:tabs>
          <w:tab w:leader="none" w:pos="920" w:val="left"/>
        </w:tabs>
        <w:numPr>
          <w:ilvl w:val="0"/>
          <w:numId w:val="3"/>
        </w:numPr>
        <w:rPr>
          <w:rFonts w:ascii="Arial" w:cs="Arial" w:eastAsia="Arial" w:hAnsi="Arial"/>
          <w:sz w:val="36"/>
          <w:szCs w:val="36"/>
          <w:b w:val="1"/>
          <w:bCs w:val="1"/>
          <w:color w:val="auto"/>
          <w:vertAlign w:val="subscript"/>
        </w:rPr>
      </w:pPr>
      <w:r>
        <w:rPr>
          <w:rFonts w:ascii="Arial" w:cs="Arial" w:eastAsia="Arial" w:hAnsi="Arial"/>
          <w:sz w:val="18"/>
          <w:szCs w:val="18"/>
          <w:color w:val="auto"/>
        </w:rPr>
        <w:t>I.R.S. IDENTIFICATION NOS. OF ABOVE PERSONS (ENTITIES ONLY). ST Management Holdings, LLC</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w:t>
      </w:r>
    </w:p>
    <w:p>
      <w:pPr>
        <w:spacing w:after="0" w:line="200" w:lineRule="exact"/>
        <w:rPr>
          <w:sz w:val="20"/>
          <w:szCs w:val="20"/>
          <w:color w:val="auto"/>
        </w:rPr>
      </w:pPr>
    </w:p>
    <w:p>
      <w:pPr>
        <w:spacing w:after="0" w:line="245" w:lineRule="exact"/>
        <w:rPr>
          <w:sz w:val="20"/>
          <w:szCs w:val="20"/>
          <w:color w:val="auto"/>
        </w:rPr>
      </w:pPr>
    </w:p>
    <w:p>
      <w:pPr>
        <w:ind w:left="920" w:hanging="502"/>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09" w:lineRule="exact"/>
        <w:rPr>
          <w:sz w:val="20"/>
          <w:szCs w:val="20"/>
          <w:color w:val="auto"/>
        </w:rPr>
      </w:pPr>
    </w:p>
    <w:p>
      <w:pPr>
        <w:ind w:left="920" w:right="5008" w:hanging="502"/>
        <w:spacing w:after="0" w:line="399" w:lineRule="auto"/>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52" w:hanging="242"/>
        <w:spacing w:after="0" w:line="184" w:lineRule="exact"/>
        <w:tabs>
          <w:tab w:leader="none" w:pos="252" w:val="left"/>
        </w:tabs>
        <w:numPr>
          <w:ilvl w:val="0"/>
          <w:numId w:val="6"/>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53" w:lineRule="exact"/>
        <w:rPr>
          <w:rFonts w:ascii="Arial" w:cs="Arial" w:eastAsia="Arial" w:hAnsi="Arial"/>
          <w:sz w:val="16"/>
          <w:szCs w:val="16"/>
          <w:color w:val="auto"/>
        </w:rPr>
      </w:pPr>
    </w:p>
    <w:p>
      <w:pPr>
        <w:ind w:left="252" w:hanging="252"/>
        <w:spacing w:after="0" w:line="184" w:lineRule="exact"/>
        <w:tabs>
          <w:tab w:leader="none" w:pos="252" w:val="left"/>
        </w:tabs>
        <w:numPr>
          <w:ilvl w:val="0"/>
          <w:numId w:val="6"/>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617" w:lineRule="exact"/>
        <w:rPr>
          <w:sz w:val="20"/>
          <w:szCs w:val="20"/>
          <w:color w:val="auto"/>
        </w:rPr>
      </w:pPr>
    </w:p>
    <w:p>
      <w:pPr>
        <w:sectPr>
          <w:pgSz w:w="11900" w:h="16838" w:orient="portrait"/>
          <w:cols w:equalWidth="0" w:num="2">
            <w:col w:w="9588" w:space="720"/>
            <w:col w:w="932"/>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2280" w:type="dxa"/>
            <w:vAlign w:val="bottom"/>
            <w:tcBorders>
              <w:top w:val="single" w:sz="8" w:color="auto"/>
              <w:right w:val="single" w:sz="8" w:color="auto"/>
            </w:tcBorders>
          </w:tcPr>
          <w:p>
            <w:pPr>
              <w:spacing w:after="0"/>
              <w:rPr>
                <w:sz w:val="23"/>
                <w:szCs w:val="23"/>
                <w:color w:val="auto"/>
              </w:rPr>
            </w:pPr>
          </w:p>
        </w:tc>
        <w:tc>
          <w:tcPr>
            <w:tcW w:w="78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1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22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81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8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8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818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2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right="3820" w:hanging="535"/>
        <w:spacing w:after="0" w:line="364" w:lineRule="auto"/>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w:t>
      </w:r>
    </w:p>
    <w:p>
      <w:pPr>
        <w:spacing w:after="0" w:line="1" w:lineRule="exact"/>
        <w:rPr>
          <w:sz w:val="20"/>
          <w:szCs w:val="20"/>
          <w:color w:val="auto"/>
        </w:rPr>
      </w:pPr>
    </w:p>
    <w:p>
      <w:pPr>
        <w:ind w:left="300"/>
        <w:spacing w:after="0" w:line="207" w:lineRule="exact"/>
        <w:tabs>
          <w:tab w:leader="none" w:pos="860" w:val="left"/>
          <w:tab w:leader="none" w:pos="105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63" w:lineRule="exact"/>
        <w:rPr>
          <w:sz w:val="20"/>
          <w:szCs w:val="20"/>
          <w:color w:val="auto"/>
        </w:rPr>
      </w:pPr>
    </w:p>
    <w:p>
      <w:pPr>
        <w:ind w:left="880" w:right="5300" w:hanging="574"/>
        <w:spacing w:after="0" w:line="381" w:lineRule="auto"/>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4" w:lineRule="exact"/>
        <w:rPr>
          <w:rFonts w:ascii="Arial" w:cs="Arial" w:eastAsia="Arial" w:hAnsi="Arial"/>
          <w:sz w:val="18"/>
          <w:szCs w:val="18"/>
          <w:b w:val="1"/>
          <w:bCs w:val="1"/>
          <w:color w:val="auto"/>
        </w:rPr>
      </w:pPr>
    </w:p>
    <w:p>
      <w:pPr>
        <w:ind w:left="880" w:hanging="579"/>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17"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9" w:name="page10"/>
    <w:bookmarkEnd w:id="9"/>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A-N Credit Fund (Delaware), L.P.</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vMerge w:val="restart"/>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14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10</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0" w:name="page11"/>
    <w:bookmarkEnd w:id="10"/>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A-N Credit Management, LLC</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1" w:name="page12"/>
    <w:bookmarkEnd w:id="1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Apollo SPAC Fund I, L.P.</w:t>
            </w:r>
          </w:p>
        </w:tc>
        <w:tc>
          <w:tcPr>
            <w:tcW w:w="6740" w:type="dxa"/>
            <w:vAlign w:val="bottom"/>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12</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2" w:name="page13"/>
    <w:bookmarkEnd w:id="1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SPAC Management I, L.P.</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3" w:name="page14"/>
    <w:bookmarkEnd w:id="1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SPAC Management I GP, LLC</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4" w:name="page15"/>
    <w:bookmarkEnd w:id="14"/>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Apollo Capital Management, L.P.</w:t>
            </w:r>
          </w:p>
        </w:tc>
        <w:tc>
          <w:tcPr>
            <w:tcW w:w="1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jc w:val="right"/>
              <w:ind w:right="3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8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4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15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5" w:name="page16"/>
    <w:bookmarkEnd w:id="15"/>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Apollo Capital Management GP, LLC</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8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720" w:type="dxa"/>
            <w:vAlign w:val="bottom"/>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20" w:type="dxa"/>
            <w:vAlign w:val="bottom"/>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80" w:type="dxa"/>
            <w:vAlign w:val="bottom"/>
            <w:tcBorders>
              <w:lef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vMerge w:val="continue"/>
          </w:tcPr>
          <w:p>
            <w:pPr>
              <w:spacing w:after="0"/>
              <w:rPr>
                <w:sz w:val="11"/>
                <w:szCs w:val="11"/>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720" w:type="dxa"/>
            <w:vAlign w:val="bottom"/>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2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6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jc w:val="right"/>
              <w:ind w:right="397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6" w:name="page17"/>
    <w:bookmarkEnd w:id="16"/>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auto"/>
              <w:left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89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Apollo Management Holdings, L.P.</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48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8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720" w:type="dxa"/>
            <w:vAlign w:val="bottom"/>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20" w:type="dxa"/>
            <w:vAlign w:val="bottom"/>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80" w:type="dxa"/>
            <w:vAlign w:val="bottom"/>
            <w:tcBorders>
              <w:lef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vMerge w:val="continue"/>
          </w:tcPr>
          <w:p>
            <w:pPr>
              <w:spacing w:after="0"/>
              <w:rPr>
                <w:sz w:val="11"/>
                <w:szCs w:val="11"/>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720" w:type="dxa"/>
            <w:vAlign w:val="bottom"/>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2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6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34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PN</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jc w:val="right"/>
              <w:ind w:right="3970"/>
              <w:spacing w:after="0"/>
              <w:rPr>
                <w:sz w:val="20"/>
                <w:szCs w:val="20"/>
                <w:color w:val="auto"/>
              </w:rPr>
            </w:pPr>
            <w:r>
              <w:rPr>
                <w:rFonts w:ascii="Arial" w:cs="Arial" w:eastAsia="Arial" w:hAnsi="Arial"/>
                <w:sz w:val="18"/>
                <w:szCs w:val="18"/>
                <w:color w:val="auto"/>
              </w:rPr>
              <w:t>17</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7" w:name="page18"/>
    <w:bookmarkEnd w:id="17"/>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G9441E100</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320" w:type="dxa"/>
            <w:vAlign w:val="bottom"/>
            <w:tcBorders>
              <w:top w:val="single" w:sz="8" w:color="auto"/>
              <w:right w:val="single" w:sz="8" w:color="auto"/>
            </w:tcBorders>
          </w:tcPr>
          <w:p>
            <w:pPr>
              <w:spacing w:after="0"/>
              <w:rPr>
                <w:sz w:val="23"/>
                <w:szCs w:val="23"/>
                <w:color w:val="auto"/>
              </w:rPr>
            </w:pPr>
          </w:p>
        </w:tc>
        <w:tc>
          <w:tcPr>
            <w:tcW w:w="89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Apollo Management Holdings GP, LLC</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5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60" w:type="dxa"/>
            <w:vAlign w:val="bottom"/>
            <w:tcBorders>
              <w:right w:val="single" w:sz="8" w:color="auto"/>
            </w:tcBorders>
          </w:tcPr>
          <w:p>
            <w:pPr>
              <w:jc w:val="right"/>
              <w:ind w:right="4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Borders>
              <w:right w:val="single" w:sz="8" w:color="auto"/>
            </w:tcBorders>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99"/>
              </w:rPr>
              <w:t>4</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5</w:t>
            </w:r>
          </w:p>
        </w:tc>
        <w:tc>
          <w:tcPr>
            <w:tcW w:w="6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gridSpan w:val="3"/>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178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720" w:type="dxa"/>
            <w:vAlign w:val="bottom"/>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6720" w:type="dxa"/>
            <w:vAlign w:val="bottom"/>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5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vMerge w:val="continue"/>
          </w:tcPr>
          <w:p>
            <w:pPr>
              <w:spacing w:after="0"/>
              <w:rPr>
                <w:sz w:val="11"/>
                <w:szCs w:val="11"/>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720" w:type="dxa"/>
            <w:vAlign w:val="bottom"/>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72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6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99"/>
              </w:rPr>
              <w:t>9</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Borders>
              <w:right w:val="single" w:sz="8" w:color="auto"/>
            </w:tcBorders>
          </w:tcPr>
          <w:p>
            <w:pPr>
              <w:spacing w:after="0"/>
              <w:rPr>
                <w:sz w:val="24"/>
                <w:szCs w:val="24"/>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60" w:type="dxa"/>
            <w:vAlign w:val="bottom"/>
            <w:tcBorders>
              <w:right w:val="single" w:sz="8" w:color="auto"/>
            </w:tcBorders>
          </w:tcPr>
          <w:p>
            <w:pPr>
              <w:jc w:val="right"/>
              <w:ind w:right="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89"/>
              </w:rPr>
              <w:t>11</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tcBorders>
              <w:right w:val="single" w:sz="8" w:color="auto"/>
            </w:tcBorders>
          </w:tcPr>
          <w:p>
            <w:pPr>
              <w:spacing w:after="0"/>
              <w:rPr>
                <w:sz w:val="22"/>
                <w:szCs w:val="22"/>
                <w:color w:val="auto"/>
              </w:rPr>
            </w:pPr>
          </w:p>
        </w:tc>
        <w:tc>
          <w:tcPr>
            <w:tcW w:w="89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jc w:val="right"/>
              <w:ind w:right="397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49" w:lineRule="exact"/>
        <w:rPr>
          <w:sz w:val="20"/>
          <w:szCs w:val="20"/>
          <w:color w:val="auto"/>
        </w:rPr>
      </w:pPr>
    </w:p>
    <w:p>
      <w:pPr>
        <w:sectPr>
          <w:pgSz w:w="11900" w:h="16838" w:orient="portrait"/>
          <w:cols w:equalWidth="0" w:num="3">
            <w:col w:w="580" w:space="720"/>
            <w:col w:w="220" w:space="440"/>
            <w:col w:w="9280"/>
          </w:cols>
          <w:pgMar w:left="320" w:top="904" w:right="339" w:bottom="1440" w:gutter="0" w:footer="0" w:header="0"/>
        </w:sectPr>
      </w:pPr>
    </w:p>
    <w:p>
      <w:pPr>
        <w:ind w:left="1960"/>
        <w:spacing w:after="0"/>
        <w:rPr>
          <w:sz w:val="20"/>
          <w:szCs w:val="20"/>
          <w:color w:val="auto"/>
        </w:rPr>
      </w:pPr>
      <w:r>
        <w:rPr>
          <w:rFonts w:ascii="Arial" w:cs="Arial" w:eastAsia="Arial" w:hAnsi="Arial"/>
          <w:sz w:val="16"/>
          <w:szCs w:val="16"/>
          <w:color w:val="auto"/>
        </w:rPr>
        <w:t>Bakkt Holdings, Inc.</w:t>
      </w:r>
    </w:p>
    <w:p>
      <w:pPr>
        <w:sectPr>
          <w:pgSz w:w="11900" w:h="16838" w:orient="portrait"/>
          <w:cols w:equalWidth="0" w:num="1">
            <w:col w:w="11240"/>
          </w:cols>
          <w:pgMar w:left="320" w:top="904" w:right="339" w:bottom="1440" w:gutter="0" w:footer="0" w:header="0"/>
          <w:type w:val="continuous"/>
        </w:sect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Issuer’s Principal Executive Offices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520" w:space="440"/>
            <w:col w:w="928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Name of Person Filing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by (i) Apollo Atlas Master Fund, LLC (“Atlas”); (ii) Apollo Atlas Management, LLC (“Atlas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(iii) Apollo PPF Credit Strategies, LLC (“PPF Credit Strategies”); (iv) Apollo Credit Strategies Master Fund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Ltd. (“Credit Strategies”); (v) Apollo ST Fund Management LLC (“ST Management”); (vi) Apollo ST Operating LP (“ST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(vii) Apollo ST Capital LLC (“ST Capital”); (viii) ST Management Holdings, LLC (“ST Management Holdings”);</w:t>
      </w:r>
    </w:p>
    <w:p>
      <w:pPr>
        <w:spacing w:after="0" w:line="2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jc w:val="both"/>
        <w:ind w:left="1960" w:hanging="8"/>
        <w:spacing w:after="0" w:line="252" w:lineRule="auto"/>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Apollo A-N Credit Fund (Delaware), L.P. (“A-N Credit”); (x) Apollo A-N Credit Management, LLC (“A-N Credit Management”); (xi) Apollo SPAC Fund I, L.P. (“SPAC Fund I”); (xii) Apollo SPAC Management I, L.P. (“SPAC Management I”); (xiii) Apollo SPAC Management I GP, LLC (“SPAC Management I GP”); (xiv) Apollo Capital Management, L.P. (“Capital Management”); (xv) Apollo Capital Management GP, LLC (“Capital Management GP”); (xvi) Apollo Management Holdings, L.P. (“Management Holdings”); and (xvii) Apollo Management Holdings GP, LLC (“Management Holdings GP”). The foregoing are collectively referred to herein as the “Reporting Persons.”</w:t>
      </w:r>
    </w:p>
    <w:p>
      <w:pPr>
        <w:spacing w:after="0" w:line="194" w:lineRule="exact"/>
        <w:rPr>
          <w:sz w:val="20"/>
          <w:szCs w:val="20"/>
          <w:color w:val="auto"/>
        </w:rPr>
      </w:pPr>
    </w:p>
    <w:p>
      <w:pPr>
        <w:jc w:val="both"/>
        <w:ind w:left="1960"/>
        <w:spacing w:after="0" w:line="275" w:lineRule="auto"/>
        <w:rPr>
          <w:sz w:val="20"/>
          <w:szCs w:val="20"/>
          <w:color w:val="auto"/>
        </w:rPr>
      </w:pPr>
      <w:r>
        <w:rPr>
          <w:rFonts w:ascii="Arial" w:cs="Arial" w:eastAsia="Arial" w:hAnsi="Arial"/>
          <w:sz w:val="17"/>
          <w:szCs w:val="17"/>
          <w:color w:val="auto"/>
        </w:rPr>
        <w:t>Atlas Management serves as the investment manager of Atlas. Credit Strategies is the sole member of PPF Credit Strategies.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 SPAC Management I serves as the investment manager for SPAC Fund I. The general partner of SPAC Management I is SPAC Management I GP.</w:t>
      </w:r>
    </w:p>
    <w:p>
      <w:pPr>
        <w:spacing w:after="0" w:line="176" w:lineRule="exact"/>
        <w:rPr>
          <w:sz w:val="20"/>
          <w:szCs w:val="20"/>
          <w:color w:val="auto"/>
        </w:rPr>
      </w:pPr>
    </w:p>
    <w:p>
      <w:pPr>
        <w:jc w:val="both"/>
        <w:ind w:left="1960"/>
        <w:spacing w:after="0" w:line="279" w:lineRule="auto"/>
        <w:rPr>
          <w:sz w:val="20"/>
          <w:szCs w:val="20"/>
          <w:color w:val="auto"/>
        </w:rPr>
      </w:pPr>
      <w:r>
        <w:rPr>
          <w:rFonts w:ascii="Arial" w:cs="Arial" w:eastAsia="Arial" w:hAnsi="Arial"/>
          <w:sz w:val="17"/>
          <w:szCs w:val="17"/>
          <w:color w:val="auto"/>
        </w:rPr>
        <w:t>Capital Management serves as the sole member of Atlas Management, A-N Credit Management, SPAC Management I GP, and SA Management, and as the sole member and manager of ST Management Holdings. Capital Management GP serves as the general partner of Capital Management. Management Holdings serves as the sole member and manager of Capital Management GP, and Management Holdings GP serves as the general partner of Management Holdings.</w:t>
      </w:r>
    </w:p>
    <w:p>
      <w:pPr>
        <w:spacing w:after="0" w:line="167" w:lineRule="exact"/>
        <w:rPr>
          <w:sz w:val="20"/>
          <w:szCs w:val="20"/>
          <w:color w:val="auto"/>
        </w:rPr>
      </w:pPr>
    </w:p>
    <w:p>
      <w:pPr>
        <w:ind w:left="1960" w:hanging="656"/>
        <w:spacing w:after="0"/>
        <w:tabs>
          <w:tab w:leader="none" w:pos="1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7" w:lineRule="exact"/>
        <w:rPr>
          <w:rFonts w:ascii="Arial" w:cs="Arial" w:eastAsia="Arial" w:hAnsi="Arial"/>
          <w:sz w:val="18"/>
          <w:szCs w:val="18"/>
          <w:b w:val="1"/>
          <w:bCs w:val="1"/>
          <w:color w:val="auto"/>
        </w:rPr>
      </w:pPr>
    </w:p>
    <w:p>
      <w:pPr>
        <w:jc w:val="both"/>
        <w:ind w:left="196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principal office of each of Atlas, PPF Credit Strategies, A-N Credit, and SPAC Fund I is One Manhattanville Road, Suite 201, Purchase, New York 10577. The principal office of Credit Strategies is c/o Walkers Corporate Limited, Cayman Corporate Centre, 27 Hospital Road, George Town, Grand Cayman, KY-9008, Cayman Islands. The principal office of each of Atlas Management, ST Management, ST Operating, ST Capital, ST Management Holdings, A-N Credit Management, SPAC Management I, SPAC Management I GP, Capital Management, Capital Management GP, Management Holdings, and Management Holdings GP is 9 W. 57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43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New York, New York 10019.</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ind w:left="1960" w:hanging="656"/>
        <w:spacing w:after="0"/>
        <w:tabs>
          <w:tab w:leader="none" w:pos="1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jc w:val="both"/>
        <w:ind w:left="19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Atlas and Credit Strategies are each an exempted company incorporated in the Cayman Islands with limited liability. SPAC Fund I is a Cayman Islands exempted limited partnership. Atlas Management, PPF Credit Strategies, ST Management, ST Capital, ST Management Holdings, A-N Credit Management, SPAC Management I GP, Capital Management GP, and Management Holdings GP are each a Delaware limited liability company. ST Operating, A-N Credit, SPAC Management I, Capital Management, and Management Holdings are each a Delaware limited partnership.</w:t>
      </w:r>
    </w:p>
    <w:p>
      <w:pPr>
        <w:spacing w:after="0" w:line="174" w:lineRule="exact"/>
        <w:rPr>
          <w:rFonts w:ascii="Arial" w:cs="Arial" w:eastAsia="Arial" w:hAnsi="Arial"/>
          <w:sz w:val="18"/>
          <w:szCs w:val="18"/>
          <w:b w:val="1"/>
          <w:bCs w:val="1"/>
          <w:color w:val="auto"/>
        </w:rPr>
      </w:pPr>
    </w:p>
    <w:p>
      <w:pPr>
        <w:ind w:left="1960" w:hanging="656"/>
        <w:spacing w:after="0"/>
        <w:tabs>
          <w:tab w:leader="none" w:pos="1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Class A ordinary shares, par value $0.0001 per share (the “Common Stock”).</w:t>
      </w:r>
    </w:p>
    <w:p>
      <w:pPr>
        <w:spacing w:after="0" w:line="206" w:lineRule="exact"/>
        <w:rPr>
          <w:rFonts w:ascii="Arial" w:cs="Arial" w:eastAsia="Arial" w:hAnsi="Arial"/>
          <w:sz w:val="18"/>
          <w:szCs w:val="18"/>
          <w:b w:val="1"/>
          <w:bCs w:val="1"/>
          <w:color w:val="auto"/>
        </w:rPr>
      </w:pPr>
    </w:p>
    <w:p>
      <w:pPr>
        <w:ind w:left="1960" w:right="8060" w:hanging="656"/>
        <w:spacing w:after="0" w:line="312" w:lineRule="auto"/>
        <w:tabs>
          <w:tab w:leader="none" w:pos="19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G9441E100</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Beneficial ownership information is reported as of the date of filing of this Schedule 13G.</w:t>
      </w:r>
    </w:p>
    <w:p>
      <w:pPr>
        <w:spacing w:after="0" w:line="221" w:lineRule="exact"/>
        <w:rPr>
          <w:sz w:val="20"/>
          <w:szCs w:val="20"/>
          <w:color w:val="auto"/>
        </w:rPr>
      </w:pPr>
    </w:p>
    <w:p>
      <w:pPr>
        <w:ind w:left="1820" w:hanging="516"/>
        <w:spacing w:after="0"/>
        <w:tabs>
          <w:tab w:leader="none" w:pos="1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9"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Atlas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Atlas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PPF Credit Strategies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Credit Strategies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Operating</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Capital</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A-N Credit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A-N Credit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Fund I</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Management I</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Management I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Capital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Capital Management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Management Holdings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1960"/>
        <w:spacing w:after="0" w:line="269" w:lineRule="auto"/>
        <w:rPr>
          <w:sz w:val="20"/>
          <w:szCs w:val="20"/>
          <w:color w:val="auto"/>
        </w:rPr>
      </w:pPr>
      <w:r>
        <w:rPr>
          <w:rFonts w:ascii="Arial" w:cs="Arial" w:eastAsia="Arial" w:hAnsi="Arial"/>
          <w:sz w:val="17"/>
          <w:szCs w:val="17"/>
          <w:color w:val="auto"/>
        </w:rPr>
        <w:t>Atlas, PPF Credit Strategies, Credit Strategies, A-N Credit, and SPAC Fund I each disclaims beneficial ownership of all shares of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Atlas Management, ST Management, ST Operating, ST Capital, ST Management Holdings, A-N Credit Management, SPAC Management I, SPAC Management I GP, Capital Management, Capital Management GP, Management Holdings and Management Holdings GP, and Messrs. Scott Kleinman, James Zelter and Marc Rowan, the managers, as well as executive officers, of Management Holdings GP, each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130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(b) Percent of class:</w:t>
            </w:r>
          </w:p>
        </w:tc>
        <w:tc>
          <w:tcPr>
            <w:tcW w:w="1320" w:type="dxa"/>
            <w:vAlign w:val="bottom"/>
          </w:tcPr>
          <w:p>
            <w:pPr>
              <w:spacing w:after="0"/>
              <w:rPr>
                <w:sz w:val="20"/>
                <w:szCs w:val="20"/>
                <w:color w:val="auto"/>
              </w:rPr>
            </w:pPr>
          </w:p>
        </w:tc>
      </w:tr>
      <w:tr>
        <w:trPr>
          <w:trHeight w:val="418"/>
        </w:trPr>
        <w:tc>
          <w:tcPr>
            <w:tcW w:w="3480" w:type="dxa"/>
            <w:vAlign w:val="bottom"/>
          </w:tcPr>
          <w:p>
            <w:pPr>
              <w:ind w:left="600"/>
              <w:spacing w:after="0"/>
              <w:rPr>
                <w:sz w:val="20"/>
                <w:szCs w:val="20"/>
                <w:color w:val="auto"/>
              </w:rPr>
            </w:pPr>
            <w:r>
              <w:rPr>
                <w:rFonts w:ascii="Arial" w:cs="Arial" w:eastAsia="Arial" w:hAnsi="Arial"/>
                <w:sz w:val="18"/>
                <w:szCs w:val="18"/>
                <w:color w:val="auto"/>
              </w:rPr>
              <w:t>Atlas</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Atlas Management</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PPF Credit Strategies</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Credit Strategies</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ST Management</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ST Operating</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ST Capital</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ST Management Holdings</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A-N Credit</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A-N Credit Management</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SPAC Fund I</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SPAC Management I</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SPAC Management I GP</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Capital Management</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Capital Management GP</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ind w:left="600"/>
              <w:spacing w:after="0"/>
              <w:rPr>
                <w:sz w:val="20"/>
                <w:szCs w:val="20"/>
                <w:color w:val="auto"/>
              </w:rPr>
            </w:pPr>
            <w:r>
              <w:rPr>
                <w:rFonts w:ascii="Arial" w:cs="Arial" w:eastAsia="Arial" w:hAnsi="Arial"/>
                <w:sz w:val="18"/>
                <w:szCs w:val="18"/>
                <w:color w:val="auto"/>
              </w:rPr>
              <w:t>Management Holdings</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480" w:type="dxa"/>
            <w:vAlign w:val="bottom"/>
          </w:tcPr>
          <w:p>
            <w:pPr>
              <w:ind w:left="600"/>
              <w:spacing w:after="0"/>
              <w:rPr>
                <w:sz w:val="20"/>
                <w:szCs w:val="20"/>
                <w:color w:val="auto"/>
              </w:rPr>
            </w:pPr>
            <w:r>
              <w:rPr>
                <w:rFonts w:ascii="Arial" w:cs="Arial" w:eastAsia="Arial" w:hAnsi="Arial"/>
                <w:sz w:val="18"/>
                <w:szCs w:val="18"/>
                <w:color w:val="auto"/>
              </w:rPr>
              <w:t>Management Holdings GP</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The percentages are based on 57,164,266 shares of Common Stock outstanding as of November 30, 2021, as disclosed in the Issuer’s Quarterly Report on Form 10-Q/A filed on December 8, 2021.</w:t>
      </w:r>
    </w:p>
    <w:p>
      <w:pPr>
        <w:spacing w:after="0" w:line="166" w:lineRule="exact"/>
        <w:rPr>
          <w:sz w:val="20"/>
          <w:szCs w:val="20"/>
          <w:color w:val="auto"/>
        </w:rPr>
      </w:pPr>
    </w:p>
    <w:p>
      <w:pPr>
        <w:ind w:left="1820" w:hanging="516"/>
        <w:spacing w:after="0"/>
        <w:tabs>
          <w:tab w:leader="none" w:pos="1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2200" w:hanging="451"/>
        <w:spacing w:after="0"/>
        <w:tabs>
          <w:tab w:leader="none" w:pos="2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2200" w:hanging="451"/>
        <w:spacing w:after="0"/>
        <w:tabs>
          <w:tab w:leader="none" w:pos="2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Atlas</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Atlas Management</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PPF Credit Strategies</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Credit Strategies</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ST Management</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ST Operating</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ST Capital</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ST Management Holdings</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A-N Credit</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A-N Credit Management</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SPAC Fund I</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SPAC Management I</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SPAC Management I GP</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Capital Management</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Capital Management GP</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tcPr>
          <w:p>
            <w:pPr>
              <w:ind w:left="1900"/>
              <w:spacing w:after="0"/>
              <w:rPr>
                <w:sz w:val="20"/>
                <w:szCs w:val="20"/>
                <w:color w:val="auto"/>
              </w:rPr>
            </w:pPr>
            <w:r>
              <w:rPr>
                <w:rFonts w:ascii="Arial" w:cs="Arial" w:eastAsia="Arial" w:hAnsi="Arial"/>
                <w:sz w:val="18"/>
                <w:szCs w:val="18"/>
                <w:color w:val="auto"/>
              </w:rPr>
              <w:t>Management Holdings</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tcPr>
          <w:p>
            <w:pPr>
              <w:ind w:left="1900"/>
              <w:spacing w:after="0"/>
              <w:rPr>
                <w:sz w:val="20"/>
                <w:szCs w:val="20"/>
                <w:color w:val="auto"/>
              </w:rPr>
            </w:pPr>
            <w:r>
              <w:rPr>
                <w:rFonts w:ascii="Arial" w:cs="Arial" w:eastAsia="Arial" w:hAnsi="Arial"/>
                <w:sz w:val="18"/>
                <w:szCs w:val="18"/>
                <w:color w:val="auto"/>
              </w:rPr>
              <w:t>Management Holdings GP</w:t>
            </w: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0</w:t>
            </w:r>
          </w:p>
        </w:tc>
      </w:tr>
      <w:tr>
        <w:trPr>
          <w:trHeight w:val="648"/>
        </w:trPr>
        <w:tc>
          <w:tcPr>
            <w:tcW w:w="4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right"/>
              <w:ind w:right="545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4" w:right="339" w:bottom="1440" w:gutter="0" w:footer="0" w:header="0"/>
        </w:sectPr>
      </w:pPr>
    </w:p>
    <w:bookmarkStart w:id="21" w:name="page22"/>
    <w:bookmarkEnd w:id="21"/>
    <w:p>
      <w:pPr>
        <w:ind w:left="2200" w:hanging="451"/>
        <w:spacing w:after="0"/>
        <w:tabs>
          <w:tab w:leader="none" w:pos="2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2200" w:hanging="451"/>
        <w:spacing w:after="0"/>
        <w:tabs>
          <w:tab w:leader="none" w:pos="2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Atlas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Atlas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PPF Credit Strategies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Credit Strategies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Operating</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Capital</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A-N Credit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A-N Credit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Fund I</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Management I</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SPAC Management I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Capital Management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Capital Management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Management Holdings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80" w:type="dxa"/>
            <w:vAlign w:val="bottom"/>
          </w:tcPr>
          <w:p>
            <w:pPr>
              <w:spacing w:after="0"/>
              <w:rPr>
                <w:sz w:val="15"/>
                <w:szCs w:val="15"/>
                <w:color w:val="auto"/>
              </w:rPr>
            </w:pPr>
          </w:p>
        </w:tc>
        <w:tc>
          <w:tcPr>
            <w:tcW w:w="10260" w:type="dxa"/>
            <w:vAlign w:val="bottom"/>
          </w:tcPr>
          <w:p>
            <w:pPr>
              <w:ind w:left="32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80" w:type="dxa"/>
            <w:vAlign w:val="bottom"/>
          </w:tcPr>
          <w:p>
            <w:pPr>
              <w:spacing w:after="0"/>
              <w:rPr>
                <w:sz w:val="24"/>
                <w:szCs w:val="24"/>
                <w:color w:val="auto"/>
              </w:rPr>
            </w:pPr>
          </w:p>
        </w:tc>
        <w:tc>
          <w:tcPr>
            <w:tcW w:w="1026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8"/>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432"/>
        </w:trPr>
        <w:tc>
          <w:tcPr>
            <w:tcW w:w="980" w:type="dxa"/>
            <w:vAlign w:val="bottom"/>
          </w:tcPr>
          <w:p>
            <w:pPr>
              <w:spacing w:after="0"/>
              <w:rPr>
                <w:sz w:val="24"/>
                <w:szCs w:val="24"/>
                <w:color w:val="auto"/>
              </w:rPr>
            </w:pPr>
          </w:p>
        </w:tc>
        <w:tc>
          <w:tcPr>
            <w:tcW w:w="10260" w:type="dxa"/>
            <w:vAlign w:val="bottom"/>
          </w:tcPr>
          <w:p>
            <w:pPr>
              <w:ind w:left="2660"/>
              <w:spacing w:after="0"/>
              <w:rPr>
                <w:sz w:val="20"/>
                <w:szCs w:val="20"/>
                <w:color w:val="auto"/>
              </w:rPr>
            </w:pPr>
            <w:r>
              <w:rPr>
                <w:rFonts w:ascii="Arial" w:cs="Arial" w:eastAsia="Arial" w:hAnsi="Arial"/>
                <w:sz w:val="18"/>
                <w:szCs w:val="18"/>
                <w:color w:val="auto"/>
              </w:rPr>
              <w:t>[The remainder of this page is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5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ATLAS MASTER FUND,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Apollo Atlas Management, LLC,</w:t>
            </w:r>
          </w:p>
        </w:tc>
      </w:tr>
      <w:tr>
        <w:trPr>
          <w:trHeight w:val="230"/>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ATLAS MANAGEMENT, LLC</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Apollo Capital Management, L.P.,</w:t>
            </w:r>
          </w:p>
        </w:tc>
      </w:tr>
      <w:tr>
        <w:trPr>
          <w:trHeight w:val="230"/>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its sole member</w:t>
            </w:r>
          </w:p>
        </w:tc>
      </w:tr>
      <w:tr>
        <w:trPr>
          <w:trHeight w:val="418"/>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59"/>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PPF CREDIT STRATEGIES, LLC</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Apollo PPF Credit Strategies Management, LLC,</w:t>
            </w:r>
          </w:p>
        </w:tc>
      </w:tr>
      <w:tr>
        <w:trPr>
          <w:trHeight w:val="230"/>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Apollo ST Fund Management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APOLLO ST OPERATING LP</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Apollo ST Capital LLC,</w:t>
            </w:r>
          </w:p>
        </w:tc>
      </w:tr>
      <w:tr>
        <w:trPr>
          <w:trHeight w:val="230"/>
        </w:trPr>
        <w:tc>
          <w:tcPr>
            <w:tcW w:w="5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APOLLO ST CAPITAL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 MANAGEMENT HOLDINGS,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A-N CREDIT FUND (DELAWARE),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Apollo A-N Credit Management,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APOLLO A-N CREDIT MANAGEMENT,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Vice President</w:t>
            </w:r>
          </w:p>
        </w:tc>
        <w:tc>
          <w:tcPr>
            <w:tcW w:w="3920" w:type="dxa"/>
            <w:vAlign w:val="bottom"/>
          </w:tcPr>
          <w:p>
            <w:pPr>
              <w:spacing w:after="0"/>
              <w:rPr>
                <w:sz w:val="20"/>
                <w:szCs w:val="20"/>
                <w:color w:val="auto"/>
              </w:rPr>
            </w:pP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SPAC FUND I, L.P.</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3"/>
          </w:tcPr>
          <w:p>
            <w:pPr>
              <w:spacing w:after="0"/>
              <w:rPr>
                <w:sz w:val="20"/>
                <w:szCs w:val="20"/>
                <w:color w:val="auto"/>
              </w:rPr>
            </w:pPr>
            <w:r>
              <w:rPr>
                <w:rFonts w:ascii="Arial" w:cs="Arial" w:eastAsia="Arial" w:hAnsi="Arial"/>
                <w:sz w:val="18"/>
                <w:szCs w:val="18"/>
                <w:color w:val="auto"/>
              </w:rPr>
              <w:t>Apollo SPAC Management I, L.P.,</w:t>
            </w:r>
          </w:p>
        </w:tc>
      </w:tr>
      <w:tr>
        <w:trPr>
          <w:trHeight w:val="230"/>
        </w:trPr>
        <w:tc>
          <w:tcPr>
            <w:tcW w:w="56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its investment manager</w:t>
            </w:r>
          </w:p>
        </w:tc>
      </w:tr>
      <w:tr>
        <w:trPr>
          <w:trHeight w:val="418"/>
        </w:trPr>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rPr>
              <w:t>Apollo SPAC Management I GP, LLC,</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SPAC MANAGEMENT I, L.P.</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3"/>
          </w:tcPr>
          <w:p>
            <w:pPr>
              <w:spacing w:after="0"/>
              <w:rPr>
                <w:sz w:val="20"/>
                <w:szCs w:val="20"/>
                <w:color w:val="auto"/>
              </w:rPr>
            </w:pPr>
            <w:r>
              <w:rPr>
                <w:rFonts w:ascii="Arial" w:cs="Arial" w:eastAsia="Arial" w:hAnsi="Arial"/>
                <w:sz w:val="18"/>
                <w:szCs w:val="18"/>
                <w:color w:val="auto"/>
              </w:rPr>
              <w:t>Apollo SPAC Management I GP, LLC,</w:t>
            </w:r>
          </w:p>
        </w:tc>
      </w:tr>
      <w:tr>
        <w:trPr>
          <w:trHeight w:val="230"/>
        </w:trPr>
        <w:tc>
          <w:tcPr>
            <w:tcW w:w="56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SPAC MANAGEMENT I GP,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Vice President</w:t>
            </w:r>
          </w:p>
        </w:tc>
        <w:tc>
          <w:tcPr>
            <w:tcW w:w="3920" w:type="dxa"/>
            <w:vAlign w:val="bottom"/>
          </w:tcPr>
          <w:p>
            <w:pPr>
              <w:spacing w:after="0"/>
              <w:rPr>
                <w:sz w:val="20"/>
                <w:szCs w:val="20"/>
                <w:color w:val="auto"/>
              </w:rPr>
            </w:pP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CAPITAL MANAGEMENT, L.P.</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3"/>
          </w:tcPr>
          <w:p>
            <w:pPr>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56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ind w:left="564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MANAGEMENT HOLDINGS,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MANAGEMENT HOLDINGS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6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lowerRoman"/>
      <w:start w:val="9"/>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2022-02-14T23:14:40Z</dcterms:created>
  <dcterms:modified xsi:type="dcterms:W3CDTF">2022-02-14T23:14:40Z</dcterms:modified>
</cp:coreProperties>
</file>