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Baes Nicholas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34,211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108,810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(RSUs). Each RSU represents a contingent right to receive one share of Class A Common Stock of the issuer. 50% of the RSUs shall vest on the one year anniversary of the grant date, 12.5% shall vest on the fifteen (15) month anniversary of the grant date, 12.5% shall vest on the eighteen (18) month anniversary of the grant date, 12.5% shall vest on the twenty one (21) month anniversary of the grant date, and 12.5% shall vest on the twenty four (24) month anniversary of the grant date, provided that the reporting person continues to provide services to the issuer through each such date.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105,789 shares of Class A Common Stock subject to RSUs that remain subject to vesting.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Simmons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Nicholas Baes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05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3681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2025-04-15T18:22:15Z</dcterms:created>
  <dcterms:modified xsi:type="dcterms:W3CDTF">2025-04-15T18:22:15Z</dcterms:modified>
</cp:coreProperties>
</file>