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Goodroe Charles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335" w:lineRule="auto"/>
        <w:rPr>
          <w:sz w:val="20"/>
          <w:szCs w:val="20"/>
          <w:color w:val="auto"/>
        </w:rPr>
      </w:pPr>
      <w:r>
        <w:rPr>
          <w:rFonts w:ascii="Arial" w:cs="Arial" w:eastAsia="Arial" w:hAnsi="Arial"/>
          <w:sz w:val="16"/>
          <w:szCs w:val="16"/>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Bakkt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Accounting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09/22/2022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25,160</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25,160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will vest in equal annual installments on the first three anniversaries of the grant date, provided that the Reporting Person continues employment with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25,160 shares of Class A Common Stock subject to RSUs that remain subject to vesting.</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Charles</w:t>
      </w:r>
      <w:r>
        <w:rPr>
          <w:sz w:val="20"/>
          <w:szCs w:val="20"/>
          <w:color w:val="auto"/>
        </w:rPr>
        <w:tab/>
      </w:r>
      <w:r>
        <w:rPr>
          <w:rFonts w:ascii="Arial" w:cs="Arial" w:eastAsia="Arial" w:hAnsi="Arial"/>
          <w:sz w:val="15"/>
          <w:szCs w:val="15"/>
          <w:color w:val="0000FF"/>
        </w:rPr>
        <w:t>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Goodroe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4926"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2022-10-04T16:20:06Z</dcterms:created>
  <dcterms:modified xsi:type="dcterms:W3CDTF">2022-10-04T16:20:06Z</dcterms:modified>
</cp:coreProperties>
</file>