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24"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997585</wp:posOffset>
            </wp:positionV>
            <wp:extent cx="71323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1049020</wp:posOffset>
            </wp:positionV>
            <wp:extent cx="7132320" cy="260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26035"/>
                    </a:xfrm>
                    <a:prstGeom prst="rect">
                      <a:avLst/>
                    </a:prstGeom>
                    <a:noFill/>
                  </pic:spPr>
                </pic:pic>
              </a:graphicData>
            </a:graphic>
          </wp:anchor>
        </w:drawing>
      </w:r>
    </w:p>
    <w:p>
      <w:pPr>
        <w:jc w:val="center"/>
        <w:ind w:right="-1120"/>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104"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3" w:lineRule="exact"/>
        <w:rPr>
          <w:sz w:val="24"/>
          <w:szCs w:val="24"/>
          <w:color w:val="auto"/>
        </w:rPr>
      </w:pPr>
    </w:p>
    <w:p>
      <w:pPr>
        <w:ind w:left="470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7"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5"/>
          <w:szCs w:val="25"/>
          <w:b w:val="1"/>
          <w:bCs w:val="1"/>
          <w:color w:val="auto"/>
        </w:rPr>
        <w:t>SCHEDULE 14A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97"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PROXY STATEMENT PURSUANT TO SECTION 14(a) OF THE</w:t>
      </w:r>
    </w:p>
    <w:p>
      <w:pPr>
        <w:spacing w:after="0" w:line="20"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SECURITIES EXCHANGE ACT OF 1934</w:t>
      </w:r>
    </w:p>
    <w:p>
      <w:pPr>
        <w:spacing w:after="0" w:line="29"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Filed by the Registrant </w:t>
      </w:r>
      <w:r>
        <w:rPr>
          <w:rFonts w:ascii="MS PGothic" w:cs="MS PGothic" w:eastAsia="MS PGothic" w:hAnsi="MS PGothic"/>
          <w:sz w:val="18"/>
          <w:szCs w:val="18"/>
          <w:color w:val="auto"/>
        </w:rPr>
        <w:t>☒</w:t>
      </w:r>
    </w:p>
    <w:p>
      <w:pPr>
        <w:spacing w:after="0" w:line="104"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Filed by a party other than the Registrant </w:t>
      </w:r>
      <w:r>
        <w:rPr>
          <w:rFonts w:ascii="MS PGothic" w:cs="MS PGothic" w:eastAsia="MS PGothic" w:hAnsi="MS PGothic"/>
          <w:sz w:val="18"/>
          <w:szCs w:val="18"/>
          <w:color w:val="auto"/>
        </w:rPr>
        <w:t>☐</w:t>
      </w:r>
    </w:p>
    <w:p>
      <w:pPr>
        <w:spacing w:after="0" w:line="13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Check the appropriate box:</w:t>
      </w:r>
    </w:p>
    <w:p>
      <w:pPr>
        <w:spacing w:after="0" w:line="104" w:lineRule="exact"/>
        <w:rPr>
          <w:sz w:val="24"/>
          <w:szCs w:val="24"/>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Preliminary Proxy Statement</w:t>
      </w:r>
    </w:p>
    <w:p>
      <w:pPr>
        <w:spacing w:after="0" w:line="86" w:lineRule="exact"/>
        <w:rPr>
          <w:rFonts w:ascii="MS PGothic" w:cs="MS PGothic" w:eastAsia="MS PGothic" w:hAnsi="MS PGothic"/>
          <w:sz w:val="18"/>
          <w:szCs w:val="18"/>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Confidential, for Use of the Commission Only (as permitted by Rule 14a-6(e)(2))</w:t>
      </w:r>
    </w:p>
    <w:p>
      <w:pPr>
        <w:spacing w:after="0" w:line="66" w:lineRule="exact"/>
        <w:rPr>
          <w:rFonts w:ascii="MS PGothic" w:cs="MS PGothic" w:eastAsia="MS PGothic" w:hAnsi="MS PGothic"/>
          <w:sz w:val="18"/>
          <w:szCs w:val="18"/>
          <w:color w:val="auto"/>
        </w:rPr>
      </w:pPr>
    </w:p>
    <w:p>
      <w:pPr>
        <w:spacing w:after="0" w:line="207" w:lineRule="exact"/>
        <w:rPr>
          <w:rFonts w:ascii="MS PGothic" w:cs="MS PGothic" w:eastAsia="MS PGothic" w:hAnsi="MS PGothic"/>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Definitive Proxy Statement</w:t>
      </w:r>
    </w:p>
    <w:p>
      <w:pPr>
        <w:spacing w:after="0" w:line="130" w:lineRule="exact"/>
        <w:rPr>
          <w:rFonts w:ascii="MS PGothic" w:cs="MS PGothic" w:eastAsia="MS PGothic" w:hAnsi="MS PGothic"/>
          <w:sz w:val="18"/>
          <w:szCs w:val="18"/>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Additional Materials</w:t>
      </w:r>
    </w:p>
    <w:p>
      <w:pPr>
        <w:spacing w:after="0" w:line="103" w:lineRule="exact"/>
        <w:rPr>
          <w:rFonts w:ascii="MS PGothic" w:cs="MS PGothic" w:eastAsia="MS PGothic" w:hAnsi="MS PGothic"/>
          <w:sz w:val="18"/>
          <w:szCs w:val="18"/>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§240.14a-12</w:t>
      </w:r>
    </w:p>
    <w:p>
      <w:pPr>
        <w:spacing w:after="0" w:line="55"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5"/>
          <w:szCs w:val="25"/>
          <w:b w:val="1"/>
          <w:bCs w:val="1"/>
          <w:color w:val="auto"/>
        </w:rPr>
        <w:t>BAKKT HOLDINGS,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61" w:lineRule="exact"/>
        <w:rPr>
          <w:sz w:val="24"/>
          <w:szCs w:val="24"/>
          <w:color w:val="auto"/>
        </w:rPr>
      </w:pPr>
    </w:p>
    <w:p>
      <w:pPr>
        <w:ind w:left="3780"/>
        <w:spacing w:after="0"/>
        <w:rPr>
          <w:sz w:val="20"/>
          <w:szCs w:val="20"/>
          <w:color w:val="auto"/>
        </w:rPr>
      </w:pPr>
      <w:r>
        <w:rPr>
          <w:rFonts w:ascii="Times New Roman" w:cs="Times New Roman" w:eastAsia="Times New Roman" w:hAnsi="Times New Roman"/>
          <w:sz w:val="18"/>
          <w:szCs w:val="18"/>
          <w:b w:val="1"/>
          <w:bCs w:val="1"/>
          <w:color w:val="auto"/>
        </w:rPr>
        <w:t>(Name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311150</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4"/>
          <w:szCs w:val="24"/>
          <w:color w:val="auto"/>
        </w:rPr>
      </w:pPr>
    </w:p>
    <w:p>
      <w:pPr>
        <w:spacing w:after="0" w:line="329" w:lineRule="exact"/>
        <w:rPr>
          <w:sz w:val="24"/>
          <w:szCs w:val="24"/>
          <w:color w:val="auto"/>
        </w:rPr>
      </w:pPr>
    </w:p>
    <w:p>
      <w:pPr>
        <w:ind w:left="2860"/>
        <w:spacing w:after="0"/>
        <w:rPr>
          <w:sz w:val="20"/>
          <w:szCs w:val="20"/>
          <w:color w:val="auto"/>
        </w:rPr>
      </w:pPr>
      <w:r>
        <w:rPr>
          <w:rFonts w:ascii="Times New Roman" w:cs="Times New Roman" w:eastAsia="Times New Roman" w:hAnsi="Times New Roman"/>
          <w:sz w:val="17"/>
          <w:szCs w:val="17"/>
          <w:b w:val="1"/>
          <w:bCs w:val="1"/>
          <w:color w:val="auto"/>
        </w:rPr>
        <w:t>(Name of Person(s) Filing Proxy Statement, if other than the Registrant)</w:t>
      </w:r>
    </w:p>
    <w:p>
      <w:pPr>
        <w:spacing w:after="0" w:line="11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Payment of Filing Fee (Check all boxes that apply):</w:t>
      </w:r>
    </w:p>
    <w:p>
      <w:pPr>
        <w:spacing w:after="0" w:line="90" w:lineRule="exact"/>
        <w:rPr>
          <w:sz w:val="24"/>
          <w:szCs w:val="24"/>
          <w:color w:val="auto"/>
        </w:rPr>
      </w:pPr>
    </w:p>
    <w:p>
      <w:pPr>
        <w:ind w:left="360" w:hanging="352"/>
        <w:spacing w:after="0"/>
        <w:tabs>
          <w:tab w:leader="none" w:pos="36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No fee required.</w:t>
      </w:r>
    </w:p>
    <w:p>
      <w:pPr>
        <w:spacing w:after="0" w:line="104" w:lineRule="exact"/>
        <w:rPr>
          <w:sz w:val="24"/>
          <w:szCs w:val="24"/>
          <w:color w:val="auto"/>
        </w:rPr>
      </w:pPr>
    </w:p>
    <w:p>
      <w:pPr>
        <w:ind w:left="360" w:hanging="352"/>
        <w:spacing w:after="0"/>
        <w:tabs>
          <w:tab w:leader="none" w:pos="36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paid previously with preliminary materials.</w:t>
      </w:r>
    </w:p>
    <w:p>
      <w:pPr>
        <w:spacing w:after="0" w:line="90" w:lineRule="exact"/>
        <w:rPr>
          <w:rFonts w:ascii="MS PGothic" w:cs="MS PGothic" w:eastAsia="MS PGothic" w:hAnsi="MS PGothic"/>
          <w:sz w:val="18"/>
          <w:szCs w:val="18"/>
          <w:color w:val="auto"/>
        </w:rPr>
      </w:pPr>
    </w:p>
    <w:p>
      <w:pPr>
        <w:ind w:left="360" w:hanging="352"/>
        <w:spacing w:after="0"/>
        <w:tabs>
          <w:tab w:leader="none" w:pos="36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514350</wp:posOffset>
            </wp:positionV>
            <wp:extent cx="7132320" cy="2540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565785</wp:posOffset>
            </wp:positionV>
            <wp:extent cx="7132320" cy="254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205740</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1" w:lineRule="exact"/>
        <w:rPr>
          <w:sz w:val="24"/>
          <w:szCs w:val="24"/>
          <w:color w:val="auto"/>
        </w:rPr>
      </w:pPr>
    </w:p>
    <w:p>
      <w:pPr>
        <w:ind w:left="5540"/>
        <w:spacing w:after="0"/>
        <w:rPr>
          <w:sz w:val="20"/>
          <w:szCs w:val="20"/>
          <w:color w:val="auto"/>
        </w:rPr>
      </w:pPr>
      <w:r>
        <w:rPr>
          <w:rFonts w:ascii="Calibri" w:cs="Calibri" w:eastAsia="Calibri" w:hAnsi="Calibri"/>
          <w:sz w:val="22"/>
          <w:szCs w:val="22"/>
          <w:color w:val="auto"/>
        </w:rPr>
        <w:t>-i-</w:t>
      </w:r>
    </w:p>
    <w:p>
      <w:pPr>
        <w:sectPr>
          <w:pgSz w:w="11900" w:h="16838" w:orient="portrait"/>
          <w:cols w:equalWidth="0" w:num="1">
            <w:col w:w="10139"/>
          </w:cols>
          <w:pgMar w:left="320" w:top="1440" w:right="1440" w:bottom="1440" w:gutter="0" w:footer="0" w:header="0"/>
        </w:sectPr>
      </w:pPr>
    </w:p>
    <w:bookmarkStart w:id="1" w:name="page2"/>
    <w:bookmarkEnd w:id="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6020435</wp:posOffset>
            </wp:positionH>
            <wp:positionV relativeFrom="page">
              <wp:posOffset>88900</wp:posOffset>
            </wp:positionV>
            <wp:extent cx="1320165" cy="180848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clrChange>
                        <a:clrFrom>
                          <a:srgbClr val="FFFFFF"/>
                        </a:clrFrom>
                        <a:clrTo>
                          <a:srgbClr val="FFFFFF">
                            <a:alpha val="0"/>
                          </a:srgbClr>
                        </a:clrTo>
                      </a:clrChange>
                      <a:extLst>
                        <a:ext uri="{28A0092B-C50C-407E-A947-70E740481C1C}"/>
                      </a:extLst>
                    </a:blip>
                    <a:srcRect/>
                    <a:stretch>
                      <a:fillRect/>
                    </a:stretch>
                  </pic:blipFill>
                  <pic:spPr bwMode="auto">
                    <a:xfrm>
                      <a:off x="0" y="0"/>
                      <a:ext cx="1320165" cy="180848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1957705</wp:posOffset>
            </wp:positionV>
            <wp:extent cx="1191260" cy="436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clrChange>
                        <a:clrFrom>
                          <a:srgbClr val="FFFFFF"/>
                        </a:clrFrom>
                        <a:clrTo>
                          <a:srgbClr val="FFFFFF">
                            <a:alpha val="0"/>
                          </a:srgbClr>
                        </a:clrTo>
                      </a:clrChange>
                      <a:extLst>
                        <a:ext uri="{28A0092B-C50C-407E-A947-70E740481C1C}"/>
                      </a:extLst>
                    </a:blip>
                    <a:srcRect/>
                    <a:stretch>
                      <a:fillRect/>
                    </a:stretch>
                  </pic:blipFill>
                  <pic:spPr bwMode="auto">
                    <a:xfrm>
                      <a:off x="0" y="0"/>
                      <a:ext cx="1191260" cy="4368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alibri" w:cs="Calibri" w:eastAsia="Calibri" w:hAnsi="Calibri"/>
          <w:sz w:val="40"/>
          <w:szCs w:val="40"/>
          <w:color w:val="auto"/>
        </w:rPr>
        <w:t>Notce of 2024 Annual Meetng of</w:t>
      </w:r>
    </w:p>
    <w:p>
      <w:pPr>
        <w:spacing w:after="0" w:line="212" w:lineRule="auto"/>
        <w:rPr>
          <w:sz w:val="20"/>
          <w:szCs w:val="20"/>
          <w:color w:val="auto"/>
        </w:rPr>
      </w:pPr>
      <w:r>
        <w:rPr>
          <w:rFonts w:ascii="Calibri" w:cs="Calibri" w:eastAsia="Calibri" w:hAnsi="Calibri"/>
          <w:sz w:val="40"/>
          <w:szCs w:val="40"/>
          <w:color w:val="auto"/>
        </w:rPr>
        <w:t>Stockholders &amp; Proxy Statement</w:t>
      </w:r>
    </w:p>
    <w:p>
      <w:pPr>
        <w:spacing w:after="0" w:line="145" w:lineRule="exact"/>
        <w:rPr>
          <w:sz w:val="20"/>
          <w:szCs w:val="20"/>
          <w:color w:val="auto"/>
        </w:rPr>
      </w:pPr>
    </w:p>
    <w:p>
      <w:pPr>
        <w:spacing w:after="0"/>
        <w:rPr>
          <w:sz w:val="20"/>
          <w:szCs w:val="20"/>
          <w:color w:val="auto"/>
        </w:rPr>
      </w:pPr>
      <w:r>
        <w:rPr>
          <w:rFonts w:ascii="Calibri" w:cs="Calibri" w:eastAsia="Calibri" w:hAnsi="Calibri"/>
          <w:sz w:val="18"/>
          <w:szCs w:val="18"/>
          <w:color w:val="auto"/>
        </w:rPr>
        <w:t>To Our Stockholders–</w:t>
      </w:r>
    </w:p>
    <w:p>
      <w:pPr>
        <w:spacing w:after="0" w:line="177" w:lineRule="exact"/>
        <w:rPr>
          <w:sz w:val="20"/>
          <w:szCs w:val="20"/>
          <w:color w:val="auto"/>
        </w:rPr>
      </w:pPr>
    </w:p>
    <w:p>
      <w:pPr>
        <w:jc w:val="both"/>
        <w:spacing w:after="0" w:line="253" w:lineRule="auto"/>
        <w:rPr>
          <w:sz w:val="20"/>
          <w:szCs w:val="20"/>
          <w:color w:val="auto"/>
        </w:rPr>
      </w:pPr>
      <w:r>
        <w:rPr>
          <w:rFonts w:ascii="Calibri" w:cs="Calibri" w:eastAsia="Calibri" w:hAnsi="Calibri"/>
          <w:sz w:val="18"/>
          <w:szCs w:val="18"/>
          <w:color w:val="auto"/>
        </w:rPr>
        <w:t>2023 was an infecton point for Bakkt, and I believe that the investments as well as the tough decisions we have made this past year have set Bakkt up to capitalize on the market opportunity in crypto. Specifcally, we have solidifed our path forward as a B2B2C-focused company and built out our partner ecosystem. And we have brought in a new CEO with a track record of growth. With these actons in place, we contnue to focus on creatng stockholder value by ofering trustworthy capabilites that solve business needs.</w:t>
      </w:r>
    </w:p>
    <w:p>
      <w:pPr>
        <w:spacing w:after="0" w:line="167" w:lineRule="exact"/>
        <w:rPr>
          <w:sz w:val="20"/>
          <w:szCs w:val="20"/>
          <w:color w:val="auto"/>
        </w:rPr>
      </w:pPr>
    </w:p>
    <w:p>
      <w:pPr>
        <w:jc w:val="both"/>
        <w:spacing w:after="0" w:line="248" w:lineRule="auto"/>
        <w:rPr>
          <w:sz w:val="20"/>
          <w:szCs w:val="20"/>
          <w:color w:val="auto"/>
        </w:rPr>
      </w:pPr>
      <w:r>
        <w:rPr>
          <w:rFonts w:ascii="Calibri" w:cs="Calibri" w:eastAsia="Calibri" w:hAnsi="Calibri"/>
          <w:sz w:val="18"/>
          <w:szCs w:val="18"/>
          <w:color w:val="auto"/>
        </w:rPr>
        <w:t>2023 brought some signifcant macroeconomic headwinds in the crypto sector, but it also created opportunites, as evidenced by our acquisiton of Apex Crypto. With the Apex integraton, we are positoned to be the crypto infrastructure provider of choice for a wide range of businesses including fntechs, traditonal fnancial insttutons, neobanks, merchants and entertainment.</w:t>
      </w:r>
    </w:p>
    <w:p>
      <w:pPr>
        <w:spacing w:after="0" w:line="183" w:lineRule="exact"/>
        <w:rPr>
          <w:sz w:val="20"/>
          <w:szCs w:val="20"/>
          <w:color w:val="auto"/>
        </w:rPr>
      </w:pPr>
    </w:p>
    <w:p>
      <w:pPr>
        <w:jc w:val="both"/>
        <w:spacing w:after="0" w:line="248" w:lineRule="auto"/>
        <w:rPr>
          <w:sz w:val="20"/>
          <w:szCs w:val="20"/>
          <w:color w:val="auto"/>
        </w:rPr>
      </w:pPr>
      <w:r>
        <w:rPr>
          <w:rFonts w:ascii="Calibri" w:cs="Calibri" w:eastAsia="Calibri" w:hAnsi="Calibri"/>
          <w:sz w:val="18"/>
          <w:szCs w:val="18"/>
          <w:color w:val="auto"/>
        </w:rPr>
        <w:t>The regulatory environment for cryptocurrency contnues to evolve, which we believe is good news for Bakkt – we were built with an understanding of the risks of crypto and have developed a robust compliance framework, allowing us to diferentate our oferings from those of our compettors. Our team has been engaging in dialogue with varying levels of government and regulatory bodies to educate them on Bakkt and our approach to risk management and security, and to showcase Bakkt as an industry leader in responsible crypto innovaton.</w:t>
      </w:r>
    </w:p>
    <w:p>
      <w:pPr>
        <w:spacing w:after="0" w:line="172" w:lineRule="exact"/>
        <w:rPr>
          <w:sz w:val="20"/>
          <w:szCs w:val="20"/>
          <w:color w:val="auto"/>
        </w:rPr>
      </w:pPr>
    </w:p>
    <w:p>
      <w:pPr>
        <w:jc w:val="both"/>
        <w:spacing w:after="0" w:line="245" w:lineRule="auto"/>
        <w:rPr>
          <w:sz w:val="20"/>
          <w:szCs w:val="20"/>
          <w:color w:val="auto"/>
        </w:rPr>
      </w:pPr>
      <w:r>
        <w:rPr>
          <w:rFonts w:ascii="Calibri" w:cs="Calibri" w:eastAsia="Calibri" w:hAnsi="Calibri"/>
          <w:sz w:val="18"/>
          <w:szCs w:val="18"/>
          <w:color w:val="auto"/>
        </w:rPr>
        <w:t>As we enter 2024, I am excited by Bakkt’s strategic positon, and also by the energy of the leadership team, now led by Andy Main. With our platorm and strategy frmly in place, Andy’s proven track record of scaling businesses is the experience we believe Bakkt needs going forward.</w:t>
      </w:r>
    </w:p>
    <w:p>
      <w:pPr>
        <w:spacing w:after="0" w:line="186" w:lineRule="exact"/>
        <w:rPr>
          <w:sz w:val="20"/>
          <w:szCs w:val="20"/>
          <w:color w:val="auto"/>
        </w:rPr>
      </w:pPr>
    </w:p>
    <w:p>
      <w:pPr>
        <w:spacing w:after="0"/>
        <w:rPr>
          <w:sz w:val="20"/>
          <w:szCs w:val="20"/>
          <w:color w:val="auto"/>
        </w:rPr>
      </w:pPr>
      <w:r>
        <w:rPr>
          <w:rFonts w:ascii="Calibri" w:cs="Calibri" w:eastAsia="Calibri" w:hAnsi="Calibri"/>
          <w:sz w:val="17"/>
          <w:szCs w:val="17"/>
          <w:color w:val="auto"/>
        </w:rPr>
        <w:t>Thank you for your investment in Bakkt. I look forward to overseeing Bakkt’s growth as we drive towards proftability, scale, and increased shareholder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311150</wp:posOffset>
            </wp:positionV>
            <wp:extent cx="1602740" cy="3943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602740" cy="3943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Calibri" w:cs="Calibri" w:eastAsia="Calibri" w:hAnsi="Calibri"/>
          <w:sz w:val="18"/>
          <w:szCs w:val="18"/>
          <w:color w:val="auto"/>
        </w:rPr>
        <w:t>Sean Collins, Chair of the Board of Directors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Calibri" w:cs="Calibri" w:eastAsia="Calibri" w:hAnsi="Calibri"/>
          <w:sz w:val="22"/>
          <w:szCs w:val="22"/>
          <w:color w:val="auto"/>
        </w:rPr>
        <w:t>-ii-</w:t>
      </w:r>
    </w:p>
    <w:p>
      <w:pPr>
        <w:sectPr>
          <w:pgSz w:w="11900" w:h="16838" w:orient="portrait"/>
          <w:cols w:equalWidth="0" w:num="1">
            <w:col w:w="11240"/>
          </w:cols>
          <w:pgMar w:left="320" w:top="1440" w:right="339" w:bottom="1440" w:gutter="0" w:footer="0" w:header="0"/>
        </w:sectPr>
      </w:pPr>
    </w:p>
    <w:bookmarkStart w:id="2" w:name="page3"/>
    <w:bookmarkEnd w:id="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6020435</wp:posOffset>
            </wp:positionH>
            <wp:positionV relativeFrom="page">
              <wp:posOffset>88900</wp:posOffset>
            </wp:positionV>
            <wp:extent cx="1320165" cy="18084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clrChange>
                        <a:clrFrom>
                          <a:srgbClr val="FFFFFF"/>
                        </a:clrFrom>
                        <a:clrTo>
                          <a:srgbClr val="FFFFFF">
                            <a:alpha val="0"/>
                          </a:srgbClr>
                        </a:clrTo>
                      </a:clrChange>
                      <a:extLst>
                        <a:ext uri="{28A0092B-C50C-407E-A947-70E740481C1C}"/>
                      </a:extLst>
                    </a:blip>
                    <a:srcRect/>
                    <a:stretch>
                      <a:fillRect/>
                    </a:stretch>
                  </pic:blipFill>
                  <pic:spPr bwMode="auto">
                    <a:xfrm>
                      <a:off x="0" y="0"/>
                      <a:ext cx="1320165" cy="18084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Calibri" w:cs="Calibri" w:eastAsia="Calibri" w:hAnsi="Calibri"/>
          <w:sz w:val="40"/>
          <w:szCs w:val="40"/>
          <w:color w:val="auto"/>
        </w:rPr>
        <w:t>Notce of 2024 Annual Meetng of Stockholders &amp; Proxy Statement</w:t>
      </w:r>
    </w:p>
    <w:p>
      <w:pPr>
        <w:spacing w:after="0" w:line="185" w:lineRule="exact"/>
        <w:rPr>
          <w:sz w:val="20"/>
          <w:szCs w:val="20"/>
          <w:color w:val="auto"/>
        </w:rPr>
      </w:pPr>
    </w:p>
    <w:p>
      <w:pPr>
        <w:spacing w:after="0"/>
        <w:rPr>
          <w:sz w:val="20"/>
          <w:szCs w:val="20"/>
          <w:color w:val="auto"/>
        </w:rPr>
      </w:pPr>
      <w:r>
        <w:rPr>
          <w:rFonts w:ascii="Calibri" w:cs="Calibri" w:eastAsia="Calibri" w:hAnsi="Calibri"/>
          <w:sz w:val="18"/>
          <w:szCs w:val="18"/>
          <w:color w:val="auto"/>
        </w:rPr>
        <w:t>Dear Fellow Stockholders –</w:t>
      </w:r>
    </w:p>
    <w:p>
      <w:pPr>
        <w:spacing w:after="0" w:line="177" w:lineRule="exact"/>
        <w:rPr>
          <w:sz w:val="20"/>
          <w:szCs w:val="20"/>
          <w:color w:val="auto"/>
        </w:rPr>
      </w:pPr>
    </w:p>
    <w:p>
      <w:pPr>
        <w:jc w:val="both"/>
        <w:spacing w:after="0" w:line="273" w:lineRule="auto"/>
        <w:rPr>
          <w:sz w:val="20"/>
          <w:szCs w:val="20"/>
          <w:color w:val="auto"/>
        </w:rPr>
      </w:pPr>
      <w:r>
        <w:rPr>
          <w:rFonts w:ascii="Calibri" w:cs="Calibri" w:eastAsia="Calibri" w:hAnsi="Calibri"/>
          <w:sz w:val="17"/>
          <w:szCs w:val="17"/>
          <w:color w:val="auto"/>
        </w:rPr>
        <w:t>I am proud to serve you as Bakkt’s new President and CEO. Our company is at a pivotal infecton point requiring us to focus on growth while transforming our cost structure. In my frst few weeks I have had the pleasure of meetng many of our clients, all of whom appreciate the value Bakkt brings - as their partner in growth. Simply put, as our clients grow, we also grow. This value propositon is made possible by the strong, secure ecosystem of products our team has built, which are diferentated in the market. Building of this robust foundaton, we have much to look forward to, as we work to scale and grow the business.</w:t>
      </w:r>
    </w:p>
    <w:p>
      <w:pPr>
        <w:spacing w:after="0" w:line="149" w:lineRule="exact"/>
        <w:rPr>
          <w:sz w:val="20"/>
          <w:szCs w:val="20"/>
          <w:color w:val="auto"/>
        </w:rPr>
      </w:pPr>
    </w:p>
    <w:p>
      <w:pPr>
        <w:jc w:val="both"/>
        <w:spacing w:after="0" w:line="253" w:lineRule="auto"/>
        <w:rPr>
          <w:sz w:val="20"/>
          <w:szCs w:val="20"/>
          <w:color w:val="auto"/>
        </w:rPr>
      </w:pPr>
      <w:r>
        <w:rPr>
          <w:rFonts w:ascii="Calibri" w:cs="Calibri" w:eastAsia="Calibri" w:hAnsi="Calibri"/>
          <w:sz w:val="18"/>
          <w:szCs w:val="18"/>
          <w:color w:val="auto"/>
        </w:rPr>
        <w:t>As a member of the Bakkt Board of Directors since 2021, I have been aware of the challenges Bakkt has faced. The macroeconomic environment has been difcult amidst industry failures and regulatory uncertainty. However, I see the tde turning, where the positve tailwinds in the market are fortuitously meetng the hard work that the Bakkt team has done during the bear market. For example, in the frst quarter of 2024, we saw higher transacton volumes from our retail clients. I am also pleased to say that our platorm is efciently scaling to meet this growing demand. Additonally, thanks to the company’s recent capital raise, we fortfed our balance sheet so we can contnue focusing on building momentum and enhancing shareholder value.</w:t>
      </w:r>
    </w:p>
    <w:p>
      <w:pPr>
        <w:spacing w:after="0" w:line="165" w:lineRule="exact"/>
        <w:rPr>
          <w:sz w:val="20"/>
          <w:szCs w:val="20"/>
          <w:color w:val="auto"/>
        </w:rPr>
      </w:pPr>
    </w:p>
    <w:p>
      <w:pPr>
        <w:jc w:val="both"/>
        <w:spacing w:after="0" w:line="248" w:lineRule="auto"/>
        <w:rPr>
          <w:sz w:val="20"/>
          <w:szCs w:val="20"/>
          <w:color w:val="auto"/>
        </w:rPr>
      </w:pPr>
      <w:r>
        <w:rPr>
          <w:rFonts w:ascii="Calibri" w:cs="Calibri" w:eastAsia="Calibri" w:hAnsi="Calibri"/>
          <w:sz w:val="18"/>
          <w:szCs w:val="18"/>
          <w:color w:val="auto"/>
        </w:rPr>
        <w:t>Across Bakkt’s core custody and trading solutons, we have a strong ofering that appeals to a wide variety of clients. In the year ahead, your Bakkt team will focus on three key strategic priorites – growing our client network and deepening existng relatonships, strategically expanding the Bakkt product ecosystem, and prudently managing expenses. I am very proud of what our team has accomplished thus far, and believe these priorites will put us on a path to proftability.</w:t>
      </w:r>
    </w:p>
    <w:p>
      <w:pPr>
        <w:spacing w:after="0" w:line="172" w:lineRule="exact"/>
        <w:rPr>
          <w:sz w:val="20"/>
          <w:szCs w:val="20"/>
          <w:color w:val="auto"/>
        </w:rPr>
      </w:pPr>
    </w:p>
    <w:p>
      <w:pPr>
        <w:jc w:val="both"/>
        <w:spacing w:after="0" w:line="260" w:lineRule="auto"/>
        <w:rPr>
          <w:sz w:val="20"/>
          <w:szCs w:val="20"/>
          <w:color w:val="auto"/>
        </w:rPr>
      </w:pPr>
      <w:r>
        <w:rPr>
          <w:rFonts w:ascii="Calibri" w:cs="Calibri" w:eastAsia="Calibri" w:hAnsi="Calibri"/>
          <w:sz w:val="18"/>
          <w:szCs w:val="18"/>
          <w:color w:val="auto"/>
        </w:rPr>
        <w:t>We are pleased to invite you to atend the annual meetng of stockholders of Bakkt Holdings, Inc. The atached formal meetng notce and proxy statement contain details of the business to be conducted at the annual meetng.</w:t>
      </w:r>
    </w:p>
    <w:p>
      <w:pPr>
        <w:spacing w:after="0" w:line="158" w:lineRule="exact"/>
        <w:rPr>
          <w:sz w:val="20"/>
          <w:szCs w:val="20"/>
          <w:color w:val="auto"/>
        </w:rPr>
      </w:pPr>
    </w:p>
    <w:p>
      <w:pPr>
        <w:jc w:val="both"/>
        <w:spacing w:after="0" w:line="245" w:lineRule="auto"/>
        <w:rPr>
          <w:sz w:val="20"/>
          <w:szCs w:val="20"/>
          <w:color w:val="auto"/>
        </w:rPr>
      </w:pPr>
      <w:r>
        <w:rPr>
          <w:rFonts w:ascii="Calibri" w:cs="Calibri" w:eastAsia="Calibri" w:hAnsi="Calibri"/>
          <w:sz w:val="18"/>
          <w:szCs w:val="18"/>
          <w:color w:val="auto"/>
        </w:rPr>
        <w:t>Your vote is important. If you are unable to atend the annual meetng, we urge you to vote and submit your proxy promptly via the Internet, telephone or mail.</w:t>
      </w:r>
    </w:p>
    <w:p>
      <w:pPr>
        <w:spacing w:after="0" w:line="172" w:lineRule="exact"/>
        <w:rPr>
          <w:sz w:val="20"/>
          <w:szCs w:val="20"/>
          <w:color w:val="auto"/>
        </w:rPr>
      </w:pPr>
    </w:p>
    <w:p>
      <w:pPr>
        <w:jc w:val="both"/>
        <w:spacing w:after="0" w:line="245" w:lineRule="auto"/>
        <w:rPr>
          <w:sz w:val="20"/>
          <w:szCs w:val="20"/>
          <w:color w:val="auto"/>
        </w:rPr>
      </w:pPr>
      <w:r>
        <w:rPr>
          <w:rFonts w:ascii="Calibri" w:cs="Calibri" w:eastAsia="Calibri" w:hAnsi="Calibri"/>
          <w:sz w:val="18"/>
          <w:szCs w:val="18"/>
          <w:color w:val="auto"/>
        </w:rPr>
        <w:t>On behalf of our Board of Directors and everyone at Bakkt, we would like to express our appreciaton for your contnued support of and interest in our company. I am looking forward to Bakkt's bright future and sharing excitng developments in the months and years ahead. It is an honor to lead this team.</w:t>
      </w:r>
    </w:p>
    <w:p>
      <w:pPr>
        <w:spacing w:after="0" w:line="222" w:lineRule="exact"/>
        <w:rPr>
          <w:sz w:val="20"/>
          <w:szCs w:val="20"/>
          <w:color w:val="auto"/>
        </w:rPr>
      </w:pPr>
    </w:p>
    <w:p>
      <w:pPr>
        <w:spacing w:after="0"/>
        <w:rPr>
          <w:sz w:val="20"/>
          <w:szCs w:val="20"/>
          <w:color w:val="auto"/>
        </w:rPr>
      </w:pPr>
      <w:r>
        <w:rPr>
          <w:rFonts w:ascii="Calibri" w:cs="Calibri" w:eastAsia="Calibri" w:hAnsi="Calibri"/>
          <w:sz w:val="18"/>
          <w:szCs w:val="18"/>
          <w:color w:val="auto"/>
        </w:rPr>
        <w:t>Kind regards,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1071245" cy="61722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071245" cy="6172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Calibri" w:cs="Calibri" w:eastAsia="Calibri" w:hAnsi="Calibri"/>
          <w:sz w:val="18"/>
          <w:szCs w:val="18"/>
          <w:color w:val="auto"/>
        </w:rPr>
        <w:t>Andrew Main, President &amp; CEO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Calibri" w:cs="Calibri" w:eastAsia="Calibri" w:hAnsi="Calibri"/>
          <w:sz w:val="22"/>
          <w:szCs w:val="22"/>
          <w:color w:val="auto"/>
        </w:rPr>
        <w:t>-iii-</w:t>
      </w:r>
    </w:p>
    <w:p>
      <w:pPr>
        <w:sectPr>
          <w:pgSz w:w="11900" w:h="16838" w:orient="portrait"/>
          <w:cols w:equalWidth="0" w:num="1">
            <w:col w:w="11240"/>
          </w:cols>
          <w:pgMar w:left="320" w:top="1440" w:right="339" w:bottom="1440" w:gutter="0" w:footer="0" w:header="0"/>
        </w:sectPr>
      </w:pPr>
    </w:p>
    <w:bookmarkStart w:id="3" w:name="page4"/>
    <w:bookmarkEnd w:id="3"/>
    <w:p>
      <w:pPr>
        <w:spacing w:after="0"/>
        <w:rPr>
          <w:sz w:val="20"/>
          <w:szCs w:val="20"/>
          <w:color w:val="auto"/>
        </w:rPr>
      </w:pPr>
      <w:r>
        <w:rPr>
          <w:rFonts w:ascii="Calibri" w:cs="Calibri" w:eastAsia="Calibri" w:hAnsi="Calibri"/>
          <w:sz w:val="40"/>
          <w:szCs w:val="40"/>
          <w:color w:val="auto"/>
        </w:rPr>
        <w:t>Notce of 2024 Annual Meetng of Stockholders</w:t>
      </w:r>
    </w:p>
    <w:p>
      <w:pPr>
        <w:sectPr>
          <w:pgSz w:w="11900" w:h="16838" w:orient="portrait"/>
          <w:cols w:equalWidth="0" w:num="1">
            <w:col w:w="11160"/>
          </w:cols>
          <w:pgMar w:left="320" w:top="1383" w:right="419" w:bottom="1440" w:gutter="0" w:footer="0" w:header="0"/>
        </w:sectPr>
      </w:pPr>
    </w:p>
    <w:p>
      <w:pPr>
        <w:spacing w:after="0" w:line="293" w:lineRule="exact"/>
        <w:rPr>
          <w:sz w:val="20"/>
          <w:szCs w:val="20"/>
          <w:color w:val="auto"/>
        </w:rPr>
      </w:pPr>
    </w:p>
    <w:p>
      <w:pPr>
        <w:ind w:left="80"/>
        <w:spacing w:after="0"/>
        <w:rPr>
          <w:sz w:val="20"/>
          <w:szCs w:val="20"/>
          <w:color w:val="auto"/>
        </w:rPr>
      </w:pPr>
      <w:r>
        <w:rPr>
          <w:rFonts w:ascii="Calibri" w:cs="Calibri" w:eastAsia="Calibri" w:hAnsi="Calibri"/>
          <w:sz w:val="18"/>
          <w:szCs w:val="18"/>
          <w:b w:val="1"/>
          <w:bCs w:val="1"/>
          <w:color w:val="auto"/>
        </w:rPr>
        <w:t>Time and Date</w:t>
      </w:r>
    </w:p>
    <w:p>
      <w:pPr>
        <w:spacing w:after="0" w:line="10" w:lineRule="exact"/>
        <w:rPr>
          <w:sz w:val="20"/>
          <w:szCs w:val="20"/>
          <w:color w:val="auto"/>
        </w:rPr>
      </w:pPr>
    </w:p>
    <w:p>
      <w:pPr>
        <w:ind w:left="80"/>
        <w:spacing w:after="0"/>
        <w:rPr>
          <w:sz w:val="20"/>
          <w:szCs w:val="20"/>
          <w:color w:val="auto"/>
        </w:rPr>
      </w:pPr>
      <w:r>
        <w:rPr>
          <w:rFonts w:ascii="Calibri" w:cs="Calibri" w:eastAsia="Calibri" w:hAnsi="Calibri"/>
          <w:sz w:val="18"/>
          <w:szCs w:val="18"/>
          <w:b w:val="1"/>
          <w:bCs w:val="1"/>
          <w:color w:val="auto"/>
        </w:rPr>
        <w:t>Place</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80"/>
        <w:spacing w:after="0"/>
        <w:rPr>
          <w:sz w:val="20"/>
          <w:szCs w:val="20"/>
          <w:color w:val="auto"/>
        </w:rPr>
      </w:pPr>
      <w:r>
        <w:rPr>
          <w:rFonts w:ascii="Calibri" w:cs="Calibri" w:eastAsia="Calibri" w:hAnsi="Calibri"/>
          <w:sz w:val="17"/>
          <w:szCs w:val="17"/>
          <w:b w:val="1"/>
          <w:bCs w:val="1"/>
          <w:color w:val="auto"/>
        </w:rPr>
        <w:t>Items of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80"/>
        <w:spacing w:after="0"/>
        <w:rPr>
          <w:sz w:val="20"/>
          <w:szCs w:val="20"/>
          <w:color w:val="auto"/>
        </w:rPr>
      </w:pPr>
      <w:r>
        <w:rPr>
          <w:rFonts w:ascii="Calibri" w:cs="Calibri" w:eastAsia="Calibri" w:hAnsi="Calibri"/>
          <w:sz w:val="18"/>
          <w:szCs w:val="18"/>
          <w:b w:val="1"/>
          <w:bCs w:val="1"/>
          <w:color w:val="auto"/>
        </w:rPr>
        <w:t>Record Date</w:t>
      </w:r>
    </w:p>
    <w:p>
      <w:pPr>
        <w:spacing w:after="0" w:line="20" w:lineRule="exact"/>
        <w:rPr>
          <w:sz w:val="20"/>
          <w:szCs w:val="20"/>
          <w:color w:val="auto"/>
        </w:rPr>
      </w:pPr>
      <w:r>
        <w:rPr>
          <w:sz w:val="20"/>
          <w:szCs w:val="20"/>
          <w:color w:val="auto"/>
        </w:rPr>
        <w:br w:type="column"/>
      </w:r>
    </w:p>
    <w:p>
      <w:pPr>
        <w:spacing w:after="0" w:line="273" w:lineRule="exact"/>
        <w:rPr>
          <w:sz w:val="20"/>
          <w:szCs w:val="20"/>
          <w:color w:val="auto"/>
        </w:rPr>
      </w:pPr>
    </w:p>
    <w:p>
      <w:pPr>
        <w:ind w:left="20"/>
        <w:spacing w:after="0"/>
        <w:rPr>
          <w:sz w:val="20"/>
          <w:szCs w:val="20"/>
          <w:color w:val="auto"/>
        </w:rPr>
      </w:pPr>
      <w:r>
        <w:rPr>
          <w:rFonts w:ascii="Calibri" w:cs="Calibri" w:eastAsia="Calibri" w:hAnsi="Calibri"/>
          <w:sz w:val="18"/>
          <w:szCs w:val="18"/>
          <w:color w:val="auto"/>
        </w:rPr>
        <w:t>12:00 p.m., Eastern Time, on Friday, May 31, 2024.</w:t>
      </w:r>
    </w:p>
    <w:p>
      <w:pPr>
        <w:spacing w:after="0" w:line="136" w:lineRule="exact"/>
        <w:rPr>
          <w:sz w:val="20"/>
          <w:szCs w:val="20"/>
          <w:color w:val="auto"/>
        </w:rPr>
      </w:pPr>
    </w:p>
    <w:p>
      <w:pPr>
        <w:jc w:val="both"/>
        <w:spacing w:after="0" w:line="261" w:lineRule="auto"/>
        <w:rPr>
          <w:sz w:val="20"/>
          <w:szCs w:val="20"/>
          <w:color w:val="auto"/>
        </w:rPr>
      </w:pPr>
      <w:r>
        <w:rPr>
          <w:rFonts w:ascii="Calibri" w:cs="Calibri" w:eastAsia="Calibri" w:hAnsi="Calibri"/>
          <w:sz w:val="17"/>
          <w:szCs w:val="17"/>
          <w:color w:val="auto"/>
        </w:rPr>
        <w:t>The annual meetng will be conducted virtually via live audio webcast. As a stockholder as of the record date, you will be able to atend the meetng virtually by visitng www.virtualshareholdermeetng.com/BKKT2024, where you will be able to listen to the meetng live, submit questons and vote online during the meetng.</w:t>
      </w:r>
    </w:p>
    <w:p>
      <w:pPr>
        <w:spacing w:after="0" w:line="268" w:lineRule="exact"/>
        <w:rPr>
          <w:sz w:val="20"/>
          <w:szCs w:val="20"/>
          <w:color w:val="auto"/>
        </w:rPr>
      </w:pPr>
    </w:p>
    <w:p>
      <w:pPr>
        <w:ind w:left="340" w:hanging="330"/>
        <w:spacing w:after="0" w:line="235" w:lineRule="auto"/>
        <w:tabs>
          <w:tab w:leader="none" w:pos="335" w:val="left"/>
        </w:tabs>
        <w:numPr>
          <w:ilvl w:val="0"/>
          <w:numId w:val="4"/>
        </w:numPr>
        <w:rPr>
          <w:rFonts w:ascii="Times New Roman" w:cs="Times New Roman" w:eastAsia="Times New Roman" w:hAnsi="Times New Roman"/>
          <w:sz w:val="18"/>
          <w:szCs w:val="18"/>
          <w:color w:val="auto"/>
        </w:rPr>
      </w:pPr>
      <w:r>
        <w:rPr>
          <w:rFonts w:ascii="Calibri" w:cs="Calibri" w:eastAsia="Calibri" w:hAnsi="Calibri"/>
          <w:sz w:val="18"/>
          <w:szCs w:val="18"/>
          <w:color w:val="auto"/>
        </w:rPr>
        <w:t>To elect Sean Collins, Richard Lumb and Andrew Main as Class III directors to hold ofce untl the 2027 annual meetng of stockholders or untl their respectve successors are elected and qualifed.</w:t>
      </w:r>
    </w:p>
    <w:p>
      <w:pPr>
        <w:spacing w:after="0" w:line="123" w:lineRule="exact"/>
        <w:rPr>
          <w:rFonts w:ascii="Times New Roman" w:cs="Times New Roman" w:eastAsia="Times New Roman" w:hAnsi="Times New Roman"/>
          <w:sz w:val="18"/>
          <w:szCs w:val="18"/>
          <w:color w:val="auto"/>
        </w:rPr>
      </w:pPr>
    </w:p>
    <w:p>
      <w:pPr>
        <w:jc w:val="both"/>
        <w:ind w:left="340" w:hanging="330"/>
        <w:spacing w:after="0" w:line="235" w:lineRule="auto"/>
        <w:tabs>
          <w:tab w:leader="none" w:pos="335" w:val="left"/>
        </w:tabs>
        <w:numPr>
          <w:ilvl w:val="0"/>
          <w:numId w:val="4"/>
        </w:numPr>
        <w:rPr>
          <w:rFonts w:ascii="Times New Roman" w:cs="Times New Roman" w:eastAsia="Times New Roman" w:hAnsi="Times New Roman"/>
          <w:sz w:val="18"/>
          <w:szCs w:val="18"/>
          <w:color w:val="auto"/>
        </w:rPr>
      </w:pPr>
      <w:r>
        <w:rPr>
          <w:rFonts w:ascii="Calibri" w:cs="Calibri" w:eastAsia="Calibri" w:hAnsi="Calibri"/>
          <w:sz w:val="18"/>
          <w:szCs w:val="18"/>
          <w:color w:val="auto"/>
        </w:rPr>
        <w:t>To approve an amendment to the Company’s 2021 Omnibus Incentve Plan, as amended (the “2021 Omnibus Incentve Plan”), to increase the number of shares of Class A Common Stock issuable thereunder to 75,873,051 shares (which number will be correspondingly adjusted to the extent the Proposed Reverse Stock Split (as defned below) is efected prior to the annual meetng);</w:t>
      </w:r>
    </w:p>
    <w:p>
      <w:pPr>
        <w:spacing w:after="0" w:line="124" w:lineRule="exact"/>
        <w:rPr>
          <w:rFonts w:ascii="Times New Roman" w:cs="Times New Roman" w:eastAsia="Times New Roman" w:hAnsi="Times New Roman"/>
          <w:sz w:val="18"/>
          <w:szCs w:val="18"/>
          <w:color w:val="auto"/>
        </w:rPr>
      </w:pPr>
    </w:p>
    <w:p>
      <w:pPr>
        <w:ind w:left="340" w:hanging="330"/>
        <w:spacing w:after="0" w:line="235" w:lineRule="auto"/>
        <w:tabs>
          <w:tab w:leader="none" w:pos="335" w:val="left"/>
        </w:tabs>
        <w:numPr>
          <w:ilvl w:val="0"/>
          <w:numId w:val="4"/>
        </w:numPr>
        <w:rPr>
          <w:rFonts w:ascii="Times New Roman" w:cs="Times New Roman" w:eastAsia="Times New Roman" w:hAnsi="Times New Roman"/>
          <w:sz w:val="18"/>
          <w:szCs w:val="18"/>
          <w:color w:val="auto"/>
        </w:rPr>
      </w:pPr>
      <w:r>
        <w:rPr>
          <w:rFonts w:ascii="Calibri" w:cs="Calibri" w:eastAsia="Calibri" w:hAnsi="Calibri"/>
          <w:sz w:val="18"/>
          <w:szCs w:val="18"/>
          <w:color w:val="auto"/>
        </w:rPr>
        <w:t>To vote on the shareholder proposal, if properly presented at the 2024 annual meetng, requestng for the adopton of a simple majority vote standard; and</w:t>
      </w:r>
    </w:p>
    <w:p>
      <w:pPr>
        <w:spacing w:after="0" w:line="123" w:lineRule="exact"/>
        <w:rPr>
          <w:rFonts w:ascii="Times New Roman" w:cs="Times New Roman" w:eastAsia="Times New Roman" w:hAnsi="Times New Roman"/>
          <w:sz w:val="18"/>
          <w:szCs w:val="18"/>
          <w:color w:val="auto"/>
        </w:rPr>
      </w:pPr>
    </w:p>
    <w:p>
      <w:pPr>
        <w:ind w:left="340" w:hanging="330"/>
        <w:spacing w:after="0" w:line="235" w:lineRule="auto"/>
        <w:tabs>
          <w:tab w:leader="none" w:pos="335" w:val="left"/>
        </w:tabs>
        <w:numPr>
          <w:ilvl w:val="0"/>
          <w:numId w:val="4"/>
        </w:numPr>
        <w:rPr>
          <w:rFonts w:ascii="Times New Roman" w:cs="Times New Roman" w:eastAsia="Times New Roman" w:hAnsi="Times New Roman"/>
          <w:sz w:val="18"/>
          <w:szCs w:val="18"/>
          <w:color w:val="auto"/>
        </w:rPr>
      </w:pPr>
      <w:r>
        <w:rPr>
          <w:rFonts w:ascii="Calibri" w:cs="Calibri" w:eastAsia="Calibri" w:hAnsi="Calibri"/>
          <w:sz w:val="18"/>
          <w:szCs w:val="18"/>
          <w:color w:val="auto"/>
        </w:rPr>
        <w:t>To transact other business that may properly come before the annual meetng or any adjournments or postponements thereof.</w:t>
      </w:r>
    </w:p>
    <w:p>
      <w:pPr>
        <w:spacing w:after="0" w:line="159" w:lineRule="exact"/>
        <w:rPr>
          <w:sz w:val="20"/>
          <w:szCs w:val="20"/>
          <w:color w:val="auto"/>
        </w:rPr>
      </w:pPr>
    </w:p>
    <w:p>
      <w:pPr>
        <w:spacing w:after="0"/>
        <w:rPr>
          <w:sz w:val="20"/>
          <w:szCs w:val="20"/>
          <w:color w:val="auto"/>
        </w:rPr>
      </w:pPr>
      <w:r>
        <w:rPr>
          <w:rFonts w:ascii="Calibri" w:cs="Calibri" w:eastAsia="Calibri" w:hAnsi="Calibri"/>
          <w:sz w:val="18"/>
          <w:szCs w:val="18"/>
          <w:color w:val="auto"/>
        </w:rPr>
        <w:t>April 8, 2024</w:t>
      </w:r>
    </w:p>
    <w:p>
      <w:pPr>
        <w:spacing w:after="0" w:line="109" w:lineRule="exact"/>
        <w:rPr>
          <w:sz w:val="20"/>
          <w:szCs w:val="20"/>
          <w:color w:val="auto"/>
        </w:rPr>
      </w:pPr>
    </w:p>
    <w:p>
      <w:pPr>
        <w:sectPr>
          <w:pgSz w:w="11900" w:h="16838" w:orient="portrait"/>
          <w:cols w:equalWidth="0" w:num="2">
            <w:col w:w="2700" w:space="720"/>
            <w:col w:w="7740"/>
          </w:cols>
          <w:pgMar w:left="320" w:top="1383" w:right="419" w:bottom="1440" w:gutter="0" w:footer="0" w:header="0"/>
          <w:type w:val="continuous"/>
        </w:sectPr>
      </w:pPr>
    </w:p>
    <w:p>
      <w:pPr>
        <w:spacing w:after="0" w:line="200" w:lineRule="exact"/>
        <w:rPr>
          <w:sz w:val="20"/>
          <w:szCs w:val="20"/>
          <w:color w:val="auto"/>
        </w:rPr>
      </w:pPr>
    </w:p>
    <w:p>
      <w:pPr>
        <w:spacing w:after="0" w:line="381" w:lineRule="exact"/>
        <w:rPr>
          <w:sz w:val="20"/>
          <w:szCs w:val="20"/>
          <w:color w:val="auto"/>
        </w:rPr>
      </w:pPr>
    </w:p>
    <w:p>
      <w:pPr>
        <w:ind w:left="120"/>
        <w:spacing w:after="0"/>
        <w:rPr>
          <w:sz w:val="20"/>
          <w:szCs w:val="20"/>
          <w:color w:val="auto"/>
        </w:rPr>
      </w:pPr>
      <w:r>
        <w:rPr>
          <w:rFonts w:ascii="Calibri" w:cs="Calibri" w:eastAsia="Calibri" w:hAnsi="Calibri"/>
          <w:sz w:val="17"/>
          <w:szCs w:val="17"/>
          <w:b w:val="1"/>
          <w:bCs w:val="1"/>
          <w:color w:val="auto"/>
        </w:rPr>
        <w:t>Availability of Proxy Materials</w:t>
      </w:r>
    </w:p>
    <w:p>
      <w:pPr>
        <w:spacing w:after="0" w:line="20" w:lineRule="exact"/>
        <w:rPr>
          <w:sz w:val="20"/>
          <w:szCs w:val="20"/>
          <w:color w:val="auto"/>
        </w:rPr>
      </w:pPr>
      <w:r>
        <w:rPr>
          <w:sz w:val="20"/>
          <w:szCs w:val="20"/>
          <w:color w:val="auto"/>
        </w:rPr>
        <w:br w:type="column"/>
      </w:r>
    </w:p>
    <w:p>
      <w:pPr>
        <w:jc w:val="both"/>
        <w:spacing w:after="0" w:line="235" w:lineRule="auto"/>
        <w:rPr>
          <w:sz w:val="20"/>
          <w:szCs w:val="20"/>
          <w:color w:val="auto"/>
        </w:rPr>
      </w:pPr>
      <w:r>
        <w:rPr>
          <w:rFonts w:ascii="Calibri" w:cs="Calibri" w:eastAsia="Calibri" w:hAnsi="Calibri"/>
          <w:sz w:val="18"/>
          <w:szCs w:val="18"/>
          <w:color w:val="auto"/>
        </w:rPr>
        <w:t>Only stockholders of record as of April 8, 2024 are enttled to atend, notce of and to vote at the annual meetng.</w:t>
      </w:r>
    </w:p>
    <w:p>
      <w:pPr>
        <w:spacing w:after="0" w:line="272"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i w:val="1"/>
          <w:iCs w:val="1"/>
          <w:color w:val="auto"/>
        </w:rPr>
        <w:t>The Notce of Internet Availability of Proxy Materials containing instructons on how to access our proxy statement, notce of annual meetng, form of proxy and annual report, is being sent or given on or about April 19, 2024 to all stockholders enttled to vote at the annual meetng</w:t>
      </w:r>
      <w:r>
        <w:rPr>
          <w:rFonts w:ascii="Calibri" w:cs="Calibri" w:eastAsia="Calibri" w:hAnsi="Calibri"/>
          <w:sz w:val="18"/>
          <w:szCs w:val="18"/>
          <w:color w:val="auto"/>
        </w:rPr>
        <w:t>.</w:t>
      </w:r>
    </w:p>
    <w:p>
      <w:pPr>
        <w:spacing w:after="0" w:line="111" w:lineRule="exact"/>
        <w:rPr>
          <w:sz w:val="20"/>
          <w:szCs w:val="20"/>
          <w:color w:val="auto"/>
        </w:rPr>
      </w:pPr>
    </w:p>
    <w:p>
      <w:pPr>
        <w:sectPr>
          <w:pgSz w:w="11900" w:h="16838" w:orient="portrait"/>
          <w:cols w:equalWidth="0" w:num="2">
            <w:col w:w="2700" w:space="720"/>
            <w:col w:w="7740"/>
          </w:cols>
          <w:pgMar w:left="320" w:top="1383" w:right="419" w:bottom="1440" w:gutter="0" w:footer="0" w:header="0"/>
          <w:type w:val="continuous"/>
        </w:sectPr>
      </w:pPr>
    </w:p>
    <w:p>
      <w:pPr>
        <w:spacing w:after="0" w:line="200" w:lineRule="exact"/>
        <w:rPr>
          <w:sz w:val="20"/>
          <w:szCs w:val="20"/>
          <w:color w:val="auto"/>
        </w:rPr>
      </w:pPr>
    </w:p>
    <w:p>
      <w:pPr>
        <w:spacing w:after="0" w:line="375" w:lineRule="exact"/>
        <w:rPr>
          <w:sz w:val="20"/>
          <w:szCs w:val="20"/>
          <w:color w:val="auto"/>
        </w:rPr>
      </w:pPr>
    </w:p>
    <w:p>
      <w:pPr>
        <w:ind w:left="80"/>
        <w:spacing w:after="0"/>
        <w:rPr>
          <w:sz w:val="20"/>
          <w:szCs w:val="20"/>
          <w:color w:val="auto"/>
        </w:rPr>
      </w:pPr>
      <w:r>
        <w:rPr>
          <w:rFonts w:ascii="Calibri" w:cs="Calibri" w:eastAsia="Calibri" w:hAnsi="Calibri"/>
          <w:sz w:val="18"/>
          <w:szCs w:val="18"/>
          <w:b w:val="1"/>
          <w:bCs w:val="1"/>
          <w:color w:val="auto"/>
        </w:rPr>
        <w:t>Votng</w:t>
      </w:r>
    </w:p>
    <w:p>
      <w:pPr>
        <w:spacing w:after="0" w:line="20" w:lineRule="exact"/>
        <w:rPr>
          <w:sz w:val="20"/>
          <w:szCs w:val="20"/>
          <w:color w:val="auto"/>
        </w:rPr>
      </w:pPr>
      <w:r>
        <w:rPr>
          <w:sz w:val="20"/>
          <w:szCs w:val="20"/>
          <w:color w:val="auto"/>
        </w:rPr>
        <w:br w:type="column"/>
      </w:r>
    </w:p>
    <w:p>
      <w:pPr>
        <w:spacing w:after="0" w:line="235" w:lineRule="auto"/>
        <w:rPr>
          <w:sz w:val="20"/>
          <w:szCs w:val="20"/>
          <w:color w:val="auto"/>
        </w:rPr>
      </w:pPr>
      <w:r>
        <w:rPr>
          <w:rFonts w:ascii="Calibri" w:cs="Calibri" w:eastAsia="Calibri" w:hAnsi="Calibri"/>
          <w:sz w:val="18"/>
          <w:szCs w:val="18"/>
          <w:color w:val="auto"/>
        </w:rPr>
        <w:t>The proxy materials and our annual report can be accessed as of April 1</w:t>
      </w:r>
      <w:r>
        <w:rPr>
          <w:rFonts w:ascii="Calibri" w:cs="Calibri" w:eastAsia="Calibri" w:hAnsi="Calibri"/>
          <w:sz w:val="18"/>
          <w:szCs w:val="18"/>
          <w:i w:val="1"/>
          <w:iCs w:val="1"/>
          <w:color w:val="auto"/>
        </w:rPr>
        <w:t>9</w:t>
      </w:r>
      <w:r>
        <w:rPr>
          <w:rFonts w:ascii="Calibri" w:cs="Calibri" w:eastAsia="Calibri" w:hAnsi="Calibri"/>
          <w:sz w:val="18"/>
          <w:szCs w:val="18"/>
          <w:color w:val="auto"/>
        </w:rPr>
        <w:t>, 2024 by visitng www.proxyvote.com.</w:t>
      </w:r>
    </w:p>
    <w:p>
      <w:pPr>
        <w:spacing w:after="0" w:line="272" w:lineRule="exact"/>
        <w:rPr>
          <w:sz w:val="20"/>
          <w:szCs w:val="20"/>
          <w:color w:val="auto"/>
        </w:rPr>
      </w:pPr>
    </w:p>
    <w:p>
      <w:pPr>
        <w:spacing w:after="0" w:line="235" w:lineRule="auto"/>
        <w:rPr>
          <w:sz w:val="20"/>
          <w:szCs w:val="20"/>
          <w:color w:val="auto"/>
        </w:rPr>
      </w:pPr>
      <w:r>
        <w:rPr>
          <w:rFonts w:ascii="Calibri" w:cs="Calibri" w:eastAsia="Calibri" w:hAnsi="Calibri"/>
          <w:sz w:val="18"/>
          <w:szCs w:val="18"/>
          <w:b w:val="1"/>
          <w:bCs w:val="1"/>
          <w:color w:val="auto"/>
        </w:rPr>
        <w:t>Your vote is important</w:t>
      </w:r>
      <w:r>
        <w:rPr>
          <w:rFonts w:ascii="Calibri" w:cs="Calibri" w:eastAsia="Calibri" w:hAnsi="Calibri"/>
          <w:sz w:val="18"/>
          <w:szCs w:val="18"/>
          <w:color w:val="auto"/>
        </w:rPr>
        <w:t>. Whether or not you plan to atend the annual meetng, we urge you to submit your</w:t>
      </w:r>
      <w:r>
        <w:rPr>
          <w:rFonts w:ascii="Calibri" w:cs="Calibri" w:eastAsia="Calibri" w:hAnsi="Calibri"/>
          <w:sz w:val="18"/>
          <w:szCs w:val="18"/>
          <w:b w:val="1"/>
          <w:bCs w:val="1"/>
          <w:color w:val="auto"/>
        </w:rPr>
        <w:t xml:space="preserve"> </w:t>
      </w:r>
      <w:r>
        <w:rPr>
          <w:rFonts w:ascii="Calibri" w:cs="Calibri" w:eastAsia="Calibri" w:hAnsi="Calibri"/>
          <w:sz w:val="18"/>
          <w:szCs w:val="18"/>
          <w:color w:val="auto"/>
        </w:rPr>
        <w:t>proxy or votng instructons via the Internet, telephone or mail as soon as possible.</w:t>
      </w:r>
    </w:p>
    <w:p>
      <w:pPr>
        <w:spacing w:after="0" w:line="200" w:lineRule="exact"/>
        <w:rPr>
          <w:sz w:val="20"/>
          <w:szCs w:val="20"/>
          <w:color w:val="auto"/>
        </w:rPr>
      </w:pPr>
    </w:p>
    <w:p>
      <w:pPr>
        <w:sectPr>
          <w:pgSz w:w="11900" w:h="16838" w:orient="portrait"/>
          <w:cols w:equalWidth="0" w:num="2">
            <w:col w:w="2700" w:space="720"/>
            <w:col w:w="7740"/>
          </w:cols>
          <w:pgMar w:left="320" w:top="1383" w:right="419" w:bottom="1440" w:gutter="0" w:footer="0" w:header="0"/>
          <w:type w:val="continuous"/>
        </w:sectPr>
      </w:pPr>
    </w:p>
    <w:p>
      <w:pPr>
        <w:spacing w:after="0" w:line="134" w:lineRule="exact"/>
        <w:rPr>
          <w:sz w:val="20"/>
          <w:szCs w:val="20"/>
          <w:color w:val="auto"/>
        </w:rPr>
      </w:pPr>
    </w:p>
    <w:p>
      <w:pPr>
        <w:spacing w:after="0"/>
        <w:rPr>
          <w:sz w:val="20"/>
          <w:szCs w:val="20"/>
          <w:color w:val="auto"/>
        </w:rPr>
      </w:pPr>
      <w:r>
        <w:rPr>
          <w:rFonts w:ascii="Calibri" w:cs="Calibri" w:eastAsia="Calibri" w:hAnsi="Calibri"/>
          <w:sz w:val="18"/>
          <w:szCs w:val="18"/>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45490" cy="419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45490" cy="4197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Calibri" w:cs="Calibri" w:eastAsia="Calibri" w:hAnsi="Calibri"/>
          <w:sz w:val="18"/>
          <w:szCs w:val="18"/>
          <w:color w:val="auto"/>
        </w:rPr>
        <w:t>Marc D’Annunzio, General Counsel and Corporate Secretary</w:t>
      </w:r>
    </w:p>
    <w:p>
      <w:pPr>
        <w:spacing w:after="0" w:line="235" w:lineRule="auto"/>
        <w:rPr>
          <w:sz w:val="20"/>
          <w:szCs w:val="20"/>
          <w:color w:val="auto"/>
        </w:rPr>
      </w:pPr>
      <w:r>
        <w:rPr>
          <w:rFonts w:ascii="Calibri" w:cs="Calibri" w:eastAsia="Calibri" w:hAnsi="Calibri"/>
          <w:sz w:val="18"/>
          <w:szCs w:val="18"/>
          <w:color w:val="auto"/>
        </w:rPr>
        <w:t>Bakkt Holdings, Inc.</w:t>
      </w:r>
    </w:p>
    <w:p>
      <w:pPr>
        <w:spacing w:after="0" w:line="236" w:lineRule="auto"/>
        <w:rPr>
          <w:sz w:val="20"/>
          <w:szCs w:val="20"/>
          <w:color w:val="auto"/>
        </w:rPr>
      </w:pPr>
      <w:r>
        <w:rPr>
          <w:rFonts w:ascii="Calibri" w:cs="Calibri" w:eastAsia="Calibri" w:hAnsi="Calibri"/>
          <w:sz w:val="18"/>
          <w:szCs w:val="18"/>
          <w:color w:val="auto"/>
        </w:rPr>
        <w:t>10000 Avalon Boulevard, Suite 1000</w:t>
      </w:r>
    </w:p>
    <w:p>
      <w:pPr>
        <w:spacing w:after="0" w:line="236" w:lineRule="auto"/>
        <w:rPr>
          <w:sz w:val="20"/>
          <w:szCs w:val="20"/>
          <w:color w:val="auto"/>
        </w:rPr>
      </w:pPr>
      <w:r>
        <w:rPr>
          <w:rFonts w:ascii="Calibri" w:cs="Calibri" w:eastAsia="Calibri" w:hAnsi="Calibri"/>
          <w:sz w:val="18"/>
          <w:szCs w:val="18"/>
          <w:color w:val="auto"/>
        </w:rPr>
        <w:t>Alphareta, Georgia 30009</w:t>
      </w:r>
    </w:p>
    <w:p>
      <w:pPr>
        <w:spacing w:after="0" w:line="236" w:lineRule="auto"/>
        <w:rPr>
          <w:sz w:val="20"/>
          <w:szCs w:val="20"/>
          <w:color w:val="auto"/>
        </w:rPr>
      </w:pPr>
      <w:r>
        <w:rPr>
          <w:rFonts w:ascii="Calibri" w:cs="Calibri" w:eastAsia="Calibri" w:hAnsi="Calibri"/>
          <w:sz w:val="18"/>
          <w:szCs w:val="18"/>
          <w:color w:val="auto"/>
        </w:rPr>
        <w:t>April 19, 2024</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ind w:right="-79"/>
        <w:spacing w:after="0"/>
        <w:rPr>
          <w:sz w:val="20"/>
          <w:szCs w:val="20"/>
          <w:color w:val="auto"/>
        </w:rPr>
      </w:pPr>
      <w:r>
        <w:rPr>
          <w:rFonts w:ascii="Calibri" w:cs="Calibri" w:eastAsia="Calibri" w:hAnsi="Calibri"/>
          <w:sz w:val="21"/>
          <w:szCs w:val="21"/>
          <w:color w:val="auto"/>
        </w:rPr>
        <w:t>-iv-</w:t>
      </w:r>
    </w:p>
    <w:p>
      <w:pPr>
        <w:sectPr>
          <w:pgSz w:w="11900" w:h="16838" w:orient="portrait"/>
          <w:cols w:equalWidth="0" w:num="1">
            <w:col w:w="11160"/>
          </w:cols>
          <w:pgMar w:left="320" w:top="1383" w:right="419" w:bottom="1440" w:gutter="0" w:footer="0" w:header="0"/>
          <w:type w:val="continuous"/>
        </w:sectPr>
      </w:pPr>
    </w:p>
    <w:bookmarkStart w:id="4" w:name="page5"/>
    <w:bookmarkEnd w:id="4"/>
    <w:p>
      <w:pPr>
        <w:spacing w:after="0" w:line="160" w:lineRule="exact"/>
        <w:rPr>
          <w:sz w:val="20"/>
          <w:szCs w:val="20"/>
          <w:color w:val="auto"/>
        </w:rPr>
      </w:pPr>
    </w:p>
    <w:p>
      <w:pPr>
        <w:spacing w:after="0"/>
        <w:rPr>
          <w:sz w:val="20"/>
          <w:szCs w:val="20"/>
          <w:color w:val="auto"/>
        </w:rPr>
      </w:pPr>
      <w:r>
        <w:rPr>
          <w:rFonts w:ascii="Calibri" w:cs="Calibri" w:eastAsia="Calibri" w:hAnsi="Calibri"/>
          <w:sz w:val="43"/>
          <w:szCs w:val="43"/>
          <w:color w:val="auto"/>
        </w:rPr>
        <w:t>Table of Contents</w:t>
      </w:r>
    </w:p>
    <w:p>
      <w:pPr>
        <w:spacing w:after="0" w:line="239" w:lineRule="exact"/>
        <w:rPr>
          <w:sz w:val="20"/>
          <w:szCs w:val="20"/>
          <w:color w:val="auto"/>
        </w:rPr>
      </w:pPr>
    </w:p>
    <w:tbl>
      <w:tblPr>
        <w:tblLayout w:type="fixed"/>
        <w:tblInd w:w="20" w:type="dxa"/>
        <w:tblCellMar>
          <w:top w:w="0" w:type="dxa"/>
          <w:left w:w="0" w:type="dxa"/>
          <w:bottom w:w="0" w:type="dxa"/>
          <w:right w:w="0" w:type="dxa"/>
        </w:tblCellMar>
      </w:tblPr>
      <w:tr>
        <w:trPr>
          <w:trHeight w:val="220"/>
        </w:trPr>
        <w:tc>
          <w:tcPr>
            <w:tcW w:w="2600" w:type="dxa"/>
            <w:vAlign w:val="bottom"/>
            <w:tcBorders>
              <w:bottom w:val="single" w:sz="8" w:color="0000FF"/>
            </w:tcBorders>
            <w:gridSpan w:val="12"/>
          </w:tcPr>
          <w:p>
            <w:pPr>
              <w:spacing w:after="0"/>
              <w:rPr>
                <w:sz w:val="20"/>
                <w:szCs w:val="20"/>
                <w:color w:val="auto"/>
              </w:rPr>
            </w:pPr>
            <w:r>
              <w:rPr>
                <w:rFonts w:ascii="Calibri" w:cs="Calibri" w:eastAsia="Calibri" w:hAnsi="Calibri"/>
                <w:sz w:val="18"/>
                <w:szCs w:val="18"/>
                <w:color w:val="0000FF"/>
                <w:w w:val="96"/>
              </w:rPr>
              <w:t>Leadership &amp; Corporate Governance</w:t>
            </w:r>
          </w:p>
        </w:tc>
        <w:tc>
          <w:tcPr>
            <w:tcW w:w="7740" w:type="dxa"/>
            <w:vAlign w:val="bottom"/>
            <w:gridSpan w:val="21"/>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Borders>
              <w:bottom w:val="single" w:sz="8" w:color="0000FF"/>
            </w:tcBorders>
          </w:tcPr>
          <w:p>
            <w:pPr>
              <w:spacing w:after="0"/>
              <w:rPr>
                <w:sz w:val="20"/>
                <w:szCs w:val="20"/>
                <w:color w:val="auto"/>
              </w:rPr>
            </w:pPr>
            <w:r>
              <w:rPr>
                <w:rFonts w:ascii="Calibri" w:cs="Calibri" w:eastAsia="Calibri" w:hAnsi="Calibri"/>
                <w:sz w:val="18"/>
                <w:szCs w:val="18"/>
                <w:color w:val="0000FF"/>
                <w:w w:val="87"/>
              </w:rPr>
              <w:t>1</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3160" w:type="dxa"/>
            <w:vAlign w:val="bottom"/>
            <w:tcBorders>
              <w:bottom w:val="single" w:sz="8" w:color="0000FF"/>
            </w:tcBorders>
            <w:gridSpan w:val="16"/>
          </w:tcPr>
          <w:p>
            <w:pPr>
              <w:spacing w:after="0" w:line="209" w:lineRule="exact"/>
              <w:rPr>
                <w:sz w:val="20"/>
                <w:szCs w:val="20"/>
                <w:color w:val="auto"/>
              </w:rPr>
            </w:pPr>
            <w:r>
              <w:rPr>
                <w:rFonts w:ascii="Calibri" w:cs="Calibri" w:eastAsia="Calibri" w:hAnsi="Calibri"/>
                <w:sz w:val="18"/>
                <w:szCs w:val="18"/>
                <w:color w:val="0000FF"/>
                <w:w w:val="97"/>
              </w:rPr>
              <w:t>Director Nominees and Contnuing Directors</w:t>
            </w:r>
          </w:p>
        </w:tc>
        <w:tc>
          <w:tcPr>
            <w:tcW w:w="7180" w:type="dxa"/>
            <w:vAlign w:val="bottom"/>
            <w:gridSpan w:val="17"/>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Borders>
              <w:bottom w:val="single" w:sz="8" w:color="0000FF"/>
            </w:tcBorders>
          </w:tcPr>
          <w:p>
            <w:pPr>
              <w:spacing w:after="0" w:line="209" w:lineRule="exact"/>
              <w:rPr>
                <w:sz w:val="20"/>
                <w:szCs w:val="20"/>
                <w:color w:val="auto"/>
              </w:rPr>
            </w:pPr>
            <w:r>
              <w:rPr>
                <w:rFonts w:ascii="Calibri" w:cs="Calibri" w:eastAsia="Calibri" w:hAnsi="Calibri"/>
                <w:sz w:val="18"/>
                <w:szCs w:val="18"/>
                <w:color w:val="0000FF"/>
                <w:w w:val="87"/>
              </w:rPr>
              <w:t>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300" w:type="dxa"/>
            <w:vAlign w:val="bottom"/>
            <w:tcBorders>
              <w:bottom w:val="single" w:sz="8" w:color="0000FF"/>
            </w:tcBorders>
            <w:gridSpan w:val="9"/>
          </w:tcPr>
          <w:p>
            <w:pPr>
              <w:spacing w:after="0" w:line="209" w:lineRule="exact"/>
              <w:rPr>
                <w:sz w:val="20"/>
                <w:szCs w:val="20"/>
                <w:color w:val="auto"/>
              </w:rPr>
            </w:pPr>
            <w:r>
              <w:rPr>
                <w:rFonts w:ascii="Calibri" w:cs="Calibri" w:eastAsia="Calibri" w:hAnsi="Calibri"/>
                <w:sz w:val="18"/>
                <w:szCs w:val="18"/>
                <w:color w:val="0000FF"/>
              </w:rPr>
              <w:t>Votng and Meetng Informaton</w:t>
            </w:r>
          </w:p>
        </w:tc>
        <w:tc>
          <w:tcPr>
            <w:tcW w:w="8040" w:type="dxa"/>
            <w:vAlign w:val="bottom"/>
            <w:gridSpan w:val="24"/>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Borders>
              <w:bottom w:val="single" w:sz="8" w:color="0000FF"/>
            </w:tcBorders>
          </w:tcPr>
          <w:p>
            <w:pPr>
              <w:spacing w:after="0" w:line="209" w:lineRule="exact"/>
              <w:rPr>
                <w:sz w:val="20"/>
                <w:szCs w:val="20"/>
                <w:color w:val="auto"/>
              </w:rPr>
            </w:pPr>
            <w:r>
              <w:rPr>
                <w:rFonts w:ascii="Calibri" w:cs="Calibri" w:eastAsia="Calibri" w:hAnsi="Calibri"/>
                <w:sz w:val="18"/>
                <w:szCs w:val="18"/>
                <w:color w:val="0000FF"/>
                <w:w w:val="87"/>
              </w:rPr>
              <w:t>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0340" w:type="dxa"/>
            <w:vAlign w:val="bottom"/>
            <w:gridSpan w:val="33"/>
          </w:tcPr>
          <w:p>
            <w:pPr>
              <w:spacing w:after="0" w:line="209" w:lineRule="exact"/>
              <w:rPr>
                <w:sz w:val="20"/>
                <w:szCs w:val="20"/>
                <w:color w:val="auto"/>
              </w:rPr>
            </w:pPr>
            <w:r>
              <w:rPr>
                <w:rFonts w:ascii="Calibri" w:cs="Calibri" w:eastAsia="Calibri" w:hAnsi="Calibri"/>
                <w:sz w:val="18"/>
                <w:szCs w:val="18"/>
                <w:color w:val="0000FF"/>
              </w:rPr>
              <w:t>Informaton on Board of Directors and Corporate Governance</w:t>
            </w:r>
          </w:p>
        </w:tc>
        <w:tc>
          <w:tcPr>
            <w:tcW w:w="220" w:type="dxa"/>
            <w:vAlign w:val="bottom"/>
            <w:gridSpan w:val="3"/>
          </w:tcPr>
          <w:p>
            <w:pPr>
              <w:ind w:left="40"/>
              <w:spacing w:after="0" w:line="209" w:lineRule="exact"/>
              <w:rPr>
                <w:sz w:val="20"/>
                <w:szCs w:val="20"/>
                <w:color w:val="auto"/>
              </w:rPr>
            </w:pPr>
            <w:r>
              <w:rPr>
                <w:rFonts w:ascii="Calibri" w:cs="Calibri" w:eastAsia="Calibri" w:hAnsi="Calibri"/>
                <w:sz w:val="18"/>
                <w:szCs w:val="18"/>
                <w:color w:val="0000FF"/>
                <w:w w:val="87"/>
              </w:rPr>
              <w:t>13</w:t>
            </w:r>
          </w:p>
        </w:tc>
        <w:tc>
          <w:tcPr>
            <w:tcW w:w="0" w:type="dxa"/>
            <w:vAlign w:val="bottom"/>
          </w:tcPr>
          <w:p>
            <w:pPr>
              <w:spacing w:after="0"/>
              <w:rPr>
                <w:sz w:val="1"/>
                <w:szCs w:val="1"/>
                <w:color w:val="auto"/>
              </w:rPr>
            </w:pPr>
          </w:p>
        </w:tc>
      </w:tr>
      <w:tr>
        <w:trPr>
          <w:trHeight w:val="209"/>
        </w:trPr>
        <w:tc>
          <w:tcPr>
            <w:tcW w:w="760" w:type="dxa"/>
            <w:vAlign w:val="bottom"/>
            <w:tcBorders>
              <w:top w:val="single" w:sz="8" w:color="0000FF"/>
            </w:tcBorders>
          </w:tcPr>
          <w:p>
            <w:pPr>
              <w:spacing w:after="0"/>
              <w:rPr>
                <w:sz w:val="18"/>
                <w:szCs w:val="18"/>
                <w:color w:val="auto"/>
              </w:rPr>
            </w:pPr>
          </w:p>
        </w:tc>
        <w:tc>
          <w:tcPr>
            <w:tcW w:w="1840" w:type="dxa"/>
            <w:vAlign w:val="bottom"/>
            <w:tcBorders>
              <w:top w:val="single" w:sz="8" w:color="0000FF"/>
              <w:bottom w:val="single" w:sz="8" w:color="0000FF"/>
            </w:tcBorders>
            <w:gridSpan w:val="11"/>
          </w:tcPr>
          <w:p>
            <w:pPr>
              <w:spacing w:after="0" w:line="209" w:lineRule="exact"/>
              <w:rPr>
                <w:sz w:val="20"/>
                <w:szCs w:val="20"/>
                <w:color w:val="auto"/>
              </w:rPr>
            </w:pPr>
            <w:r>
              <w:rPr>
                <w:rFonts w:ascii="Calibri" w:cs="Calibri" w:eastAsia="Calibri" w:hAnsi="Calibri"/>
                <w:sz w:val="18"/>
                <w:szCs w:val="18"/>
                <w:color w:val="0000FF"/>
                <w:w w:val="99"/>
              </w:rPr>
              <w:t>Compositon of the Board</w:t>
            </w:r>
          </w:p>
        </w:tc>
        <w:tc>
          <w:tcPr>
            <w:tcW w:w="1760" w:type="dxa"/>
            <w:vAlign w:val="bottom"/>
            <w:tcBorders>
              <w:top w:val="single" w:sz="8" w:color="0000FF"/>
            </w:tcBorders>
            <w:gridSpan w:val="14"/>
          </w:tcPr>
          <w:p>
            <w:pPr>
              <w:spacing w:after="0"/>
              <w:rPr>
                <w:sz w:val="18"/>
                <w:szCs w:val="18"/>
                <w:color w:val="auto"/>
              </w:rPr>
            </w:pPr>
          </w:p>
        </w:tc>
        <w:tc>
          <w:tcPr>
            <w:tcW w:w="5980" w:type="dxa"/>
            <w:vAlign w:val="bottom"/>
            <w:gridSpan w:val="7"/>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Borders>
              <w:top w:val="single" w:sz="8" w:color="0000FF"/>
              <w:bottom w:val="single" w:sz="8" w:color="0000FF"/>
            </w:tcBorders>
            <w:gridSpan w:val="2"/>
          </w:tcPr>
          <w:p>
            <w:pPr>
              <w:spacing w:after="0" w:line="209" w:lineRule="exact"/>
              <w:rPr>
                <w:sz w:val="20"/>
                <w:szCs w:val="20"/>
                <w:color w:val="auto"/>
              </w:rPr>
            </w:pPr>
            <w:r>
              <w:rPr>
                <w:rFonts w:ascii="Calibri" w:cs="Calibri" w:eastAsia="Calibri" w:hAnsi="Calibri"/>
                <w:sz w:val="18"/>
                <w:szCs w:val="18"/>
                <w:color w:val="0000FF"/>
                <w:w w:val="87"/>
              </w:rPr>
              <w:t>13</w:t>
            </w:r>
          </w:p>
        </w:tc>
        <w:tc>
          <w:tcPr>
            <w:tcW w:w="0" w:type="dxa"/>
            <w:vAlign w:val="bottom"/>
          </w:tcPr>
          <w:p>
            <w:pPr>
              <w:spacing w:after="0"/>
              <w:rPr>
                <w:sz w:val="1"/>
                <w:szCs w:val="1"/>
                <w:color w:val="auto"/>
              </w:rPr>
            </w:pPr>
          </w:p>
        </w:tc>
      </w:tr>
      <w:tr>
        <w:trPr>
          <w:trHeight w:val="210"/>
        </w:trPr>
        <w:tc>
          <w:tcPr>
            <w:tcW w:w="760" w:type="dxa"/>
            <w:vAlign w:val="bottom"/>
          </w:tcPr>
          <w:p>
            <w:pPr>
              <w:spacing w:after="0"/>
              <w:rPr>
                <w:sz w:val="18"/>
                <w:szCs w:val="18"/>
                <w:color w:val="auto"/>
              </w:rPr>
            </w:pPr>
          </w:p>
        </w:tc>
        <w:tc>
          <w:tcPr>
            <w:tcW w:w="9580" w:type="dxa"/>
            <w:vAlign w:val="bottom"/>
            <w:gridSpan w:val="32"/>
          </w:tcPr>
          <w:p>
            <w:pPr>
              <w:spacing w:after="0" w:line="209" w:lineRule="exact"/>
              <w:rPr>
                <w:sz w:val="20"/>
                <w:szCs w:val="20"/>
                <w:color w:val="auto"/>
              </w:rPr>
            </w:pPr>
            <w:r>
              <w:rPr>
                <w:rFonts w:ascii="Calibri" w:cs="Calibri" w:eastAsia="Calibri" w:hAnsi="Calibri"/>
                <w:sz w:val="18"/>
                <w:szCs w:val="18"/>
                <w:color w:val="0000FF"/>
              </w:rPr>
              <w:t>Nominees for Director</w:t>
            </w:r>
          </w:p>
        </w:tc>
        <w:tc>
          <w:tcPr>
            <w:tcW w:w="220" w:type="dxa"/>
            <w:vAlign w:val="bottom"/>
            <w:gridSpan w:val="3"/>
          </w:tcPr>
          <w:p>
            <w:pPr>
              <w:ind w:left="40"/>
              <w:spacing w:after="0" w:line="209" w:lineRule="exact"/>
              <w:rPr>
                <w:sz w:val="20"/>
                <w:szCs w:val="20"/>
                <w:color w:val="auto"/>
              </w:rPr>
            </w:pPr>
            <w:r>
              <w:rPr>
                <w:rFonts w:ascii="Calibri" w:cs="Calibri" w:eastAsia="Calibri" w:hAnsi="Calibri"/>
                <w:sz w:val="18"/>
                <w:szCs w:val="18"/>
                <w:color w:val="0000FF"/>
                <w:w w:val="87"/>
              </w:rPr>
              <w:t>14</w:t>
            </w:r>
          </w:p>
        </w:tc>
        <w:tc>
          <w:tcPr>
            <w:tcW w:w="0" w:type="dxa"/>
            <w:vAlign w:val="bottom"/>
          </w:tcPr>
          <w:p>
            <w:pPr>
              <w:spacing w:after="0"/>
              <w:rPr>
                <w:sz w:val="1"/>
                <w:szCs w:val="1"/>
                <w:color w:val="auto"/>
              </w:rPr>
            </w:pPr>
          </w:p>
        </w:tc>
      </w:tr>
      <w:tr>
        <w:trPr>
          <w:trHeight w:val="210"/>
        </w:trPr>
        <w:tc>
          <w:tcPr>
            <w:tcW w:w="760" w:type="dxa"/>
            <w:vAlign w:val="bottom"/>
          </w:tcPr>
          <w:p>
            <w:pPr>
              <w:spacing w:after="0"/>
              <w:rPr>
                <w:sz w:val="18"/>
                <w:szCs w:val="18"/>
                <w:color w:val="auto"/>
              </w:rPr>
            </w:pPr>
          </w:p>
        </w:tc>
        <w:tc>
          <w:tcPr>
            <w:tcW w:w="1580" w:type="dxa"/>
            <w:vAlign w:val="bottom"/>
            <w:tcBorders>
              <w:top w:val="single" w:sz="8" w:color="0000FF"/>
            </w:tcBorders>
            <w:gridSpan w:val="9"/>
          </w:tcPr>
          <w:p>
            <w:pPr>
              <w:spacing w:after="0" w:line="209" w:lineRule="exact"/>
              <w:rPr>
                <w:sz w:val="20"/>
                <w:szCs w:val="20"/>
                <w:color w:val="auto"/>
              </w:rPr>
            </w:pPr>
            <w:r>
              <w:rPr>
                <w:rFonts w:ascii="Calibri" w:cs="Calibri" w:eastAsia="Calibri" w:hAnsi="Calibri"/>
                <w:sz w:val="18"/>
                <w:szCs w:val="18"/>
                <w:color w:val="0000FF"/>
              </w:rPr>
              <w:t>Contnuing Directors</w:t>
            </w:r>
          </w:p>
        </w:tc>
        <w:tc>
          <w:tcPr>
            <w:tcW w:w="8000" w:type="dxa"/>
            <w:vAlign w:val="bottom"/>
            <w:gridSpan w:val="23"/>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Borders>
              <w:top w:val="single" w:sz="8" w:color="0000FF"/>
            </w:tcBorders>
            <w:gridSpan w:val="2"/>
          </w:tcPr>
          <w:p>
            <w:pPr>
              <w:spacing w:after="0" w:line="209" w:lineRule="exact"/>
              <w:rPr>
                <w:sz w:val="20"/>
                <w:szCs w:val="20"/>
                <w:color w:val="auto"/>
              </w:rPr>
            </w:pPr>
            <w:r>
              <w:rPr>
                <w:rFonts w:ascii="Calibri" w:cs="Calibri" w:eastAsia="Calibri" w:hAnsi="Calibri"/>
                <w:sz w:val="18"/>
                <w:szCs w:val="18"/>
                <w:color w:val="0000FF"/>
                <w:w w:val="87"/>
              </w:rPr>
              <w:t>15</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60" w:type="dxa"/>
            <w:vAlign w:val="bottom"/>
          </w:tcPr>
          <w:p>
            <w:pPr>
              <w:spacing w:after="0"/>
              <w:rPr>
                <w:sz w:val="18"/>
                <w:szCs w:val="18"/>
                <w:color w:val="auto"/>
              </w:rPr>
            </w:pPr>
          </w:p>
        </w:tc>
        <w:tc>
          <w:tcPr>
            <w:tcW w:w="9580" w:type="dxa"/>
            <w:vAlign w:val="bottom"/>
            <w:gridSpan w:val="32"/>
          </w:tcPr>
          <w:p>
            <w:pPr>
              <w:spacing w:after="0" w:line="209" w:lineRule="exact"/>
              <w:rPr>
                <w:sz w:val="20"/>
                <w:szCs w:val="20"/>
                <w:color w:val="auto"/>
              </w:rPr>
            </w:pPr>
            <w:r>
              <w:rPr>
                <w:rFonts w:ascii="Calibri" w:cs="Calibri" w:eastAsia="Calibri" w:hAnsi="Calibri"/>
                <w:sz w:val="18"/>
                <w:szCs w:val="18"/>
                <w:color w:val="0000FF"/>
              </w:rPr>
              <w:t>Board Leadership Structure</w:t>
            </w:r>
          </w:p>
        </w:tc>
        <w:tc>
          <w:tcPr>
            <w:tcW w:w="220" w:type="dxa"/>
            <w:vAlign w:val="bottom"/>
            <w:gridSpan w:val="3"/>
          </w:tcPr>
          <w:p>
            <w:pPr>
              <w:ind w:left="40"/>
              <w:spacing w:after="0" w:line="209" w:lineRule="exact"/>
              <w:rPr>
                <w:sz w:val="20"/>
                <w:szCs w:val="20"/>
                <w:color w:val="auto"/>
              </w:rPr>
            </w:pPr>
            <w:r>
              <w:rPr>
                <w:rFonts w:ascii="Calibri" w:cs="Calibri" w:eastAsia="Calibri" w:hAnsi="Calibri"/>
                <w:sz w:val="18"/>
                <w:szCs w:val="18"/>
                <w:color w:val="0000FF"/>
                <w:w w:val="87"/>
              </w:rPr>
              <w:t>17</w:t>
            </w:r>
          </w:p>
        </w:tc>
        <w:tc>
          <w:tcPr>
            <w:tcW w:w="0" w:type="dxa"/>
            <w:vAlign w:val="bottom"/>
          </w:tcPr>
          <w:p>
            <w:pPr>
              <w:spacing w:after="0"/>
              <w:rPr>
                <w:sz w:val="1"/>
                <w:szCs w:val="1"/>
                <w:color w:val="auto"/>
              </w:rPr>
            </w:pPr>
          </w:p>
        </w:tc>
      </w:tr>
      <w:tr>
        <w:trPr>
          <w:trHeight w:val="209"/>
        </w:trPr>
        <w:tc>
          <w:tcPr>
            <w:tcW w:w="760" w:type="dxa"/>
            <w:vAlign w:val="bottom"/>
          </w:tcPr>
          <w:p>
            <w:pPr>
              <w:spacing w:after="0"/>
              <w:rPr>
                <w:sz w:val="18"/>
                <w:szCs w:val="18"/>
                <w:color w:val="auto"/>
              </w:rPr>
            </w:pPr>
          </w:p>
        </w:tc>
        <w:tc>
          <w:tcPr>
            <w:tcW w:w="1940" w:type="dxa"/>
            <w:vAlign w:val="bottom"/>
            <w:tcBorders>
              <w:top w:val="single" w:sz="8" w:color="0000FF"/>
            </w:tcBorders>
            <w:gridSpan w:val="13"/>
          </w:tcPr>
          <w:p>
            <w:pPr>
              <w:spacing w:after="0" w:line="209" w:lineRule="exact"/>
              <w:rPr>
                <w:sz w:val="20"/>
                <w:szCs w:val="20"/>
                <w:color w:val="auto"/>
              </w:rPr>
            </w:pPr>
            <w:r>
              <w:rPr>
                <w:rFonts w:ascii="Calibri" w:cs="Calibri" w:eastAsia="Calibri" w:hAnsi="Calibri"/>
                <w:sz w:val="18"/>
                <w:szCs w:val="18"/>
                <w:color w:val="0000FF"/>
              </w:rPr>
              <w:t>Director Independence</w:t>
            </w:r>
          </w:p>
        </w:tc>
        <w:tc>
          <w:tcPr>
            <w:tcW w:w="7640" w:type="dxa"/>
            <w:vAlign w:val="bottom"/>
            <w:gridSpan w:val="19"/>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Borders>
              <w:top w:val="single" w:sz="8" w:color="0000FF"/>
            </w:tcBorders>
            <w:gridSpan w:val="2"/>
          </w:tcPr>
          <w:p>
            <w:pPr>
              <w:spacing w:after="0" w:line="209" w:lineRule="exact"/>
              <w:rPr>
                <w:sz w:val="20"/>
                <w:szCs w:val="20"/>
                <w:color w:val="auto"/>
              </w:rPr>
            </w:pPr>
            <w:r>
              <w:rPr>
                <w:rFonts w:ascii="Calibri" w:cs="Calibri" w:eastAsia="Calibri" w:hAnsi="Calibri"/>
                <w:sz w:val="18"/>
                <w:szCs w:val="18"/>
                <w:color w:val="0000FF"/>
                <w:w w:val="87"/>
              </w:rPr>
              <w:t>17</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320" w:type="dxa"/>
            <w:vAlign w:val="bottom"/>
            <w:gridSpan w:val="4"/>
            <w:shd w:val="clear" w:color="auto" w:fill="0000FF"/>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60" w:type="dxa"/>
            <w:vAlign w:val="bottom"/>
          </w:tcPr>
          <w:p>
            <w:pPr>
              <w:spacing w:after="0"/>
              <w:rPr>
                <w:sz w:val="18"/>
                <w:szCs w:val="18"/>
                <w:color w:val="auto"/>
              </w:rPr>
            </w:pPr>
          </w:p>
        </w:tc>
        <w:tc>
          <w:tcPr>
            <w:tcW w:w="2760" w:type="dxa"/>
            <w:vAlign w:val="bottom"/>
            <w:tcBorders>
              <w:bottom w:val="single" w:sz="8" w:color="0000FF"/>
            </w:tcBorders>
            <w:gridSpan w:val="19"/>
          </w:tcPr>
          <w:p>
            <w:pPr>
              <w:spacing w:after="0" w:line="209" w:lineRule="exact"/>
              <w:rPr>
                <w:sz w:val="20"/>
                <w:szCs w:val="20"/>
                <w:color w:val="auto"/>
              </w:rPr>
            </w:pPr>
            <w:r>
              <w:rPr>
                <w:rFonts w:ascii="Calibri" w:cs="Calibri" w:eastAsia="Calibri" w:hAnsi="Calibri"/>
                <w:sz w:val="18"/>
                <w:szCs w:val="18"/>
                <w:color w:val="0000FF"/>
                <w:w w:val="96"/>
              </w:rPr>
              <w:t>Role of Board in Risk Oversight Process</w:t>
            </w:r>
          </w:p>
        </w:tc>
        <w:tc>
          <w:tcPr>
            <w:tcW w:w="6820" w:type="dxa"/>
            <w:vAlign w:val="bottom"/>
            <w:gridSpan w:val="13"/>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Borders>
              <w:bottom w:val="single" w:sz="8" w:color="0000FF"/>
            </w:tcBorders>
            <w:gridSpan w:val="2"/>
          </w:tcPr>
          <w:p>
            <w:pPr>
              <w:spacing w:after="0" w:line="209" w:lineRule="exact"/>
              <w:rPr>
                <w:sz w:val="20"/>
                <w:szCs w:val="20"/>
                <w:color w:val="auto"/>
              </w:rPr>
            </w:pPr>
            <w:r>
              <w:rPr>
                <w:rFonts w:ascii="Calibri" w:cs="Calibri" w:eastAsia="Calibri" w:hAnsi="Calibri"/>
                <w:sz w:val="18"/>
                <w:szCs w:val="18"/>
                <w:color w:val="0000FF"/>
                <w:w w:val="87"/>
              </w:rPr>
              <w:t>18</w:t>
            </w:r>
          </w:p>
        </w:tc>
        <w:tc>
          <w:tcPr>
            <w:tcW w:w="0" w:type="dxa"/>
            <w:vAlign w:val="bottom"/>
          </w:tcPr>
          <w:p>
            <w:pPr>
              <w:spacing w:after="0"/>
              <w:rPr>
                <w:sz w:val="1"/>
                <w:szCs w:val="1"/>
                <w:color w:val="auto"/>
              </w:rPr>
            </w:pPr>
          </w:p>
        </w:tc>
      </w:tr>
      <w:tr>
        <w:trPr>
          <w:trHeight w:val="209"/>
        </w:trPr>
        <w:tc>
          <w:tcPr>
            <w:tcW w:w="760" w:type="dxa"/>
            <w:vAlign w:val="bottom"/>
          </w:tcPr>
          <w:p>
            <w:pPr>
              <w:spacing w:after="0"/>
              <w:rPr>
                <w:sz w:val="18"/>
                <w:szCs w:val="18"/>
                <w:color w:val="auto"/>
              </w:rPr>
            </w:pPr>
          </w:p>
        </w:tc>
        <w:tc>
          <w:tcPr>
            <w:tcW w:w="9580" w:type="dxa"/>
            <w:vAlign w:val="bottom"/>
            <w:gridSpan w:val="32"/>
          </w:tcPr>
          <w:p>
            <w:pPr>
              <w:spacing w:after="0" w:line="209" w:lineRule="exact"/>
              <w:rPr>
                <w:sz w:val="20"/>
                <w:szCs w:val="20"/>
                <w:color w:val="auto"/>
              </w:rPr>
            </w:pPr>
            <w:r>
              <w:rPr>
                <w:rFonts w:ascii="Calibri" w:cs="Calibri" w:eastAsia="Calibri" w:hAnsi="Calibri"/>
                <w:sz w:val="18"/>
                <w:szCs w:val="18"/>
                <w:color w:val="0000FF"/>
              </w:rPr>
              <w:t>Atendance at Board and Stockholder Meetngs</w:t>
            </w:r>
          </w:p>
        </w:tc>
        <w:tc>
          <w:tcPr>
            <w:tcW w:w="220" w:type="dxa"/>
            <w:vAlign w:val="bottom"/>
            <w:gridSpan w:val="3"/>
          </w:tcPr>
          <w:p>
            <w:pPr>
              <w:ind w:left="40"/>
              <w:spacing w:after="0" w:line="209" w:lineRule="exact"/>
              <w:rPr>
                <w:sz w:val="20"/>
                <w:szCs w:val="20"/>
                <w:color w:val="auto"/>
              </w:rPr>
            </w:pPr>
            <w:r>
              <w:rPr>
                <w:rFonts w:ascii="Calibri" w:cs="Calibri" w:eastAsia="Calibri" w:hAnsi="Calibri"/>
                <w:sz w:val="18"/>
                <w:szCs w:val="18"/>
                <w:color w:val="0000FF"/>
                <w:w w:val="87"/>
              </w:rPr>
              <w:t>18</w:t>
            </w:r>
          </w:p>
        </w:tc>
        <w:tc>
          <w:tcPr>
            <w:tcW w:w="0" w:type="dxa"/>
            <w:vAlign w:val="bottom"/>
          </w:tcPr>
          <w:p>
            <w:pPr>
              <w:spacing w:after="0"/>
              <w:rPr>
                <w:sz w:val="1"/>
                <w:szCs w:val="1"/>
                <w:color w:val="auto"/>
              </w:rPr>
            </w:pPr>
          </w:p>
        </w:tc>
      </w:tr>
      <w:tr>
        <w:trPr>
          <w:trHeight w:val="210"/>
        </w:trPr>
        <w:tc>
          <w:tcPr>
            <w:tcW w:w="760" w:type="dxa"/>
            <w:vAlign w:val="bottom"/>
          </w:tcPr>
          <w:p>
            <w:pPr>
              <w:spacing w:after="0"/>
              <w:rPr>
                <w:sz w:val="18"/>
                <w:szCs w:val="18"/>
                <w:color w:val="auto"/>
              </w:rPr>
            </w:pPr>
          </w:p>
        </w:tc>
        <w:tc>
          <w:tcPr>
            <w:tcW w:w="3380" w:type="dxa"/>
            <w:vAlign w:val="bottom"/>
            <w:tcBorders>
              <w:top w:val="single" w:sz="8" w:color="0000FF"/>
            </w:tcBorders>
            <w:gridSpan w:val="23"/>
          </w:tcPr>
          <w:p>
            <w:pPr>
              <w:spacing w:after="0" w:line="209" w:lineRule="exact"/>
              <w:rPr>
                <w:sz w:val="20"/>
                <w:szCs w:val="20"/>
                <w:color w:val="auto"/>
              </w:rPr>
            </w:pPr>
            <w:r>
              <w:rPr>
                <w:rFonts w:ascii="Calibri" w:cs="Calibri" w:eastAsia="Calibri" w:hAnsi="Calibri"/>
                <w:sz w:val="18"/>
                <w:szCs w:val="18"/>
                <w:color w:val="0000FF"/>
              </w:rPr>
              <w:t>Board Commitees</w:t>
            </w:r>
          </w:p>
        </w:tc>
        <w:tc>
          <w:tcPr>
            <w:tcW w:w="6200" w:type="dxa"/>
            <w:vAlign w:val="bottom"/>
            <w:gridSpan w:val="9"/>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Borders>
              <w:top w:val="single" w:sz="8" w:color="0000FF"/>
            </w:tcBorders>
            <w:gridSpan w:val="2"/>
          </w:tcPr>
          <w:p>
            <w:pPr>
              <w:spacing w:after="0" w:line="209" w:lineRule="exact"/>
              <w:rPr>
                <w:sz w:val="20"/>
                <w:szCs w:val="20"/>
                <w:color w:val="auto"/>
              </w:rPr>
            </w:pPr>
            <w:r>
              <w:rPr>
                <w:rFonts w:ascii="Calibri" w:cs="Calibri" w:eastAsia="Calibri" w:hAnsi="Calibri"/>
                <w:sz w:val="18"/>
                <w:szCs w:val="18"/>
                <w:color w:val="0000FF"/>
                <w:w w:val="87"/>
              </w:rPr>
              <w:t>18</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540" w:type="dxa"/>
            <w:vAlign w:val="bottom"/>
            <w:gridSpan w:val="6"/>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60" w:type="dxa"/>
            <w:vAlign w:val="bottom"/>
          </w:tcPr>
          <w:p>
            <w:pPr>
              <w:spacing w:after="0"/>
              <w:rPr>
                <w:sz w:val="18"/>
                <w:szCs w:val="18"/>
                <w:color w:val="auto"/>
              </w:rPr>
            </w:pPr>
          </w:p>
        </w:tc>
        <w:tc>
          <w:tcPr>
            <w:tcW w:w="3280" w:type="dxa"/>
            <w:vAlign w:val="bottom"/>
            <w:tcBorders>
              <w:bottom w:val="single" w:sz="8" w:color="0000FF"/>
            </w:tcBorders>
            <w:gridSpan w:val="22"/>
          </w:tcPr>
          <w:p>
            <w:pPr>
              <w:spacing w:after="0" w:line="209" w:lineRule="exact"/>
              <w:rPr>
                <w:sz w:val="20"/>
                <w:szCs w:val="20"/>
                <w:color w:val="auto"/>
              </w:rPr>
            </w:pPr>
            <w:r>
              <w:rPr>
                <w:rFonts w:ascii="Calibri" w:cs="Calibri" w:eastAsia="Calibri" w:hAnsi="Calibri"/>
                <w:sz w:val="18"/>
                <w:szCs w:val="18"/>
                <w:color w:val="0000FF"/>
                <w:w w:val="97"/>
              </w:rPr>
              <w:t>Executve Sessions of Non-Employee Directors</w:t>
            </w:r>
          </w:p>
        </w:tc>
        <w:tc>
          <w:tcPr>
            <w:tcW w:w="6300" w:type="dxa"/>
            <w:vAlign w:val="bottom"/>
            <w:gridSpan w:val="10"/>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Borders>
              <w:bottom w:val="single" w:sz="8" w:color="0000FF"/>
            </w:tcBorders>
            <w:gridSpan w:val="2"/>
          </w:tcPr>
          <w:p>
            <w:pPr>
              <w:spacing w:after="0" w:line="209" w:lineRule="exact"/>
              <w:rPr>
                <w:sz w:val="20"/>
                <w:szCs w:val="20"/>
                <w:color w:val="auto"/>
              </w:rPr>
            </w:pPr>
            <w:r>
              <w:rPr>
                <w:rFonts w:ascii="Calibri" w:cs="Calibri" w:eastAsia="Calibri" w:hAnsi="Calibri"/>
                <w:sz w:val="18"/>
                <w:szCs w:val="18"/>
                <w:color w:val="0000FF"/>
                <w:w w:val="87"/>
              </w:rPr>
              <w:t>21</w:t>
            </w:r>
          </w:p>
        </w:tc>
        <w:tc>
          <w:tcPr>
            <w:tcW w:w="0" w:type="dxa"/>
            <w:vAlign w:val="bottom"/>
          </w:tcPr>
          <w:p>
            <w:pPr>
              <w:spacing w:after="0"/>
              <w:rPr>
                <w:sz w:val="1"/>
                <w:szCs w:val="1"/>
                <w:color w:val="auto"/>
              </w:rPr>
            </w:pPr>
          </w:p>
        </w:tc>
      </w:tr>
      <w:tr>
        <w:trPr>
          <w:trHeight w:val="209"/>
        </w:trPr>
        <w:tc>
          <w:tcPr>
            <w:tcW w:w="760" w:type="dxa"/>
            <w:vAlign w:val="bottom"/>
          </w:tcPr>
          <w:p>
            <w:pPr>
              <w:spacing w:after="0"/>
              <w:rPr>
                <w:sz w:val="18"/>
                <w:szCs w:val="18"/>
                <w:color w:val="auto"/>
              </w:rPr>
            </w:pPr>
          </w:p>
        </w:tc>
        <w:tc>
          <w:tcPr>
            <w:tcW w:w="4380" w:type="dxa"/>
            <w:vAlign w:val="bottom"/>
            <w:tcBorders>
              <w:bottom w:val="single" w:sz="8" w:color="0000FF"/>
            </w:tcBorders>
            <w:gridSpan w:val="29"/>
          </w:tcPr>
          <w:p>
            <w:pPr>
              <w:spacing w:after="0" w:line="209" w:lineRule="exact"/>
              <w:rPr>
                <w:sz w:val="20"/>
                <w:szCs w:val="20"/>
                <w:color w:val="auto"/>
              </w:rPr>
            </w:pPr>
            <w:r>
              <w:rPr>
                <w:rFonts w:ascii="Calibri" w:cs="Calibri" w:eastAsia="Calibri" w:hAnsi="Calibri"/>
                <w:sz w:val="18"/>
                <w:szCs w:val="18"/>
                <w:color w:val="0000FF"/>
              </w:rPr>
              <w:t>Compensaton Commitee Interlocks and Insider Partcipaton</w:t>
            </w:r>
          </w:p>
        </w:tc>
        <w:tc>
          <w:tcPr>
            <w:tcW w:w="5200" w:type="dxa"/>
            <w:vAlign w:val="bottom"/>
            <w:gridSpan w:val="3"/>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Borders>
              <w:bottom w:val="single" w:sz="8" w:color="0000FF"/>
            </w:tcBorders>
            <w:gridSpan w:val="2"/>
          </w:tcPr>
          <w:p>
            <w:pPr>
              <w:spacing w:after="0" w:line="209" w:lineRule="exact"/>
              <w:rPr>
                <w:sz w:val="20"/>
                <w:szCs w:val="20"/>
                <w:color w:val="auto"/>
              </w:rPr>
            </w:pPr>
            <w:r>
              <w:rPr>
                <w:rFonts w:ascii="Calibri" w:cs="Calibri" w:eastAsia="Calibri" w:hAnsi="Calibri"/>
                <w:sz w:val="18"/>
                <w:szCs w:val="18"/>
                <w:color w:val="0000FF"/>
                <w:w w:val="87"/>
              </w:rPr>
              <w:t>21</w:t>
            </w:r>
          </w:p>
        </w:tc>
        <w:tc>
          <w:tcPr>
            <w:tcW w:w="0" w:type="dxa"/>
            <w:vAlign w:val="bottom"/>
          </w:tcPr>
          <w:p>
            <w:pPr>
              <w:spacing w:after="0"/>
              <w:rPr>
                <w:sz w:val="1"/>
                <w:szCs w:val="1"/>
                <w:color w:val="auto"/>
              </w:rPr>
            </w:pPr>
          </w:p>
        </w:tc>
      </w:tr>
      <w:tr>
        <w:trPr>
          <w:trHeight w:val="209"/>
        </w:trPr>
        <w:tc>
          <w:tcPr>
            <w:tcW w:w="760" w:type="dxa"/>
            <w:vAlign w:val="bottom"/>
          </w:tcPr>
          <w:p>
            <w:pPr>
              <w:spacing w:after="0"/>
              <w:rPr>
                <w:sz w:val="18"/>
                <w:szCs w:val="18"/>
                <w:color w:val="auto"/>
              </w:rPr>
            </w:pPr>
          </w:p>
        </w:tc>
        <w:tc>
          <w:tcPr>
            <w:tcW w:w="9580" w:type="dxa"/>
            <w:vAlign w:val="bottom"/>
            <w:gridSpan w:val="32"/>
          </w:tcPr>
          <w:p>
            <w:pPr>
              <w:spacing w:after="0" w:line="209" w:lineRule="exact"/>
              <w:rPr>
                <w:sz w:val="20"/>
                <w:szCs w:val="20"/>
                <w:color w:val="auto"/>
              </w:rPr>
            </w:pPr>
            <w:r>
              <w:rPr>
                <w:rFonts w:ascii="Calibri" w:cs="Calibri" w:eastAsia="Calibri" w:hAnsi="Calibri"/>
                <w:sz w:val="18"/>
                <w:szCs w:val="18"/>
                <w:color w:val="0000FF"/>
              </w:rPr>
              <w:t>Consideratons in Evaluatng Director Nominees</w:t>
            </w:r>
          </w:p>
        </w:tc>
        <w:tc>
          <w:tcPr>
            <w:tcW w:w="220" w:type="dxa"/>
            <w:vAlign w:val="bottom"/>
            <w:gridSpan w:val="3"/>
          </w:tcPr>
          <w:p>
            <w:pPr>
              <w:ind w:left="40"/>
              <w:spacing w:after="0" w:line="209" w:lineRule="exact"/>
              <w:rPr>
                <w:sz w:val="20"/>
                <w:szCs w:val="20"/>
                <w:color w:val="auto"/>
              </w:rPr>
            </w:pPr>
            <w:r>
              <w:rPr>
                <w:rFonts w:ascii="Calibri" w:cs="Calibri" w:eastAsia="Calibri" w:hAnsi="Calibri"/>
                <w:sz w:val="18"/>
                <w:szCs w:val="18"/>
                <w:color w:val="0000FF"/>
                <w:w w:val="87"/>
              </w:rPr>
              <w:t>21</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60" w:type="dxa"/>
            <w:vAlign w:val="bottom"/>
          </w:tcPr>
          <w:p>
            <w:pPr>
              <w:spacing w:after="0"/>
              <w:rPr>
                <w:sz w:val="18"/>
                <w:szCs w:val="18"/>
                <w:color w:val="auto"/>
              </w:rPr>
            </w:pPr>
          </w:p>
        </w:tc>
        <w:tc>
          <w:tcPr>
            <w:tcW w:w="9580" w:type="dxa"/>
            <w:vAlign w:val="bottom"/>
            <w:gridSpan w:val="32"/>
          </w:tcPr>
          <w:p>
            <w:pPr>
              <w:spacing w:after="0" w:line="209" w:lineRule="exact"/>
              <w:rPr>
                <w:sz w:val="20"/>
                <w:szCs w:val="20"/>
                <w:color w:val="auto"/>
              </w:rPr>
            </w:pPr>
            <w:r>
              <w:rPr>
                <w:rFonts w:ascii="Calibri" w:cs="Calibri" w:eastAsia="Calibri" w:hAnsi="Calibri"/>
                <w:sz w:val="18"/>
                <w:szCs w:val="18"/>
                <w:color w:val="0000FF"/>
              </w:rPr>
              <w:t>Stockholder Recommendatons and Nominatons to our Board of Directors</w:t>
            </w:r>
          </w:p>
        </w:tc>
        <w:tc>
          <w:tcPr>
            <w:tcW w:w="220" w:type="dxa"/>
            <w:vAlign w:val="bottom"/>
            <w:gridSpan w:val="3"/>
          </w:tcPr>
          <w:p>
            <w:pPr>
              <w:ind w:left="40"/>
              <w:spacing w:after="0" w:line="209" w:lineRule="exact"/>
              <w:rPr>
                <w:sz w:val="20"/>
                <w:szCs w:val="20"/>
                <w:color w:val="auto"/>
              </w:rPr>
            </w:pPr>
            <w:r>
              <w:rPr>
                <w:rFonts w:ascii="Calibri" w:cs="Calibri" w:eastAsia="Calibri" w:hAnsi="Calibri"/>
                <w:sz w:val="18"/>
                <w:szCs w:val="18"/>
                <w:color w:val="0000FF"/>
                <w:w w:val="87"/>
              </w:rPr>
              <w:t>22</w:t>
            </w:r>
          </w:p>
        </w:tc>
        <w:tc>
          <w:tcPr>
            <w:tcW w:w="0" w:type="dxa"/>
            <w:vAlign w:val="bottom"/>
          </w:tcPr>
          <w:p>
            <w:pPr>
              <w:spacing w:after="0"/>
              <w:rPr>
                <w:sz w:val="1"/>
                <w:szCs w:val="1"/>
                <w:color w:val="auto"/>
              </w:rPr>
            </w:pPr>
          </w:p>
        </w:tc>
      </w:tr>
      <w:tr>
        <w:trPr>
          <w:trHeight w:val="209"/>
        </w:trPr>
        <w:tc>
          <w:tcPr>
            <w:tcW w:w="760" w:type="dxa"/>
            <w:vAlign w:val="bottom"/>
          </w:tcPr>
          <w:p>
            <w:pPr>
              <w:spacing w:after="0"/>
              <w:rPr>
                <w:sz w:val="18"/>
                <w:szCs w:val="18"/>
                <w:color w:val="auto"/>
              </w:rPr>
            </w:pPr>
          </w:p>
        </w:tc>
        <w:tc>
          <w:tcPr>
            <w:tcW w:w="5280" w:type="dxa"/>
            <w:vAlign w:val="bottom"/>
            <w:tcBorders>
              <w:top w:val="single" w:sz="8" w:color="0000FF"/>
            </w:tcBorders>
            <w:gridSpan w:val="30"/>
          </w:tcPr>
          <w:p>
            <w:pPr>
              <w:spacing w:after="0" w:line="209" w:lineRule="exact"/>
              <w:rPr>
                <w:sz w:val="20"/>
                <w:szCs w:val="20"/>
                <w:color w:val="auto"/>
              </w:rPr>
            </w:pPr>
            <w:r>
              <w:rPr>
                <w:rFonts w:ascii="Calibri" w:cs="Calibri" w:eastAsia="Calibri" w:hAnsi="Calibri"/>
                <w:sz w:val="18"/>
                <w:szCs w:val="18"/>
                <w:color w:val="0000FF"/>
              </w:rPr>
              <w:t>Communicatons with the Board of Directors</w:t>
            </w:r>
          </w:p>
        </w:tc>
        <w:tc>
          <w:tcPr>
            <w:tcW w:w="4300" w:type="dxa"/>
            <w:vAlign w:val="bottom"/>
            <w:gridSpan w:val="2"/>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Borders>
              <w:top w:val="single" w:sz="8" w:color="0000FF"/>
            </w:tcBorders>
            <w:gridSpan w:val="2"/>
          </w:tcPr>
          <w:p>
            <w:pPr>
              <w:spacing w:after="0" w:line="209" w:lineRule="exact"/>
              <w:rPr>
                <w:sz w:val="20"/>
                <w:szCs w:val="20"/>
                <w:color w:val="auto"/>
              </w:rPr>
            </w:pPr>
            <w:r>
              <w:rPr>
                <w:rFonts w:ascii="Calibri" w:cs="Calibri" w:eastAsia="Calibri" w:hAnsi="Calibri"/>
                <w:sz w:val="18"/>
                <w:szCs w:val="18"/>
                <w:color w:val="0000FF"/>
                <w:w w:val="87"/>
              </w:rPr>
              <w:t>23</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60" w:type="dxa"/>
            <w:vAlign w:val="bottom"/>
            <w:gridSpan w:val="7"/>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36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60" w:type="dxa"/>
            <w:vAlign w:val="bottom"/>
          </w:tcPr>
          <w:p>
            <w:pPr>
              <w:spacing w:after="0"/>
              <w:rPr>
                <w:sz w:val="18"/>
                <w:szCs w:val="18"/>
                <w:color w:val="auto"/>
              </w:rPr>
            </w:pPr>
          </w:p>
        </w:tc>
        <w:tc>
          <w:tcPr>
            <w:tcW w:w="3620" w:type="dxa"/>
            <w:vAlign w:val="bottom"/>
            <w:tcBorders>
              <w:bottom w:val="single" w:sz="8" w:color="0000FF"/>
            </w:tcBorders>
            <w:gridSpan w:val="26"/>
          </w:tcPr>
          <w:p>
            <w:pPr>
              <w:spacing w:after="0" w:line="209" w:lineRule="exact"/>
              <w:rPr>
                <w:sz w:val="20"/>
                <w:szCs w:val="20"/>
                <w:color w:val="auto"/>
              </w:rPr>
            </w:pPr>
            <w:r>
              <w:rPr>
                <w:rFonts w:ascii="Calibri" w:cs="Calibri" w:eastAsia="Calibri" w:hAnsi="Calibri"/>
                <w:sz w:val="18"/>
                <w:szCs w:val="18"/>
                <w:color w:val="0000FF"/>
                <w:w w:val="99"/>
              </w:rPr>
              <w:t>Policy Prohibitng Hedging or Pledging of Securites</w:t>
            </w:r>
          </w:p>
        </w:tc>
        <w:tc>
          <w:tcPr>
            <w:tcW w:w="5960" w:type="dxa"/>
            <w:vAlign w:val="bottom"/>
            <w:gridSpan w:val="6"/>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Borders>
              <w:bottom w:val="single" w:sz="8" w:color="0000FF"/>
            </w:tcBorders>
            <w:gridSpan w:val="2"/>
          </w:tcPr>
          <w:p>
            <w:pPr>
              <w:spacing w:after="0" w:line="209" w:lineRule="exact"/>
              <w:rPr>
                <w:sz w:val="20"/>
                <w:szCs w:val="20"/>
                <w:color w:val="auto"/>
              </w:rPr>
            </w:pPr>
            <w:r>
              <w:rPr>
                <w:rFonts w:ascii="Calibri" w:cs="Calibri" w:eastAsia="Calibri" w:hAnsi="Calibri"/>
                <w:sz w:val="18"/>
                <w:szCs w:val="18"/>
                <w:color w:val="0000FF"/>
                <w:w w:val="87"/>
              </w:rPr>
              <w:t>23</w:t>
            </w:r>
          </w:p>
        </w:tc>
        <w:tc>
          <w:tcPr>
            <w:tcW w:w="0" w:type="dxa"/>
            <w:vAlign w:val="bottom"/>
          </w:tcPr>
          <w:p>
            <w:pPr>
              <w:spacing w:after="0"/>
              <w:rPr>
                <w:sz w:val="1"/>
                <w:szCs w:val="1"/>
                <w:color w:val="auto"/>
              </w:rPr>
            </w:pPr>
          </w:p>
        </w:tc>
      </w:tr>
      <w:tr>
        <w:trPr>
          <w:trHeight w:val="209"/>
        </w:trPr>
        <w:tc>
          <w:tcPr>
            <w:tcW w:w="760" w:type="dxa"/>
            <w:vAlign w:val="bottom"/>
          </w:tcPr>
          <w:p>
            <w:pPr>
              <w:spacing w:after="0"/>
              <w:rPr>
                <w:sz w:val="18"/>
                <w:szCs w:val="18"/>
                <w:color w:val="auto"/>
              </w:rPr>
            </w:pPr>
          </w:p>
        </w:tc>
        <w:tc>
          <w:tcPr>
            <w:tcW w:w="9580" w:type="dxa"/>
            <w:vAlign w:val="bottom"/>
            <w:gridSpan w:val="32"/>
          </w:tcPr>
          <w:p>
            <w:pPr>
              <w:spacing w:after="0" w:line="209" w:lineRule="exact"/>
              <w:rPr>
                <w:sz w:val="20"/>
                <w:szCs w:val="20"/>
                <w:color w:val="auto"/>
              </w:rPr>
            </w:pPr>
            <w:r>
              <w:rPr>
                <w:rFonts w:ascii="Calibri" w:cs="Calibri" w:eastAsia="Calibri" w:hAnsi="Calibri"/>
                <w:sz w:val="18"/>
                <w:szCs w:val="18"/>
                <w:color w:val="0000FF"/>
              </w:rPr>
              <w:t>Corporate Governance Guidelines</w:t>
            </w:r>
          </w:p>
        </w:tc>
        <w:tc>
          <w:tcPr>
            <w:tcW w:w="220" w:type="dxa"/>
            <w:vAlign w:val="bottom"/>
            <w:gridSpan w:val="3"/>
          </w:tcPr>
          <w:p>
            <w:pPr>
              <w:ind w:left="40"/>
              <w:spacing w:after="0" w:line="209" w:lineRule="exact"/>
              <w:rPr>
                <w:sz w:val="20"/>
                <w:szCs w:val="20"/>
                <w:color w:val="auto"/>
              </w:rPr>
            </w:pPr>
            <w:r>
              <w:rPr>
                <w:rFonts w:ascii="Calibri" w:cs="Calibri" w:eastAsia="Calibri" w:hAnsi="Calibri"/>
                <w:sz w:val="18"/>
                <w:szCs w:val="18"/>
                <w:color w:val="0000FF"/>
                <w:w w:val="87"/>
              </w:rPr>
              <w:t>24</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60" w:type="dxa"/>
            <w:vAlign w:val="bottom"/>
          </w:tcPr>
          <w:p>
            <w:pPr>
              <w:spacing w:after="0"/>
              <w:rPr>
                <w:sz w:val="18"/>
                <w:szCs w:val="18"/>
                <w:color w:val="auto"/>
              </w:rPr>
            </w:pPr>
          </w:p>
        </w:tc>
        <w:tc>
          <w:tcPr>
            <w:tcW w:w="9580" w:type="dxa"/>
            <w:vAlign w:val="bottom"/>
            <w:gridSpan w:val="32"/>
          </w:tcPr>
          <w:p>
            <w:pPr>
              <w:spacing w:after="0" w:line="209" w:lineRule="exact"/>
              <w:rPr>
                <w:sz w:val="20"/>
                <w:szCs w:val="20"/>
                <w:color w:val="auto"/>
              </w:rPr>
            </w:pPr>
            <w:r>
              <w:rPr>
                <w:rFonts w:ascii="Calibri" w:cs="Calibri" w:eastAsia="Calibri" w:hAnsi="Calibri"/>
                <w:sz w:val="18"/>
                <w:szCs w:val="18"/>
                <w:color w:val="0000FF"/>
              </w:rPr>
              <w:t>Code of Business Conduct and Ethics</w:t>
            </w:r>
          </w:p>
        </w:tc>
        <w:tc>
          <w:tcPr>
            <w:tcW w:w="220" w:type="dxa"/>
            <w:vAlign w:val="bottom"/>
            <w:gridSpan w:val="3"/>
          </w:tcPr>
          <w:p>
            <w:pPr>
              <w:ind w:left="40"/>
              <w:spacing w:after="0" w:line="209" w:lineRule="exact"/>
              <w:rPr>
                <w:sz w:val="20"/>
                <w:szCs w:val="20"/>
                <w:color w:val="auto"/>
              </w:rPr>
            </w:pPr>
            <w:r>
              <w:rPr>
                <w:rFonts w:ascii="Calibri" w:cs="Calibri" w:eastAsia="Calibri" w:hAnsi="Calibri"/>
                <w:sz w:val="18"/>
                <w:szCs w:val="18"/>
                <w:color w:val="0000FF"/>
                <w:w w:val="87"/>
              </w:rPr>
              <w:t>24</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60" w:type="dxa"/>
            <w:vAlign w:val="bottom"/>
            <w:gridSpan w:val="7"/>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36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660" w:type="dxa"/>
            <w:vAlign w:val="bottom"/>
            <w:tcBorders>
              <w:bottom w:val="single" w:sz="8" w:color="0000FF"/>
            </w:tcBorders>
            <w:gridSpan w:val="5"/>
          </w:tcPr>
          <w:p>
            <w:pPr>
              <w:spacing w:after="0" w:line="209" w:lineRule="exact"/>
              <w:rPr>
                <w:sz w:val="20"/>
                <w:szCs w:val="20"/>
                <w:color w:val="auto"/>
              </w:rPr>
            </w:pPr>
            <w:r>
              <w:rPr>
                <w:rFonts w:ascii="Calibri" w:cs="Calibri" w:eastAsia="Calibri" w:hAnsi="Calibri"/>
                <w:sz w:val="18"/>
                <w:szCs w:val="18"/>
                <w:color w:val="0000FF"/>
                <w:w w:val="98"/>
              </w:rPr>
              <w:t>Director Compensaton</w:t>
            </w:r>
          </w:p>
        </w:tc>
        <w:tc>
          <w:tcPr>
            <w:tcW w:w="8680" w:type="dxa"/>
            <w:vAlign w:val="bottom"/>
            <w:gridSpan w:val="28"/>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Borders>
              <w:bottom w:val="single" w:sz="8" w:color="0000FF"/>
            </w:tcBorders>
            <w:gridSpan w:val="2"/>
          </w:tcPr>
          <w:p>
            <w:pPr>
              <w:spacing w:after="0" w:line="209" w:lineRule="exact"/>
              <w:rPr>
                <w:sz w:val="20"/>
                <w:szCs w:val="20"/>
                <w:color w:val="auto"/>
              </w:rPr>
            </w:pPr>
            <w:r>
              <w:rPr>
                <w:rFonts w:ascii="Calibri" w:cs="Calibri" w:eastAsia="Calibri" w:hAnsi="Calibri"/>
                <w:sz w:val="18"/>
                <w:szCs w:val="18"/>
                <w:color w:val="0000FF"/>
                <w:w w:val="87"/>
              </w:rPr>
              <w:t>25</w:t>
            </w:r>
          </w:p>
        </w:tc>
        <w:tc>
          <w:tcPr>
            <w:tcW w:w="0" w:type="dxa"/>
            <w:vAlign w:val="bottom"/>
          </w:tcPr>
          <w:p>
            <w:pPr>
              <w:spacing w:after="0"/>
              <w:rPr>
                <w:sz w:val="1"/>
                <w:szCs w:val="1"/>
                <w:color w:val="auto"/>
              </w:rPr>
            </w:pPr>
          </w:p>
        </w:tc>
      </w:tr>
      <w:tr>
        <w:trPr>
          <w:trHeight w:val="210"/>
        </w:trPr>
        <w:tc>
          <w:tcPr>
            <w:tcW w:w="760" w:type="dxa"/>
            <w:vAlign w:val="bottom"/>
          </w:tcPr>
          <w:p>
            <w:pPr>
              <w:spacing w:after="0"/>
              <w:rPr>
                <w:sz w:val="18"/>
                <w:szCs w:val="18"/>
                <w:color w:val="auto"/>
              </w:rPr>
            </w:pPr>
          </w:p>
        </w:tc>
        <w:tc>
          <w:tcPr>
            <w:tcW w:w="3400" w:type="dxa"/>
            <w:vAlign w:val="bottom"/>
            <w:tcBorders>
              <w:bottom w:val="single" w:sz="8" w:color="0000FF"/>
            </w:tcBorders>
            <w:gridSpan w:val="24"/>
          </w:tcPr>
          <w:p>
            <w:pPr>
              <w:spacing w:after="0" w:line="209" w:lineRule="exact"/>
              <w:rPr>
                <w:sz w:val="20"/>
                <w:szCs w:val="20"/>
                <w:color w:val="auto"/>
              </w:rPr>
            </w:pPr>
            <w:r>
              <w:rPr>
                <w:rFonts w:ascii="Calibri" w:cs="Calibri" w:eastAsia="Calibri" w:hAnsi="Calibri"/>
                <w:sz w:val="18"/>
                <w:szCs w:val="18"/>
                <w:color w:val="0000FF"/>
                <w:w w:val="97"/>
              </w:rPr>
              <w:t>Non-Employee Director Compensaton Program</w:t>
            </w:r>
          </w:p>
        </w:tc>
        <w:tc>
          <w:tcPr>
            <w:tcW w:w="6180" w:type="dxa"/>
            <w:vAlign w:val="bottom"/>
            <w:gridSpan w:val="8"/>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Borders>
              <w:bottom w:val="single" w:sz="8" w:color="0000FF"/>
            </w:tcBorders>
            <w:gridSpan w:val="2"/>
          </w:tcPr>
          <w:p>
            <w:pPr>
              <w:spacing w:after="0" w:line="209" w:lineRule="exact"/>
              <w:rPr>
                <w:sz w:val="20"/>
                <w:szCs w:val="20"/>
                <w:color w:val="auto"/>
              </w:rPr>
            </w:pPr>
            <w:r>
              <w:rPr>
                <w:rFonts w:ascii="Calibri" w:cs="Calibri" w:eastAsia="Calibri" w:hAnsi="Calibri"/>
                <w:sz w:val="18"/>
                <w:szCs w:val="18"/>
                <w:color w:val="0000FF"/>
                <w:w w:val="87"/>
              </w:rPr>
              <w:t>25</w:t>
            </w:r>
          </w:p>
        </w:tc>
        <w:tc>
          <w:tcPr>
            <w:tcW w:w="0" w:type="dxa"/>
            <w:vAlign w:val="bottom"/>
          </w:tcPr>
          <w:p>
            <w:pPr>
              <w:spacing w:after="0"/>
              <w:rPr>
                <w:sz w:val="1"/>
                <w:szCs w:val="1"/>
                <w:color w:val="auto"/>
              </w:rPr>
            </w:pPr>
          </w:p>
        </w:tc>
      </w:tr>
      <w:tr>
        <w:trPr>
          <w:trHeight w:val="209"/>
        </w:trPr>
        <w:tc>
          <w:tcPr>
            <w:tcW w:w="760" w:type="dxa"/>
            <w:vAlign w:val="bottom"/>
          </w:tcPr>
          <w:p>
            <w:pPr>
              <w:spacing w:after="0"/>
              <w:rPr>
                <w:sz w:val="18"/>
                <w:szCs w:val="18"/>
                <w:color w:val="auto"/>
              </w:rPr>
            </w:pPr>
          </w:p>
        </w:tc>
        <w:tc>
          <w:tcPr>
            <w:tcW w:w="2720" w:type="dxa"/>
            <w:vAlign w:val="bottom"/>
            <w:tcBorders>
              <w:bottom w:val="single" w:sz="8" w:color="0000FF"/>
            </w:tcBorders>
            <w:gridSpan w:val="18"/>
          </w:tcPr>
          <w:p>
            <w:pPr>
              <w:spacing w:after="0" w:line="209" w:lineRule="exact"/>
              <w:rPr>
                <w:sz w:val="20"/>
                <w:szCs w:val="20"/>
                <w:color w:val="auto"/>
              </w:rPr>
            </w:pPr>
            <w:r>
              <w:rPr>
                <w:rFonts w:ascii="Calibri" w:cs="Calibri" w:eastAsia="Calibri" w:hAnsi="Calibri"/>
                <w:sz w:val="18"/>
                <w:szCs w:val="18"/>
                <w:color w:val="0000FF"/>
                <w:w w:val="97"/>
              </w:rPr>
              <w:t>Director Compensaton for Fiscal 2023</w:t>
            </w:r>
          </w:p>
        </w:tc>
        <w:tc>
          <w:tcPr>
            <w:tcW w:w="6860" w:type="dxa"/>
            <w:vAlign w:val="bottom"/>
            <w:gridSpan w:val="14"/>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Borders>
              <w:bottom w:val="single" w:sz="8" w:color="0000FF"/>
            </w:tcBorders>
            <w:gridSpan w:val="2"/>
          </w:tcPr>
          <w:p>
            <w:pPr>
              <w:spacing w:after="0" w:line="209" w:lineRule="exact"/>
              <w:rPr>
                <w:sz w:val="20"/>
                <w:szCs w:val="20"/>
                <w:color w:val="auto"/>
              </w:rPr>
            </w:pPr>
            <w:r>
              <w:rPr>
                <w:rFonts w:ascii="Calibri" w:cs="Calibri" w:eastAsia="Calibri" w:hAnsi="Calibri"/>
                <w:sz w:val="18"/>
                <w:szCs w:val="18"/>
                <w:color w:val="0000FF"/>
                <w:w w:val="87"/>
              </w:rPr>
              <w:t>27</w:t>
            </w:r>
          </w:p>
        </w:tc>
        <w:tc>
          <w:tcPr>
            <w:tcW w:w="0" w:type="dxa"/>
            <w:vAlign w:val="bottom"/>
          </w:tcPr>
          <w:p>
            <w:pPr>
              <w:spacing w:after="0"/>
              <w:rPr>
                <w:sz w:val="1"/>
                <w:szCs w:val="1"/>
                <w:color w:val="auto"/>
              </w:rPr>
            </w:pPr>
          </w:p>
        </w:tc>
      </w:tr>
      <w:tr>
        <w:trPr>
          <w:trHeight w:val="210"/>
        </w:trPr>
        <w:tc>
          <w:tcPr>
            <w:tcW w:w="3160" w:type="dxa"/>
            <w:vAlign w:val="bottom"/>
            <w:tcBorders>
              <w:bottom w:val="single" w:sz="8" w:color="0000FF"/>
            </w:tcBorders>
            <w:gridSpan w:val="16"/>
          </w:tcPr>
          <w:p>
            <w:pPr>
              <w:spacing w:after="0" w:line="209" w:lineRule="exact"/>
              <w:rPr>
                <w:sz w:val="20"/>
                <w:szCs w:val="20"/>
                <w:color w:val="auto"/>
              </w:rPr>
            </w:pPr>
            <w:r>
              <w:rPr>
                <w:rFonts w:ascii="Calibri" w:cs="Calibri" w:eastAsia="Calibri" w:hAnsi="Calibri"/>
                <w:sz w:val="18"/>
                <w:szCs w:val="18"/>
                <w:color w:val="0000FF"/>
                <w:w w:val="98"/>
              </w:rPr>
              <w:t>Proposal No. 1: Electon of Class III Directors</w:t>
            </w:r>
          </w:p>
        </w:tc>
        <w:tc>
          <w:tcPr>
            <w:tcW w:w="7180" w:type="dxa"/>
            <w:vAlign w:val="bottom"/>
            <w:gridSpan w:val="17"/>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Borders>
              <w:bottom w:val="single" w:sz="8" w:color="0000FF"/>
            </w:tcBorders>
            <w:gridSpan w:val="2"/>
          </w:tcPr>
          <w:p>
            <w:pPr>
              <w:spacing w:after="0" w:line="209" w:lineRule="exact"/>
              <w:rPr>
                <w:sz w:val="20"/>
                <w:szCs w:val="20"/>
                <w:color w:val="auto"/>
              </w:rPr>
            </w:pPr>
            <w:r>
              <w:rPr>
                <w:rFonts w:ascii="Calibri" w:cs="Calibri" w:eastAsia="Calibri" w:hAnsi="Calibri"/>
                <w:sz w:val="18"/>
                <w:szCs w:val="18"/>
                <w:color w:val="0000FF"/>
                <w:w w:val="87"/>
              </w:rPr>
              <w:t>29</w:t>
            </w:r>
          </w:p>
        </w:tc>
        <w:tc>
          <w:tcPr>
            <w:tcW w:w="0" w:type="dxa"/>
            <w:vAlign w:val="bottom"/>
          </w:tcPr>
          <w:p>
            <w:pPr>
              <w:spacing w:after="0"/>
              <w:rPr>
                <w:sz w:val="1"/>
                <w:szCs w:val="1"/>
                <w:color w:val="auto"/>
              </w:rPr>
            </w:pPr>
          </w:p>
        </w:tc>
      </w:tr>
      <w:tr>
        <w:trPr>
          <w:trHeight w:val="210"/>
        </w:trPr>
        <w:tc>
          <w:tcPr>
            <w:tcW w:w="10340" w:type="dxa"/>
            <w:vAlign w:val="bottom"/>
            <w:gridSpan w:val="33"/>
          </w:tcPr>
          <w:p>
            <w:pPr>
              <w:spacing w:after="0" w:line="209" w:lineRule="exact"/>
              <w:rPr>
                <w:sz w:val="20"/>
                <w:szCs w:val="20"/>
                <w:color w:val="auto"/>
              </w:rPr>
            </w:pPr>
            <w:r>
              <w:rPr>
                <w:rFonts w:ascii="Calibri" w:cs="Calibri" w:eastAsia="Calibri" w:hAnsi="Calibri"/>
                <w:sz w:val="18"/>
                <w:szCs w:val="18"/>
                <w:color w:val="0000FF"/>
              </w:rPr>
              <w:t>Report of the Audit and Risk Commitee</w:t>
            </w:r>
          </w:p>
        </w:tc>
        <w:tc>
          <w:tcPr>
            <w:tcW w:w="220" w:type="dxa"/>
            <w:vAlign w:val="bottom"/>
            <w:gridSpan w:val="3"/>
          </w:tcPr>
          <w:p>
            <w:pPr>
              <w:ind w:left="40"/>
              <w:spacing w:after="0" w:line="209" w:lineRule="exact"/>
              <w:rPr>
                <w:sz w:val="20"/>
                <w:szCs w:val="20"/>
                <w:color w:val="auto"/>
              </w:rPr>
            </w:pPr>
            <w:r>
              <w:rPr>
                <w:rFonts w:ascii="Calibri" w:cs="Calibri" w:eastAsia="Calibri" w:hAnsi="Calibri"/>
                <w:sz w:val="18"/>
                <w:szCs w:val="18"/>
                <w:color w:val="0000FF"/>
                <w:w w:val="87"/>
              </w:rPr>
              <w:t>30</w:t>
            </w:r>
          </w:p>
        </w:tc>
        <w:tc>
          <w:tcPr>
            <w:tcW w:w="0" w:type="dxa"/>
            <w:vAlign w:val="bottom"/>
          </w:tcPr>
          <w:p>
            <w:pPr>
              <w:spacing w:after="0"/>
              <w:rPr>
                <w:sz w:val="1"/>
                <w:szCs w:val="1"/>
                <w:color w:val="auto"/>
              </w:rPr>
            </w:pPr>
          </w:p>
        </w:tc>
      </w:tr>
      <w:tr>
        <w:trPr>
          <w:trHeight w:val="20"/>
        </w:trPr>
        <w:tc>
          <w:tcPr>
            <w:tcW w:w="1260" w:type="dxa"/>
            <w:vAlign w:val="bottom"/>
            <w:gridSpan w:val="2"/>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860" w:type="dxa"/>
            <w:vAlign w:val="bottom"/>
            <w:gridSpan w:val="7"/>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620" w:type="dxa"/>
            <w:vAlign w:val="bottom"/>
            <w:gridSpan w:val="4"/>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36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0340" w:type="dxa"/>
            <w:vAlign w:val="bottom"/>
            <w:gridSpan w:val="33"/>
          </w:tcPr>
          <w:p>
            <w:pPr>
              <w:spacing w:after="0" w:line="209" w:lineRule="exact"/>
              <w:rPr>
                <w:sz w:val="20"/>
                <w:szCs w:val="20"/>
                <w:color w:val="auto"/>
              </w:rPr>
            </w:pPr>
            <w:r>
              <w:rPr>
                <w:rFonts w:ascii="Calibri" w:cs="Calibri" w:eastAsia="Calibri" w:hAnsi="Calibri"/>
                <w:sz w:val="18"/>
                <w:szCs w:val="18"/>
                <w:color w:val="0000FF"/>
              </w:rPr>
              <w:t>Independent Registered Public Accountng Firm</w:t>
            </w:r>
          </w:p>
        </w:tc>
        <w:tc>
          <w:tcPr>
            <w:tcW w:w="220" w:type="dxa"/>
            <w:vAlign w:val="bottom"/>
            <w:gridSpan w:val="3"/>
          </w:tcPr>
          <w:p>
            <w:pPr>
              <w:ind w:left="40"/>
              <w:spacing w:after="0" w:line="209" w:lineRule="exact"/>
              <w:rPr>
                <w:sz w:val="20"/>
                <w:szCs w:val="20"/>
                <w:color w:val="auto"/>
              </w:rPr>
            </w:pPr>
            <w:r>
              <w:rPr>
                <w:rFonts w:ascii="Calibri" w:cs="Calibri" w:eastAsia="Calibri" w:hAnsi="Calibri"/>
                <w:sz w:val="18"/>
                <w:szCs w:val="18"/>
                <w:color w:val="0000FF"/>
              </w:rPr>
              <w:t>#</w:t>
            </w:r>
          </w:p>
        </w:tc>
        <w:tc>
          <w:tcPr>
            <w:tcW w:w="0" w:type="dxa"/>
            <w:vAlign w:val="bottom"/>
          </w:tcPr>
          <w:p>
            <w:pPr>
              <w:spacing w:after="0"/>
              <w:rPr>
                <w:sz w:val="1"/>
                <w:szCs w:val="1"/>
                <w:color w:val="auto"/>
              </w:rPr>
            </w:pPr>
          </w:p>
        </w:tc>
      </w:tr>
      <w:tr>
        <w:trPr>
          <w:trHeight w:val="20"/>
        </w:trPr>
        <w:tc>
          <w:tcPr>
            <w:tcW w:w="1260" w:type="dxa"/>
            <w:vAlign w:val="bottom"/>
            <w:gridSpan w:val="2"/>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860" w:type="dxa"/>
            <w:vAlign w:val="bottom"/>
            <w:gridSpan w:val="7"/>
            <w:shd w:val="clear" w:color="auto" w:fill="0000FF"/>
          </w:tcPr>
          <w:p>
            <w:pPr>
              <w:spacing w:after="0" w:line="20" w:lineRule="exact"/>
              <w:rPr>
                <w:sz w:val="1"/>
                <w:szCs w:val="1"/>
                <w:color w:val="auto"/>
              </w:rPr>
            </w:pPr>
          </w:p>
        </w:tc>
        <w:tc>
          <w:tcPr>
            <w:tcW w:w="540" w:type="dxa"/>
            <w:vAlign w:val="bottom"/>
            <w:tcBorders>
              <w:right w:val="single" w:sz="8" w:color="0000FF"/>
            </w:tcBorders>
            <w:gridSpan w:val="3"/>
            <w:shd w:val="clear" w:color="auto" w:fill="0000FF"/>
          </w:tcPr>
          <w:p>
            <w:pPr>
              <w:spacing w:after="0" w:line="20" w:lineRule="exact"/>
              <w:rPr>
                <w:sz w:val="1"/>
                <w:szCs w:val="1"/>
                <w:color w:val="auto"/>
              </w:rPr>
            </w:pPr>
          </w:p>
        </w:tc>
        <w:tc>
          <w:tcPr>
            <w:tcW w:w="220" w:type="dxa"/>
            <w:vAlign w:val="bottom"/>
            <w:tcBorders>
              <w:left w:val="single" w:sz="8" w:color="0000FF"/>
            </w:tcBorders>
            <w:gridSpan w:val="2"/>
            <w:shd w:val="clear" w:color="auto" w:fill="0000FF"/>
          </w:tcPr>
          <w:p>
            <w:pPr>
              <w:spacing w:after="0" w:line="20" w:lineRule="exact"/>
              <w:rPr>
                <w:sz w:val="1"/>
                <w:szCs w:val="1"/>
                <w:color w:val="auto"/>
              </w:rPr>
            </w:pPr>
          </w:p>
        </w:tc>
        <w:tc>
          <w:tcPr>
            <w:tcW w:w="620" w:type="dxa"/>
            <w:vAlign w:val="bottom"/>
            <w:gridSpan w:val="4"/>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36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0340" w:type="dxa"/>
            <w:vAlign w:val="bottom"/>
            <w:gridSpan w:val="33"/>
          </w:tcPr>
          <w:p>
            <w:pPr>
              <w:spacing w:after="0" w:line="209" w:lineRule="exact"/>
              <w:rPr>
                <w:sz w:val="20"/>
                <w:szCs w:val="20"/>
                <w:color w:val="auto"/>
              </w:rPr>
            </w:pPr>
            <w:r>
              <w:rPr>
                <w:rFonts w:ascii="Calibri" w:cs="Calibri" w:eastAsia="Calibri" w:hAnsi="Calibri"/>
                <w:sz w:val="18"/>
                <w:szCs w:val="18"/>
                <w:color w:val="0000FF"/>
                <w:w w:val="98"/>
              </w:rPr>
              <w:t>Proposal No. 3: Approval of Amendment to 2021 Omnibus Incentve Plan to Increase the Number of Authorized Shares of Class A Common Stock</w:t>
            </w:r>
          </w:p>
        </w:tc>
        <w:tc>
          <w:tcPr>
            <w:tcW w:w="220" w:type="dxa"/>
            <w:vAlign w:val="bottom"/>
            <w:gridSpan w:val="3"/>
            <w:vMerge w:val="restart"/>
          </w:tcPr>
          <w:p>
            <w:pPr>
              <w:ind w:left="40"/>
              <w:spacing w:after="0"/>
              <w:rPr>
                <w:sz w:val="20"/>
                <w:szCs w:val="20"/>
                <w:color w:val="auto"/>
              </w:rPr>
            </w:pPr>
            <w:r>
              <w:rPr>
                <w:rFonts w:ascii="Calibri" w:cs="Calibri" w:eastAsia="Calibri" w:hAnsi="Calibri"/>
                <w:sz w:val="18"/>
                <w:szCs w:val="18"/>
                <w:color w:val="0000FF"/>
                <w:w w:val="87"/>
              </w:rPr>
              <w:t>33</w:t>
            </w:r>
          </w:p>
        </w:tc>
        <w:tc>
          <w:tcPr>
            <w:tcW w:w="0" w:type="dxa"/>
            <w:vAlign w:val="bottom"/>
          </w:tcPr>
          <w:p>
            <w:pPr>
              <w:spacing w:after="0"/>
              <w:rPr>
                <w:sz w:val="1"/>
                <w:szCs w:val="1"/>
                <w:color w:val="auto"/>
              </w:rPr>
            </w:pPr>
          </w:p>
        </w:tc>
      </w:tr>
      <w:tr>
        <w:trPr>
          <w:trHeight w:val="169"/>
        </w:trPr>
        <w:tc>
          <w:tcPr>
            <w:tcW w:w="10280" w:type="dxa"/>
            <w:vAlign w:val="bottom"/>
            <w:tcBorders>
              <w:top w:val="single" w:sz="8" w:color="0000FF"/>
            </w:tcBorders>
            <w:gridSpan w:val="32"/>
          </w:tcPr>
          <w:p>
            <w:pPr>
              <w:spacing w:after="0" w:line="169" w:lineRule="exact"/>
              <w:rPr>
                <w:sz w:val="20"/>
                <w:szCs w:val="20"/>
                <w:color w:val="auto"/>
              </w:rPr>
            </w:pPr>
            <w:r>
              <w:rPr>
                <w:rFonts w:ascii="Calibri" w:cs="Calibri" w:eastAsia="Calibri" w:hAnsi="Calibri"/>
                <w:sz w:val="18"/>
                <w:szCs w:val="18"/>
                <w:color w:val="0000FF"/>
              </w:rPr>
              <w:t>Issuable Thereunder</w:t>
            </w:r>
          </w:p>
        </w:tc>
        <w:tc>
          <w:tcPr>
            <w:tcW w:w="60" w:type="dxa"/>
            <w:vAlign w:val="bottom"/>
          </w:tcPr>
          <w:p>
            <w:pPr>
              <w:spacing w:after="0"/>
              <w:rPr>
                <w:sz w:val="14"/>
                <w:szCs w:val="14"/>
                <w:color w:val="auto"/>
              </w:rPr>
            </w:pPr>
          </w:p>
        </w:tc>
        <w:tc>
          <w:tcPr>
            <w:tcW w:w="22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76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860" w:type="dxa"/>
            <w:vAlign w:val="bottom"/>
            <w:gridSpan w:val="7"/>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620" w:type="dxa"/>
            <w:vAlign w:val="bottom"/>
            <w:gridSpan w:val="4"/>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2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60" w:type="dxa"/>
            <w:vAlign w:val="bottom"/>
          </w:tcPr>
          <w:p>
            <w:pPr>
              <w:spacing w:after="0"/>
              <w:rPr>
                <w:sz w:val="18"/>
                <w:szCs w:val="18"/>
                <w:color w:val="auto"/>
              </w:rPr>
            </w:pPr>
          </w:p>
        </w:tc>
        <w:tc>
          <w:tcPr>
            <w:tcW w:w="9580" w:type="dxa"/>
            <w:vAlign w:val="bottom"/>
            <w:gridSpan w:val="32"/>
          </w:tcPr>
          <w:p>
            <w:pPr>
              <w:spacing w:after="0" w:line="209" w:lineRule="exact"/>
              <w:rPr>
                <w:sz w:val="20"/>
                <w:szCs w:val="20"/>
                <w:color w:val="auto"/>
              </w:rPr>
            </w:pPr>
            <w:r>
              <w:rPr>
                <w:rFonts w:ascii="Calibri" w:cs="Calibri" w:eastAsia="Calibri" w:hAnsi="Calibri"/>
                <w:sz w:val="18"/>
                <w:szCs w:val="18"/>
                <w:color w:val="0000FF"/>
              </w:rPr>
              <w:t>Background</w:t>
            </w:r>
          </w:p>
        </w:tc>
        <w:tc>
          <w:tcPr>
            <w:tcW w:w="220" w:type="dxa"/>
            <w:vAlign w:val="bottom"/>
            <w:gridSpan w:val="3"/>
          </w:tcPr>
          <w:p>
            <w:pPr>
              <w:ind w:left="40"/>
              <w:spacing w:after="0" w:line="209" w:lineRule="exact"/>
              <w:rPr>
                <w:sz w:val="20"/>
                <w:szCs w:val="20"/>
                <w:color w:val="auto"/>
              </w:rPr>
            </w:pPr>
            <w:r>
              <w:rPr>
                <w:rFonts w:ascii="Calibri" w:cs="Calibri" w:eastAsia="Calibri" w:hAnsi="Calibri"/>
                <w:sz w:val="18"/>
                <w:szCs w:val="18"/>
                <w:color w:val="0000FF"/>
                <w:w w:val="87"/>
              </w:rPr>
              <w:t>33</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860" w:type="dxa"/>
            <w:vAlign w:val="bottom"/>
            <w:gridSpan w:val="7"/>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620" w:type="dxa"/>
            <w:vAlign w:val="bottom"/>
            <w:gridSpan w:val="4"/>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2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60" w:type="dxa"/>
            <w:vAlign w:val="bottom"/>
          </w:tcPr>
          <w:p>
            <w:pPr>
              <w:spacing w:after="0"/>
              <w:rPr>
                <w:sz w:val="18"/>
                <w:szCs w:val="18"/>
                <w:color w:val="auto"/>
              </w:rPr>
            </w:pPr>
          </w:p>
        </w:tc>
        <w:tc>
          <w:tcPr>
            <w:tcW w:w="3400" w:type="dxa"/>
            <w:vAlign w:val="bottom"/>
            <w:tcBorders>
              <w:bottom w:val="single" w:sz="8" w:color="0000FF"/>
            </w:tcBorders>
            <w:gridSpan w:val="24"/>
          </w:tcPr>
          <w:p>
            <w:pPr>
              <w:spacing w:after="0" w:line="209" w:lineRule="exact"/>
              <w:rPr>
                <w:sz w:val="20"/>
                <w:szCs w:val="20"/>
                <w:color w:val="auto"/>
              </w:rPr>
            </w:pPr>
            <w:r>
              <w:rPr>
                <w:rFonts w:ascii="Calibri" w:cs="Calibri" w:eastAsia="Calibri" w:hAnsi="Calibri"/>
                <w:sz w:val="18"/>
                <w:szCs w:val="18"/>
                <w:color w:val="0000FF"/>
                <w:w w:val="99"/>
              </w:rPr>
              <w:t>Descripton of the 2021 Omnibus Incentve Plan</w:t>
            </w:r>
          </w:p>
        </w:tc>
        <w:tc>
          <w:tcPr>
            <w:tcW w:w="6180" w:type="dxa"/>
            <w:vAlign w:val="bottom"/>
            <w:gridSpan w:val="8"/>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Borders>
              <w:bottom w:val="single" w:sz="8" w:color="0000FF"/>
            </w:tcBorders>
            <w:gridSpan w:val="2"/>
          </w:tcPr>
          <w:p>
            <w:pPr>
              <w:spacing w:after="0" w:line="209" w:lineRule="exact"/>
              <w:rPr>
                <w:sz w:val="20"/>
                <w:szCs w:val="20"/>
                <w:color w:val="auto"/>
              </w:rPr>
            </w:pPr>
            <w:r>
              <w:rPr>
                <w:rFonts w:ascii="Calibri" w:cs="Calibri" w:eastAsia="Calibri" w:hAnsi="Calibri"/>
                <w:sz w:val="18"/>
                <w:szCs w:val="18"/>
                <w:color w:val="0000FF"/>
                <w:w w:val="87"/>
              </w:rPr>
              <w:t>34</w:t>
            </w:r>
          </w:p>
        </w:tc>
        <w:tc>
          <w:tcPr>
            <w:tcW w:w="0" w:type="dxa"/>
            <w:vAlign w:val="bottom"/>
          </w:tcPr>
          <w:p>
            <w:pPr>
              <w:spacing w:after="0"/>
              <w:rPr>
                <w:sz w:val="1"/>
                <w:szCs w:val="1"/>
                <w:color w:val="auto"/>
              </w:rPr>
            </w:pPr>
          </w:p>
        </w:tc>
      </w:tr>
      <w:tr>
        <w:trPr>
          <w:trHeight w:val="209"/>
        </w:trPr>
        <w:tc>
          <w:tcPr>
            <w:tcW w:w="760" w:type="dxa"/>
            <w:vAlign w:val="bottom"/>
          </w:tcPr>
          <w:p>
            <w:pPr>
              <w:spacing w:after="0"/>
              <w:rPr>
                <w:sz w:val="18"/>
                <w:szCs w:val="18"/>
                <w:color w:val="auto"/>
              </w:rPr>
            </w:pPr>
          </w:p>
        </w:tc>
        <w:tc>
          <w:tcPr>
            <w:tcW w:w="4160" w:type="dxa"/>
            <w:vAlign w:val="bottom"/>
            <w:tcBorders>
              <w:bottom w:val="single" w:sz="8" w:color="0000FF"/>
            </w:tcBorders>
            <w:gridSpan w:val="28"/>
          </w:tcPr>
          <w:p>
            <w:pPr>
              <w:spacing w:after="0" w:line="209" w:lineRule="exact"/>
              <w:rPr>
                <w:sz w:val="20"/>
                <w:szCs w:val="20"/>
                <w:color w:val="auto"/>
              </w:rPr>
            </w:pPr>
            <w:r>
              <w:rPr>
                <w:rFonts w:ascii="Calibri" w:cs="Calibri" w:eastAsia="Calibri" w:hAnsi="Calibri"/>
                <w:sz w:val="18"/>
                <w:szCs w:val="18"/>
                <w:color w:val="0000FF"/>
                <w:w w:val="98"/>
              </w:rPr>
              <w:t>New Plan Benefts under the 2021 Omnibus Incentve Plan</w:t>
            </w:r>
          </w:p>
        </w:tc>
        <w:tc>
          <w:tcPr>
            <w:tcW w:w="5420" w:type="dxa"/>
            <w:vAlign w:val="bottom"/>
            <w:gridSpan w:val="4"/>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Borders>
              <w:bottom w:val="single" w:sz="8" w:color="0000FF"/>
            </w:tcBorders>
            <w:gridSpan w:val="2"/>
          </w:tcPr>
          <w:p>
            <w:pPr>
              <w:spacing w:after="0" w:line="209" w:lineRule="exact"/>
              <w:rPr>
                <w:sz w:val="20"/>
                <w:szCs w:val="20"/>
                <w:color w:val="auto"/>
              </w:rPr>
            </w:pPr>
            <w:r>
              <w:rPr>
                <w:rFonts w:ascii="Calibri" w:cs="Calibri" w:eastAsia="Calibri" w:hAnsi="Calibri"/>
                <w:sz w:val="18"/>
                <w:szCs w:val="18"/>
                <w:color w:val="0000FF"/>
                <w:w w:val="87"/>
              </w:rPr>
              <w:t>43</w:t>
            </w:r>
          </w:p>
        </w:tc>
        <w:tc>
          <w:tcPr>
            <w:tcW w:w="0" w:type="dxa"/>
            <w:vAlign w:val="bottom"/>
          </w:tcPr>
          <w:p>
            <w:pPr>
              <w:spacing w:after="0"/>
              <w:rPr>
                <w:sz w:val="1"/>
                <w:szCs w:val="1"/>
                <w:color w:val="auto"/>
              </w:rPr>
            </w:pPr>
          </w:p>
        </w:tc>
      </w:tr>
      <w:tr>
        <w:trPr>
          <w:trHeight w:val="210"/>
        </w:trPr>
        <w:tc>
          <w:tcPr>
            <w:tcW w:w="10340" w:type="dxa"/>
            <w:vAlign w:val="bottom"/>
            <w:gridSpan w:val="33"/>
          </w:tcPr>
          <w:p>
            <w:pPr>
              <w:spacing w:after="0" w:line="209" w:lineRule="exact"/>
              <w:rPr>
                <w:sz w:val="20"/>
                <w:szCs w:val="20"/>
                <w:color w:val="auto"/>
              </w:rPr>
            </w:pPr>
            <w:r>
              <w:rPr>
                <w:rFonts w:ascii="Calibri" w:cs="Calibri" w:eastAsia="Calibri" w:hAnsi="Calibri"/>
                <w:sz w:val="18"/>
                <w:szCs w:val="18"/>
                <w:color w:val="0000FF"/>
              </w:rPr>
              <w:t>Proposal No. 4: Simple Majority Vote</w:t>
            </w:r>
          </w:p>
        </w:tc>
        <w:tc>
          <w:tcPr>
            <w:tcW w:w="220" w:type="dxa"/>
            <w:vAlign w:val="bottom"/>
            <w:gridSpan w:val="3"/>
          </w:tcPr>
          <w:p>
            <w:pPr>
              <w:ind w:left="40"/>
              <w:spacing w:after="0" w:line="209" w:lineRule="exact"/>
              <w:rPr>
                <w:sz w:val="20"/>
                <w:szCs w:val="20"/>
                <w:color w:val="auto"/>
              </w:rPr>
            </w:pPr>
            <w:r>
              <w:rPr>
                <w:rFonts w:ascii="Calibri" w:cs="Calibri" w:eastAsia="Calibri" w:hAnsi="Calibri"/>
                <w:sz w:val="18"/>
                <w:szCs w:val="18"/>
                <w:color w:val="0000FF"/>
                <w:w w:val="87"/>
              </w:rPr>
              <w:t>44</w:t>
            </w:r>
          </w:p>
        </w:tc>
        <w:tc>
          <w:tcPr>
            <w:tcW w:w="0" w:type="dxa"/>
            <w:vAlign w:val="bottom"/>
          </w:tcPr>
          <w:p>
            <w:pPr>
              <w:spacing w:after="0"/>
              <w:rPr>
                <w:sz w:val="1"/>
                <w:szCs w:val="1"/>
                <w:color w:val="auto"/>
              </w:rPr>
            </w:pPr>
          </w:p>
        </w:tc>
      </w:tr>
      <w:tr>
        <w:trPr>
          <w:trHeight w:val="210"/>
        </w:trPr>
        <w:tc>
          <w:tcPr>
            <w:tcW w:w="2620" w:type="dxa"/>
            <w:vAlign w:val="bottom"/>
            <w:tcBorders>
              <w:top w:val="single" w:sz="8" w:color="0000FF"/>
            </w:tcBorders>
            <w:gridSpan w:val="13"/>
          </w:tcPr>
          <w:p>
            <w:pPr>
              <w:spacing w:after="0" w:line="209" w:lineRule="exact"/>
              <w:rPr>
                <w:sz w:val="20"/>
                <w:szCs w:val="20"/>
                <w:color w:val="auto"/>
              </w:rPr>
            </w:pPr>
            <w:r>
              <w:rPr>
                <w:rFonts w:ascii="Calibri" w:cs="Calibri" w:eastAsia="Calibri" w:hAnsi="Calibri"/>
                <w:sz w:val="18"/>
                <w:szCs w:val="18"/>
                <w:color w:val="0000FF"/>
              </w:rPr>
              <w:t>Executve Ofcers</w:t>
            </w:r>
          </w:p>
        </w:tc>
        <w:tc>
          <w:tcPr>
            <w:tcW w:w="7720" w:type="dxa"/>
            <w:vAlign w:val="bottom"/>
            <w:gridSpan w:val="20"/>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Borders>
              <w:top w:val="single" w:sz="8" w:color="0000FF"/>
            </w:tcBorders>
            <w:gridSpan w:val="2"/>
          </w:tcPr>
          <w:p>
            <w:pPr>
              <w:spacing w:after="0" w:line="209" w:lineRule="exact"/>
              <w:rPr>
                <w:sz w:val="20"/>
                <w:szCs w:val="20"/>
                <w:color w:val="auto"/>
              </w:rPr>
            </w:pPr>
            <w:r>
              <w:rPr>
                <w:rFonts w:ascii="Calibri" w:cs="Calibri" w:eastAsia="Calibri" w:hAnsi="Calibri"/>
                <w:sz w:val="18"/>
                <w:szCs w:val="18"/>
                <w:color w:val="0000FF"/>
                <w:w w:val="87"/>
              </w:rPr>
              <w:t>49</w:t>
            </w:r>
          </w:p>
        </w:tc>
        <w:tc>
          <w:tcPr>
            <w:tcW w:w="0" w:type="dxa"/>
            <w:vAlign w:val="bottom"/>
          </w:tcPr>
          <w:p>
            <w:pPr>
              <w:spacing w:after="0"/>
              <w:rPr>
                <w:sz w:val="1"/>
                <w:szCs w:val="1"/>
                <w:color w:val="auto"/>
              </w:rPr>
            </w:pPr>
          </w:p>
        </w:tc>
      </w:tr>
      <w:tr>
        <w:trPr>
          <w:trHeight w:val="20"/>
        </w:trPr>
        <w:tc>
          <w:tcPr>
            <w:tcW w:w="1260" w:type="dxa"/>
            <w:vAlign w:val="bottom"/>
            <w:gridSpan w:val="2"/>
            <w:shd w:val="clear" w:color="auto" w:fill="0000FF"/>
          </w:tcPr>
          <w:p>
            <w:pPr>
              <w:spacing w:after="0" w:line="20" w:lineRule="exact"/>
              <w:rPr>
                <w:sz w:val="1"/>
                <w:szCs w:val="1"/>
                <w:color w:val="auto"/>
              </w:rPr>
            </w:pPr>
          </w:p>
        </w:tc>
        <w:tc>
          <w:tcPr>
            <w:tcW w:w="500" w:type="dxa"/>
            <w:vAlign w:val="bottom"/>
            <w:gridSpan w:val="4"/>
          </w:tcPr>
          <w:p>
            <w:pPr>
              <w:spacing w:after="0" w:line="20" w:lineRule="exact"/>
              <w:rPr>
                <w:sz w:val="1"/>
                <w:szCs w:val="1"/>
                <w:color w:val="auto"/>
              </w:rPr>
            </w:pPr>
          </w:p>
        </w:tc>
        <w:tc>
          <w:tcPr>
            <w:tcW w:w="1400" w:type="dxa"/>
            <w:vAlign w:val="bottom"/>
            <w:gridSpan w:val="10"/>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620" w:type="dxa"/>
            <w:vAlign w:val="bottom"/>
            <w:gridSpan w:val="4"/>
          </w:tcPr>
          <w:p>
            <w:pPr>
              <w:spacing w:after="0" w:line="20" w:lineRule="exact"/>
              <w:rPr>
                <w:sz w:val="1"/>
                <w:szCs w:val="1"/>
                <w:color w:val="auto"/>
              </w:rPr>
            </w:pPr>
          </w:p>
        </w:tc>
        <w:tc>
          <w:tcPr>
            <w:tcW w:w="640" w:type="dxa"/>
            <w:vAlign w:val="bottom"/>
            <w:gridSpan w:val="6"/>
          </w:tcPr>
          <w:p>
            <w:pPr>
              <w:spacing w:after="0" w:line="20" w:lineRule="exact"/>
              <w:rPr>
                <w:sz w:val="1"/>
                <w:szCs w:val="1"/>
                <w:color w:val="auto"/>
              </w:rPr>
            </w:pPr>
          </w:p>
        </w:tc>
        <w:tc>
          <w:tcPr>
            <w:tcW w:w="5700" w:type="dxa"/>
            <w:vAlign w:val="bottom"/>
            <w:gridSpan w:val="5"/>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760" w:type="dxa"/>
            <w:vAlign w:val="bottom"/>
            <w:tcBorders>
              <w:bottom w:val="single" w:sz="8" w:color="0000FF"/>
            </w:tcBorders>
            <w:gridSpan w:val="6"/>
          </w:tcPr>
          <w:p>
            <w:pPr>
              <w:spacing w:after="0" w:line="209" w:lineRule="exact"/>
              <w:rPr>
                <w:sz w:val="20"/>
                <w:szCs w:val="20"/>
                <w:color w:val="auto"/>
              </w:rPr>
            </w:pPr>
            <w:r>
              <w:rPr>
                <w:rFonts w:ascii="Calibri" w:cs="Calibri" w:eastAsia="Calibri" w:hAnsi="Calibri"/>
                <w:sz w:val="18"/>
                <w:szCs w:val="18"/>
                <w:color w:val="0000FF"/>
              </w:rPr>
              <w:t>Executve Compensaton</w:t>
            </w:r>
          </w:p>
        </w:tc>
        <w:tc>
          <w:tcPr>
            <w:tcW w:w="8580" w:type="dxa"/>
            <w:vAlign w:val="bottom"/>
            <w:gridSpan w:val="27"/>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Borders>
              <w:bottom w:val="single" w:sz="8" w:color="0000FF"/>
            </w:tcBorders>
            <w:gridSpan w:val="2"/>
          </w:tcPr>
          <w:p>
            <w:pPr>
              <w:spacing w:after="0" w:line="209" w:lineRule="exact"/>
              <w:rPr>
                <w:sz w:val="20"/>
                <w:szCs w:val="20"/>
                <w:color w:val="auto"/>
              </w:rPr>
            </w:pPr>
            <w:r>
              <w:rPr>
                <w:rFonts w:ascii="Calibri" w:cs="Calibri" w:eastAsia="Calibri" w:hAnsi="Calibri"/>
                <w:sz w:val="18"/>
                <w:szCs w:val="18"/>
                <w:color w:val="0000FF"/>
                <w:w w:val="87"/>
              </w:rPr>
              <w:t>50</w:t>
            </w:r>
          </w:p>
        </w:tc>
        <w:tc>
          <w:tcPr>
            <w:tcW w:w="0" w:type="dxa"/>
            <w:vAlign w:val="bottom"/>
          </w:tcPr>
          <w:p>
            <w:pPr>
              <w:spacing w:after="0"/>
              <w:rPr>
                <w:sz w:val="1"/>
                <w:szCs w:val="1"/>
                <w:color w:val="auto"/>
              </w:rPr>
            </w:pPr>
          </w:p>
        </w:tc>
      </w:tr>
      <w:tr>
        <w:trPr>
          <w:trHeight w:val="209"/>
        </w:trPr>
        <w:tc>
          <w:tcPr>
            <w:tcW w:w="760" w:type="dxa"/>
            <w:vAlign w:val="bottom"/>
          </w:tcPr>
          <w:p>
            <w:pPr>
              <w:spacing w:after="0"/>
              <w:rPr>
                <w:sz w:val="18"/>
                <w:szCs w:val="18"/>
                <w:color w:val="auto"/>
              </w:rPr>
            </w:pPr>
          </w:p>
        </w:tc>
        <w:tc>
          <w:tcPr>
            <w:tcW w:w="9580" w:type="dxa"/>
            <w:vAlign w:val="bottom"/>
            <w:gridSpan w:val="32"/>
          </w:tcPr>
          <w:p>
            <w:pPr>
              <w:spacing w:after="0" w:line="209" w:lineRule="exact"/>
              <w:rPr>
                <w:sz w:val="20"/>
                <w:szCs w:val="20"/>
                <w:color w:val="auto"/>
              </w:rPr>
            </w:pPr>
            <w:r>
              <w:rPr>
                <w:rFonts w:ascii="Calibri" w:cs="Calibri" w:eastAsia="Calibri" w:hAnsi="Calibri"/>
                <w:sz w:val="18"/>
                <w:szCs w:val="18"/>
                <w:color w:val="0000FF"/>
              </w:rPr>
              <w:t>Smaller Reportng Company Status</w:t>
            </w:r>
          </w:p>
        </w:tc>
        <w:tc>
          <w:tcPr>
            <w:tcW w:w="220" w:type="dxa"/>
            <w:vAlign w:val="bottom"/>
            <w:gridSpan w:val="3"/>
          </w:tcPr>
          <w:p>
            <w:pPr>
              <w:ind w:left="40"/>
              <w:spacing w:after="0" w:line="209" w:lineRule="exact"/>
              <w:rPr>
                <w:sz w:val="20"/>
                <w:szCs w:val="20"/>
                <w:color w:val="auto"/>
              </w:rPr>
            </w:pPr>
            <w:r>
              <w:rPr>
                <w:rFonts w:ascii="Calibri" w:cs="Calibri" w:eastAsia="Calibri" w:hAnsi="Calibri"/>
                <w:sz w:val="18"/>
                <w:szCs w:val="18"/>
                <w:color w:val="0000FF"/>
                <w:w w:val="87"/>
              </w:rPr>
              <w:t>50</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60" w:type="dxa"/>
            <w:vAlign w:val="bottom"/>
          </w:tcPr>
          <w:p>
            <w:pPr>
              <w:spacing w:after="0"/>
              <w:rPr>
                <w:sz w:val="18"/>
                <w:szCs w:val="18"/>
                <w:color w:val="auto"/>
              </w:rPr>
            </w:pPr>
          </w:p>
        </w:tc>
        <w:tc>
          <w:tcPr>
            <w:tcW w:w="3880" w:type="dxa"/>
            <w:vAlign w:val="bottom"/>
            <w:tcBorders>
              <w:bottom w:val="single" w:sz="8" w:color="0000FF"/>
            </w:tcBorders>
            <w:gridSpan w:val="27"/>
          </w:tcPr>
          <w:p>
            <w:pPr>
              <w:spacing w:after="0" w:line="209" w:lineRule="exact"/>
              <w:rPr>
                <w:sz w:val="20"/>
                <w:szCs w:val="20"/>
                <w:color w:val="auto"/>
              </w:rPr>
            </w:pPr>
            <w:r>
              <w:rPr>
                <w:rFonts w:ascii="Calibri" w:cs="Calibri" w:eastAsia="Calibri" w:hAnsi="Calibri"/>
                <w:sz w:val="18"/>
                <w:szCs w:val="18"/>
                <w:color w:val="0000FF"/>
                <w:w w:val="97"/>
              </w:rPr>
              <w:t>Processes and Procedures for Compensaton Decisions</w:t>
            </w:r>
          </w:p>
        </w:tc>
        <w:tc>
          <w:tcPr>
            <w:tcW w:w="5700" w:type="dxa"/>
            <w:vAlign w:val="bottom"/>
            <w:gridSpan w:val="5"/>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Borders>
              <w:bottom w:val="single" w:sz="8" w:color="0000FF"/>
            </w:tcBorders>
            <w:gridSpan w:val="2"/>
          </w:tcPr>
          <w:p>
            <w:pPr>
              <w:spacing w:after="0" w:line="209" w:lineRule="exact"/>
              <w:rPr>
                <w:sz w:val="20"/>
                <w:szCs w:val="20"/>
                <w:color w:val="auto"/>
              </w:rPr>
            </w:pPr>
            <w:r>
              <w:rPr>
                <w:rFonts w:ascii="Calibri" w:cs="Calibri" w:eastAsia="Calibri" w:hAnsi="Calibri"/>
                <w:sz w:val="18"/>
                <w:szCs w:val="18"/>
                <w:color w:val="0000FF"/>
                <w:w w:val="87"/>
              </w:rPr>
              <w:t>50</w:t>
            </w:r>
          </w:p>
        </w:tc>
        <w:tc>
          <w:tcPr>
            <w:tcW w:w="0" w:type="dxa"/>
            <w:vAlign w:val="bottom"/>
          </w:tcPr>
          <w:p>
            <w:pPr>
              <w:spacing w:after="0"/>
              <w:rPr>
                <w:sz w:val="1"/>
                <w:szCs w:val="1"/>
                <w:color w:val="auto"/>
              </w:rPr>
            </w:pPr>
          </w:p>
        </w:tc>
      </w:tr>
      <w:tr>
        <w:trPr>
          <w:trHeight w:val="210"/>
        </w:trPr>
        <w:tc>
          <w:tcPr>
            <w:tcW w:w="760" w:type="dxa"/>
            <w:vAlign w:val="bottom"/>
          </w:tcPr>
          <w:p>
            <w:pPr>
              <w:spacing w:after="0"/>
              <w:rPr>
                <w:sz w:val="18"/>
                <w:szCs w:val="18"/>
                <w:color w:val="auto"/>
              </w:rPr>
            </w:pPr>
          </w:p>
        </w:tc>
        <w:tc>
          <w:tcPr>
            <w:tcW w:w="3240" w:type="dxa"/>
            <w:vAlign w:val="bottom"/>
            <w:tcBorders>
              <w:bottom w:val="single" w:sz="8" w:color="0000FF"/>
            </w:tcBorders>
            <w:gridSpan w:val="21"/>
          </w:tcPr>
          <w:p>
            <w:pPr>
              <w:spacing w:after="0" w:line="209" w:lineRule="exact"/>
              <w:rPr>
                <w:sz w:val="20"/>
                <w:szCs w:val="20"/>
                <w:color w:val="auto"/>
              </w:rPr>
            </w:pPr>
            <w:r>
              <w:rPr>
                <w:rFonts w:ascii="Calibri" w:cs="Calibri" w:eastAsia="Calibri" w:hAnsi="Calibri"/>
                <w:sz w:val="18"/>
                <w:szCs w:val="18"/>
                <w:color w:val="0000FF"/>
                <w:w w:val="97"/>
              </w:rPr>
              <w:t>Summary Compensaton Table for Fiscal 2023</w:t>
            </w:r>
          </w:p>
        </w:tc>
        <w:tc>
          <w:tcPr>
            <w:tcW w:w="6340" w:type="dxa"/>
            <w:vAlign w:val="bottom"/>
            <w:gridSpan w:val="11"/>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Borders>
              <w:bottom w:val="single" w:sz="8" w:color="0000FF"/>
            </w:tcBorders>
            <w:gridSpan w:val="2"/>
          </w:tcPr>
          <w:p>
            <w:pPr>
              <w:spacing w:after="0" w:line="209" w:lineRule="exact"/>
              <w:rPr>
                <w:sz w:val="20"/>
                <w:szCs w:val="20"/>
                <w:color w:val="auto"/>
              </w:rPr>
            </w:pPr>
            <w:r>
              <w:rPr>
                <w:rFonts w:ascii="Calibri" w:cs="Calibri" w:eastAsia="Calibri" w:hAnsi="Calibri"/>
                <w:sz w:val="18"/>
                <w:szCs w:val="18"/>
                <w:color w:val="0000FF"/>
                <w:w w:val="87"/>
              </w:rPr>
              <w:t>52</w:t>
            </w:r>
          </w:p>
        </w:tc>
        <w:tc>
          <w:tcPr>
            <w:tcW w:w="0" w:type="dxa"/>
            <w:vAlign w:val="bottom"/>
          </w:tcPr>
          <w:p>
            <w:pPr>
              <w:spacing w:after="0"/>
              <w:rPr>
                <w:sz w:val="1"/>
                <w:szCs w:val="1"/>
                <w:color w:val="auto"/>
              </w:rPr>
            </w:pPr>
          </w:p>
        </w:tc>
      </w:tr>
      <w:tr>
        <w:trPr>
          <w:trHeight w:val="210"/>
        </w:trPr>
        <w:tc>
          <w:tcPr>
            <w:tcW w:w="760" w:type="dxa"/>
            <w:vAlign w:val="bottom"/>
          </w:tcPr>
          <w:p>
            <w:pPr>
              <w:spacing w:after="0"/>
              <w:rPr>
                <w:sz w:val="18"/>
                <w:szCs w:val="18"/>
                <w:color w:val="auto"/>
              </w:rPr>
            </w:pPr>
          </w:p>
        </w:tc>
        <w:tc>
          <w:tcPr>
            <w:tcW w:w="9580" w:type="dxa"/>
            <w:vAlign w:val="bottom"/>
            <w:gridSpan w:val="32"/>
          </w:tcPr>
          <w:p>
            <w:pPr>
              <w:spacing w:after="0" w:line="209" w:lineRule="exact"/>
              <w:rPr>
                <w:sz w:val="20"/>
                <w:szCs w:val="20"/>
                <w:color w:val="auto"/>
              </w:rPr>
            </w:pPr>
            <w:r>
              <w:rPr>
                <w:rFonts w:ascii="Calibri" w:cs="Calibri" w:eastAsia="Calibri" w:hAnsi="Calibri"/>
                <w:sz w:val="18"/>
                <w:szCs w:val="18"/>
                <w:color w:val="0000FF"/>
              </w:rPr>
              <w:t>Overview of Compensaton Approach</w:t>
            </w:r>
          </w:p>
        </w:tc>
        <w:tc>
          <w:tcPr>
            <w:tcW w:w="220" w:type="dxa"/>
            <w:vAlign w:val="bottom"/>
            <w:gridSpan w:val="3"/>
          </w:tcPr>
          <w:p>
            <w:pPr>
              <w:ind w:left="40"/>
              <w:spacing w:after="0" w:line="209" w:lineRule="exact"/>
              <w:rPr>
                <w:sz w:val="20"/>
                <w:szCs w:val="20"/>
                <w:color w:val="auto"/>
              </w:rPr>
            </w:pPr>
            <w:r>
              <w:rPr>
                <w:rFonts w:ascii="Calibri" w:cs="Calibri" w:eastAsia="Calibri" w:hAnsi="Calibri"/>
                <w:sz w:val="18"/>
                <w:szCs w:val="18"/>
                <w:color w:val="0000FF"/>
                <w:w w:val="87"/>
              </w:rPr>
              <w:t>53</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left="5520"/>
        <w:spacing w:after="0"/>
        <w:rPr>
          <w:sz w:val="20"/>
          <w:szCs w:val="20"/>
          <w:color w:val="auto"/>
        </w:rPr>
      </w:pPr>
      <w:r>
        <w:rPr>
          <w:rFonts w:ascii="Calibri" w:cs="Calibri" w:eastAsia="Calibri" w:hAnsi="Calibri"/>
          <w:sz w:val="22"/>
          <w:szCs w:val="22"/>
          <w:color w:val="auto"/>
        </w:rPr>
        <w:t>-v-</w:t>
      </w:r>
    </w:p>
    <w:p>
      <w:pPr>
        <w:sectPr>
          <w:pgSz w:w="11900" w:h="16838" w:orient="portrait"/>
          <w:cols w:equalWidth="0" w:num="1">
            <w:col w:w="10580"/>
          </w:cols>
          <w:pgMar w:left="320" w:top="1440" w:right="999" w:bottom="1440" w:gutter="0" w:footer="0" w:header="0"/>
        </w:sectPr>
      </w:pPr>
    </w:p>
    <w:bookmarkStart w:id="5" w:name="page6"/>
    <w:bookmarkEnd w:id="5"/>
    <w:p>
      <w:pPr>
        <w:spacing w:after="0" w:line="195" w:lineRule="exact"/>
        <w:rPr>
          <w:sz w:val="20"/>
          <w:szCs w:val="20"/>
          <w:color w:val="auto"/>
        </w:rPr>
      </w:pPr>
    </w:p>
    <w:tbl>
      <w:tblPr>
        <w:tblLayout w:type="fixed"/>
        <w:tblInd w:w="20" w:type="dxa"/>
        <w:tblCellMar>
          <w:top w:w="0" w:type="dxa"/>
          <w:left w:w="0" w:type="dxa"/>
          <w:bottom w:w="0" w:type="dxa"/>
          <w:right w:w="0" w:type="dxa"/>
        </w:tblCellMar>
      </w:tblPr>
      <w:tr>
        <w:trPr>
          <w:trHeight w:val="220"/>
        </w:trPr>
        <w:tc>
          <w:tcPr>
            <w:tcW w:w="760" w:type="dxa"/>
            <w:vAlign w:val="bottom"/>
          </w:tcPr>
          <w:p>
            <w:pPr>
              <w:spacing w:after="0"/>
              <w:rPr>
                <w:sz w:val="19"/>
                <w:szCs w:val="19"/>
                <w:color w:val="auto"/>
              </w:rPr>
            </w:pPr>
          </w:p>
        </w:tc>
        <w:tc>
          <w:tcPr>
            <w:tcW w:w="5080" w:type="dxa"/>
            <w:vAlign w:val="bottom"/>
            <w:tcBorders>
              <w:bottom w:val="single" w:sz="8" w:color="0000FF"/>
            </w:tcBorders>
            <w:gridSpan w:val="13"/>
          </w:tcPr>
          <w:p>
            <w:pPr>
              <w:spacing w:after="0"/>
              <w:rPr>
                <w:sz w:val="20"/>
                <w:szCs w:val="20"/>
                <w:color w:val="auto"/>
              </w:rPr>
            </w:pPr>
            <w:r>
              <w:rPr>
                <w:rFonts w:ascii="Calibri" w:cs="Calibri" w:eastAsia="Calibri" w:hAnsi="Calibri"/>
                <w:sz w:val="18"/>
                <w:szCs w:val="18"/>
                <w:color w:val="0000FF"/>
                <w:w w:val="99"/>
              </w:rPr>
              <w:t>Employment Arrangements with the Named Executve Ofcers of Bakkt</w:t>
            </w:r>
          </w:p>
        </w:tc>
        <w:tc>
          <w:tcPr>
            <w:tcW w:w="2320" w:type="dxa"/>
            <w:vAlign w:val="bottom"/>
            <w:gridSpan w:val="2"/>
          </w:tcPr>
          <w:p>
            <w:pPr>
              <w:spacing w:after="0"/>
              <w:rPr>
                <w:sz w:val="19"/>
                <w:szCs w:val="19"/>
                <w:color w:val="auto"/>
              </w:rPr>
            </w:pPr>
          </w:p>
        </w:tc>
        <w:tc>
          <w:tcPr>
            <w:tcW w:w="2220" w:type="dxa"/>
            <w:vAlign w:val="bottom"/>
          </w:tcPr>
          <w:p>
            <w:pPr>
              <w:spacing w:after="0"/>
              <w:rPr>
                <w:sz w:val="19"/>
                <w:szCs w:val="19"/>
                <w:color w:val="auto"/>
              </w:rPr>
            </w:pPr>
          </w:p>
        </w:tc>
        <w:tc>
          <w:tcPr>
            <w:tcW w:w="180" w:type="dxa"/>
            <w:vAlign w:val="bottom"/>
            <w:tcBorders>
              <w:bottom w:val="single" w:sz="8" w:color="0000FF"/>
            </w:tcBorders>
          </w:tcPr>
          <w:p>
            <w:pPr>
              <w:jc w:val="right"/>
              <w:spacing w:after="0"/>
              <w:rPr>
                <w:sz w:val="20"/>
                <w:szCs w:val="20"/>
                <w:color w:val="auto"/>
              </w:rPr>
            </w:pPr>
            <w:r>
              <w:rPr>
                <w:rFonts w:ascii="Calibri" w:cs="Calibri" w:eastAsia="Calibri" w:hAnsi="Calibri"/>
                <w:sz w:val="18"/>
                <w:szCs w:val="18"/>
                <w:color w:val="0000FF"/>
                <w:w w:val="87"/>
              </w:rPr>
              <w:t>53</w:t>
            </w:r>
          </w:p>
        </w:tc>
      </w:tr>
      <w:tr>
        <w:trPr>
          <w:trHeight w:val="209"/>
        </w:trPr>
        <w:tc>
          <w:tcPr>
            <w:tcW w:w="760" w:type="dxa"/>
            <w:vAlign w:val="bottom"/>
          </w:tcPr>
          <w:p>
            <w:pPr>
              <w:spacing w:after="0"/>
              <w:rPr>
                <w:sz w:val="18"/>
                <w:szCs w:val="18"/>
                <w:color w:val="auto"/>
              </w:rPr>
            </w:pPr>
          </w:p>
        </w:tc>
        <w:tc>
          <w:tcPr>
            <w:tcW w:w="7400" w:type="dxa"/>
            <w:vAlign w:val="bottom"/>
            <w:gridSpan w:val="15"/>
          </w:tcPr>
          <w:p>
            <w:pPr>
              <w:spacing w:after="0" w:line="209" w:lineRule="exact"/>
              <w:rPr>
                <w:sz w:val="20"/>
                <w:szCs w:val="20"/>
                <w:color w:val="auto"/>
              </w:rPr>
            </w:pPr>
            <w:r>
              <w:rPr>
                <w:rFonts w:ascii="Calibri" w:cs="Calibri" w:eastAsia="Calibri" w:hAnsi="Calibri"/>
                <w:sz w:val="18"/>
                <w:szCs w:val="18"/>
                <w:color w:val="0000FF"/>
              </w:rPr>
              <w:t>401(k) Plan</w:t>
            </w:r>
          </w:p>
        </w:tc>
        <w:tc>
          <w:tcPr>
            <w:tcW w:w="2400" w:type="dxa"/>
            <w:vAlign w:val="bottom"/>
            <w:gridSpan w:val="2"/>
          </w:tcPr>
          <w:p>
            <w:pPr>
              <w:jc w:val="right"/>
              <w:spacing w:after="0" w:line="209" w:lineRule="exact"/>
              <w:rPr>
                <w:sz w:val="20"/>
                <w:szCs w:val="20"/>
                <w:color w:val="auto"/>
              </w:rPr>
            </w:pPr>
            <w:r>
              <w:rPr>
                <w:rFonts w:ascii="Calibri" w:cs="Calibri" w:eastAsia="Calibri" w:hAnsi="Calibri"/>
                <w:sz w:val="18"/>
                <w:szCs w:val="18"/>
                <w:color w:val="0000FF"/>
              </w:rPr>
              <w:t>56</w:t>
            </w:r>
          </w:p>
        </w:tc>
      </w:tr>
      <w:tr>
        <w:trPr>
          <w:trHeight w:val="20"/>
        </w:trPr>
        <w:tc>
          <w:tcPr>
            <w:tcW w:w="760" w:type="dxa"/>
            <w:vAlign w:val="bottom"/>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r>
      <w:tr>
        <w:trPr>
          <w:trHeight w:val="209"/>
        </w:trPr>
        <w:tc>
          <w:tcPr>
            <w:tcW w:w="760" w:type="dxa"/>
            <w:vAlign w:val="bottom"/>
          </w:tcPr>
          <w:p>
            <w:pPr>
              <w:spacing w:after="0"/>
              <w:rPr>
                <w:sz w:val="18"/>
                <w:szCs w:val="18"/>
                <w:color w:val="auto"/>
              </w:rPr>
            </w:pPr>
          </w:p>
        </w:tc>
        <w:tc>
          <w:tcPr>
            <w:tcW w:w="3600" w:type="dxa"/>
            <w:vAlign w:val="bottom"/>
            <w:tcBorders>
              <w:bottom w:val="single" w:sz="8" w:color="0000FF"/>
            </w:tcBorders>
            <w:gridSpan w:val="10"/>
          </w:tcPr>
          <w:p>
            <w:pPr>
              <w:spacing w:after="0" w:line="209" w:lineRule="exact"/>
              <w:rPr>
                <w:sz w:val="20"/>
                <w:szCs w:val="20"/>
                <w:color w:val="auto"/>
              </w:rPr>
            </w:pPr>
            <w:r>
              <w:rPr>
                <w:rFonts w:ascii="Calibri" w:cs="Calibri" w:eastAsia="Calibri" w:hAnsi="Calibri"/>
                <w:sz w:val="18"/>
                <w:szCs w:val="18"/>
                <w:color w:val="0000FF"/>
                <w:w w:val="96"/>
              </w:rPr>
              <w:t>Outstanding Equity Awards at Fiscal 2023 Year-End</w:t>
            </w:r>
          </w:p>
        </w:tc>
        <w:tc>
          <w:tcPr>
            <w:tcW w:w="3800" w:type="dxa"/>
            <w:vAlign w:val="bottom"/>
            <w:gridSpan w:val="5"/>
          </w:tcPr>
          <w:p>
            <w:pPr>
              <w:spacing w:after="0"/>
              <w:rPr>
                <w:sz w:val="18"/>
                <w:szCs w:val="18"/>
                <w:color w:val="auto"/>
              </w:rPr>
            </w:pPr>
          </w:p>
        </w:tc>
        <w:tc>
          <w:tcPr>
            <w:tcW w:w="2220" w:type="dxa"/>
            <w:vAlign w:val="bottom"/>
          </w:tcPr>
          <w:p>
            <w:pPr>
              <w:spacing w:after="0"/>
              <w:rPr>
                <w:sz w:val="18"/>
                <w:szCs w:val="18"/>
                <w:color w:val="auto"/>
              </w:rPr>
            </w:pPr>
          </w:p>
        </w:tc>
        <w:tc>
          <w:tcPr>
            <w:tcW w:w="180" w:type="dxa"/>
            <w:vAlign w:val="bottom"/>
            <w:tcBorders>
              <w:bottom w:val="single" w:sz="8" w:color="0000FF"/>
            </w:tcBorders>
          </w:tcPr>
          <w:p>
            <w:pPr>
              <w:jc w:val="right"/>
              <w:spacing w:after="0" w:line="209" w:lineRule="exact"/>
              <w:rPr>
                <w:sz w:val="20"/>
                <w:szCs w:val="20"/>
                <w:color w:val="auto"/>
              </w:rPr>
            </w:pPr>
            <w:r>
              <w:rPr>
                <w:rFonts w:ascii="Calibri" w:cs="Calibri" w:eastAsia="Calibri" w:hAnsi="Calibri"/>
                <w:sz w:val="18"/>
                <w:szCs w:val="18"/>
                <w:color w:val="0000FF"/>
                <w:w w:val="87"/>
              </w:rPr>
              <w:t>56</w:t>
            </w:r>
          </w:p>
        </w:tc>
      </w:tr>
      <w:tr>
        <w:trPr>
          <w:trHeight w:val="209"/>
        </w:trPr>
        <w:tc>
          <w:tcPr>
            <w:tcW w:w="760" w:type="dxa"/>
            <w:vAlign w:val="bottom"/>
          </w:tcPr>
          <w:p>
            <w:pPr>
              <w:spacing w:after="0"/>
              <w:rPr>
                <w:sz w:val="18"/>
                <w:szCs w:val="18"/>
                <w:color w:val="auto"/>
              </w:rPr>
            </w:pPr>
          </w:p>
        </w:tc>
        <w:tc>
          <w:tcPr>
            <w:tcW w:w="7400" w:type="dxa"/>
            <w:vAlign w:val="bottom"/>
            <w:gridSpan w:val="15"/>
          </w:tcPr>
          <w:p>
            <w:pPr>
              <w:spacing w:after="0" w:line="209" w:lineRule="exact"/>
              <w:rPr>
                <w:sz w:val="20"/>
                <w:szCs w:val="20"/>
                <w:color w:val="auto"/>
              </w:rPr>
            </w:pPr>
            <w:r>
              <w:rPr>
                <w:rFonts w:ascii="Calibri" w:cs="Calibri" w:eastAsia="Calibri" w:hAnsi="Calibri"/>
                <w:sz w:val="18"/>
                <w:szCs w:val="18"/>
                <w:color w:val="0000FF"/>
              </w:rPr>
              <w:t>Equity Compensaton Plan Informaton</w:t>
            </w:r>
          </w:p>
        </w:tc>
        <w:tc>
          <w:tcPr>
            <w:tcW w:w="2400" w:type="dxa"/>
            <w:vAlign w:val="bottom"/>
            <w:gridSpan w:val="2"/>
          </w:tcPr>
          <w:p>
            <w:pPr>
              <w:jc w:val="right"/>
              <w:spacing w:after="0" w:line="209" w:lineRule="exact"/>
              <w:rPr>
                <w:sz w:val="20"/>
                <w:szCs w:val="20"/>
                <w:color w:val="auto"/>
              </w:rPr>
            </w:pPr>
            <w:r>
              <w:rPr>
                <w:rFonts w:ascii="Calibri" w:cs="Calibri" w:eastAsia="Calibri" w:hAnsi="Calibri"/>
                <w:sz w:val="18"/>
                <w:szCs w:val="18"/>
                <w:color w:val="0000FF"/>
              </w:rPr>
              <w:t>58</w:t>
            </w:r>
          </w:p>
        </w:tc>
      </w:tr>
      <w:tr>
        <w:trPr>
          <w:trHeight w:val="20"/>
        </w:trPr>
        <w:tc>
          <w:tcPr>
            <w:tcW w:w="760" w:type="dxa"/>
            <w:vAlign w:val="bottom"/>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r>
      <w:tr>
        <w:trPr>
          <w:trHeight w:val="209"/>
        </w:trPr>
        <w:tc>
          <w:tcPr>
            <w:tcW w:w="8160" w:type="dxa"/>
            <w:vAlign w:val="bottom"/>
            <w:gridSpan w:val="16"/>
          </w:tcPr>
          <w:p>
            <w:pPr>
              <w:spacing w:after="0" w:line="209" w:lineRule="exact"/>
              <w:rPr>
                <w:sz w:val="20"/>
                <w:szCs w:val="20"/>
                <w:color w:val="auto"/>
              </w:rPr>
            </w:pPr>
            <w:r>
              <w:rPr>
                <w:rFonts w:ascii="Calibri" w:cs="Calibri" w:eastAsia="Calibri" w:hAnsi="Calibri"/>
                <w:sz w:val="18"/>
                <w:szCs w:val="18"/>
                <w:color w:val="0000FF"/>
              </w:rPr>
              <w:t>Security Ownership of Certain Benefcial Owners, Directors and Management</w:t>
            </w:r>
          </w:p>
        </w:tc>
        <w:tc>
          <w:tcPr>
            <w:tcW w:w="2400" w:type="dxa"/>
            <w:vAlign w:val="bottom"/>
            <w:gridSpan w:val="2"/>
          </w:tcPr>
          <w:p>
            <w:pPr>
              <w:jc w:val="right"/>
              <w:spacing w:after="0" w:line="209" w:lineRule="exact"/>
              <w:rPr>
                <w:sz w:val="20"/>
                <w:szCs w:val="20"/>
                <w:color w:val="auto"/>
              </w:rPr>
            </w:pPr>
            <w:r>
              <w:rPr>
                <w:rFonts w:ascii="Calibri" w:cs="Calibri" w:eastAsia="Calibri" w:hAnsi="Calibri"/>
                <w:sz w:val="18"/>
                <w:szCs w:val="18"/>
                <w:color w:val="0000FF"/>
              </w:rPr>
              <w:t>59</w:t>
            </w:r>
          </w:p>
        </w:tc>
      </w:tr>
      <w:tr>
        <w:trPr>
          <w:trHeight w:val="210"/>
        </w:trPr>
        <w:tc>
          <w:tcPr>
            <w:tcW w:w="5480" w:type="dxa"/>
            <w:vAlign w:val="bottom"/>
            <w:tcBorders>
              <w:top w:val="single" w:sz="8" w:color="0000FF"/>
            </w:tcBorders>
            <w:gridSpan w:val="13"/>
          </w:tcPr>
          <w:p>
            <w:pPr>
              <w:spacing w:after="0" w:line="209" w:lineRule="exact"/>
              <w:rPr>
                <w:sz w:val="20"/>
                <w:szCs w:val="20"/>
                <w:color w:val="auto"/>
              </w:rPr>
            </w:pPr>
            <w:r>
              <w:rPr>
                <w:rFonts w:ascii="Calibri" w:cs="Calibri" w:eastAsia="Calibri" w:hAnsi="Calibri"/>
                <w:sz w:val="18"/>
                <w:szCs w:val="18"/>
                <w:color w:val="0000FF"/>
              </w:rPr>
              <w:t>Delinquent Secton 16(a) Reports</w:t>
            </w:r>
          </w:p>
        </w:tc>
        <w:tc>
          <w:tcPr>
            <w:tcW w:w="2680" w:type="dxa"/>
            <w:vAlign w:val="bottom"/>
            <w:gridSpan w:val="3"/>
          </w:tcPr>
          <w:p>
            <w:pPr>
              <w:spacing w:after="0"/>
              <w:rPr>
                <w:sz w:val="18"/>
                <w:szCs w:val="18"/>
                <w:color w:val="auto"/>
              </w:rPr>
            </w:pPr>
          </w:p>
        </w:tc>
        <w:tc>
          <w:tcPr>
            <w:tcW w:w="2220" w:type="dxa"/>
            <w:vAlign w:val="bottom"/>
          </w:tcPr>
          <w:p>
            <w:pPr>
              <w:spacing w:after="0"/>
              <w:rPr>
                <w:sz w:val="18"/>
                <w:szCs w:val="18"/>
                <w:color w:val="auto"/>
              </w:rPr>
            </w:pPr>
          </w:p>
        </w:tc>
        <w:tc>
          <w:tcPr>
            <w:tcW w:w="180" w:type="dxa"/>
            <w:vAlign w:val="bottom"/>
            <w:tcBorders>
              <w:top w:val="single" w:sz="8" w:color="0000FF"/>
            </w:tcBorders>
          </w:tcPr>
          <w:p>
            <w:pPr>
              <w:jc w:val="right"/>
              <w:spacing w:after="0" w:line="209" w:lineRule="exact"/>
              <w:rPr>
                <w:sz w:val="20"/>
                <w:szCs w:val="20"/>
                <w:color w:val="auto"/>
              </w:rPr>
            </w:pPr>
            <w:r>
              <w:rPr>
                <w:rFonts w:ascii="Calibri" w:cs="Calibri" w:eastAsia="Calibri" w:hAnsi="Calibri"/>
                <w:sz w:val="18"/>
                <w:szCs w:val="18"/>
                <w:color w:val="0000FF"/>
                <w:w w:val="87"/>
              </w:rPr>
              <w:t>61</w:t>
            </w:r>
          </w:p>
        </w:tc>
      </w:tr>
      <w:tr>
        <w:trPr>
          <w:trHeight w:val="209"/>
        </w:trPr>
        <w:tc>
          <w:tcPr>
            <w:tcW w:w="2000" w:type="dxa"/>
            <w:vAlign w:val="bottom"/>
            <w:tcBorders>
              <w:top w:val="single" w:sz="8" w:color="0000FF"/>
              <w:bottom w:val="single" w:sz="8" w:color="0000FF"/>
            </w:tcBorders>
            <w:gridSpan w:val="5"/>
          </w:tcPr>
          <w:p>
            <w:pPr>
              <w:spacing w:after="0" w:line="209" w:lineRule="exact"/>
              <w:rPr>
                <w:sz w:val="20"/>
                <w:szCs w:val="20"/>
                <w:color w:val="auto"/>
              </w:rPr>
            </w:pPr>
            <w:r>
              <w:rPr>
                <w:rFonts w:ascii="Calibri" w:cs="Calibri" w:eastAsia="Calibri" w:hAnsi="Calibri"/>
                <w:sz w:val="18"/>
                <w:szCs w:val="18"/>
                <w:color w:val="0000FF"/>
                <w:w w:val="97"/>
              </w:rPr>
              <w:t>Related Person Transactons</w:t>
            </w:r>
          </w:p>
        </w:tc>
        <w:tc>
          <w:tcPr>
            <w:tcW w:w="360" w:type="dxa"/>
            <w:vAlign w:val="bottom"/>
            <w:tcBorders>
              <w:top w:val="single" w:sz="8" w:color="0000FF"/>
            </w:tcBorders>
            <w:gridSpan w:val="3"/>
          </w:tcPr>
          <w:p>
            <w:pPr>
              <w:spacing w:after="0"/>
              <w:rPr>
                <w:sz w:val="18"/>
                <w:szCs w:val="18"/>
                <w:color w:val="auto"/>
              </w:rPr>
            </w:pPr>
          </w:p>
        </w:tc>
        <w:tc>
          <w:tcPr>
            <w:tcW w:w="5800" w:type="dxa"/>
            <w:vAlign w:val="bottom"/>
            <w:gridSpan w:val="8"/>
          </w:tcPr>
          <w:p>
            <w:pPr>
              <w:spacing w:after="0"/>
              <w:rPr>
                <w:sz w:val="18"/>
                <w:szCs w:val="18"/>
                <w:color w:val="auto"/>
              </w:rPr>
            </w:pPr>
          </w:p>
        </w:tc>
        <w:tc>
          <w:tcPr>
            <w:tcW w:w="2220" w:type="dxa"/>
            <w:vAlign w:val="bottom"/>
          </w:tcPr>
          <w:p>
            <w:pPr>
              <w:spacing w:after="0"/>
              <w:rPr>
                <w:sz w:val="18"/>
                <w:szCs w:val="18"/>
                <w:color w:val="auto"/>
              </w:rPr>
            </w:pPr>
          </w:p>
        </w:tc>
        <w:tc>
          <w:tcPr>
            <w:tcW w:w="180" w:type="dxa"/>
            <w:vAlign w:val="bottom"/>
            <w:tcBorders>
              <w:top w:val="single" w:sz="8" w:color="0000FF"/>
              <w:bottom w:val="single" w:sz="8" w:color="0000FF"/>
            </w:tcBorders>
          </w:tcPr>
          <w:p>
            <w:pPr>
              <w:jc w:val="right"/>
              <w:spacing w:after="0" w:line="209" w:lineRule="exact"/>
              <w:rPr>
                <w:sz w:val="20"/>
                <w:szCs w:val="20"/>
                <w:color w:val="auto"/>
              </w:rPr>
            </w:pPr>
            <w:r>
              <w:rPr>
                <w:rFonts w:ascii="Calibri" w:cs="Calibri" w:eastAsia="Calibri" w:hAnsi="Calibri"/>
                <w:sz w:val="18"/>
                <w:szCs w:val="18"/>
                <w:color w:val="0000FF"/>
                <w:w w:val="87"/>
              </w:rPr>
              <w:t>62</w:t>
            </w:r>
          </w:p>
        </w:tc>
      </w:tr>
      <w:tr>
        <w:trPr>
          <w:trHeight w:val="209"/>
        </w:trPr>
        <w:tc>
          <w:tcPr>
            <w:tcW w:w="1020" w:type="dxa"/>
            <w:vAlign w:val="bottom"/>
            <w:tcBorders>
              <w:bottom w:val="single" w:sz="8" w:color="0000FF"/>
            </w:tcBorders>
            <w:gridSpan w:val="2"/>
          </w:tcPr>
          <w:p>
            <w:pPr>
              <w:spacing w:after="0" w:line="209" w:lineRule="exact"/>
              <w:rPr>
                <w:sz w:val="20"/>
                <w:szCs w:val="20"/>
                <w:color w:val="auto"/>
              </w:rPr>
            </w:pPr>
            <w:r>
              <w:rPr>
                <w:rFonts w:ascii="Calibri" w:cs="Calibri" w:eastAsia="Calibri" w:hAnsi="Calibri"/>
                <w:sz w:val="18"/>
                <w:szCs w:val="18"/>
                <w:color w:val="0000FF"/>
              </w:rPr>
              <w:t>Other Maters</w:t>
            </w:r>
          </w:p>
        </w:tc>
        <w:tc>
          <w:tcPr>
            <w:tcW w:w="7140" w:type="dxa"/>
            <w:vAlign w:val="bottom"/>
            <w:gridSpan w:val="14"/>
          </w:tcPr>
          <w:p>
            <w:pPr>
              <w:spacing w:after="0"/>
              <w:rPr>
                <w:sz w:val="18"/>
                <w:szCs w:val="18"/>
                <w:color w:val="auto"/>
              </w:rPr>
            </w:pPr>
          </w:p>
        </w:tc>
        <w:tc>
          <w:tcPr>
            <w:tcW w:w="2220" w:type="dxa"/>
            <w:vAlign w:val="bottom"/>
          </w:tcPr>
          <w:p>
            <w:pPr>
              <w:spacing w:after="0"/>
              <w:rPr>
                <w:sz w:val="18"/>
                <w:szCs w:val="18"/>
                <w:color w:val="auto"/>
              </w:rPr>
            </w:pPr>
          </w:p>
        </w:tc>
        <w:tc>
          <w:tcPr>
            <w:tcW w:w="180" w:type="dxa"/>
            <w:vAlign w:val="bottom"/>
            <w:tcBorders>
              <w:bottom w:val="single" w:sz="8" w:color="0000FF"/>
            </w:tcBorders>
          </w:tcPr>
          <w:p>
            <w:pPr>
              <w:jc w:val="right"/>
              <w:spacing w:after="0" w:line="209" w:lineRule="exact"/>
              <w:rPr>
                <w:sz w:val="20"/>
                <w:szCs w:val="20"/>
                <w:color w:val="auto"/>
              </w:rPr>
            </w:pPr>
            <w:r>
              <w:rPr>
                <w:rFonts w:ascii="Calibri" w:cs="Calibri" w:eastAsia="Calibri" w:hAnsi="Calibri"/>
                <w:sz w:val="18"/>
                <w:szCs w:val="18"/>
                <w:color w:val="0000FF"/>
                <w:w w:val="87"/>
              </w:rPr>
              <w:t>67</w:t>
            </w:r>
          </w:p>
        </w:tc>
      </w:tr>
      <w:tr>
        <w:trPr>
          <w:trHeight w:val="209"/>
        </w:trPr>
        <w:tc>
          <w:tcPr>
            <w:tcW w:w="760" w:type="dxa"/>
            <w:vAlign w:val="bottom"/>
          </w:tcPr>
          <w:p>
            <w:pPr>
              <w:spacing w:after="0"/>
              <w:rPr>
                <w:sz w:val="18"/>
                <w:szCs w:val="18"/>
                <w:color w:val="auto"/>
              </w:rPr>
            </w:pPr>
          </w:p>
        </w:tc>
        <w:tc>
          <w:tcPr>
            <w:tcW w:w="7400" w:type="dxa"/>
            <w:vAlign w:val="bottom"/>
            <w:gridSpan w:val="15"/>
          </w:tcPr>
          <w:p>
            <w:pPr>
              <w:spacing w:after="0" w:line="209" w:lineRule="exact"/>
              <w:rPr>
                <w:sz w:val="20"/>
                <w:szCs w:val="20"/>
                <w:color w:val="auto"/>
              </w:rPr>
            </w:pPr>
            <w:r>
              <w:rPr>
                <w:rFonts w:ascii="Calibri" w:cs="Calibri" w:eastAsia="Calibri" w:hAnsi="Calibri"/>
                <w:sz w:val="18"/>
                <w:szCs w:val="18"/>
                <w:color w:val="0000FF"/>
              </w:rPr>
              <w:t>Stockholder Proposals or Director Nominatons for 2025 Annual Meetng</w:t>
            </w:r>
          </w:p>
        </w:tc>
        <w:tc>
          <w:tcPr>
            <w:tcW w:w="2400" w:type="dxa"/>
            <w:vAlign w:val="bottom"/>
            <w:gridSpan w:val="2"/>
          </w:tcPr>
          <w:p>
            <w:pPr>
              <w:jc w:val="right"/>
              <w:spacing w:after="0" w:line="209" w:lineRule="exact"/>
              <w:rPr>
                <w:sz w:val="20"/>
                <w:szCs w:val="20"/>
                <w:color w:val="auto"/>
              </w:rPr>
            </w:pPr>
            <w:r>
              <w:rPr>
                <w:rFonts w:ascii="Calibri" w:cs="Calibri" w:eastAsia="Calibri" w:hAnsi="Calibri"/>
                <w:sz w:val="18"/>
                <w:szCs w:val="18"/>
                <w:color w:val="0000FF"/>
              </w:rPr>
              <w:t>67</w:t>
            </w:r>
          </w:p>
        </w:tc>
      </w:tr>
      <w:tr>
        <w:trPr>
          <w:trHeight w:val="209"/>
        </w:trPr>
        <w:tc>
          <w:tcPr>
            <w:tcW w:w="760" w:type="dxa"/>
            <w:vAlign w:val="bottom"/>
          </w:tcPr>
          <w:p>
            <w:pPr>
              <w:spacing w:after="0"/>
              <w:rPr>
                <w:sz w:val="18"/>
                <w:szCs w:val="18"/>
                <w:color w:val="auto"/>
              </w:rPr>
            </w:pPr>
          </w:p>
        </w:tc>
        <w:tc>
          <w:tcPr>
            <w:tcW w:w="1500" w:type="dxa"/>
            <w:vAlign w:val="bottom"/>
            <w:tcBorders>
              <w:top w:val="single" w:sz="8" w:color="0000FF"/>
              <w:bottom w:val="single" w:sz="8" w:color="0000FF"/>
            </w:tcBorders>
            <w:gridSpan w:val="6"/>
          </w:tcPr>
          <w:p>
            <w:pPr>
              <w:spacing w:after="0" w:line="209" w:lineRule="exact"/>
              <w:rPr>
                <w:sz w:val="20"/>
                <w:szCs w:val="20"/>
                <w:color w:val="auto"/>
              </w:rPr>
            </w:pPr>
            <w:r>
              <w:rPr>
                <w:rFonts w:ascii="Calibri" w:cs="Calibri" w:eastAsia="Calibri" w:hAnsi="Calibri"/>
                <w:sz w:val="18"/>
                <w:szCs w:val="18"/>
                <w:color w:val="0000FF"/>
                <w:w w:val="96"/>
              </w:rPr>
              <w:t>Availability of Bylaws</w:t>
            </w:r>
          </w:p>
        </w:tc>
        <w:tc>
          <w:tcPr>
            <w:tcW w:w="3660" w:type="dxa"/>
            <w:vAlign w:val="bottom"/>
            <w:tcBorders>
              <w:top w:val="single" w:sz="8" w:color="0000FF"/>
            </w:tcBorders>
            <w:gridSpan w:val="8"/>
          </w:tcPr>
          <w:p>
            <w:pPr>
              <w:spacing w:after="0"/>
              <w:rPr>
                <w:sz w:val="18"/>
                <w:szCs w:val="18"/>
                <w:color w:val="auto"/>
              </w:rPr>
            </w:pPr>
          </w:p>
        </w:tc>
        <w:tc>
          <w:tcPr>
            <w:tcW w:w="224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180" w:type="dxa"/>
            <w:vAlign w:val="bottom"/>
            <w:tcBorders>
              <w:top w:val="single" w:sz="8" w:color="0000FF"/>
              <w:bottom w:val="single" w:sz="8" w:color="0000FF"/>
            </w:tcBorders>
          </w:tcPr>
          <w:p>
            <w:pPr>
              <w:jc w:val="right"/>
              <w:spacing w:after="0" w:line="209" w:lineRule="exact"/>
              <w:rPr>
                <w:sz w:val="20"/>
                <w:szCs w:val="20"/>
                <w:color w:val="auto"/>
              </w:rPr>
            </w:pPr>
            <w:r>
              <w:rPr>
                <w:rFonts w:ascii="Calibri" w:cs="Calibri" w:eastAsia="Calibri" w:hAnsi="Calibri"/>
                <w:sz w:val="18"/>
                <w:szCs w:val="18"/>
                <w:color w:val="0000FF"/>
                <w:w w:val="87"/>
              </w:rPr>
              <w:t>68</w:t>
            </w:r>
          </w:p>
        </w:tc>
      </w:tr>
      <w:tr>
        <w:trPr>
          <w:trHeight w:val="210"/>
        </w:trPr>
        <w:tc>
          <w:tcPr>
            <w:tcW w:w="760" w:type="dxa"/>
            <w:vAlign w:val="bottom"/>
          </w:tcPr>
          <w:p>
            <w:pPr>
              <w:spacing w:after="0"/>
              <w:rPr>
                <w:sz w:val="18"/>
                <w:szCs w:val="18"/>
                <w:color w:val="auto"/>
              </w:rPr>
            </w:pPr>
          </w:p>
        </w:tc>
        <w:tc>
          <w:tcPr>
            <w:tcW w:w="7400" w:type="dxa"/>
            <w:vAlign w:val="bottom"/>
            <w:gridSpan w:val="15"/>
          </w:tcPr>
          <w:p>
            <w:pPr>
              <w:spacing w:after="0" w:line="209" w:lineRule="exact"/>
              <w:rPr>
                <w:sz w:val="20"/>
                <w:szCs w:val="20"/>
                <w:color w:val="auto"/>
              </w:rPr>
            </w:pPr>
            <w:r>
              <w:rPr>
                <w:rFonts w:ascii="Calibri" w:cs="Calibri" w:eastAsia="Calibri" w:hAnsi="Calibri"/>
                <w:sz w:val="18"/>
                <w:szCs w:val="18"/>
                <w:color w:val="0000FF"/>
              </w:rPr>
              <w:t>2023 Annual Report</w:t>
            </w:r>
          </w:p>
        </w:tc>
        <w:tc>
          <w:tcPr>
            <w:tcW w:w="2400" w:type="dxa"/>
            <w:vAlign w:val="bottom"/>
            <w:gridSpan w:val="2"/>
          </w:tcPr>
          <w:p>
            <w:pPr>
              <w:jc w:val="right"/>
              <w:spacing w:after="0" w:line="209" w:lineRule="exact"/>
              <w:rPr>
                <w:sz w:val="20"/>
                <w:szCs w:val="20"/>
                <w:color w:val="auto"/>
              </w:rPr>
            </w:pPr>
            <w:r>
              <w:rPr>
                <w:rFonts w:ascii="Calibri" w:cs="Calibri" w:eastAsia="Calibri" w:hAnsi="Calibri"/>
                <w:sz w:val="18"/>
                <w:szCs w:val="18"/>
                <w:color w:val="0000FF"/>
              </w:rPr>
              <w:t>68</w:t>
            </w:r>
          </w:p>
        </w:tc>
      </w:tr>
      <w:tr>
        <w:trPr>
          <w:trHeight w:val="20"/>
        </w:trPr>
        <w:tc>
          <w:tcPr>
            <w:tcW w:w="760" w:type="dxa"/>
            <w:vAlign w:val="bottom"/>
          </w:tcPr>
          <w:p>
            <w:pPr>
              <w:spacing w:after="0" w:line="20" w:lineRule="exact"/>
              <w:rPr>
                <w:sz w:val="1"/>
                <w:szCs w:val="1"/>
                <w:color w:val="auto"/>
              </w:rPr>
            </w:pPr>
          </w:p>
        </w:tc>
        <w:tc>
          <w:tcPr>
            <w:tcW w:w="1080" w:type="dxa"/>
            <w:vAlign w:val="bottom"/>
            <w:gridSpan w:val="3"/>
            <w:shd w:val="clear" w:color="auto" w:fill="0000FF"/>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900" w:type="dxa"/>
            <w:vAlign w:val="bottom"/>
            <w:gridSpan w:val="3"/>
          </w:tcPr>
          <w:p>
            <w:pPr>
              <w:spacing w:after="0" w:line="20" w:lineRule="exact"/>
              <w:rPr>
                <w:sz w:val="1"/>
                <w:szCs w:val="1"/>
                <w:color w:val="auto"/>
              </w:rPr>
            </w:pPr>
          </w:p>
        </w:tc>
        <w:tc>
          <w:tcPr>
            <w:tcW w:w="1740" w:type="dxa"/>
            <w:vAlign w:val="bottom"/>
            <w:gridSpan w:val="3"/>
          </w:tcPr>
          <w:p>
            <w:pPr>
              <w:spacing w:after="0" w:line="20" w:lineRule="exact"/>
              <w:rPr>
                <w:sz w:val="1"/>
                <w:szCs w:val="1"/>
                <w:color w:val="auto"/>
              </w:rPr>
            </w:pPr>
          </w:p>
        </w:tc>
        <w:tc>
          <w:tcPr>
            <w:tcW w:w="3340" w:type="dxa"/>
            <w:vAlign w:val="bottom"/>
            <w:gridSpan w:val="4"/>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r>
      <w:tr>
        <w:trPr>
          <w:trHeight w:val="210"/>
        </w:trPr>
        <w:tc>
          <w:tcPr>
            <w:tcW w:w="760" w:type="dxa"/>
            <w:vAlign w:val="bottom"/>
          </w:tcPr>
          <w:p>
            <w:pPr>
              <w:spacing w:after="0"/>
              <w:rPr>
                <w:sz w:val="18"/>
                <w:szCs w:val="18"/>
                <w:color w:val="auto"/>
              </w:rPr>
            </w:pPr>
          </w:p>
        </w:tc>
        <w:tc>
          <w:tcPr>
            <w:tcW w:w="2320" w:type="dxa"/>
            <w:vAlign w:val="bottom"/>
            <w:tcBorders>
              <w:bottom w:val="single" w:sz="8" w:color="0000FF"/>
            </w:tcBorders>
            <w:gridSpan w:val="8"/>
          </w:tcPr>
          <w:p>
            <w:pPr>
              <w:spacing w:after="0" w:line="209" w:lineRule="exact"/>
              <w:rPr>
                <w:sz w:val="20"/>
                <w:szCs w:val="20"/>
                <w:color w:val="auto"/>
              </w:rPr>
            </w:pPr>
            <w:r>
              <w:rPr>
                <w:rFonts w:ascii="Calibri" w:cs="Calibri" w:eastAsia="Calibri" w:hAnsi="Calibri"/>
                <w:sz w:val="18"/>
                <w:szCs w:val="18"/>
                <w:color w:val="0000FF"/>
                <w:w w:val="96"/>
              </w:rPr>
              <w:t>Householding of Proxy Materials</w:t>
            </w:r>
          </w:p>
        </w:tc>
        <w:tc>
          <w:tcPr>
            <w:tcW w:w="5080" w:type="dxa"/>
            <w:vAlign w:val="bottom"/>
            <w:gridSpan w:val="7"/>
          </w:tcPr>
          <w:p>
            <w:pPr>
              <w:spacing w:after="0"/>
              <w:rPr>
                <w:sz w:val="18"/>
                <w:szCs w:val="18"/>
                <w:color w:val="auto"/>
              </w:rPr>
            </w:pPr>
          </w:p>
        </w:tc>
        <w:tc>
          <w:tcPr>
            <w:tcW w:w="2220" w:type="dxa"/>
            <w:vAlign w:val="bottom"/>
          </w:tcPr>
          <w:p>
            <w:pPr>
              <w:spacing w:after="0"/>
              <w:rPr>
                <w:sz w:val="18"/>
                <w:szCs w:val="18"/>
                <w:color w:val="auto"/>
              </w:rPr>
            </w:pPr>
          </w:p>
        </w:tc>
        <w:tc>
          <w:tcPr>
            <w:tcW w:w="180" w:type="dxa"/>
            <w:vAlign w:val="bottom"/>
            <w:tcBorders>
              <w:bottom w:val="single" w:sz="8" w:color="0000FF"/>
            </w:tcBorders>
          </w:tcPr>
          <w:p>
            <w:pPr>
              <w:jc w:val="right"/>
              <w:spacing w:after="0" w:line="209" w:lineRule="exact"/>
              <w:rPr>
                <w:sz w:val="20"/>
                <w:szCs w:val="20"/>
                <w:color w:val="auto"/>
              </w:rPr>
            </w:pPr>
            <w:r>
              <w:rPr>
                <w:rFonts w:ascii="Calibri" w:cs="Calibri" w:eastAsia="Calibri" w:hAnsi="Calibri"/>
                <w:sz w:val="18"/>
                <w:szCs w:val="18"/>
                <w:color w:val="0000FF"/>
                <w:w w:val="87"/>
              </w:rPr>
              <w:t>68</w:t>
            </w:r>
          </w:p>
        </w:tc>
      </w:tr>
      <w:tr>
        <w:trPr>
          <w:trHeight w:val="209"/>
        </w:trPr>
        <w:tc>
          <w:tcPr>
            <w:tcW w:w="760" w:type="dxa"/>
            <w:vAlign w:val="bottom"/>
          </w:tcPr>
          <w:p>
            <w:pPr>
              <w:spacing w:after="0"/>
              <w:rPr>
                <w:sz w:val="18"/>
                <w:szCs w:val="18"/>
                <w:color w:val="auto"/>
              </w:rPr>
            </w:pPr>
          </w:p>
        </w:tc>
        <w:tc>
          <w:tcPr>
            <w:tcW w:w="1080" w:type="dxa"/>
            <w:vAlign w:val="bottom"/>
            <w:tcBorders>
              <w:bottom w:val="single" w:sz="8" w:color="0000FF"/>
            </w:tcBorders>
            <w:gridSpan w:val="3"/>
          </w:tcPr>
          <w:p>
            <w:pPr>
              <w:spacing w:after="0" w:line="209" w:lineRule="exact"/>
              <w:rPr>
                <w:sz w:val="20"/>
                <w:szCs w:val="20"/>
                <w:color w:val="auto"/>
              </w:rPr>
            </w:pPr>
            <w:r>
              <w:rPr>
                <w:rFonts w:ascii="Calibri" w:cs="Calibri" w:eastAsia="Calibri" w:hAnsi="Calibri"/>
                <w:sz w:val="18"/>
                <w:szCs w:val="18"/>
                <w:color w:val="0000FF"/>
                <w:w w:val="96"/>
              </w:rPr>
              <w:t>Other Business</w:t>
            </w:r>
          </w:p>
        </w:tc>
        <w:tc>
          <w:tcPr>
            <w:tcW w:w="6320" w:type="dxa"/>
            <w:vAlign w:val="bottom"/>
            <w:gridSpan w:val="12"/>
          </w:tcPr>
          <w:p>
            <w:pPr>
              <w:spacing w:after="0"/>
              <w:rPr>
                <w:sz w:val="18"/>
                <w:szCs w:val="18"/>
                <w:color w:val="auto"/>
              </w:rPr>
            </w:pPr>
          </w:p>
        </w:tc>
        <w:tc>
          <w:tcPr>
            <w:tcW w:w="2220" w:type="dxa"/>
            <w:vAlign w:val="bottom"/>
          </w:tcPr>
          <w:p>
            <w:pPr>
              <w:spacing w:after="0"/>
              <w:rPr>
                <w:sz w:val="18"/>
                <w:szCs w:val="18"/>
                <w:color w:val="auto"/>
              </w:rPr>
            </w:pPr>
          </w:p>
        </w:tc>
        <w:tc>
          <w:tcPr>
            <w:tcW w:w="180" w:type="dxa"/>
            <w:vAlign w:val="bottom"/>
            <w:tcBorders>
              <w:bottom w:val="single" w:sz="8" w:color="0000FF"/>
            </w:tcBorders>
          </w:tcPr>
          <w:p>
            <w:pPr>
              <w:jc w:val="right"/>
              <w:spacing w:after="0" w:line="209" w:lineRule="exact"/>
              <w:rPr>
                <w:sz w:val="20"/>
                <w:szCs w:val="20"/>
                <w:color w:val="auto"/>
              </w:rPr>
            </w:pPr>
            <w:r>
              <w:rPr>
                <w:rFonts w:ascii="Calibri" w:cs="Calibri" w:eastAsia="Calibri" w:hAnsi="Calibri"/>
                <w:sz w:val="18"/>
                <w:szCs w:val="18"/>
                <w:color w:val="0000FF"/>
                <w:w w:val="87"/>
              </w:rPr>
              <w:t>69</w:t>
            </w:r>
          </w:p>
        </w:tc>
      </w:tr>
      <w:tr>
        <w:trPr>
          <w:trHeight w:val="210"/>
        </w:trPr>
        <w:tc>
          <w:tcPr>
            <w:tcW w:w="8160" w:type="dxa"/>
            <w:vAlign w:val="bottom"/>
            <w:gridSpan w:val="16"/>
          </w:tcPr>
          <w:p>
            <w:pPr>
              <w:spacing w:after="0" w:line="209" w:lineRule="exact"/>
              <w:rPr>
                <w:sz w:val="20"/>
                <w:szCs w:val="20"/>
                <w:color w:val="auto"/>
              </w:rPr>
            </w:pPr>
            <w:r>
              <w:rPr>
                <w:rFonts w:ascii="Calibri" w:cs="Calibri" w:eastAsia="Calibri" w:hAnsi="Calibri"/>
                <w:sz w:val="18"/>
                <w:szCs w:val="18"/>
                <w:color w:val="0000FF"/>
              </w:rPr>
              <w:t>ANNEX A - AMENDMENT NO. 2 TO 2021 OMNIBUS INCENTIVE PLAN</w:t>
            </w:r>
          </w:p>
        </w:tc>
        <w:tc>
          <w:tcPr>
            <w:tcW w:w="2400" w:type="dxa"/>
            <w:vAlign w:val="bottom"/>
            <w:gridSpan w:val="2"/>
          </w:tcPr>
          <w:p>
            <w:pPr>
              <w:jc w:val="right"/>
              <w:spacing w:after="0" w:line="209" w:lineRule="exact"/>
              <w:rPr>
                <w:sz w:val="20"/>
                <w:szCs w:val="20"/>
                <w:color w:val="auto"/>
              </w:rPr>
            </w:pPr>
            <w:r>
              <w:rPr>
                <w:rFonts w:ascii="Calibri" w:cs="Calibri" w:eastAsia="Calibri" w:hAnsi="Calibri"/>
                <w:sz w:val="18"/>
                <w:szCs w:val="18"/>
                <w:color w:val="0000FF"/>
              </w:rPr>
              <w:t>70</w:t>
            </w:r>
          </w:p>
        </w:tc>
      </w:tr>
      <w:tr>
        <w:trPr>
          <w:trHeight w:val="20"/>
        </w:trPr>
        <w:tc>
          <w:tcPr>
            <w:tcW w:w="7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r>
    </w:tbl>
    <w:p>
      <w:pPr>
        <w:spacing w:after="0" w:line="329"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242424"/>
        </w:rPr>
        <w:t>This proxy statement includes forward-looking statements within the meaning of the Private Securites Litgaton Reform Act of 1995, including statements regarding macroeconomic conditons, our ability to achieve the expected benefts of acquisitons, the regulatory environment, our platorm’s capabilites, our commitments, our strategies and our expectatons regarding future equity grants. These statements involve risks and uncertaintes. Actual results could difer materially from any future results expressed or implied by the forward-looking statements for a variety of reasons, including due to the risks and uncertaintes that are discussed in our most recently fled Annual Report on Form 10-K. Other than as required by law, we assume no obligaton to update any forward-looking statements or informaton, which speak as of their respectve dates.</w:t>
      </w:r>
    </w:p>
    <w:p>
      <w:pPr>
        <w:spacing w:after="0" w:line="221"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242424"/>
        </w:rPr>
        <w:t>References to our website or other links to our publicatons or other informaton are provided for the convenience of our stockholders. None of the informaton or data included on our website or accessible at these links is incorporated into, and will not be deemed to be a part of, this proxy statement or any of our other flings with the U.S. Securites and Exchange Commission (the “SEC”).</w:t>
      </w:r>
    </w:p>
    <w:p>
      <w:pPr>
        <w:spacing w:after="0" w:line="219"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242424"/>
        </w:rPr>
        <w:t>Unless otherwise noted, share counts, prices per share and related informaton presented herein does not give efect to the Proposed Reverse Stock Split (as described below).</w:t>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Calibri" w:cs="Calibri" w:eastAsia="Calibri" w:hAnsi="Calibri"/>
          <w:sz w:val="22"/>
          <w:szCs w:val="22"/>
          <w:color w:val="auto"/>
        </w:rPr>
        <w:t>-vi-</w:t>
      </w:r>
    </w:p>
    <w:p>
      <w:pPr>
        <w:sectPr>
          <w:pgSz w:w="11900" w:h="16838" w:orient="portrait"/>
          <w:cols w:equalWidth="0" w:num="1">
            <w:col w:w="11240"/>
          </w:cols>
          <w:pgMar w:left="320" w:top="1440" w:right="339" w:bottom="1440" w:gutter="0" w:footer="0" w:header="0"/>
        </w:sectPr>
      </w:pPr>
    </w:p>
    <w:bookmarkStart w:id="6" w:name="page7"/>
    <w:bookmarkEnd w:id="6"/>
    <w:p>
      <w:pPr>
        <w:spacing w:after="0" w:line="160" w:lineRule="exact"/>
        <w:rPr>
          <w:sz w:val="20"/>
          <w:szCs w:val="20"/>
          <w:color w:val="auto"/>
        </w:rPr>
      </w:pPr>
    </w:p>
    <w:p>
      <w:pPr>
        <w:spacing w:after="0"/>
        <w:rPr>
          <w:sz w:val="20"/>
          <w:szCs w:val="20"/>
          <w:color w:val="auto"/>
        </w:rPr>
      </w:pPr>
      <w:r>
        <w:rPr>
          <w:rFonts w:ascii="Calibri" w:cs="Calibri" w:eastAsia="Calibri" w:hAnsi="Calibri"/>
          <w:sz w:val="43"/>
          <w:szCs w:val="43"/>
          <w:color w:val="auto"/>
        </w:rPr>
        <w:t>Leadership &amp; Corporate Governance</w:t>
      </w:r>
    </w:p>
    <w:p>
      <w:pPr>
        <w:spacing w:after="0" w:line="217" w:lineRule="exact"/>
        <w:rPr>
          <w:sz w:val="20"/>
          <w:szCs w:val="20"/>
          <w:color w:val="auto"/>
        </w:rPr>
      </w:pPr>
    </w:p>
    <w:p>
      <w:pPr>
        <w:spacing w:after="0"/>
        <w:rPr>
          <w:sz w:val="20"/>
          <w:szCs w:val="20"/>
          <w:color w:val="auto"/>
        </w:rPr>
      </w:pPr>
      <w:r>
        <w:rPr>
          <w:rFonts w:ascii="Calibri" w:cs="Calibri" w:eastAsia="Calibri" w:hAnsi="Calibri"/>
          <w:sz w:val="22"/>
          <w:szCs w:val="22"/>
          <w:b w:val="1"/>
          <w:bCs w:val="1"/>
          <w:color w:val="auto"/>
        </w:rPr>
        <w:t>Executve Team</w:t>
      </w:r>
    </w:p>
    <w:p>
      <w:pPr>
        <w:spacing w:after="0" w:line="228" w:lineRule="exact"/>
        <w:rPr>
          <w:sz w:val="20"/>
          <w:szCs w:val="20"/>
          <w:color w:val="auto"/>
        </w:rPr>
      </w:pPr>
    </w:p>
    <w:p>
      <w:pPr>
        <w:spacing w:after="0" w:line="229" w:lineRule="auto"/>
        <w:rPr>
          <w:sz w:val="20"/>
          <w:szCs w:val="20"/>
          <w:color w:val="auto"/>
        </w:rPr>
      </w:pPr>
      <w:r>
        <w:rPr>
          <w:rFonts w:ascii="Calibri" w:cs="Calibri" w:eastAsia="Calibri" w:hAnsi="Calibri"/>
          <w:sz w:val="22"/>
          <w:szCs w:val="22"/>
          <w:color w:val="auto"/>
        </w:rPr>
        <w:t>We believe that our leadership team has the skills and qualifcatons needed to drive the future growth of Bakkt. We are proud of the diversity of gender, ethnicity, and thought of our leadership team.</w:t>
      </w:r>
    </w:p>
    <w:p>
      <w:pPr>
        <w:spacing w:after="0" w:line="206" w:lineRule="exact"/>
        <w:rPr>
          <w:sz w:val="20"/>
          <w:szCs w:val="20"/>
          <w:color w:val="auto"/>
        </w:rPr>
      </w:pPr>
    </w:p>
    <w:p>
      <w:pPr>
        <w:spacing w:after="0"/>
        <w:rPr>
          <w:sz w:val="20"/>
          <w:szCs w:val="20"/>
          <w:color w:val="auto"/>
        </w:rPr>
      </w:pPr>
      <w:r>
        <w:rPr>
          <w:rFonts w:ascii="Calibri" w:cs="Calibri" w:eastAsia="Calibri" w:hAnsi="Calibri"/>
          <w:sz w:val="22"/>
          <w:szCs w:val="22"/>
          <w:color w:val="auto"/>
        </w:rPr>
        <w:t>Our executve ofcers are:</w:t>
      </w:r>
    </w:p>
    <w:p>
      <w:pPr>
        <w:spacing w:after="0" w:line="123" w:lineRule="exact"/>
        <w:rPr>
          <w:sz w:val="20"/>
          <w:szCs w:val="20"/>
          <w:color w:val="auto"/>
        </w:rPr>
      </w:pPr>
    </w:p>
    <w:p>
      <w:pPr>
        <w:ind w:left="660" w:hanging="328"/>
        <w:spacing w:after="0"/>
        <w:tabs>
          <w:tab w:leader="none" w:pos="660" w:val="left"/>
        </w:tabs>
        <w:numPr>
          <w:ilvl w:val="0"/>
          <w:numId w:val="5"/>
        </w:numPr>
        <w:rPr>
          <w:rFonts w:ascii="Times New Roman" w:cs="Times New Roman" w:eastAsia="Times New Roman" w:hAnsi="Times New Roman"/>
          <w:sz w:val="22"/>
          <w:szCs w:val="22"/>
          <w:color w:val="auto"/>
        </w:rPr>
      </w:pPr>
      <w:r>
        <w:rPr>
          <w:rFonts w:ascii="Calibri" w:cs="Calibri" w:eastAsia="Calibri" w:hAnsi="Calibri"/>
          <w:sz w:val="22"/>
          <w:szCs w:val="22"/>
          <w:color w:val="auto"/>
        </w:rPr>
        <w:t>Andrew Main, Chief Executve Ofcer and President</w:t>
      </w:r>
    </w:p>
    <w:p>
      <w:pPr>
        <w:spacing w:after="0" w:line="122" w:lineRule="exact"/>
        <w:rPr>
          <w:rFonts w:ascii="Times New Roman" w:cs="Times New Roman" w:eastAsia="Times New Roman" w:hAnsi="Times New Roman"/>
          <w:sz w:val="22"/>
          <w:szCs w:val="22"/>
          <w:color w:val="auto"/>
        </w:rPr>
      </w:pPr>
    </w:p>
    <w:p>
      <w:pPr>
        <w:ind w:left="660" w:hanging="328"/>
        <w:spacing w:after="0"/>
        <w:tabs>
          <w:tab w:leader="none" w:pos="660" w:val="left"/>
        </w:tabs>
        <w:numPr>
          <w:ilvl w:val="0"/>
          <w:numId w:val="5"/>
        </w:numPr>
        <w:rPr>
          <w:rFonts w:ascii="Times New Roman" w:cs="Times New Roman" w:eastAsia="Times New Roman" w:hAnsi="Times New Roman"/>
          <w:sz w:val="22"/>
          <w:szCs w:val="22"/>
          <w:color w:val="auto"/>
        </w:rPr>
      </w:pPr>
      <w:r>
        <w:rPr>
          <w:rFonts w:ascii="Calibri" w:cs="Calibri" w:eastAsia="Calibri" w:hAnsi="Calibri"/>
          <w:sz w:val="22"/>
          <w:szCs w:val="22"/>
          <w:color w:val="auto"/>
        </w:rPr>
        <w:t>Karen Alexander, Chief Financial Ofcer</w:t>
      </w:r>
    </w:p>
    <w:p>
      <w:pPr>
        <w:spacing w:after="0" w:line="136" w:lineRule="exact"/>
        <w:rPr>
          <w:rFonts w:ascii="Times New Roman" w:cs="Times New Roman" w:eastAsia="Times New Roman" w:hAnsi="Times New Roman"/>
          <w:sz w:val="22"/>
          <w:szCs w:val="22"/>
          <w:color w:val="auto"/>
        </w:rPr>
      </w:pPr>
    </w:p>
    <w:p>
      <w:pPr>
        <w:ind w:left="660" w:hanging="328"/>
        <w:spacing w:after="0"/>
        <w:tabs>
          <w:tab w:leader="none" w:pos="660" w:val="left"/>
        </w:tabs>
        <w:numPr>
          <w:ilvl w:val="0"/>
          <w:numId w:val="5"/>
        </w:numPr>
        <w:rPr>
          <w:rFonts w:ascii="Times New Roman" w:cs="Times New Roman" w:eastAsia="Times New Roman" w:hAnsi="Times New Roman"/>
          <w:sz w:val="22"/>
          <w:szCs w:val="22"/>
          <w:color w:val="auto"/>
        </w:rPr>
      </w:pPr>
      <w:r>
        <w:rPr>
          <w:rFonts w:ascii="Calibri" w:cs="Calibri" w:eastAsia="Calibri" w:hAnsi="Calibri"/>
          <w:sz w:val="22"/>
          <w:szCs w:val="22"/>
          <w:color w:val="auto"/>
        </w:rPr>
        <w:t>Marc D’Annunzio, General Counsel and Corporate Secretary</w:t>
      </w:r>
    </w:p>
    <w:p>
      <w:pPr>
        <w:spacing w:after="0" w:line="204" w:lineRule="exact"/>
        <w:rPr>
          <w:sz w:val="20"/>
          <w:szCs w:val="20"/>
          <w:color w:val="auto"/>
        </w:rPr>
      </w:pPr>
    </w:p>
    <w:p>
      <w:pPr>
        <w:spacing w:after="0"/>
        <w:rPr>
          <w:sz w:val="20"/>
          <w:szCs w:val="20"/>
          <w:color w:val="auto"/>
        </w:rPr>
      </w:pPr>
      <w:r>
        <w:rPr>
          <w:rFonts w:ascii="Calibri" w:cs="Calibri" w:eastAsia="Calibri" w:hAnsi="Calibri"/>
          <w:sz w:val="22"/>
          <w:szCs w:val="22"/>
          <w:color w:val="auto"/>
        </w:rPr>
        <w:t>Additonal members of our leadership team include:</w:t>
      </w:r>
    </w:p>
    <w:p>
      <w:pPr>
        <w:spacing w:after="0" w:line="123" w:lineRule="exact"/>
        <w:rPr>
          <w:sz w:val="20"/>
          <w:szCs w:val="20"/>
          <w:color w:val="auto"/>
        </w:rPr>
      </w:pPr>
    </w:p>
    <w:p>
      <w:pPr>
        <w:ind w:left="660" w:hanging="328"/>
        <w:spacing w:after="0"/>
        <w:tabs>
          <w:tab w:leader="none" w:pos="660" w:val="left"/>
        </w:tabs>
        <w:numPr>
          <w:ilvl w:val="0"/>
          <w:numId w:val="6"/>
        </w:numPr>
        <w:rPr>
          <w:rFonts w:ascii="Times New Roman" w:cs="Times New Roman" w:eastAsia="Times New Roman" w:hAnsi="Times New Roman"/>
          <w:sz w:val="22"/>
          <w:szCs w:val="22"/>
          <w:color w:val="auto"/>
        </w:rPr>
      </w:pPr>
      <w:r>
        <w:rPr>
          <w:rFonts w:ascii="Calibri" w:cs="Calibri" w:eastAsia="Calibri" w:hAnsi="Calibri"/>
          <w:sz w:val="22"/>
          <w:szCs w:val="22"/>
          <w:color w:val="auto"/>
        </w:rPr>
        <w:t>Nicholas Baes, Chief Technology Ofcer</w:t>
      </w:r>
    </w:p>
    <w:p>
      <w:pPr>
        <w:spacing w:after="0" w:line="122" w:lineRule="exact"/>
        <w:rPr>
          <w:rFonts w:ascii="Times New Roman" w:cs="Times New Roman" w:eastAsia="Times New Roman" w:hAnsi="Times New Roman"/>
          <w:sz w:val="22"/>
          <w:szCs w:val="22"/>
          <w:color w:val="auto"/>
        </w:rPr>
      </w:pPr>
    </w:p>
    <w:p>
      <w:pPr>
        <w:ind w:left="660" w:hanging="328"/>
        <w:spacing w:after="0"/>
        <w:tabs>
          <w:tab w:leader="none" w:pos="660" w:val="left"/>
        </w:tabs>
        <w:numPr>
          <w:ilvl w:val="0"/>
          <w:numId w:val="6"/>
        </w:numPr>
        <w:rPr>
          <w:rFonts w:ascii="Times New Roman" w:cs="Times New Roman" w:eastAsia="Times New Roman" w:hAnsi="Times New Roman"/>
          <w:sz w:val="22"/>
          <w:szCs w:val="22"/>
          <w:color w:val="auto"/>
        </w:rPr>
      </w:pPr>
      <w:r>
        <w:rPr>
          <w:rFonts w:ascii="Calibri" w:cs="Calibri" w:eastAsia="Calibri" w:hAnsi="Calibri"/>
          <w:sz w:val="22"/>
          <w:szCs w:val="22"/>
          <w:color w:val="auto"/>
        </w:rPr>
        <w:t>Liz Gordon, Chief Client Ofcer</w:t>
      </w:r>
    </w:p>
    <w:p>
      <w:pPr>
        <w:spacing w:after="0" w:line="122" w:lineRule="exact"/>
        <w:rPr>
          <w:rFonts w:ascii="Times New Roman" w:cs="Times New Roman" w:eastAsia="Times New Roman" w:hAnsi="Times New Roman"/>
          <w:sz w:val="22"/>
          <w:szCs w:val="22"/>
          <w:color w:val="auto"/>
        </w:rPr>
      </w:pPr>
    </w:p>
    <w:p>
      <w:pPr>
        <w:ind w:left="660" w:hanging="328"/>
        <w:spacing w:after="0"/>
        <w:tabs>
          <w:tab w:leader="none" w:pos="660" w:val="left"/>
        </w:tabs>
        <w:numPr>
          <w:ilvl w:val="0"/>
          <w:numId w:val="6"/>
        </w:numPr>
        <w:rPr>
          <w:rFonts w:ascii="Times New Roman" w:cs="Times New Roman" w:eastAsia="Times New Roman" w:hAnsi="Times New Roman"/>
          <w:sz w:val="22"/>
          <w:szCs w:val="22"/>
          <w:color w:val="auto"/>
        </w:rPr>
      </w:pPr>
      <w:r>
        <w:rPr>
          <w:rFonts w:ascii="Calibri" w:cs="Calibri" w:eastAsia="Calibri" w:hAnsi="Calibri"/>
          <w:sz w:val="22"/>
          <w:szCs w:val="22"/>
          <w:color w:val="auto"/>
        </w:rPr>
        <w:t>Nancy Gordon, Chief Business Ofcer</w:t>
      </w:r>
    </w:p>
    <w:p>
      <w:pPr>
        <w:spacing w:after="0" w:line="122" w:lineRule="exact"/>
        <w:rPr>
          <w:rFonts w:ascii="Times New Roman" w:cs="Times New Roman" w:eastAsia="Times New Roman" w:hAnsi="Times New Roman"/>
          <w:sz w:val="22"/>
          <w:szCs w:val="22"/>
          <w:color w:val="auto"/>
        </w:rPr>
      </w:pPr>
    </w:p>
    <w:p>
      <w:pPr>
        <w:ind w:left="660" w:hanging="328"/>
        <w:spacing w:after="0"/>
        <w:tabs>
          <w:tab w:leader="none" w:pos="660" w:val="left"/>
        </w:tabs>
        <w:numPr>
          <w:ilvl w:val="0"/>
          <w:numId w:val="6"/>
        </w:numPr>
        <w:rPr>
          <w:rFonts w:ascii="Times New Roman" w:cs="Times New Roman" w:eastAsia="Times New Roman" w:hAnsi="Times New Roman"/>
          <w:sz w:val="22"/>
          <w:szCs w:val="22"/>
          <w:color w:val="auto"/>
        </w:rPr>
      </w:pPr>
      <w:r>
        <w:rPr>
          <w:rFonts w:ascii="Calibri" w:cs="Calibri" w:eastAsia="Calibri" w:hAnsi="Calibri"/>
          <w:sz w:val="22"/>
          <w:szCs w:val="22"/>
          <w:color w:val="auto"/>
        </w:rPr>
        <w:t>Alex Jacobs, Chief Administratve Ofcer</w:t>
      </w:r>
    </w:p>
    <w:p>
      <w:pPr>
        <w:spacing w:after="0" w:line="134" w:lineRule="exact"/>
        <w:rPr>
          <w:rFonts w:ascii="Times New Roman" w:cs="Times New Roman" w:eastAsia="Times New Roman" w:hAnsi="Times New Roman"/>
          <w:sz w:val="22"/>
          <w:szCs w:val="22"/>
          <w:color w:val="auto"/>
        </w:rPr>
      </w:pPr>
    </w:p>
    <w:p>
      <w:pPr>
        <w:ind w:left="660" w:hanging="328"/>
        <w:spacing w:after="0"/>
        <w:tabs>
          <w:tab w:leader="none" w:pos="660" w:val="left"/>
        </w:tabs>
        <w:numPr>
          <w:ilvl w:val="0"/>
          <w:numId w:val="6"/>
        </w:numPr>
        <w:rPr>
          <w:rFonts w:ascii="Times New Roman" w:cs="Times New Roman" w:eastAsia="Times New Roman" w:hAnsi="Times New Roman"/>
          <w:sz w:val="22"/>
          <w:szCs w:val="22"/>
          <w:color w:val="auto"/>
        </w:rPr>
      </w:pPr>
      <w:r>
        <w:rPr>
          <w:rFonts w:ascii="Calibri" w:cs="Calibri" w:eastAsia="Calibri" w:hAnsi="Calibri"/>
          <w:sz w:val="22"/>
          <w:szCs w:val="22"/>
          <w:color w:val="auto"/>
        </w:rPr>
        <w:t>Kim Jimenez, Chief Human Resources Ofcer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2800"/>
        <w:spacing w:after="0"/>
        <w:tabs>
          <w:tab w:leader="none" w:pos="7120" w:val="left"/>
          <w:tab w:leader="none" w:pos="8340" w:val="left"/>
        </w:tabs>
        <w:rPr>
          <w:sz w:val="20"/>
          <w:szCs w:val="20"/>
          <w:color w:val="auto"/>
        </w:rPr>
      </w:pPr>
      <w:r>
        <w:rPr>
          <w:rFonts w:ascii="Calibri" w:cs="Calibri" w:eastAsia="Calibri" w:hAnsi="Calibri"/>
          <w:sz w:val="16"/>
          <w:szCs w:val="16"/>
          <w:color w:val="auto"/>
        </w:rPr>
        <w:t>Alphareta, GA | New York, NY | Belfast, United Kingdom</w:t>
      </w:r>
      <w:r>
        <w:rPr>
          <w:sz w:val="20"/>
          <w:szCs w:val="20"/>
          <w:color w:val="auto"/>
        </w:rPr>
        <w:tab/>
      </w:r>
      <w:r>
        <w:rPr>
          <w:rFonts w:ascii="Calibri" w:cs="Calibri" w:eastAsia="Calibri" w:hAnsi="Calibri"/>
          <w:sz w:val="16"/>
          <w:szCs w:val="16"/>
          <w:color w:val="auto"/>
        </w:rPr>
        <w:t>www.bakkt.com</w:t>
      </w:r>
      <w:r>
        <w:rPr>
          <w:sz w:val="20"/>
          <w:szCs w:val="20"/>
          <w:color w:val="auto"/>
        </w:rPr>
        <w:tab/>
      </w:r>
      <w:r>
        <w:rPr>
          <w:rFonts w:ascii="Calibri" w:cs="Calibri" w:eastAsia="Calibri" w:hAnsi="Calibri"/>
          <w:sz w:val="18"/>
          <w:szCs w:val="18"/>
          <w:color w:val="auto"/>
        </w:rPr>
        <w:t>1</w:t>
      </w:r>
    </w:p>
    <w:p>
      <w:pPr>
        <w:sectPr>
          <w:pgSz w:w="11900" w:h="16838" w:orient="portrait"/>
          <w:cols w:equalWidth="0" w:num="1">
            <w:col w:w="11240"/>
          </w:cols>
          <w:pgMar w:left="320" w:top="1440" w:right="339" w:bottom="1440" w:gutter="0" w:footer="0" w:header="0"/>
        </w:sectPr>
      </w:pPr>
    </w:p>
    <w:bookmarkStart w:id="7" w:name="page8"/>
    <w:bookmarkEnd w:id="7"/>
    <w:p>
      <w:pPr>
        <w:spacing w:after="0" w:line="160" w:lineRule="exact"/>
        <w:rPr>
          <w:sz w:val="20"/>
          <w:szCs w:val="20"/>
          <w:color w:val="auto"/>
        </w:rPr>
      </w:pPr>
    </w:p>
    <w:p>
      <w:pPr>
        <w:spacing w:after="0"/>
        <w:rPr>
          <w:sz w:val="20"/>
          <w:szCs w:val="20"/>
          <w:color w:val="auto"/>
        </w:rPr>
      </w:pPr>
      <w:r>
        <w:rPr>
          <w:rFonts w:ascii="Calibri" w:cs="Calibri" w:eastAsia="Calibri" w:hAnsi="Calibri"/>
          <w:sz w:val="43"/>
          <w:szCs w:val="43"/>
          <w:color w:val="auto"/>
        </w:rPr>
        <w:t>Director Nominees and Contnuing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1127760</wp:posOffset>
            </wp:positionH>
            <wp:positionV relativeFrom="paragraph">
              <wp:posOffset>111125</wp:posOffset>
            </wp:positionV>
            <wp:extent cx="822960" cy="82296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822960" cy="822960"/>
                    </a:xfrm>
                    <a:prstGeom prst="rect">
                      <a:avLst/>
                    </a:prstGeom>
                    <a:noFill/>
                  </pic:spPr>
                </pic:pic>
              </a:graphicData>
            </a:graphic>
          </wp:anchor>
        </w:drawing>
        <w:drawing>
          <wp:anchor simplePos="0" relativeHeight="251657728" behindDoc="1" locked="0" layoutInCell="0" allowOverlap="1">
            <wp:simplePos x="0" y="0"/>
            <wp:positionH relativeFrom="column">
              <wp:posOffset>3150870</wp:posOffset>
            </wp:positionH>
            <wp:positionV relativeFrom="paragraph">
              <wp:posOffset>111125</wp:posOffset>
            </wp:positionV>
            <wp:extent cx="822960" cy="82296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822960" cy="822960"/>
                    </a:xfrm>
                    <a:prstGeom prst="rect">
                      <a:avLst/>
                    </a:prstGeom>
                    <a:noFill/>
                  </pic:spPr>
                </pic:pic>
              </a:graphicData>
            </a:graphic>
          </wp:anchor>
        </w:drawing>
        <w:drawing>
          <wp:anchor simplePos="0" relativeHeight="251657728" behindDoc="1" locked="0" layoutInCell="0" allowOverlap="1">
            <wp:simplePos x="0" y="0"/>
            <wp:positionH relativeFrom="column">
              <wp:posOffset>5191125</wp:posOffset>
            </wp:positionH>
            <wp:positionV relativeFrom="paragraph">
              <wp:posOffset>111125</wp:posOffset>
            </wp:positionV>
            <wp:extent cx="822960" cy="82296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822960" cy="8229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2020"/>
        <w:spacing w:after="0"/>
        <w:tabs>
          <w:tab w:leader="none" w:pos="5160" w:val="left"/>
          <w:tab w:leader="none" w:pos="8400" w:val="left"/>
        </w:tabs>
        <w:rPr>
          <w:sz w:val="20"/>
          <w:szCs w:val="20"/>
          <w:color w:val="auto"/>
        </w:rPr>
      </w:pPr>
      <w:r>
        <w:rPr>
          <w:rFonts w:ascii="Calibri" w:cs="Calibri" w:eastAsia="Calibri" w:hAnsi="Calibri"/>
          <w:sz w:val="16"/>
          <w:szCs w:val="16"/>
          <w:color w:val="auto"/>
        </w:rPr>
        <w:t>Sean Collins</w:t>
      </w:r>
      <w:r>
        <w:rPr>
          <w:sz w:val="20"/>
          <w:szCs w:val="20"/>
          <w:color w:val="auto"/>
        </w:rPr>
        <w:tab/>
      </w:r>
      <w:r>
        <w:rPr>
          <w:rFonts w:ascii="Calibri" w:cs="Calibri" w:eastAsia="Calibri" w:hAnsi="Calibri"/>
          <w:sz w:val="16"/>
          <w:szCs w:val="16"/>
          <w:color w:val="auto"/>
        </w:rPr>
        <w:t>David Clifon</w:t>
      </w:r>
      <w:r>
        <w:rPr>
          <w:sz w:val="20"/>
          <w:szCs w:val="20"/>
          <w:color w:val="auto"/>
        </w:rPr>
        <w:tab/>
      </w:r>
      <w:r>
        <w:rPr>
          <w:rFonts w:ascii="Calibri" w:cs="Calibri" w:eastAsia="Calibri" w:hAnsi="Calibri"/>
          <w:sz w:val="15"/>
          <w:szCs w:val="15"/>
          <w:color w:val="auto"/>
        </w:rPr>
        <w:t>De'Ana Dow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3150870</wp:posOffset>
            </wp:positionH>
            <wp:positionV relativeFrom="paragraph">
              <wp:posOffset>85725</wp:posOffset>
            </wp:positionV>
            <wp:extent cx="822960" cy="82296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822960" cy="822960"/>
                    </a:xfrm>
                    <a:prstGeom prst="rect">
                      <a:avLst/>
                    </a:prstGeom>
                    <a:noFill/>
                  </pic:spPr>
                </pic:pic>
              </a:graphicData>
            </a:graphic>
          </wp:anchor>
        </w:drawing>
        <w:drawing>
          <wp:anchor simplePos="0" relativeHeight="251657728" behindDoc="1" locked="0" layoutInCell="0" allowOverlap="1">
            <wp:simplePos x="0" y="0"/>
            <wp:positionH relativeFrom="column">
              <wp:posOffset>5191125</wp:posOffset>
            </wp:positionH>
            <wp:positionV relativeFrom="paragraph">
              <wp:posOffset>85725</wp:posOffset>
            </wp:positionV>
            <wp:extent cx="822960" cy="82296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822960" cy="8229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1760"/>
        <w:spacing w:after="0"/>
        <w:tabs>
          <w:tab w:leader="none" w:pos="5140" w:val="left"/>
          <w:tab w:leader="none" w:pos="8260" w:val="left"/>
        </w:tabs>
        <w:rPr>
          <w:sz w:val="20"/>
          <w:szCs w:val="20"/>
          <w:color w:val="auto"/>
        </w:rPr>
      </w:pPr>
      <w:r>
        <w:rPr>
          <w:rFonts w:ascii="Calibri" w:cs="Calibri" w:eastAsia="Calibri" w:hAnsi="Calibri"/>
          <w:sz w:val="16"/>
          <w:szCs w:val="16"/>
          <w:color w:val="auto"/>
        </w:rPr>
        <w:t>Michelle J. Goldberg</w:t>
      </w:r>
      <w:r>
        <w:rPr>
          <w:sz w:val="20"/>
          <w:szCs w:val="20"/>
          <w:color w:val="auto"/>
        </w:rPr>
        <w:tab/>
      </w:r>
      <w:r>
        <w:rPr>
          <w:rFonts w:ascii="Calibri" w:cs="Calibri" w:eastAsia="Calibri" w:hAnsi="Calibri"/>
          <w:sz w:val="16"/>
          <w:szCs w:val="16"/>
          <w:color w:val="auto"/>
        </w:rPr>
        <w:t>Richard Lumb</w:t>
      </w:r>
      <w:r>
        <w:rPr>
          <w:sz w:val="20"/>
          <w:szCs w:val="20"/>
          <w:color w:val="auto"/>
        </w:rPr>
        <w:tab/>
      </w:r>
      <w:r>
        <w:rPr>
          <w:rFonts w:ascii="Calibri" w:cs="Calibri" w:eastAsia="Calibri" w:hAnsi="Calibri"/>
          <w:sz w:val="16"/>
          <w:szCs w:val="16"/>
          <w:color w:val="auto"/>
        </w:rPr>
        <w:t>Andrew A. Main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2148205</wp:posOffset>
            </wp:positionH>
            <wp:positionV relativeFrom="paragraph">
              <wp:posOffset>163195</wp:posOffset>
            </wp:positionV>
            <wp:extent cx="822960" cy="82296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822960" cy="822960"/>
                    </a:xfrm>
                    <a:prstGeom prst="rect">
                      <a:avLst/>
                    </a:prstGeom>
                    <a:noFill/>
                  </pic:spPr>
                </pic:pic>
              </a:graphicData>
            </a:graphic>
          </wp:anchor>
        </w:drawing>
        <w:drawing>
          <wp:anchor simplePos="0" relativeHeight="251657728" behindDoc="1" locked="0" layoutInCell="0" allowOverlap="1">
            <wp:simplePos x="0" y="0"/>
            <wp:positionH relativeFrom="column">
              <wp:posOffset>4179570</wp:posOffset>
            </wp:positionH>
            <wp:positionV relativeFrom="paragraph">
              <wp:posOffset>163195</wp:posOffset>
            </wp:positionV>
            <wp:extent cx="822960" cy="82296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822960" cy="8229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left="3640"/>
        <w:spacing w:after="0"/>
        <w:tabs>
          <w:tab w:leader="none" w:pos="6680" w:val="left"/>
        </w:tabs>
        <w:rPr>
          <w:sz w:val="20"/>
          <w:szCs w:val="20"/>
          <w:color w:val="auto"/>
        </w:rPr>
      </w:pPr>
      <w:r>
        <w:rPr>
          <w:rFonts w:ascii="Calibri" w:cs="Calibri" w:eastAsia="Calibri" w:hAnsi="Calibri"/>
          <w:sz w:val="16"/>
          <w:szCs w:val="16"/>
          <w:color w:val="auto"/>
        </w:rPr>
        <w:t>Jill Simeone</w:t>
      </w:r>
      <w:r>
        <w:rPr>
          <w:sz w:val="20"/>
          <w:szCs w:val="20"/>
          <w:color w:val="auto"/>
        </w:rPr>
        <w:tab/>
      </w:r>
      <w:r>
        <w:rPr>
          <w:rFonts w:ascii="Calibri" w:cs="Calibri" w:eastAsia="Calibri" w:hAnsi="Calibri"/>
          <w:sz w:val="16"/>
          <w:szCs w:val="16"/>
          <w:color w:val="auto"/>
        </w:rPr>
        <w:t>Gordon Watson</w:t>
      </w:r>
    </w:p>
    <w:p>
      <w:pPr>
        <w:spacing w:after="0" w:line="338" w:lineRule="exact"/>
        <w:rPr>
          <w:sz w:val="20"/>
          <w:szCs w:val="20"/>
          <w:color w:val="auto"/>
        </w:rPr>
      </w:pPr>
    </w:p>
    <w:p>
      <w:pPr>
        <w:spacing w:after="0"/>
        <w:rPr>
          <w:sz w:val="20"/>
          <w:szCs w:val="20"/>
          <w:color w:val="auto"/>
        </w:rPr>
      </w:pPr>
      <w:r>
        <w:rPr>
          <w:rFonts w:ascii="Calibri" w:cs="Calibri" w:eastAsia="Calibri" w:hAnsi="Calibri"/>
          <w:sz w:val="18"/>
          <w:szCs w:val="18"/>
          <w:color w:val="auto"/>
        </w:rPr>
        <w:t>The below provides summary informaton about each director nominee and contnuing director. Please see pages 13 to 28 for more informaton.</w:t>
      </w:r>
    </w:p>
    <w:p>
      <w:pPr>
        <w:spacing w:after="0" w:line="30"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2220" w:type="dxa"/>
            <w:vAlign w:val="bottom"/>
            <w:tcBorders>
              <w:top w:val="single" w:sz="8" w:color="auto"/>
              <w:left w:val="single" w:sz="8" w:color="auto"/>
            </w:tcBorders>
            <w:shd w:val="clear" w:color="auto" w:fill="151618"/>
          </w:tcPr>
          <w:p>
            <w:pPr>
              <w:spacing w:after="0"/>
              <w:rPr>
                <w:sz w:val="14"/>
                <w:szCs w:val="14"/>
                <w:color w:val="auto"/>
              </w:rPr>
            </w:pPr>
          </w:p>
        </w:tc>
        <w:tc>
          <w:tcPr>
            <w:tcW w:w="1400" w:type="dxa"/>
            <w:vAlign w:val="bottom"/>
            <w:tcBorders>
              <w:top w:val="single" w:sz="8" w:color="auto"/>
            </w:tcBorders>
            <w:shd w:val="clear" w:color="auto" w:fill="151618"/>
          </w:tcPr>
          <w:p>
            <w:pPr>
              <w:spacing w:after="0"/>
              <w:rPr>
                <w:sz w:val="14"/>
                <w:szCs w:val="14"/>
                <w:color w:val="auto"/>
              </w:rPr>
            </w:pPr>
          </w:p>
        </w:tc>
        <w:tc>
          <w:tcPr>
            <w:tcW w:w="1720" w:type="dxa"/>
            <w:vAlign w:val="bottom"/>
            <w:tcBorders>
              <w:top w:val="single" w:sz="8" w:color="auto"/>
            </w:tcBorders>
            <w:shd w:val="clear" w:color="auto" w:fill="151618"/>
          </w:tcPr>
          <w:p>
            <w:pPr>
              <w:spacing w:after="0"/>
              <w:rPr>
                <w:sz w:val="14"/>
                <w:szCs w:val="14"/>
                <w:color w:val="auto"/>
              </w:rPr>
            </w:pPr>
          </w:p>
        </w:tc>
        <w:tc>
          <w:tcPr>
            <w:tcW w:w="1800" w:type="dxa"/>
            <w:vAlign w:val="bottom"/>
            <w:tcBorders>
              <w:top w:val="single" w:sz="8" w:color="auto"/>
            </w:tcBorders>
            <w:shd w:val="clear" w:color="auto" w:fill="151618"/>
          </w:tcPr>
          <w:p>
            <w:pPr>
              <w:spacing w:after="0"/>
              <w:rPr>
                <w:sz w:val="14"/>
                <w:szCs w:val="14"/>
                <w:color w:val="auto"/>
              </w:rPr>
            </w:pPr>
          </w:p>
        </w:tc>
        <w:tc>
          <w:tcPr>
            <w:tcW w:w="1660" w:type="dxa"/>
            <w:vAlign w:val="bottom"/>
            <w:tcBorders>
              <w:top w:val="single" w:sz="8" w:color="auto"/>
            </w:tcBorders>
            <w:shd w:val="clear" w:color="auto" w:fill="151618"/>
          </w:tcPr>
          <w:p>
            <w:pPr>
              <w:spacing w:after="0"/>
              <w:rPr>
                <w:sz w:val="14"/>
                <w:szCs w:val="14"/>
                <w:color w:val="auto"/>
              </w:rPr>
            </w:pPr>
          </w:p>
        </w:tc>
        <w:tc>
          <w:tcPr>
            <w:tcW w:w="1940" w:type="dxa"/>
            <w:vAlign w:val="bottom"/>
            <w:tcBorders>
              <w:top w:val="single" w:sz="8" w:color="auto"/>
              <w:right w:val="single" w:sz="8" w:color="auto"/>
            </w:tcBorders>
            <w:shd w:val="clear" w:color="auto" w:fill="151618"/>
          </w:tcPr>
          <w:p>
            <w:pPr>
              <w:jc w:val="center"/>
              <w:ind w:left="19"/>
              <w:spacing w:after="0" w:line="171" w:lineRule="exact"/>
              <w:rPr>
                <w:sz w:val="20"/>
                <w:szCs w:val="20"/>
                <w:color w:val="auto"/>
              </w:rPr>
            </w:pPr>
            <w:r>
              <w:rPr>
                <w:rFonts w:ascii="Calibri" w:cs="Calibri" w:eastAsia="Calibri" w:hAnsi="Calibri"/>
                <w:sz w:val="16"/>
                <w:szCs w:val="16"/>
                <w:b w:val="1"/>
                <w:bCs w:val="1"/>
                <w:color w:val="FFFFFF"/>
              </w:rPr>
              <w:t>Nominatng and</w:t>
            </w:r>
          </w:p>
        </w:tc>
      </w:tr>
      <w:tr>
        <w:trPr>
          <w:trHeight w:val="162"/>
        </w:trPr>
        <w:tc>
          <w:tcPr>
            <w:tcW w:w="2220" w:type="dxa"/>
            <w:vAlign w:val="bottom"/>
            <w:tcBorders>
              <w:left w:val="single" w:sz="8" w:color="auto"/>
            </w:tcBorders>
            <w:shd w:val="clear" w:color="auto" w:fill="151618"/>
          </w:tcPr>
          <w:p>
            <w:pPr>
              <w:spacing w:after="0"/>
              <w:rPr>
                <w:sz w:val="14"/>
                <w:szCs w:val="14"/>
                <w:color w:val="auto"/>
              </w:rPr>
            </w:pPr>
          </w:p>
        </w:tc>
        <w:tc>
          <w:tcPr>
            <w:tcW w:w="1400" w:type="dxa"/>
            <w:vAlign w:val="bottom"/>
            <w:shd w:val="clear" w:color="auto" w:fill="151618"/>
          </w:tcPr>
          <w:p>
            <w:pPr>
              <w:spacing w:after="0"/>
              <w:rPr>
                <w:sz w:val="14"/>
                <w:szCs w:val="14"/>
                <w:color w:val="auto"/>
              </w:rPr>
            </w:pPr>
          </w:p>
        </w:tc>
        <w:tc>
          <w:tcPr>
            <w:tcW w:w="1720" w:type="dxa"/>
            <w:vAlign w:val="bottom"/>
            <w:shd w:val="clear" w:color="auto" w:fill="151618"/>
          </w:tcPr>
          <w:p>
            <w:pPr>
              <w:spacing w:after="0"/>
              <w:rPr>
                <w:sz w:val="14"/>
                <w:szCs w:val="14"/>
                <w:color w:val="auto"/>
              </w:rPr>
            </w:pPr>
          </w:p>
        </w:tc>
        <w:tc>
          <w:tcPr>
            <w:tcW w:w="1800" w:type="dxa"/>
            <w:vAlign w:val="bottom"/>
            <w:shd w:val="clear" w:color="auto" w:fill="151618"/>
          </w:tcPr>
          <w:p>
            <w:pPr>
              <w:jc w:val="center"/>
              <w:spacing w:after="0" w:line="162" w:lineRule="exact"/>
              <w:rPr>
                <w:sz w:val="20"/>
                <w:szCs w:val="20"/>
                <w:color w:val="auto"/>
              </w:rPr>
            </w:pPr>
            <w:r>
              <w:rPr>
                <w:rFonts w:ascii="Calibri" w:cs="Calibri" w:eastAsia="Calibri" w:hAnsi="Calibri"/>
                <w:sz w:val="16"/>
                <w:szCs w:val="16"/>
                <w:b w:val="1"/>
                <w:bCs w:val="1"/>
                <w:color w:val="FFFFFF"/>
              </w:rPr>
              <w:t>Audit and Risk</w:t>
            </w:r>
          </w:p>
        </w:tc>
        <w:tc>
          <w:tcPr>
            <w:tcW w:w="1660" w:type="dxa"/>
            <w:vAlign w:val="bottom"/>
            <w:shd w:val="clear" w:color="auto" w:fill="151618"/>
          </w:tcPr>
          <w:p>
            <w:pPr>
              <w:jc w:val="center"/>
              <w:ind w:left="59"/>
              <w:spacing w:after="0" w:line="162" w:lineRule="exact"/>
              <w:rPr>
                <w:sz w:val="20"/>
                <w:szCs w:val="20"/>
                <w:color w:val="auto"/>
              </w:rPr>
            </w:pPr>
            <w:r>
              <w:rPr>
                <w:rFonts w:ascii="Calibri" w:cs="Calibri" w:eastAsia="Calibri" w:hAnsi="Calibri"/>
                <w:sz w:val="16"/>
                <w:szCs w:val="16"/>
                <w:b w:val="1"/>
                <w:bCs w:val="1"/>
                <w:color w:val="FFFFFF"/>
              </w:rPr>
              <w:t>Compensaton</w:t>
            </w:r>
          </w:p>
        </w:tc>
        <w:tc>
          <w:tcPr>
            <w:tcW w:w="1940" w:type="dxa"/>
            <w:vAlign w:val="bottom"/>
            <w:tcBorders>
              <w:right w:val="single" w:sz="8" w:color="auto"/>
            </w:tcBorders>
            <w:shd w:val="clear" w:color="auto" w:fill="151618"/>
          </w:tcPr>
          <w:p>
            <w:pPr>
              <w:jc w:val="center"/>
              <w:ind w:left="19"/>
              <w:spacing w:after="0" w:line="162" w:lineRule="exact"/>
              <w:rPr>
                <w:sz w:val="20"/>
                <w:szCs w:val="20"/>
                <w:color w:val="auto"/>
              </w:rPr>
            </w:pPr>
            <w:r>
              <w:rPr>
                <w:rFonts w:ascii="Calibri" w:cs="Calibri" w:eastAsia="Calibri" w:hAnsi="Calibri"/>
                <w:sz w:val="16"/>
                <w:szCs w:val="16"/>
                <w:b w:val="1"/>
                <w:bCs w:val="1"/>
                <w:color w:val="FFFFFF"/>
              </w:rPr>
              <w:t>Corporate Governance</w:t>
            </w:r>
          </w:p>
        </w:tc>
      </w:tr>
      <w:tr>
        <w:trPr>
          <w:trHeight w:val="226"/>
        </w:trPr>
        <w:tc>
          <w:tcPr>
            <w:tcW w:w="2220" w:type="dxa"/>
            <w:vAlign w:val="bottom"/>
            <w:tcBorders>
              <w:left w:val="single" w:sz="8" w:color="auto"/>
              <w:bottom w:val="single" w:sz="8" w:color="151618"/>
            </w:tcBorders>
            <w:shd w:val="clear" w:color="auto" w:fill="151618"/>
          </w:tcPr>
          <w:p>
            <w:pPr>
              <w:ind w:left="80"/>
              <w:spacing w:after="0" w:line="193" w:lineRule="exact"/>
              <w:rPr>
                <w:sz w:val="20"/>
                <w:szCs w:val="20"/>
                <w:color w:val="auto"/>
              </w:rPr>
            </w:pPr>
            <w:r>
              <w:rPr>
                <w:rFonts w:ascii="Calibri" w:cs="Calibri" w:eastAsia="Calibri" w:hAnsi="Calibri"/>
                <w:sz w:val="16"/>
                <w:szCs w:val="16"/>
                <w:b w:val="1"/>
                <w:bCs w:val="1"/>
                <w:color w:val="FFFFFF"/>
              </w:rPr>
              <w:t>Name</w:t>
            </w:r>
          </w:p>
        </w:tc>
        <w:tc>
          <w:tcPr>
            <w:tcW w:w="1400" w:type="dxa"/>
            <w:vAlign w:val="bottom"/>
            <w:tcBorders>
              <w:bottom w:val="single" w:sz="8" w:color="151618"/>
            </w:tcBorders>
            <w:shd w:val="clear" w:color="auto" w:fill="151618"/>
          </w:tcPr>
          <w:p>
            <w:pPr>
              <w:jc w:val="center"/>
              <w:ind w:left="259"/>
              <w:spacing w:after="0" w:line="193" w:lineRule="exact"/>
              <w:rPr>
                <w:sz w:val="20"/>
                <w:szCs w:val="20"/>
                <w:color w:val="auto"/>
              </w:rPr>
            </w:pPr>
            <w:r>
              <w:rPr>
                <w:rFonts w:ascii="Calibri" w:cs="Calibri" w:eastAsia="Calibri" w:hAnsi="Calibri"/>
                <w:sz w:val="16"/>
                <w:szCs w:val="16"/>
                <w:b w:val="1"/>
                <w:bCs w:val="1"/>
                <w:color w:val="FFFFFF"/>
              </w:rPr>
              <w:t>Age</w:t>
            </w:r>
          </w:p>
        </w:tc>
        <w:tc>
          <w:tcPr>
            <w:tcW w:w="1720" w:type="dxa"/>
            <w:vAlign w:val="bottom"/>
            <w:tcBorders>
              <w:bottom w:val="single" w:sz="8" w:color="151618"/>
            </w:tcBorders>
            <w:shd w:val="clear" w:color="auto" w:fill="151618"/>
          </w:tcPr>
          <w:p>
            <w:pPr>
              <w:jc w:val="center"/>
              <w:spacing w:after="0" w:line="193" w:lineRule="exact"/>
              <w:rPr>
                <w:sz w:val="20"/>
                <w:szCs w:val="20"/>
                <w:color w:val="auto"/>
              </w:rPr>
            </w:pPr>
            <w:r>
              <w:rPr>
                <w:rFonts w:ascii="Calibri" w:cs="Calibri" w:eastAsia="Calibri" w:hAnsi="Calibri"/>
                <w:sz w:val="16"/>
                <w:szCs w:val="16"/>
                <w:b w:val="1"/>
                <w:bCs w:val="1"/>
                <w:color w:val="FFFFFF"/>
              </w:rPr>
              <w:t>Independent</w:t>
            </w:r>
          </w:p>
        </w:tc>
        <w:tc>
          <w:tcPr>
            <w:tcW w:w="1800" w:type="dxa"/>
            <w:vAlign w:val="bottom"/>
            <w:tcBorders>
              <w:bottom w:val="single" w:sz="8" w:color="151618"/>
            </w:tcBorders>
            <w:shd w:val="clear" w:color="auto" w:fill="151618"/>
          </w:tcPr>
          <w:p>
            <w:pPr>
              <w:jc w:val="center"/>
              <w:spacing w:after="0" w:line="193" w:lineRule="exact"/>
              <w:rPr>
                <w:sz w:val="20"/>
                <w:szCs w:val="20"/>
                <w:color w:val="auto"/>
              </w:rPr>
            </w:pPr>
            <w:r>
              <w:rPr>
                <w:rFonts w:ascii="Calibri" w:cs="Calibri" w:eastAsia="Calibri" w:hAnsi="Calibri"/>
                <w:sz w:val="16"/>
                <w:szCs w:val="16"/>
                <w:b w:val="1"/>
                <w:bCs w:val="1"/>
                <w:color w:val="FFFFFF"/>
              </w:rPr>
              <w:t>Commitee</w:t>
            </w:r>
          </w:p>
        </w:tc>
        <w:tc>
          <w:tcPr>
            <w:tcW w:w="1660" w:type="dxa"/>
            <w:vAlign w:val="bottom"/>
            <w:tcBorders>
              <w:bottom w:val="single" w:sz="8" w:color="151618"/>
            </w:tcBorders>
            <w:shd w:val="clear" w:color="auto" w:fill="151618"/>
          </w:tcPr>
          <w:p>
            <w:pPr>
              <w:jc w:val="center"/>
              <w:ind w:left="59"/>
              <w:spacing w:after="0" w:line="193" w:lineRule="exact"/>
              <w:rPr>
                <w:sz w:val="20"/>
                <w:szCs w:val="20"/>
                <w:color w:val="auto"/>
              </w:rPr>
            </w:pPr>
            <w:r>
              <w:rPr>
                <w:rFonts w:ascii="Calibri" w:cs="Calibri" w:eastAsia="Calibri" w:hAnsi="Calibri"/>
                <w:sz w:val="16"/>
                <w:szCs w:val="16"/>
                <w:b w:val="1"/>
                <w:bCs w:val="1"/>
                <w:color w:val="FFFFFF"/>
              </w:rPr>
              <w:t>Commitee</w:t>
            </w:r>
          </w:p>
        </w:tc>
        <w:tc>
          <w:tcPr>
            <w:tcW w:w="1940" w:type="dxa"/>
            <w:vAlign w:val="bottom"/>
            <w:tcBorders>
              <w:bottom w:val="single" w:sz="8" w:color="151618"/>
              <w:right w:val="single" w:sz="8" w:color="auto"/>
            </w:tcBorders>
            <w:shd w:val="clear" w:color="auto" w:fill="151618"/>
          </w:tcPr>
          <w:p>
            <w:pPr>
              <w:jc w:val="center"/>
              <w:ind w:left="39"/>
              <w:spacing w:after="0" w:line="193" w:lineRule="exact"/>
              <w:rPr>
                <w:sz w:val="20"/>
                <w:szCs w:val="20"/>
                <w:color w:val="auto"/>
              </w:rPr>
            </w:pPr>
            <w:r>
              <w:rPr>
                <w:rFonts w:ascii="Calibri" w:cs="Calibri" w:eastAsia="Calibri" w:hAnsi="Calibri"/>
                <w:sz w:val="16"/>
                <w:szCs w:val="16"/>
                <w:b w:val="1"/>
                <w:bCs w:val="1"/>
                <w:color w:val="FFFFFF"/>
              </w:rPr>
              <w:t>Commitee</w:t>
            </w:r>
          </w:p>
        </w:tc>
      </w:tr>
      <w:tr>
        <w:trPr>
          <w:trHeight w:val="214"/>
        </w:trPr>
        <w:tc>
          <w:tcPr>
            <w:tcW w:w="2220" w:type="dxa"/>
            <w:vAlign w:val="bottom"/>
            <w:tcBorders>
              <w:top w:val="single" w:sz="8" w:color="auto"/>
              <w:left w:val="single" w:sz="8" w:color="auto"/>
              <w:bottom w:val="single" w:sz="8" w:color="E5FF61"/>
            </w:tcBorders>
            <w:shd w:val="clear" w:color="auto" w:fill="E5FF61"/>
          </w:tcPr>
          <w:p>
            <w:pPr>
              <w:ind w:left="80"/>
              <w:spacing w:after="0" w:line="187" w:lineRule="exact"/>
              <w:rPr>
                <w:sz w:val="20"/>
                <w:szCs w:val="20"/>
                <w:color w:val="auto"/>
              </w:rPr>
            </w:pPr>
            <w:r>
              <w:rPr>
                <w:rFonts w:ascii="Calibri" w:cs="Calibri" w:eastAsia="Calibri" w:hAnsi="Calibri"/>
                <w:sz w:val="16"/>
                <w:szCs w:val="16"/>
                <w:b w:val="1"/>
                <w:bCs w:val="1"/>
                <w:color w:val="auto"/>
              </w:rPr>
              <w:t>Director Nominees</w:t>
            </w:r>
          </w:p>
        </w:tc>
        <w:tc>
          <w:tcPr>
            <w:tcW w:w="1400" w:type="dxa"/>
            <w:vAlign w:val="bottom"/>
            <w:tcBorders>
              <w:top w:val="single" w:sz="8" w:color="auto"/>
              <w:bottom w:val="single" w:sz="8" w:color="E5FF61"/>
            </w:tcBorders>
            <w:shd w:val="clear" w:color="auto" w:fill="E5FF61"/>
          </w:tcPr>
          <w:p>
            <w:pPr>
              <w:spacing w:after="0"/>
              <w:rPr>
                <w:sz w:val="18"/>
                <w:szCs w:val="18"/>
                <w:color w:val="auto"/>
              </w:rPr>
            </w:pPr>
          </w:p>
        </w:tc>
        <w:tc>
          <w:tcPr>
            <w:tcW w:w="1720" w:type="dxa"/>
            <w:vAlign w:val="bottom"/>
            <w:tcBorders>
              <w:top w:val="single" w:sz="8" w:color="auto"/>
              <w:bottom w:val="single" w:sz="8" w:color="E5FF61"/>
            </w:tcBorders>
            <w:shd w:val="clear" w:color="auto" w:fill="E5FF61"/>
          </w:tcPr>
          <w:p>
            <w:pPr>
              <w:spacing w:after="0"/>
              <w:rPr>
                <w:sz w:val="18"/>
                <w:szCs w:val="18"/>
                <w:color w:val="auto"/>
              </w:rPr>
            </w:pPr>
          </w:p>
        </w:tc>
        <w:tc>
          <w:tcPr>
            <w:tcW w:w="1800" w:type="dxa"/>
            <w:vAlign w:val="bottom"/>
            <w:tcBorders>
              <w:top w:val="single" w:sz="8" w:color="auto"/>
              <w:bottom w:val="single" w:sz="8" w:color="E5FF61"/>
            </w:tcBorders>
            <w:shd w:val="clear" w:color="auto" w:fill="E5FF61"/>
          </w:tcPr>
          <w:p>
            <w:pPr>
              <w:spacing w:after="0"/>
              <w:rPr>
                <w:sz w:val="18"/>
                <w:szCs w:val="18"/>
                <w:color w:val="auto"/>
              </w:rPr>
            </w:pPr>
          </w:p>
        </w:tc>
        <w:tc>
          <w:tcPr>
            <w:tcW w:w="1660" w:type="dxa"/>
            <w:vAlign w:val="bottom"/>
            <w:tcBorders>
              <w:top w:val="single" w:sz="8" w:color="auto"/>
              <w:bottom w:val="single" w:sz="8" w:color="E5FF61"/>
            </w:tcBorders>
            <w:shd w:val="clear" w:color="auto" w:fill="E5FF61"/>
          </w:tcPr>
          <w:p>
            <w:pPr>
              <w:spacing w:after="0"/>
              <w:rPr>
                <w:sz w:val="18"/>
                <w:szCs w:val="18"/>
                <w:color w:val="auto"/>
              </w:rPr>
            </w:pPr>
          </w:p>
        </w:tc>
        <w:tc>
          <w:tcPr>
            <w:tcW w:w="1940" w:type="dxa"/>
            <w:vAlign w:val="bottom"/>
            <w:tcBorders>
              <w:top w:val="single" w:sz="8" w:color="auto"/>
              <w:bottom w:val="single" w:sz="8" w:color="E5FF61"/>
              <w:right w:val="single" w:sz="8" w:color="auto"/>
            </w:tcBorders>
            <w:shd w:val="clear" w:color="auto" w:fill="E5FF61"/>
          </w:tcPr>
          <w:p>
            <w:pPr>
              <w:spacing w:after="0"/>
              <w:rPr>
                <w:sz w:val="18"/>
                <w:szCs w:val="18"/>
                <w:color w:val="auto"/>
              </w:rPr>
            </w:pPr>
          </w:p>
        </w:tc>
      </w:tr>
      <w:tr>
        <w:trPr>
          <w:trHeight w:val="196"/>
        </w:trPr>
        <w:tc>
          <w:tcPr>
            <w:tcW w:w="2220" w:type="dxa"/>
            <w:vAlign w:val="bottom"/>
            <w:tcBorders>
              <w:top w:val="single" w:sz="8" w:color="auto"/>
              <w:left w:val="single" w:sz="8" w:color="auto"/>
            </w:tcBorders>
          </w:tcPr>
          <w:p>
            <w:pPr>
              <w:ind w:left="80"/>
              <w:spacing w:after="0"/>
              <w:rPr>
                <w:sz w:val="20"/>
                <w:szCs w:val="20"/>
                <w:color w:val="auto"/>
              </w:rPr>
            </w:pPr>
            <w:r>
              <w:rPr>
                <w:rFonts w:ascii="Calibri" w:cs="Calibri" w:eastAsia="Calibri" w:hAnsi="Calibri"/>
                <w:sz w:val="16"/>
                <w:szCs w:val="16"/>
                <w:b w:val="1"/>
                <w:bCs w:val="1"/>
                <w:color w:val="auto"/>
              </w:rPr>
              <w:t>Sean Collins</w:t>
            </w:r>
          </w:p>
        </w:tc>
        <w:tc>
          <w:tcPr>
            <w:tcW w:w="1400" w:type="dxa"/>
            <w:vAlign w:val="bottom"/>
            <w:tcBorders>
              <w:top w:val="single" w:sz="8" w:color="auto"/>
            </w:tcBorders>
          </w:tcPr>
          <w:p>
            <w:pPr>
              <w:jc w:val="center"/>
              <w:ind w:left="239"/>
              <w:spacing w:after="0" w:line="193" w:lineRule="exact"/>
              <w:rPr>
                <w:sz w:val="20"/>
                <w:szCs w:val="20"/>
                <w:color w:val="auto"/>
              </w:rPr>
            </w:pPr>
            <w:r>
              <w:rPr>
                <w:rFonts w:ascii="Calibri" w:cs="Calibri" w:eastAsia="Calibri" w:hAnsi="Calibri"/>
                <w:sz w:val="16"/>
                <w:szCs w:val="16"/>
                <w:color w:val="auto"/>
                <w:w w:val="98"/>
              </w:rPr>
              <w:t>44</w:t>
            </w:r>
          </w:p>
        </w:tc>
        <w:tc>
          <w:tcPr>
            <w:tcW w:w="1720" w:type="dxa"/>
            <w:vAlign w:val="bottom"/>
            <w:tcBorders>
              <w:top w:val="single" w:sz="8" w:color="auto"/>
            </w:tcBorders>
          </w:tcPr>
          <w:p>
            <w:pPr>
              <w:jc w:val="center"/>
              <w:spacing w:after="0" w:line="193" w:lineRule="exact"/>
              <w:rPr>
                <w:sz w:val="20"/>
                <w:szCs w:val="20"/>
                <w:color w:val="auto"/>
              </w:rPr>
            </w:pPr>
            <w:r>
              <w:rPr>
                <w:rFonts w:ascii="Calibri" w:cs="Calibri" w:eastAsia="Calibri" w:hAnsi="Calibri"/>
                <w:sz w:val="16"/>
                <w:szCs w:val="16"/>
                <w:color w:val="auto"/>
                <w:w w:val="90"/>
              </w:rPr>
              <w:t>Yes</w:t>
            </w:r>
          </w:p>
        </w:tc>
        <w:tc>
          <w:tcPr>
            <w:tcW w:w="1800" w:type="dxa"/>
            <w:vAlign w:val="bottom"/>
            <w:tcBorders>
              <w:top w:val="single" w:sz="8" w:color="auto"/>
            </w:tcBorders>
          </w:tcPr>
          <w:p>
            <w:pPr>
              <w:jc w:val="center"/>
              <w:spacing w:after="0" w:line="193" w:lineRule="exact"/>
              <w:rPr>
                <w:sz w:val="20"/>
                <w:szCs w:val="20"/>
                <w:color w:val="auto"/>
              </w:rPr>
            </w:pPr>
            <w:r>
              <w:rPr>
                <w:rFonts w:ascii="Calibri" w:cs="Calibri" w:eastAsia="Calibri" w:hAnsi="Calibri"/>
                <w:sz w:val="16"/>
                <w:szCs w:val="16"/>
                <w:color w:val="auto"/>
                <w:w w:val="99"/>
              </w:rPr>
              <w:t>Member</w:t>
            </w:r>
          </w:p>
        </w:tc>
        <w:tc>
          <w:tcPr>
            <w:tcW w:w="1660" w:type="dxa"/>
            <w:vAlign w:val="bottom"/>
            <w:tcBorders>
              <w:top w:val="single" w:sz="8" w:color="auto"/>
            </w:tcBorders>
          </w:tcPr>
          <w:p>
            <w:pPr>
              <w:jc w:val="center"/>
              <w:ind w:left="59"/>
              <w:spacing w:after="0" w:line="193" w:lineRule="exact"/>
              <w:rPr>
                <w:sz w:val="20"/>
                <w:szCs w:val="20"/>
                <w:color w:val="auto"/>
              </w:rPr>
            </w:pPr>
            <w:r>
              <w:rPr>
                <w:rFonts w:ascii="Calibri" w:cs="Calibri" w:eastAsia="Calibri" w:hAnsi="Calibri"/>
                <w:sz w:val="16"/>
                <w:szCs w:val="16"/>
                <w:color w:val="auto"/>
              </w:rPr>
              <w:t>Chair</w:t>
            </w:r>
          </w:p>
        </w:tc>
        <w:tc>
          <w:tcPr>
            <w:tcW w:w="1940" w:type="dxa"/>
            <w:vAlign w:val="bottom"/>
            <w:tcBorders>
              <w:top w:val="single" w:sz="8" w:color="auto"/>
              <w:right w:val="single" w:sz="8" w:color="auto"/>
            </w:tcBorders>
          </w:tcPr>
          <w:p>
            <w:pPr>
              <w:jc w:val="center"/>
              <w:ind w:left="19"/>
              <w:spacing w:after="0" w:line="193" w:lineRule="exact"/>
              <w:rPr>
                <w:sz w:val="20"/>
                <w:szCs w:val="20"/>
                <w:color w:val="auto"/>
              </w:rPr>
            </w:pPr>
            <w:r>
              <w:rPr>
                <w:rFonts w:ascii="Calibri" w:cs="Calibri" w:eastAsia="Calibri" w:hAnsi="Calibri"/>
                <w:sz w:val="16"/>
                <w:szCs w:val="16"/>
                <w:color w:val="auto"/>
                <w:w w:val="99"/>
              </w:rPr>
              <w:t>Member</w:t>
            </w:r>
          </w:p>
        </w:tc>
      </w:tr>
      <w:tr>
        <w:trPr>
          <w:trHeight w:val="41"/>
        </w:trPr>
        <w:tc>
          <w:tcPr>
            <w:tcW w:w="2220" w:type="dxa"/>
            <w:vAlign w:val="bottom"/>
            <w:tcBorders>
              <w:left w:val="single" w:sz="8" w:color="auto"/>
              <w:bottom w:val="single" w:sz="8" w:color="auto"/>
            </w:tcBorders>
          </w:tcPr>
          <w:p>
            <w:pPr>
              <w:spacing w:after="0"/>
              <w:rPr>
                <w:sz w:val="3"/>
                <w:szCs w:val="3"/>
                <w:color w:val="auto"/>
              </w:rPr>
            </w:pPr>
          </w:p>
        </w:tc>
        <w:tc>
          <w:tcPr>
            <w:tcW w:w="1400" w:type="dxa"/>
            <w:vAlign w:val="bottom"/>
            <w:tcBorders>
              <w:bottom w:val="single" w:sz="8" w:color="auto"/>
            </w:tcBorders>
          </w:tcPr>
          <w:p>
            <w:pPr>
              <w:spacing w:after="0"/>
              <w:rPr>
                <w:sz w:val="3"/>
                <w:szCs w:val="3"/>
                <w:color w:val="auto"/>
              </w:rPr>
            </w:pPr>
          </w:p>
        </w:tc>
        <w:tc>
          <w:tcPr>
            <w:tcW w:w="1720" w:type="dxa"/>
            <w:vAlign w:val="bottom"/>
            <w:tcBorders>
              <w:bottom w:val="single" w:sz="8" w:color="auto"/>
            </w:tcBorders>
          </w:tcPr>
          <w:p>
            <w:pPr>
              <w:spacing w:after="0"/>
              <w:rPr>
                <w:sz w:val="3"/>
                <w:szCs w:val="3"/>
                <w:color w:val="auto"/>
              </w:rPr>
            </w:pPr>
          </w:p>
        </w:tc>
        <w:tc>
          <w:tcPr>
            <w:tcW w:w="1800" w:type="dxa"/>
            <w:vAlign w:val="bottom"/>
            <w:tcBorders>
              <w:bottom w:val="single" w:sz="8" w:color="auto"/>
            </w:tcBorders>
          </w:tcPr>
          <w:p>
            <w:pPr>
              <w:spacing w:after="0"/>
              <w:rPr>
                <w:sz w:val="3"/>
                <w:szCs w:val="3"/>
                <w:color w:val="auto"/>
              </w:rPr>
            </w:pPr>
          </w:p>
        </w:tc>
        <w:tc>
          <w:tcPr>
            <w:tcW w:w="1660" w:type="dxa"/>
            <w:vAlign w:val="bottom"/>
            <w:tcBorders>
              <w:bottom w:val="single" w:sz="8" w:color="auto"/>
            </w:tcBorders>
          </w:tcPr>
          <w:p>
            <w:pPr>
              <w:spacing w:after="0"/>
              <w:rPr>
                <w:sz w:val="3"/>
                <w:szCs w:val="3"/>
                <w:color w:val="auto"/>
              </w:rPr>
            </w:pPr>
          </w:p>
        </w:tc>
        <w:tc>
          <w:tcPr>
            <w:tcW w:w="1940" w:type="dxa"/>
            <w:vAlign w:val="bottom"/>
            <w:tcBorders>
              <w:bottom w:val="single" w:sz="8" w:color="auto"/>
              <w:right w:val="single" w:sz="8" w:color="auto"/>
            </w:tcBorders>
          </w:tcPr>
          <w:p>
            <w:pPr>
              <w:spacing w:after="0"/>
              <w:rPr>
                <w:sz w:val="3"/>
                <w:szCs w:val="3"/>
                <w:color w:val="auto"/>
              </w:rPr>
            </w:pPr>
          </w:p>
        </w:tc>
      </w:tr>
      <w:tr>
        <w:trPr>
          <w:trHeight w:val="195"/>
        </w:trPr>
        <w:tc>
          <w:tcPr>
            <w:tcW w:w="2220" w:type="dxa"/>
            <w:vAlign w:val="bottom"/>
            <w:tcBorders>
              <w:left w:val="single" w:sz="8" w:color="auto"/>
            </w:tcBorders>
          </w:tcPr>
          <w:p>
            <w:pPr>
              <w:ind w:left="80"/>
              <w:spacing w:after="0"/>
              <w:rPr>
                <w:sz w:val="20"/>
                <w:szCs w:val="20"/>
                <w:color w:val="auto"/>
              </w:rPr>
            </w:pPr>
            <w:r>
              <w:rPr>
                <w:rFonts w:ascii="Calibri" w:cs="Calibri" w:eastAsia="Calibri" w:hAnsi="Calibri"/>
                <w:sz w:val="16"/>
                <w:szCs w:val="16"/>
                <w:b w:val="1"/>
                <w:bCs w:val="1"/>
                <w:color w:val="auto"/>
              </w:rPr>
              <w:t>Richard Lumb</w:t>
            </w:r>
          </w:p>
        </w:tc>
        <w:tc>
          <w:tcPr>
            <w:tcW w:w="1400" w:type="dxa"/>
            <w:vAlign w:val="bottom"/>
          </w:tcPr>
          <w:p>
            <w:pPr>
              <w:jc w:val="center"/>
              <w:ind w:left="239"/>
              <w:spacing w:after="0" w:line="193" w:lineRule="exact"/>
              <w:rPr>
                <w:sz w:val="20"/>
                <w:szCs w:val="20"/>
                <w:color w:val="auto"/>
              </w:rPr>
            </w:pPr>
            <w:r>
              <w:rPr>
                <w:rFonts w:ascii="Calibri" w:cs="Calibri" w:eastAsia="Calibri" w:hAnsi="Calibri"/>
                <w:sz w:val="16"/>
                <w:szCs w:val="16"/>
                <w:color w:val="auto"/>
                <w:w w:val="98"/>
              </w:rPr>
              <w:t>63</w:t>
            </w:r>
          </w:p>
        </w:tc>
        <w:tc>
          <w:tcPr>
            <w:tcW w:w="1720" w:type="dxa"/>
            <w:vAlign w:val="bottom"/>
          </w:tcPr>
          <w:p>
            <w:pPr>
              <w:jc w:val="center"/>
              <w:spacing w:after="0" w:line="193" w:lineRule="exact"/>
              <w:rPr>
                <w:sz w:val="20"/>
                <w:szCs w:val="20"/>
                <w:color w:val="auto"/>
              </w:rPr>
            </w:pPr>
            <w:r>
              <w:rPr>
                <w:rFonts w:ascii="Calibri" w:cs="Calibri" w:eastAsia="Calibri" w:hAnsi="Calibri"/>
                <w:sz w:val="16"/>
                <w:szCs w:val="16"/>
                <w:color w:val="auto"/>
                <w:w w:val="90"/>
              </w:rPr>
              <w:t>Yes</w:t>
            </w:r>
          </w:p>
        </w:tc>
        <w:tc>
          <w:tcPr>
            <w:tcW w:w="1800" w:type="dxa"/>
            <w:vAlign w:val="bottom"/>
          </w:tcPr>
          <w:p>
            <w:pPr>
              <w:jc w:val="center"/>
              <w:spacing w:after="0" w:line="193" w:lineRule="exact"/>
              <w:rPr>
                <w:sz w:val="20"/>
                <w:szCs w:val="20"/>
                <w:color w:val="auto"/>
              </w:rPr>
            </w:pPr>
            <w:r>
              <w:rPr>
                <w:rFonts w:ascii="Calibri" w:cs="Calibri" w:eastAsia="Calibri" w:hAnsi="Calibri"/>
                <w:sz w:val="16"/>
                <w:szCs w:val="16"/>
                <w:color w:val="auto"/>
                <w:w w:val="99"/>
              </w:rPr>
              <w:t>Member</w:t>
            </w:r>
          </w:p>
        </w:tc>
        <w:tc>
          <w:tcPr>
            <w:tcW w:w="1660" w:type="dxa"/>
            <w:vAlign w:val="bottom"/>
          </w:tcPr>
          <w:p>
            <w:pPr>
              <w:jc w:val="center"/>
              <w:ind w:left="59"/>
              <w:spacing w:after="0" w:line="193" w:lineRule="exact"/>
              <w:rPr>
                <w:sz w:val="20"/>
                <w:szCs w:val="20"/>
                <w:color w:val="auto"/>
              </w:rPr>
            </w:pPr>
            <w:r>
              <w:rPr>
                <w:rFonts w:ascii="Calibri" w:cs="Calibri" w:eastAsia="Calibri" w:hAnsi="Calibri"/>
                <w:sz w:val="16"/>
                <w:szCs w:val="16"/>
                <w:color w:val="auto"/>
              </w:rPr>
              <w:t>—</w:t>
            </w:r>
          </w:p>
        </w:tc>
        <w:tc>
          <w:tcPr>
            <w:tcW w:w="1940" w:type="dxa"/>
            <w:vAlign w:val="bottom"/>
            <w:tcBorders>
              <w:right w:val="single" w:sz="8" w:color="auto"/>
            </w:tcBorders>
          </w:tcPr>
          <w:p>
            <w:pPr>
              <w:jc w:val="center"/>
              <w:ind w:left="19"/>
              <w:spacing w:after="0" w:line="193" w:lineRule="exact"/>
              <w:rPr>
                <w:sz w:val="20"/>
                <w:szCs w:val="20"/>
                <w:color w:val="auto"/>
              </w:rPr>
            </w:pPr>
            <w:r>
              <w:rPr>
                <w:rFonts w:ascii="Calibri" w:cs="Calibri" w:eastAsia="Calibri" w:hAnsi="Calibri"/>
                <w:sz w:val="16"/>
                <w:szCs w:val="16"/>
                <w:color w:val="auto"/>
              </w:rPr>
              <w:t>—</w:t>
            </w:r>
          </w:p>
        </w:tc>
      </w:tr>
      <w:tr>
        <w:trPr>
          <w:trHeight w:val="41"/>
        </w:trPr>
        <w:tc>
          <w:tcPr>
            <w:tcW w:w="2220" w:type="dxa"/>
            <w:vAlign w:val="bottom"/>
            <w:tcBorders>
              <w:left w:val="single" w:sz="8" w:color="auto"/>
              <w:bottom w:val="single" w:sz="8" w:color="auto"/>
            </w:tcBorders>
          </w:tcPr>
          <w:p>
            <w:pPr>
              <w:spacing w:after="0"/>
              <w:rPr>
                <w:sz w:val="3"/>
                <w:szCs w:val="3"/>
                <w:color w:val="auto"/>
              </w:rPr>
            </w:pPr>
          </w:p>
        </w:tc>
        <w:tc>
          <w:tcPr>
            <w:tcW w:w="1400" w:type="dxa"/>
            <w:vAlign w:val="bottom"/>
            <w:tcBorders>
              <w:bottom w:val="single" w:sz="8" w:color="auto"/>
            </w:tcBorders>
          </w:tcPr>
          <w:p>
            <w:pPr>
              <w:spacing w:after="0"/>
              <w:rPr>
                <w:sz w:val="3"/>
                <w:szCs w:val="3"/>
                <w:color w:val="auto"/>
              </w:rPr>
            </w:pPr>
          </w:p>
        </w:tc>
        <w:tc>
          <w:tcPr>
            <w:tcW w:w="1720" w:type="dxa"/>
            <w:vAlign w:val="bottom"/>
            <w:tcBorders>
              <w:bottom w:val="single" w:sz="8" w:color="auto"/>
            </w:tcBorders>
          </w:tcPr>
          <w:p>
            <w:pPr>
              <w:spacing w:after="0"/>
              <w:rPr>
                <w:sz w:val="3"/>
                <w:szCs w:val="3"/>
                <w:color w:val="auto"/>
              </w:rPr>
            </w:pPr>
          </w:p>
        </w:tc>
        <w:tc>
          <w:tcPr>
            <w:tcW w:w="1800" w:type="dxa"/>
            <w:vAlign w:val="bottom"/>
            <w:tcBorders>
              <w:bottom w:val="single" w:sz="8" w:color="auto"/>
            </w:tcBorders>
          </w:tcPr>
          <w:p>
            <w:pPr>
              <w:spacing w:after="0"/>
              <w:rPr>
                <w:sz w:val="3"/>
                <w:szCs w:val="3"/>
                <w:color w:val="auto"/>
              </w:rPr>
            </w:pPr>
          </w:p>
        </w:tc>
        <w:tc>
          <w:tcPr>
            <w:tcW w:w="1660" w:type="dxa"/>
            <w:vAlign w:val="bottom"/>
            <w:tcBorders>
              <w:bottom w:val="single" w:sz="8" w:color="auto"/>
            </w:tcBorders>
          </w:tcPr>
          <w:p>
            <w:pPr>
              <w:spacing w:after="0"/>
              <w:rPr>
                <w:sz w:val="3"/>
                <w:szCs w:val="3"/>
                <w:color w:val="auto"/>
              </w:rPr>
            </w:pPr>
          </w:p>
        </w:tc>
        <w:tc>
          <w:tcPr>
            <w:tcW w:w="1940" w:type="dxa"/>
            <w:vAlign w:val="bottom"/>
            <w:tcBorders>
              <w:bottom w:val="single" w:sz="8" w:color="auto"/>
              <w:right w:val="single" w:sz="8" w:color="auto"/>
            </w:tcBorders>
          </w:tcPr>
          <w:p>
            <w:pPr>
              <w:spacing w:after="0"/>
              <w:rPr>
                <w:sz w:val="3"/>
                <w:szCs w:val="3"/>
                <w:color w:val="auto"/>
              </w:rPr>
            </w:pPr>
          </w:p>
        </w:tc>
      </w:tr>
      <w:tr>
        <w:trPr>
          <w:trHeight w:val="196"/>
        </w:trPr>
        <w:tc>
          <w:tcPr>
            <w:tcW w:w="2220" w:type="dxa"/>
            <w:vAlign w:val="bottom"/>
            <w:tcBorders>
              <w:left w:val="single" w:sz="8" w:color="auto"/>
            </w:tcBorders>
          </w:tcPr>
          <w:p>
            <w:pPr>
              <w:ind w:left="80"/>
              <w:spacing w:after="0"/>
              <w:rPr>
                <w:sz w:val="20"/>
                <w:szCs w:val="20"/>
                <w:color w:val="auto"/>
              </w:rPr>
            </w:pPr>
            <w:r>
              <w:rPr>
                <w:rFonts w:ascii="Calibri" w:cs="Calibri" w:eastAsia="Calibri" w:hAnsi="Calibri"/>
                <w:sz w:val="16"/>
                <w:szCs w:val="16"/>
                <w:b w:val="1"/>
                <w:bCs w:val="1"/>
                <w:color w:val="auto"/>
              </w:rPr>
              <w:t>Andrew Main</w:t>
            </w:r>
          </w:p>
        </w:tc>
        <w:tc>
          <w:tcPr>
            <w:tcW w:w="1400" w:type="dxa"/>
            <w:vAlign w:val="bottom"/>
          </w:tcPr>
          <w:p>
            <w:pPr>
              <w:jc w:val="center"/>
              <w:ind w:left="239"/>
              <w:spacing w:after="0" w:line="193" w:lineRule="exact"/>
              <w:rPr>
                <w:sz w:val="20"/>
                <w:szCs w:val="20"/>
                <w:color w:val="auto"/>
              </w:rPr>
            </w:pPr>
            <w:r>
              <w:rPr>
                <w:rFonts w:ascii="Calibri" w:cs="Calibri" w:eastAsia="Calibri" w:hAnsi="Calibri"/>
                <w:sz w:val="16"/>
                <w:szCs w:val="16"/>
                <w:color w:val="auto"/>
                <w:w w:val="98"/>
              </w:rPr>
              <w:t>59</w:t>
            </w:r>
          </w:p>
        </w:tc>
        <w:tc>
          <w:tcPr>
            <w:tcW w:w="1720" w:type="dxa"/>
            <w:vAlign w:val="bottom"/>
          </w:tcPr>
          <w:p>
            <w:pPr>
              <w:jc w:val="center"/>
              <w:spacing w:after="0" w:line="193" w:lineRule="exact"/>
              <w:rPr>
                <w:sz w:val="20"/>
                <w:szCs w:val="20"/>
                <w:color w:val="auto"/>
              </w:rPr>
            </w:pPr>
            <w:r>
              <w:rPr>
                <w:rFonts w:ascii="Calibri" w:cs="Calibri" w:eastAsia="Calibri" w:hAnsi="Calibri"/>
                <w:sz w:val="16"/>
                <w:szCs w:val="16"/>
                <w:color w:val="auto"/>
              </w:rPr>
              <w:t>No</w:t>
            </w:r>
          </w:p>
        </w:tc>
        <w:tc>
          <w:tcPr>
            <w:tcW w:w="1800" w:type="dxa"/>
            <w:vAlign w:val="bottom"/>
          </w:tcPr>
          <w:p>
            <w:pPr>
              <w:jc w:val="center"/>
              <w:spacing w:after="0" w:line="193" w:lineRule="exact"/>
              <w:rPr>
                <w:sz w:val="20"/>
                <w:szCs w:val="20"/>
                <w:color w:val="auto"/>
              </w:rPr>
            </w:pPr>
            <w:r>
              <w:rPr>
                <w:rFonts w:ascii="Calibri" w:cs="Calibri" w:eastAsia="Calibri" w:hAnsi="Calibri"/>
                <w:sz w:val="16"/>
                <w:szCs w:val="16"/>
                <w:color w:val="auto"/>
              </w:rPr>
              <w:t>—</w:t>
            </w:r>
          </w:p>
        </w:tc>
        <w:tc>
          <w:tcPr>
            <w:tcW w:w="1660" w:type="dxa"/>
            <w:vAlign w:val="bottom"/>
          </w:tcPr>
          <w:p>
            <w:pPr>
              <w:jc w:val="center"/>
              <w:ind w:left="59"/>
              <w:spacing w:after="0" w:line="193" w:lineRule="exact"/>
              <w:rPr>
                <w:sz w:val="20"/>
                <w:szCs w:val="20"/>
                <w:color w:val="auto"/>
              </w:rPr>
            </w:pPr>
            <w:r>
              <w:rPr>
                <w:rFonts w:ascii="Calibri" w:cs="Calibri" w:eastAsia="Calibri" w:hAnsi="Calibri"/>
                <w:sz w:val="16"/>
                <w:szCs w:val="16"/>
                <w:color w:val="auto"/>
              </w:rPr>
              <w:t>—</w:t>
            </w:r>
          </w:p>
        </w:tc>
        <w:tc>
          <w:tcPr>
            <w:tcW w:w="1940" w:type="dxa"/>
            <w:vAlign w:val="bottom"/>
            <w:tcBorders>
              <w:right w:val="single" w:sz="8" w:color="auto"/>
            </w:tcBorders>
          </w:tcPr>
          <w:p>
            <w:pPr>
              <w:jc w:val="center"/>
              <w:ind w:left="19"/>
              <w:spacing w:after="0" w:line="193" w:lineRule="exact"/>
              <w:rPr>
                <w:sz w:val="20"/>
                <w:szCs w:val="20"/>
                <w:color w:val="auto"/>
              </w:rPr>
            </w:pPr>
            <w:r>
              <w:rPr>
                <w:rFonts w:ascii="Calibri" w:cs="Calibri" w:eastAsia="Calibri" w:hAnsi="Calibri"/>
                <w:sz w:val="16"/>
                <w:szCs w:val="16"/>
                <w:color w:val="auto"/>
              </w:rPr>
              <w:t>—</w:t>
            </w:r>
          </w:p>
        </w:tc>
      </w:tr>
      <w:tr>
        <w:trPr>
          <w:trHeight w:val="41"/>
        </w:trPr>
        <w:tc>
          <w:tcPr>
            <w:tcW w:w="2220" w:type="dxa"/>
            <w:vAlign w:val="bottom"/>
            <w:tcBorders>
              <w:left w:val="single" w:sz="8" w:color="auto"/>
              <w:bottom w:val="single" w:sz="8" w:color="auto"/>
            </w:tcBorders>
          </w:tcPr>
          <w:p>
            <w:pPr>
              <w:spacing w:after="0"/>
              <w:rPr>
                <w:sz w:val="3"/>
                <w:szCs w:val="3"/>
                <w:color w:val="auto"/>
              </w:rPr>
            </w:pPr>
          </w:p>
        </w:tc>
        <w:tc>
          <w:tcPr>
            <w:tcW w:w="1400" w:type="dxa"/>
            <w:vAlign w:val="bottom"/>
            <w:tcBorders>
              <w:bottom w:val="single" w:sz="8" w:color="auto"/>
            </w:tcBorders>
          </w:tcPr>
          <w:p>
            <w:pPr>
              <w:spacing w:after="0"/>
              <w:rPr>
                <w:sz w:val="3"/>
                <w:szCs w:val="3"/>
                <w:color w:val="auto"/>
              </w:rPr>
            </w:pPr>
          </w:p>
        </w:tc>
        <w:tc>
          <w:tcPr>
            <w:tcW w:w="1720" w:type="dxa"/>
            <w:vAlign w:val="bottom"/>
            <w:tcBorders>
              <w:bottom w:val="single" w:sz="8" w:color="auto"/>
            </w:tcBorders>
          </w:tcPr>
          <w:p>
            <w:pPr>
              <w:spacing w:after="0"/>
              <w:rPr>
                <w:sz w:val="3"/>
                <w:szCs w:val="3"/>
                <w:color w:val="auto"/>
              </w:rPr>
            </w:pPr>
          </w:p>
        </w:tc>
        <w:tc>
          <w:tcPr>
            <w:tcW w:w="1800" w:type="dxa"/>
            <w:vAlign w:val="bottom"/>
            <w:tcBorders>
              <w:bottom w:val="single" w:sz="8" w:color="auto"/>
            </w:tcBorders>
          </w:tcPr>
          <w:p>
            <w:pPr>
              <w:spacing w:after="0"/>
              <w:rPr>
                <w:sz w:val="3"/>
                <w:szCs w:val="3"/>
                <w:color w:val="auto"/>
              </w:rPr>
            </w:pPr>
          </w:p>
        </w:tc>
        <w:tc>
          <w:tcPr>
            <w:tcW w:w="1660" w:type="dxa"/>
            <w:vAlign w:val="bottom"/>
            <w:tcBorders>
              <w:bottom w:val="single" w:sz="8" w:color="auto"/>
            </w:tcBorders>
          </w:tcPr>
          <w:p>
            <w:pPr>
              <w:spacing w:after="0"/>
              <w:rPr>
                <w:sz w:val="3"/>
                <w:szCs w:val="3"/>
                <w:color w:val="auto"/>
              </w:rPr>
            </w:pPr>
          </w:p>
        </w:tc>
        <w:tc>
          <w:tcPr>
            <w:tcW w:w="1940" w:type="dxa"/>
            <w:vAlign w:val="bottom"/>
            <w:tcBorders>
              <w:bottom w:val="single" w:sz="8" w:color="auto"/>
              <w:right w:val="single" w:sz="8" w:color="auto"/>
            </w:tcBorders>
          </w:tcPr>
          <w:p>
            <w:pPr>
              <w:spacing w:after="0"/>
              <w:rPr>
                <w:sz w:val="3"/>
                <w:szCs w:val="3"/>
                <w:color w:val="auto"/>
              </w:rPr>
            </w:pPr>
          </w:p>
        </w:tc>
      </w:tr>
      <w:tr>
        <w:trPr>
          <w:trHeight w:val="215"/>
        </w:trPr>
        <w:tc>
          <w:tcPr>
            <w:tcW w:w="2220" w:type="dxa"/>
            <w:vAlign w:val="bottom"/>
            <w:tcBorders>
              <w:left w:val="single" w:sz="8" w:color="auto"/>
              <w:bottom w:val="single" w:sz="8" w:color="E5FF61"/>
            </w:tcBorders>
            <w:shd w:val="clear" w:color="auto" w:fill="E5FF61"/>
          </w:tcPr>
          <w:p>
            <w:pPr>
              <w:ind w:left="80"/>
              <w:spacing w:after="0" w:line="187" w:lineRule="exact"/>
              <w:rPr>
                <w:sz w:val="20"/>
                <w:szCs w:val="20"/>
                <w:color w:val="auto"/>
              </w:rPr>
            </w:pPr>
            <w:r>
              <w:rPr>
                <w:rFonts w:ascii="Calibri" w:cs="Calibri" w:eastAsia="Calibri" w:hAnsi="Calibri"/>
                <w:sz w:val="16"/>
                <w:szCs w:val="16"/>
                <w:b w:val="1"/>
                <w:bCs w:val="1"/>
                <w:color w:val="auto"/>
              </w:rPr>
              <w:t>Contnuing Directors</w:t>
            </w:r>
          </w:p>
        </w:tc>
        <w:tc>
          <w:tcPr>
            <w:tcW w:w="1400" w:type="dxa"/>
            <w:vAlign w:val="bottom"/>
            <w:tcBorders>
              <w:bottom w:val="single" w:sz="8" w:color="E5FF61"/>
            </w:tcBorders>
            <w:shd w:val="clear" w:color="auto" w:fill="E5FF61"/>
          </w:tcPr>
          <w:p>
            <w:pPr>
              <w:spacing w:after="0"/>
              <w:rPr>
                <w:sz w:val="18"/>
                <w:szCs w:val="18"/>
                <w:color w:val="auto"/>
              </w:rPr>
            </w:pPr>
          </w:p>
        </w:tc>
        <w:tc>
          <w:tcPr>
            <w:tcW w:w="1720" w:type="dxa"/>
            <w:vAlign w:val="bottom"/>
            <w:tcBorders>
              <w:bottom w:val="single" w:sz="8" w:color="E5FF61"/>
            </w:tcBorders>
            <w:shd w:val="clear" w:color="auto" w:fill="E5FF61"/>
          </w:tcPr>
          <w:p>
            <w:pPr>
              <w:spacing w:after="0"/>
              <w:rPr>
                <w:sz w:val="18"/>
                <w:szCs w:val="18"/>
                <w:color w:val="auto"/>
              </w:rPr>
            </w:pPr>
          </w:p>
        </w:tc>
        <w:tc>
          <w:tcPr>
            <w:tcW w:w="1800" w:type="dxa"/>
            <w:vAlign w:val="bottom"/>
            <w:tcBorders>
              <w:bottom w:val="single" w:sz="8" w:color="E5FF61"/>
            </w:tcBorders>
            <w:shd w:val="clear" w:color="auto" w:fill="E5FF61"/>
          </w:tcPr>
          <w:p>
            <w:pPr>
              <w:spacing w:after="0"/>
              <w:rPr>
                <w:sz w:val="18"/>
                <w:szCs w:val="18"/>
                <w:color w:val="auto"/>
              </w:rPr>
            </w:pPr>
          </w:p>
        </w:tc>
        <w:tc>
          <w:tcPr>
            <w:tcW w:w="1660" w:type="dxa"/>
            <w:vAlign w:val="bottom"/>
            <w:tcBorders>
              <w:bottom w:val="single" w:sz="8" w:color="E5FF61"/>
            </w:tcBorders>
            <w:shd w:val="clear" w:color="auto" w:fill="E5FF61"/>
          </w:tcPr>
          <w:p>
            <w:pPr>
              <w:spacing w:after="0"/>
              <w:rPr>
                <w:sz w:val="18"/>
                <w:szCs w:val="18"/>
                <w:color w:val="auto"/>
              </w:rPr>
            </w:pPr>
          </w:p>
        </w:tc>
        <w:tc>
          <w:tcPr>
            <w:tcW w:w="1940" w:type="dxa"/>
            <w:vAlign w:val="bottom"/>
            <w:tcBorders>
              <w:bottom w:val="single" w:sz="8" w:color="E5FF61"/>
              <w:right w:val="single" w:sz="8" w:color="auto"/>
            </w:tcBorders>
            <w:shd w:val="clear" w:color="auto" w:fill="E5FF61"/>
          </w:tcPr>
          <w:p>
            <w:pPr>
              <w:spacing w:after="0"/>
              <w:rPr>
                <w:sz w:val="18"/>
                <w:szCs w:val="18"/>
                <w:color w:val="auto"/>
              </w:rPr>
            </w:pPr>
          </w:p>
        </w:tc>
      </w:tr>
      <w:tr>
        <w:trPr>
          <w:trHeight w:val="195"/>
        </w:trPr>
        <w:tc>
          <w:tcPr>
            <w:tcW w:w="2220" w:type="dxa"/>
            <w:vAlign w:val="bottom"/>
            <w:tcBorders>
              <w:top w:val="single" w:sz="8" w:color="auto"/>
              <w:left w:val="single" w:sz="8" w:color="auto"/>
            </w:tcBorders>
          </w:tcPr>
          <w:p>
            <w:pPr>
              <w:ind w:left="80"/>
              <w:spacing w:after="0"/>
              <w:rPr>
                <w:sz w:val="20"/>
                <w:szCs w:val="20"/>
                <w:color w:val="auto"/>
              </w:rPr>
            </w:pPr>
            <w:r>
              <w:rPr>
                <w:rFonts w:ascii="Calibri" w:cs="Calibri" w:eastAsia="Calibri" w:hAnsi="Calibri"/>
                <w:sz w:val="16"/>
                <w:szCs w:val="16"/>
                <w:b w:val="1"/>
                <w:bCs w:val="1"/>
                <w:color w:val="auto"/>
              </w:rPr>
              <w:t>David Clifon</w:t>
            </w:r>
          </w:p>
        </w:tc>
        <w:tc>
          <w:tcPr>
            <w:tcW w:w="1400" w:type="dxa"/>
            <w:vAlign w:val="bottom"/>
            <w:tcBorders>
              <w:top w:val="single" w:sz="8" w:color="auto"/>
            </w:tcBorders>
          </w:tcPr>
          <w:p>
            <w:pPr>
              <w:jc w:val="center"/>
              <w:ind w:left="239"/>
              <w:spacing w:after="0" w:line="193" w:lineRule="exact"/>
              <w:rPr>
                <w:sz w:val="20"/>
                <w:szCs w:val="20"/>
                <w:color w:val="auto"/>
              </w:rPr>
            </w:pPr>
            <w:r>
              <w:rPr>
                <w:rFonts w:ascii="Calibri" w:cs="Calibri" w:eastAsia="Calibri" w:hAnsi="Calibri"/>
                <w:sz w:val="16"/>
                <w:szCs w:val="16"/>
                <w:color w:val="auto"/>
                <w:w w:val="98"/>
              </w:rPr>
              <w:t>47</w:t>
            </w:r>
          </w:p>
        </w:tc>
        <w:tc>
          <w:tcPr>
            <w:tcW w:w="1720" w:type="dxa"/>
            <w:vAlign w:val="bottom"/>
            <w:tcBorders>
              <w:top w:val="single" w:sz="8" w:color="auto"/>
            </w:tcBorders>
          </w:tcPr>
          <w:p>
            <w:pPr>
              <w:jc w:val="center"/>
              <w:spacing w:after="0" w:line="193" w:lineRule="exact"/>
              <w:rPr>
                <w:sz w:val="20"/>
                <w:szCs w:val="20"/>
                <w:color w:val="auto"/>
              </w:rPr>
            </w:pPr>
            <w:r>
              <w:rPr>
                <w:rFonts w:ascii="Calibri" w:cs="Calibri" w:eastAsia="Calibri" w:hAnsi="Calibri"/>
                <w:sz w:val="16"/>
                <w:szCs w:val="16"/>
                <w:color w:val="auto"/>
              </w:rPr>
              <w:t>No</w:t>
            </w:r>
          </w:p>
        </w:tc>
        <w:tc>
          <w:tcPr>
            <w:tcW w:w="1800" w:type="dxa"/>
            <w:vAlign w:val="bottom"/>
            <w:tcBorders>
              <w:top w:val="single" w:sz="8" w:color="auto"/>
            </w:tcBorders>
          </w:tcPr>
          <w:p>
            <w:pPr>
              <w:jc w:val="center"/>
              <w:spacing w:after="0" w:line="193" w:lineRule="exact"/>
              <w:rPr>
                <w:sz w:val="20"/>
                <w:szCs w:val="20"/>
                <w:color w:val="auto"/>
              </w:rPr>
            </w:pPr>
            <w:r>
              <w:rPr>
                <w:rFonts w:ascii="Calibri" w:cs="Calibri" w:eastAsia="Calibri" w:hAnsi="Calibri"/>
                <w:sz w:val="16"/>
                <w:szCs w:val="16"/>
                <w:color w:val="auto"/>
              </w:rPr>
              <w:t>—</w:t>
            </w:r>
          </w:p>
        </w:tc>
        <w:tc>
          <w:tcPr>
            <w:tcW w:w="1660" w:type="dxa"/>
            <w:vAlign w:val="bottom"/>
            <w:tcBorders>
              <w:top w:val="single" w:sz="8" w:color="auto"/>
            </w:tcBorders>
          </w:tcPr>
          <w:p>
            <w:pPr>
              <w:jc w:val="center"/>
              <w:ind w:left="59"/>
              <w:spacing w:after="0" w:line="193" w:lineRule="exact"/>
              <w:rPr>
                <w:sz w:val="20"/>
                <w:szCs w:val="20"/>
                <w:color w:val="auto"/>
              </w:rPr>
            </w:pPr>
            <w:r>
              <w:rPr>
                <w:rFonts w:ascii="Calibri" w:cs="Calibri" w:eastAsia="Calibri" w:hAnsi="Calibri"/>
                <w:sz w:val="16"/>
                <w:szCs w:val="16"/>
                <w:color w:val="auto"/>
              </w:rPr>
              <w:t>—</w:t>
            </w:r>
          </w:p>
        </w:tc>
        <w:tc>
          <w:tcPr>
            <w:tcW w:w="1940" w:type="dxa"/>
            <w:vAlign w:val="bottom"/>
            <w:tcBorders>
              <w:top w:val="single" w:sz="8" w:color="auto"/>
              <w:right w:val="single" w:sz="8" w:color="auto"/>
            </w:tcBorders>
          </w:tcPr>
          <w:p>
            <w:pPr>
              <w:jc w:val="center"/>
              <w:ind w:left="19"/>
              <w:spacing w:after="0" w:line="193" w:lineRule="exact"/>
              <w:rPr>
                <w:sz w:val="20"/>
                <w:szCs w:val="20"/>
                <w:color w:val="auto"/>
              </w:rPr>
            </w:pPr>
            <w:r>
              <w:rPr>
                <w:rFonts w:ascii="Calibri" w:cs="Calibri" w:eastAsia="Calibri" w:hAnsi="Calibri"/>
                <w:sz w:val="16"/>
                <w:szCs w:val="16"/>
                <w:color w:val="auto"/>
              </w:rPr>
              <w:t>—</w:t>
            </w:r>
          </w:p>
        </w:tc>
      </w:tr>
      <w:tr>
        <w:trPr>
          <w:trHeight w:val="41"/>
        </w:trPr>
        <w:tc>
          <w:tcPr>
            <w:tcW w:w="2220" w:type="dxa"/>
            <w:vAlign w:val="bottom"/>
            <w:tcBorders>
              <w:left w:val="single" w:sz="8" w:color="auto"/>
              <w:bottom w:val="single" w:sz="8" w:color="auto"/>
            </w:tcBorders>
          </w:tcPr>
          <w:p>
            <w:pPr>
              <w:spacing w:after="0"/>
              <w:rPr>
                <w:sz w:val="3"/>
                <w:szCs w:val="3"/>
                <w:color w:val="auto"/>
              </w:rPr>
            </w:pPr>
          </w:p>
        </w:tc>
        <w:tc>
          <w:tcPr>
            <w:tcW w:w="1400" w:type="dxa"/>
            <w:vAlign w:val="bottom"/>
            <w:tcBorders>
              <w:bottom w:val="single" w:sz="8" w:color="auto"/>
            </w:tcBorders>
          </w:tcPr>
          <w:p>
            <w:pPr>
              <w:spacing w:after="0"/>
              <w:rPr>
                <w:sz w:val="3"/>
                <w:szCs w:val="3"/>
                <w:color w:val="auto"/>
              </w:rPr>
            </w:pPr>
          </w:p>
        </w:tc>
        <w:tc>
          <w:tcPr>
            <w:tcW w:w="1720" w:type="dxa"/>
            <w:vAlign w:val="bottom"/>
            <w:tcBorders>
              <w:bottom w:val="single" w:sz="8" w:color="auto"/>
            </w:tcBorders>
          </w:tcPr>
          <w:p>
            <w:pPr>
              <w:spacing w:after="0"/>
              <w:rPr>
                <w:sz w:val="3"/>
                <w:szCs w:val="3"/>
                <w:color w:val="auto"/>
              </w:rPr>
            </w:pPr>
          </w:p>
        </w:tc>
        <w:tc>
          <w:tcPr>
            <w:tcW w:w="1800" w:type="dxa"/>
            <w:vAlign w:val="bottom"/>
            <w:tcBorders>
              <w:bottom w:val="single" w:sz="8" w:color="auto"/>
            </w:tcBorders>
          </w:tcPr>
          <w:p>
            <w:pPr>
              <w:spacing w:after="0"/>
              <w:rPr>
                <w:sz w:val="3"/>
                <w:szCs w:val="3"/>
                <w:color w:val="auto"/>
              </w:rPr>
            </w:pPr>
          </w:p>
        </w:tc>
        <w:tc>
          <w:tcPr>
            <w:tcW w:w="1660" w:type="dxa"/>
            <w:vAlign w:val="bottom"/>
            <w:tcBorders>
              <w:bottom w:val="single" w:sz="8" w:color="auto"/>
            </w:tcBorders>
          </w:tcPr>
          <w:p>
            <w:pPr>
              <w:spacing w:after="0"/>
              <w:rPr>
                <w:sz w:val="3"/>
                <w:szCs w:val="3"/>
                <w:color w:val="auto"/>
              </w:rPr>
            </w:pPr>
          </w:p>
        </w:tc>
        <w:tc>
          <w:tcPr>
            <w:tcW w:w="1940" w:type="dxa"/>
            <w:vAlign w:val="bottom"/>
            <w:tcBorders>
              <w:bottom w:val="single" w:sz="8" w:color="auto"/>
              <w:right w:val="single" w:sz="8" w:color="auto"/>
            </w:tcBorders>
          </w:tcPr>
          <w:p>
            <w:pPr>
              <w:spacing w:after="0"/>
              <w:rPr>
                <w:sz w:val="3"/>
                <w:szCs w:val="3"/>
                <w:color w:val="auto"/>
              </w:rPr>
            </w:pPr>
          </w:p>
        </w:tc>
      </w:tr>
      <w:tr>
        <w:trPr>
          <w:trHeight w:val="196"/>
        </w:trPr>
        <w:tc>
          <w:tcPr>
            <w:tcW w:w="2220" w:type="dxa"/>
            <w:vAlign w:val="bottom"/>
            <w:tcBorders>
              <w:left w:val="single" w:sz="8" w:color="auto"/>
            </w:tcBorders>
          </w:tcPr>
          <w:p>
            <w:pPr>
              <w:ind w:left="80"/>
              <w:spacing w:after="0"/>
              <w:rPr>
                <w:sz w:val="20"/>
                <w:szCs w:val="20"/>
                <w:color w:val="auto"/>
              </w:rPr>
            </w:pPr>
            <w:r>
              <w:rPr>
                <w:rFonts w:ascii="Calibri" w:cs="Calibri" w:eastAsia="Calibri" w:hAnsi="Calibri"/>
                <w:sz w:val="16"/>
                <w:szCs w:val="16"/>
                <w:b w:val="1"/>
                <w:bCs w:val="1"/>
                <w:color w:val="auto"/>
              </w:rPr>
              <w:t>De’Ana Dow</w:t>
            </w:r>
          </w:p>
        </w:tc>
        <w:tc>
          <w:tcPr>
            <w:tcW w:w="1400" w:type="dxa"/>
            <w:vAlign w:val="bottom"/>
          </w:tcPr>
          <w:p>
            <w:pPr>
              <w:jc w:val="center"/>
              <w:ind w:left="239"/>
              <w:spacing w:after="0" w:line="193" w:lineRule="exact"/>
              <w:rPr>
                <w:sz w:val="20"/>
                <w:szCs w:val="20"/>
                <w:color w:val="auto"/>
              </w:rPr>
            </w:pPr>
            <w:r>
              <w:rPr>
                <w:rFonts w:ascii="Calibri" w:cs="Calibri" w:eastAsia="Calibri" w:hAnsi="Calibri"/>
                <w:sz w:val="16"/>
                <w:szCs w:val="16"/>
                <w:color w:val="auto"/>
                <w:w w:val="98"/>
              </w:rPr>
              <w:t>68</w:t>
            </w:r>
          </w:p>
        </w:tc>
        <w:tc>
          <w:tcPr>
            <w:tcW w:w="1720" w:type="dxa"/>
            <w:vAlign w:val="bottom"/>
          </w:tcPr>
          <w:p>
            <w:pPr>
              <w:jc w:val="center"/>
              <w:spacing w:after="0" w:line="193" w:lineRule="exact"/>
              <w:rPr>
                <w:sz w:val="20"/>
                <w:szCs w:val="20"/>
                <w:color w:val="auto"/>
              </w:rPr>
            </w:pPr>
            <w:r>
              <w:rPr>
                <w:rFonts w:ascii="Calibri" w:cs="Calibri" w:eastAsia="Calibri" w:hAnsi="Calibri"/>
                <w:sz w:val="16"/>
                <w:szCs w:val="16"/>
                <w:color w:val="auto"/>
                <w:w w:val="90"/>
              </w:rPr>
              <w:t>Yes</w:t>
            </w:r>
          </w:p>
        </w:tc>
        <w:tc>
          <w:tcPr>
            <w:tcW w:w="1800" w:type="dxa"/>
            <w:vAlign w:val="bottom"/>
          </w:tcPr>
          <w:p>
            <w:pPr>
              <w:jc w:val="center"/>
              <w:spacing w:after="0" w:line="193" w:lineRule="exact"/>
              <w:rPr>
                <w:sz w:val="20"/>
                <w:szCs w:val="20"/>
                <w:color w:val="auto"/>
              </w:rPr>
            </w:pPr>
            <w:r>
              <w:rPr>
                <w:rFonts w:ascii="Calibri" w:cs="Calibri" w:eastAsia="Calibri" w:hAnsi="Calibri"/>
                <w:sz w:val="16"/>
                <w:szCs w:val="16"/>
                <w:color w:val="auto"/>
                <w:w w:val="99"/>
              </w:rPr>
              <w:t>Member</w:t>
            </w:r>
          </w:p>
        </w:tc>
        <w:tc>
          <w:tcPr>
            <w:tcW w:w="1660" w:type="dxa"/>
            <w:vAlign w:val="bottom"/>
          </w:tcPr>
          <w:p>
            <w:pPr>
              <w:jc w:val="center"/>
              <w:ind w:left="59"/>
              <w:spacing w:after="0" w:line="193" w:lineRule="exact"/>
              <w:rPr>
                <w:sz w:val="20"/>
                <w:szCs w:val="20"/>
                <w:color w:val="auto"/>
              </w:rPr>
            </w:pPr>
            <w:r>
              <w:rPr>
                <w:rFonts w:ascii="Calibri" w:cs="Calibri" w:eastAsia="Calibri" w:hAnsi="Calibri"/>
                <w:sz w:val="16"/>
                <w:szCs w:val="16"/>
                <w:color w:val="auto"/>
              </w:rPr>
              <w:t>—</w:t>
            </w:r>
          </w:p>
        </w:tc>
        <w:tc>
          <w:tcPr>
            <w:tcW w:w="1940" w:type="dxa"/>
            <w:vAlign w:val="bottom"/>
            <w:tcBorders>
              <w:right w:val="single" w:sz="8" w:color="auto"/>
            </w:tcBorders>
          </w:tcPr>
          <w:p>
            <w:pPr>
              <w:jc w:val="center"/>
              <w:ind w:left="19"/>
              <w:spacing w:after="0" w:line="193" w:lineRule="exact"/>
              <w:rPr>
                <w:sz w:val="20"/>
                <w:szCs w:val="20"/>
                <w:color w:val="auto"/>
              </w:rPr>
            </w:pPr>
            <w:r>
              <w:rPr>
                <w:rFonts w:ascii="Calibri" w:cs="Calibri" w:eastAsia="Calibri" w:hAnsi="Calibri"/>
                <w:sz w:val="16"/>
                <w:szCs w:val="16"/>
                <w:color w:val="auto"/>
              </w:rPr>
              <w:t>—</w:t>
            </w:r>
          </w:p>
        </w:tc>
      </w:tr>
      <w:tr>
        <w:trPr>
          <w:trHeight w:val="41"/>
        </w:trPr>
        <w:tc>
          <w:tcPr>
            <w:tcW w:w="2220" w:type="dxa"/>
            <w:vAlign w:val="bottom"/>
            <w:tcBorders>
              <w:left w:val="single" w:sz="8" w:color="auto"/>
              <w:bottom w:val="single" w:sz="8" w:color="auto"/>
            </w:tcBorders>
          </w:tcPr>
          <w:p>
            <w:pPr>
              <w:spacing w:after="0"/>
              <w:rPr>
                <w:sz w:val="3"/>
                <w:szCs w:val="3"/>
                <w:color w:val="auto"/>
              </w:rPr>
            </w:pPr>
          </w:p>
        </w:tc>
        <w:tc>
          <w:tcPr>
            <w:tcW w:w="1400" w:type="dxa"/>
            <w:vAlign w:val="bottom"/>
            <w:tcBorders>
              <w:bottom w:val="single" w:sz="8" w:color="auto"/>
            </w:tcBorders>
          </w:tcPr>
          <w:p>
            <w:pPr>
              <w:spacing w:after="0"/>
              <w:rPr>
                <w:sz w:val="3"/>
                <w:szCs w:val="3"/>
                <w:color w:val="auto"/>
              </w:rPr>
            </w:pPr>
          </w:p>
        </w:tc>
        <w:tc>
          <w:tcPr>
            <w:tcW w:w="1720" w:type="dxa"/>
            <w:vAlign w:val="bottom"/>
            <w:tcBorders>
              <w:bottom w:val="single" w:sz="8" w:color="auto"/>
            </w:tcBorders>
          </w:tcPr>
          <w:p>
            <w:pPr>
              <w:spacing w:after="0"/>
              <w:rPr>
                <w:sz w:val="3"/>
                <w:szCs w:val="3"/>
                <w:color w:val="auto"/>
              </w:rPr>
            </w:pPr>
          </w:p>
        </w:tc>
        <w:tc>
          <w:tcPr>
            <w:tcW w:w="1800" w:type="dxa"/>
            <w:vAlign w:val="bottom"/>
            <w:tcBorders>
              <w:bottom w:val="single" w:sz="8" w:color="auto"/>
            </w:tcBorders>
          </w:tcPr>
          <w:p>
            <w:pPr>
              <w:spacing w:after="0"/>
              <w:rPr>
                <w:sz w:val="3"/>
                <w:szCs w:val="3"/>
                <w:color w:val="auto"/>
              </w:rPr>
            </w:pPr>
          </w:p>
        </w:tc>
        <w:tc>
          <w:tcPr>
            <w:tcW w:w="1660" w:type="dxa"/>
            <w:vAlign w:val="bottom"/>
            <w:tcBorders>
              <w:bottom w:val="single" w:sz="8" w:color="auto"/>
            </w:tcBorders>
          </w:tcPr>
          <w:p>
            <w:pPr>
              <w:spacing w:after="0"/>
              <w:rPr>
                <w:sz w:val="3"/>
                <w:szCs w:val="3"/>
                <w:color w:val="auto"/>
              </w:rPr>
            </w:pPr>
          </w:p>
        </w:tc>
        <w:tc>
          <w:tcPr>
            <w:tcW w:w="1940" w:type="dxa"/>
            <w:vAlign w:val="bottom"/>
            <w:tcBorders>
              <w:bottom w:val="single" w:sz="8" w:color="auto"/>
              <w:right w:val="single" w:sz="8" w:color="auto"/>
            </w:tcBorders>
          </w:tcPr>
          <w:p>
            <w:pPr>
              <w:spacing w:after="0"/>
              <w:rPr>
                <w:sz w:val="3"/>
                <w:szCs w:val="3"/>
                <w:color w:val="auto"/>
              </w:rPr>
            </w:pPr>
          </w:p>
        </w:tc>
      </w:tr>
      <w:tr>
        <w:trPr>
          <w:trHeight w:val="195"/>
        </w:trPr>
        <w:tc>
          <w:tcPr>
            <w:tcW w:w="2220" w:type="dxa"/>
            <w:vAlign w:val="bottom"/>
            <w:tcBorders>
              <w:left w:val="single" w:sz="8" w:color="auto"/>
            </w:tcBorders>
          </w:tcPr>
          <w:p>
            <w:pPr>
              <w:ind w:left="80"/>
              <w:spacing w:after="0"/>
              <w:rPr>
                <w:sz w:val="20"/>
                <w:szCs w:val="20"/>
                <w:color w:val="auto"/>
              </w:rPr>
            </w:pPr>
            <w:r>
              <w:rPr>
                <w:rFonts w:ascii="Calibri" w:cs="Calibri" w:eastAsia="Calibri" w:hAnsi="Calibri"/>
                <w:sz w:val="16"/>
                <w:szCs w:val="16"/>
                <w:b w:val="1"/>
                <w:bCs w:val="1"/>
                <w:color w:val="auto"/>
              </w:rPr>
              <w:t>Michelle J. Goldberg</w:t>
            </w:r>
          </w:p>
        </w:tc>
        <w:tc>
          <w:tcPr>
            <w:tcW w:w="1400" w:type="dxa"/>
            <w:vAlign w:val="bottom"/>
          </w:tcPr>
          <w:p>
            <w:pPr>
              <w:jc w:val="center"/>
              <w:ind w:left="239"/>
              <w:spacing w:after="0" w:line="193" w:lineRule="exact"/>
              <w:rPr>
                <w:sz w:val="20"/>
                <w:szCs w:val="20"/>
                <w:color w:val="auto"/>
              </w:rPr>
            </w:pPr>
            <w:r>
              <w:rPr>
                <w:rFonts w:ascii="Calibri" w:cs="Calibri" w:eastAsia="Calibri" w:hAnsi="Calibri"/>
                <w:sz w:val="16"/>
                <w:szCs w:val="16"/>
                <w:color w:val="auto"/>
                <w:w w:val="98"/>
              </w:rPr>
              <w:t>55</w:t>
            </w:r>
          </w:p>
        </w:tc>
        <w:tc>
          <w:tcPr>
            <w:tcW w:w="1720" w:type="dxa"/>
            <w:vAlign w:val="bottom"/>
          </w:tcPr>
          <w:p>
            <w:pPr>
              <w:jc w:val="center"/>
              <w:spacing w:after="0" w:line="193" w:lineRule="exact"/>
              <w:rPr>
                <w:sz w:val="20"/>
                <w:szCs w:val="20"/>
                <w:color w:val="auto"/>
              </w:rPr>
            </w:pPr>
            <w:r>
              <w:rPr>
                <w:rFonts w:ascii="Calibri" w:cs="Calibri" w:eastAsia="Calibri" w:hAnsi="Calibri"/>
                <w:sz w:val="16"/>
                <w:szCs w:val="16"/>
                <w:color w:val="auto"/>
                <w:w w:val="90"/>
              </w:rPr>
              <w:t>Yes</w:t>
            </w:r>
          </w:p>
        </w:tc>
        <w:tc>
          <w:tcPr>
            <w:tcW w:w="1800" w:type="dxa"/>
            <w:vAlign w:val="bottom"/>
          </w:tcPr>
          <w:p>
            <w:pPr>
              <w:jc w:val="center"/>
              <w:spacing w:after="0" w:line="193" w:lineRule="exact"/>
              <w:rPr>
                <w:sz w:val="20"/>
                <w:szCs w:val="20"/>
                <w:color w:val="auto"/>
              </w:rPr>
            </w:pPr>
            <w:r>
              <w:rPr>
                <w:rFonts w:ascii="Calibri" w:cs="Calibri" w:eastAsia="Calibri" w:hAnsi="Calibri"/>
                <w:sz w:val="16"/>
                <w:szCs w:val="16"/>
                <w:color w:val="auto"/>
              </w:rPr>
              <w:t>Chair</w:t>
            </w:r>
          </w:p>
        </w:tc>
        <w:tc>
          <w:tcPr>
            <w:tcW w:w="1660" w:type="dxa"/>
            <w:vAlign w:val="bottom"/>
          </w:tcPr>
          <w:p>
            <w:pPr>
              <w:jc w:val="center"/>
              <w:ind w:left="59"/>
              <w:spacing w:after="0" w:line="193" w:lineRule="exact"/>
              <w:rPr>
                <w:sz w:val="20"/>
                <w:szCs w:val="20"/>
                <w:color w:val="auto"/>
              </w:rPr>
            </w:pPr>
            <w:r>
              <w:rPr>
                <w:rFonts w:ascii="Calibri" w:cs="Calibri" w:eastAsia="Calibri" w:hAnsi="Calibri"/>
                <w:sz w:val="16"/>
                <w:szCs w:val="16"/>
                <w:color w:val="auto"/>
              </w:rPr>
              <w:t>—</w:t>
            </w:r>
          </w:p>
        </w:tc>
        <w:tc>
          <w:tcPr>
            <w:tcW w:w="1940" w:type="dxa"/>
            <w:vAlign w:val="bottom"/>
            <w:tcBorders>
              <w:right w:val="single" w:sz="8" w:color="auto"/>
            </w:tcBorders>
          </w:tcPr>
          <w:p>
            <w:pPr>
              <w:jc w:val="center"/>
              <w:ind w:left="19"/>
              <w:spacing w:after="0" w:line="193" w:lineRule="exact"/>
              <w:rPr>
                <w:sz w:val="20"/>
                <w:szCs w:val="20"/>
                <w:color w:val="auto"/>
              </w:rPr>
            </w:pPr>
            <w:r>
              <w:rPr>
                <w:rFonts w:ascii="Calibri" w:cs="Calibri" w:eastAsia="Calibri" w:hAnsi="Calibri"/>
                <w:sz w:val="16"/>
                <w:szCs w:val="16"/>
                <w:color w:val="auto"/>
                <w:w w:val="99"/>
              </w:rPr>
              <w:t>Member</w:t>
            </w:r>
          </w:p>
        </w:tc>
      </w:tr>
      <w:tr>
        <w:trPr>
          <w:trHeight w:val="41"/>
        </w:trPr>
        <w:tc>
          <w:tcPr>
            <w:tcW w:w="2220" w:type="dxa"/>
            <w:vAlign w:val="bottom"/>
            <w:tcBorders>
              <w:left w:val="single" w:sz="8" w:color="auto"/>
              <w:bottom w:val="single" w:sz="8" w:color="auto"/>
            </w:tcBorders>
          </w:tcPr>
          <w:p>
            <w:pPr>
              <w:spacing w:after="0"/>
              <w:rPr>
                <w:sz w:val="3"/>
                <w:szCs w:val="3"/>
                <w:color w:val="auto"/>
              </w:rPr>
            </w:pPr>
          </w:p>
        </w:tc>
        <w:tc>
          <w:tcPr>
            <w:tcW w:w="1400" w:type="dxa"/>
            <w:vAlign w:val="bottom"/>
            <w:tcBorders>
              <w:bottom w:val="single" w:sz="8" w:color="auto"/>
            </w:tcBorders>
          </w:tcPr>
          <w:p>
            <w:pPr>
              <w:spacing w:after="0"/>
              <w:rPr>
                <w:sz w:val="3"/>
                <w:szCs w:val="3"/>
                <w:color w:val="auto"/>
              </w:rPr>
            </w:pPr>
          </w:p>
        </w:tc>
        <w:tc>
          <w:tcPr>
            <w:tcW w:w="1720" w:type="dxa"/>
            <w:vAlign w:val="bottom"/>
            <w:tcBorders>
              <w:bottom w:val="single" w:sz="8" w:color="auto"/>
            </w:tcBorders>
          </w:tcPr>
          <w:p>
            <w:pPr>
              <w:spacing w:after="0"/>
              <w:rPr>
                <w:sz w:val="3"/>
                <w:szCs w:val="3"/>
                <w:color w:val="auto"/>
              </w:rPr>
            </w:pPr>
          </w:p>
        </w:tc>
        <w:tc>
          <w:tcPr>
            <w:tcW w:w="1800" w:type="dxa"/>
            <w:vAlign w:val="bottom"/>
            <w:tcBorders>
              <w:bottom w:val="single" w:sz="8" w:color="auto"/>
            </w:tcBorders>
          </w:tcPr>
          <w:p>
            <w:pPr>
              <w:spacing w:after="0"/>
              <w:rPr>
                <w:sz w:val="3"/>
                <w:szCs w:val="3"/>
                <w:color w:val="auto"/>
              </w:rPr>
            </w:pPr>
          </w:p>
        </w:tc>
        <w:tc>
          <w:tcPr>
            <w:tcW w:w="1660" w:type="dxa"/>
            <w:vAlign w:val="bottom"/>
            <w:tcBorders>
              <w:bottom w:val="single" w:sz="8" w:color="auto"/>
            </w:tcBorders>
          </w:tcPr>
          <w:p>
            <w:pPr>
              <w:spacing w:after="0"/>
              <w:rPr>
                <w:sz w:val="3"/>
                <w:szCs w:val="3"/>
                <w:color w:val="auto"/>
              </w:rPr>
            </w:pPr>
          </w:p>
        </w:tc>
        <w:tc>
          <w:tcPr>
            <w:tcW w:w="1940" w:type="dxa"/>
            <w:vAlign w:val="bottom"/>
            <w:tcBorders>
              <w:bottom w:val="single" w:sz="8" w:color="auto"/>
              <w:right w:val="single" w:sz="8" w:color="auto"/>
            </w:tcBorders>
          </w:tcPr>
          <w:p>
            <w:pPr>
              <w:spacing w:after="0"/>
              <w:rPr>
                <w:sz w:val="3"/>
                <w:szCs w:val="3"/>
                <w:color w:val="auto"/>
              </w:rPr>
            </w:pPr>
          </w:p>
        </w:tc>
      </w:tr>
      <w:tr>
        <w:trPr>
          <w:trHeight w:val="196"/>
        </w:trPr>
        <w:tc>
          <w:tcPr>
            <w:tcW w:w="2220" w:type="dxa"/>
            <w:vAlign w:val="bottom"/>
            <w:tcBorders>
              <w:left w:val="single" w:sz="8" w:color="auto"/>
            </w:tcBorders>
          </w:tcPr>
          <w:p>
            <w:pPr>
              <w:ind w:left="80"/>
              <w:spacing w:after="0"/>
              <w:rPr>
                <w:sz w:val="20"/>
                <w:szCs w:val="20"/>
                <w:color w:val="auto"/>
              </w:rPr>
            </w:pPr>
            <w:r>
              <w:rPr>
                <w:rFonts w:ascii="Calibri" w:cs="Calibri" w:eastAsia="Calibri" w:hAnsi="Calibri"/>
                <w:sz w:val="16"/>
                <w:szCs w:val="16"/>
                <w:b w:val="1"/>
                <w:bCs w:val="1"/>
                <w:color w:val="auto"/>
              </w:rPr>
              <w:t>Jill Simeone</w:t>
            </w:r>
          </w:p>
        </w:tc>
        <w:tc>
          <w:tcPr>
            <w:tcW w:w="1400" w:type="dxa"/>
            <w:vAlign w:val="bottom"/>
          </w:tcPr>
          <w:p>
            <w:pPr>
              <w:jc w:val="center"/>
              <w:ind w:left="239"/>
              <w:spacing w:after="0" w:line="193" w:lineRule="exact"/>
              <w:rPr>
                <w:sz w:val="20"/>
                <w:szCs w:val="20"/>
                <w:color w:val="auto"/>
              </w:rPr>
            </w:pPr>
            <w:r>
              <w:rPr>
                <w:rFonts w:ascii="Calibri" w:cs="Calibri" w:eastAsia="Calibri" w:hAnsi="Calibri"/>
                <w:sz w:val="16"/>
                <w:szCs w:val="16"/>
                <w:color w:val="auto"/>
                <w:w w:val="98"/>
              </w:rPr>
              <w:t>57</w:t>
            </w:r>
          </w:p>
        </w:tc>
        <w:tc>
          <w:tcPr>
            <w:tcW w:w="1720" w:type="dxa"/>
            <w:vAlign w:val="bottom"/>
          </w:tcPr>
          <w:p>
            <w:pPr>
              <w:jc w:val="center"/>
              <w:spacing w:after="0" w:line="193" w:lineRule="exact"/>
              <w:rPr>
                <w:sz w:val="20"/>
                <w:szCs w:val="20"/>
                <w:color w:val="auto"/>
              </w:rPr>
            </w:pPr>
            <w:r>
              <w:rPr>
                <w:rFonts w:ascii="Calibri" w:cs="Calibri" w:eastAsia="Calibri" w:hAnsi="Calibri"/>
                <w:sz w:val="16"/>
                <w:szCs w:val="16"/>
                <w:color w:val="auto"/>
                <w:w w:val="90"/>
              </w:rPr>
              <w:t>Yes</w:t>
            </w:r>
          </w:p>
        </w:tc>
        <w:tc>
          <w:tcPr>
            <w:tcW w:w="1800" w:type="dxa"/>
            <w:vAlign w:val="bottom"/>
          </w:tcPr>
          <w:p>
            <w:pPr>
              <w:jc w:val="center"/>
              <w:spacing w:after="0" w:line="193" w:lineRule="exact"/>
              <w:rPr>
                <w:sz w:val="20"/>
                <w:szCs w:val="20"/>
                <w:color w:val="auto"/>
              </w:rPr>
            </w:pPr>
            <w:r>
              <w:rPr>
                <w:rFonts w:ascii="Calibri" w:cs="Calibri" w:eastAsia="Calibri" w:hAnsi="Calibri"/>
                <w:sz w:val="16"/>
                <w:szCs w:val="16"/>
                <w:color w:val="auto"/>
              </w:rPr>
              <w:t>—</w:t>
            </w:r>
          </w:p>
        </w:tc>
        <w:tc>
          <w:tcPr>
            <w:tcW w:w="1660" w:type="dxa"/>
            <w:vAlign w:val="bottom"/>
          </w:tcPr>
          <w:p>
            <w:pPr>
              <w:jc w:val="center"/>
              <w:ind w:left="59"/>
              <w:spacing w:after="0" w:line="193" w:lineRule="exact"/>
              <w:rPr>
                <w:sz w:val="20"/>
                <w:szCs w:val="20"/>
                <w:color w:val="auto"/>
              </w:rPr>
            </w:pPr>
            <w:r>
              <w:rPr>
                <w:rFonts w:ascii="Calibri" w:cs="Calibri" w:eastAsia="Calibri" w:hAnsi="Calibri"/>
                <w:sz w:val="16"/>
                <w:szCs w:val="16"/>
                <w:color w:val="auto"/>
                <w:w w:val="99"/>
              </w:rPr>
              <w:t>Member</w:t>
            </w:r>
          </w:p>
        </w:tc>
        <w:tc>
          <w:tcPr>
            <w:tcW w:w="1940" w:type="dxa"/>
            <w:vAlign w:val="bottom"/>
            <w:tcBorders>
              <w:right w:val="single" w:sz="8" w:color="auto"/>
            </w:tcBorders>
          </w:tcPr>
          <w:p>
            <w:pPr>
              <w:jc w:val="center"/>
              <w:ind w:left="39"/>
              <w:spacing w:after="0" w:line="193" w:lineRule="exact"/>
              <w:rPr>
                <w:sz w:val="20"/>
                <w:szCs w:val="20"/>
                <w:color w:val="auto"/>
              </w:rPr>
            </w:pPr>
            <w:r>
              <w:rPr>
                <w:rFonts w:ascii="Calibri" w:cs="Calibri" w:eastAsia="Calibri" w:hAnsi="Calibri"/>
                <w:sz w:val="16"/>
                <w:szCs w:val="16"/>
                <w:color w:val="auto"/>
              </w:rPr>
              <w:t>Chair</w:t>
            </w:r>
          </w:p>
        </w:tc>
      </w:tr>
      <w:tr>
        <w:trPr>
          <w:trHeight w:val="41"/>
        </w:trPr>
        <w:tc>
          <w:tcPr>
            <w:tcW w:w="2220" w:type="dxa"/>
            <w:vAlign w:val="bottom"/>
            <w:tcBorders>
              <w:left w:val="single" w:sz="8" w:color="auto"/>
              <w:bottom w:val="single" w:sz="8" w:color="auto"/>
            </w:tcBorders>
          </w:tcPr>
          <w:p>
            <w:pPr>
              <w:spacing w:after="0"/>
              <w:rPr>
                <w:sz w:val="3"/>
                <w:szCs w:val="3"/>
                <w:color w:val="auto"/>
              </w:rPr>
            </w:pPr>
          </w:p>
        </w:tc>
        <w:tc>
          <w:tcPr>
            <w:tcW w:w="1400" w:type="dxa"/>
            <w:vAlign w:val="bottom"/>
            <w:tcBorders>
              <w:bottom w:val="single" w:sz="8" w:color="auto"/>
            </w:tcBorders>
          </w:tcPr>
          <w:p>
            <w:pPr>
              <w:spacing w:after="0"/>
              <w:rPr>
                <w:sz w:val="3"/>
                <w:szCs w:val="3"/>
                <w:color w:val="auto"/>
              </w:rPr>
            </w:pPr>
          </w:p>
        </w:tc>
        <w:tc>
          <w:tcPr>
            <w:tcW w:w="1720" w:type="dxa"/>
            <w:vAlign w:val="bottom"/>
            <w:tcBorders>
              <w:bottom w:val="single" w:sz="8" w:color="auto"/>
            </w:tcBorders>
          </w:tcPr>
          <w:p>
            <w:pPr>
              <w:spacing w:after="0"/>
              <w:rPr>
                <w:sz w:val="3"/>
                <w:szCs w:val="3"/>
                <w:color w:val="auto"/>
              </w:rPr>
            </w:pPr>
          </w:p>
        </w:tc>
        <w:tc>
          <w:tcPr>
            <w:tcW w:w="1800" w:type="dxa"/>
            <w:vAlign w:val="bottom"/>
            <w:tcBorders>
              <w:bottom w:val="single" w:sz="8" w:color="auto"/>
            </w:tcBorders>
          </w:tcPr>
          <w:p>
            <w:pPr>
              <w:spacing w:after="0"/>
              <w:rPr>
                <w:sz w:val="3"/>
                <w:szCs w:val="3"/>
                <w:color w:val="auto"/>
              </w:rPr>
            </w:pPr>
          </w:p>
        </w:tc>
        <w:tc>
          <w:tcPr>
            <w:tcW w:w="1660" w:type="dxa"/>
            <w:vAlign w:val="bottom"/>
            <w:tcBorders>
              <w:bottom w:val="single" w:sz="8" w:color="auto"/>
            </w:tcBorders>
          </w:tcPr>
          <w:p>
            <w:pPr>
              <w:spacing w:after="0"/>
              <w:rPr>
                <w:sz w:val="3"/>
                <w:szCs w:val="3"/>
                <w:color w:val="auto"/>
              </w:rPr>
            </w:pPr>
          </w:p>
        </w:tc>
        <w:tc>
          <w:tcPr>
            <w:tcW w:w="1940" w:type="dxa"/>
            <w:vAlign w:val="bottom"/>
            <w:tcBorders>
              <w:bottom w:val="single" w:sz="8" w:color="auto"/>
              <w:right w:val="single" w:sz="8" w:color="auto"/>
            </w:tcBorders>
          </w:tcPr>
          <w:p>
            <w:pPr>
              <w:spacing w:after="0"/>
              <w:rPr>
                <w:sz w:val="3"/>
                <w:szCs w:val="3"/>
                <w:color w:val="auto"/>
              </w:rPr>
            </w:pPr>
          </w:p>
        </w:tc>
      </w:tr>
      <w:tr>
        <w:trPr>
          <w:trHeight w:val="195"/>
        </w:trPr>
        <w:tc>
          <w:tcPr>
            <w:tcW w:w="2220" w:type="dxa"/>
            <w:vAlign w:val="bottom"/>
            <w:tcBorders>
              <w:left w:val="single" w:sz="8" w:color="auto"/>
            </w:tcBorders>
          </w:tcPr>
          <w:p>
            <w:pPr>
              <w:ind w:left="80"/>
              <w:spacing w:after="0"/>
              <w:rPr>
                <w:sz w:val="20"/>
                <w:szCs w:val="20"/>
                <w:color w:val="auto"/>
              </w:rPr>
            </w:pPr>
            <w:r>
              <w:rPr>
                <w:rFonts w:ascii="Calibri" w:cs="Calibri" w:eastAsia="Calibri" w:hAnsi="Calibri"/>
                <w:sz w:val="16"/>
                <w:szCs w:val="16"/>
                <w:b w:val="1"/>
                <w:bCs w:val="1"/>
                <w:color w:val="auto"/>
              </w:rPr>
              <w:t>Gordon Watson</w:t>
            </w:r>
          </w:p>
        </w:tc>
        <w:tc>
          <w:tcPr>
            <w:tcW w:w="1400" w:type="dxa"/>
            <w:vAlign w:val="bottom"/>
          </w:tcPr>
          <w:p>
            <w:pPr>
              <w:jc w:val="center"/>
              <w:ind w:left="239"/>
              <w:spacing w:after="0" w:line="193" w:lineRule="exact"/>
              <w:rPr>
                <w:sz w:val="20"/>
                <w:szCs w:val="20"/>
                <w:color w:val="auto"/>
              </w:rPr>
            </w:pPr>
            <w:r>
              <w:rPr>
                <w:rFonts w:ascii="Calibri" w:cs="Calibri" w:eastAsia="Calibri" w:hAnsi="Calibri"/>
                <w:sz w:val="16"/>
                <w:szCs w:val="16"/>
                <w:color w:val="auto"/>
                <w:w w:val="98"/>
              </w:rPr>
              <w:t>45</w:t>
            </w:r>
          </w:p>
        </w:tc>
        <w:tc>
          <w:tcPr>
            <w:tcW w:w="1720" w:type="dxa"/>
            <w:vAlign w:val="bottom"/>
          </w:tcPr>
          <w:p>
            <w:pPr>
              <w:jc w:val="center"/>
              <w:spacing w:after="0" w:line="193" w:lineRule="exact"/>
              <w:rPr>
                <w:sz w:val="20"/>
                <w:szCs w:val="20"/>
                <w:color w:val="auto"/>
              </w:rPr>
            </w:pPr>
            <w:r>
              <w:rPr>
                <w:rFonts w:ascii="Calibri" w:cs="Calibri" w:eastAsia="Calibri" w:hAnsi="Calibri"/>
                <w:sz w:val="16"/>
                <w:szCs w:val="16"/>
                <w:color w:val="auto"/>
              </w:rPr>
              <w:t>No</w:t>
            </w:r>
          </w:p>
        </w:tc>
        <w:tc>
          <w:tcPr>
            <w:tcW w:w="1800" w:type="dxa"/>
            <w:vAlign w:val="bottom"/>
          </w:tcPr>
          <w:p>
            <w:pPr>
              <w:jc w:val="center"/>
              <w:spacing w:after="0" w:line="193" w:lineRule="exact"/>
              <w:rPr>
                <w:sz w:val="20"/>
                <w:szCs w:val="20"/>
                <w:color w:val="auto"/>
              </w:rPr>
            </w:pPr>
            <w:r>
              <w:rPr>
                <w:rFonts w:ascii="Calibri" w:cs="Calibri" w:eastAsia="Calibri" w:hAnsi="Calibri"/>
                <w:sz w:val="16"/>
                <w:szCs w:val="16"/>
                <w:color w:val="auto"/>
              </w:rPr>
              <w:t>—</w:t>
            </w:r>
          </w:p>
        </w:tc>
        <w:tc>
          <w:tcPr>
            <w:tcW w:w="1660" w:type="dxa"/>
            <w:vAlign w:val="bottom"/>
          </w:tcPr>
          <w:p>
            <w:pPr>
              <w:jc w:val="center"/>
              <w:ind w:left="59"/>
              <w:spacing w:after="0" w:line="193" w:lineRule="exact"/>
              <w:rPr>
                <w:sz w:val="20"/>
                <w:szCs w:val="20"/>
                <w:color w:val="auto"/>
              </w:rPr>
            </w:pPr>
            <w:r>
              <w:rPr>
                <w:rFonts w:ascii="Calibri" w:cs="Calibri" w:eastAsia="Calibri" w:hAnsi="Calibri"/>
                <w:sz w:val="16"/>
                <w:szCs w:val="16"/>
                <w:color w:val="auto"/>
              </w:rPr>
              <w:t>—</w:t>
            </w:r>
          </w:p>
        </w:tc>
        <w:tc>
          <w:tcPr>
            <w:tcW w:w="1940" w:type="dxa"/>
            <w:vAlign w:val="bottom"/>
            <w:tcBorders>
              <w:right w:val="single" w:sz="8" w:color="auto"/>
            </w:tcBorders>
          </w:tcPr>
          <w:p>
            <w:pPr>
              <w:jc w:val="center"/>
              <w:ind w:left="19"/>
              <w:spacing w:after="0" w:line="193" w:lineRule="exact"/>
              <w:rPr>
                <w:sz w:val="20"/>
                <w:szCs w:val="20"/>
                <w:color w:val="auto"/>
              </w:rPr>
            </w:pPr>
            <w:r>
              <w:rPr>
                <w:rFonts w:ascii="Calibri" w:cs="Calibri" w:eastAsia="Calibri" w:hAnsi="Calibri"/>
                <w:sz w:val="16"/>
                <w:szCs w:val="16"/>
                <w:color w:val="auto"/>
              </w:rPr>
              <w:t>—</w:t>
            </w:r>
          </w:p>
        </w:tc>
      </w:tr>
      <w:tr>
        <w:trPr>
          <w:trHeight w:val="41"/>
        </w:trPr>
        <w:tc>
          <w:tcPr>
            <w:tcW w:w="2220" w:type="dxa"/>
            <w:vAlign w:val="bottom"/>
            <w:tcBorders>
              <w:left w:val="single" w:sz="8" w:color="auto"/>
              <w:bottom w:val="single" w:sz="8" w:color="auto"/>
            </w:tcBorders>
          </w:tcPr>
          <w:p>
            <w:pPr>
              <w:spacing w:after="0"/>
              <w:rPr>
                <w:sz w:val="3"/>
                <w:szCs w:val="3"/>
                <w:color w:val="auto"/>
              </w:rPr>
            </w:pPr>
          </w:p>
        </w:tc>
        <w:tc>
          <w:tcPr>
            <w:tcW w:w="1400" w:type="dxa"/>
            <w:vAlign w:val="bottom"/>
            <w:tcBorders>
              <w:bottom w:val="single" w:sz="8" w:color="auto"/>
            </w:tcBorders>
          </w:tcPr>
          <w:p>
            <w:pPr>
              <w:spacing w:after="0"/>
              <w:rPr>
                <w:sz w:val="3"/>
                <w:szCs w:val="3"/>
                <w:color w:val="auto"/>
              </w:rPr>
            </w:pPr>
          </w:p>
        </w:tc>
        <w:tc>
          <w:tcPr>
            <w:tcW w:w="1720" w:type="dxa"/>
            <w:vAlign w:val="bottom"/>
            <w:tcBorders>
              <w:bottom w:val="single" w:sz="8" w:color="auto"/>
            </w:tcBorders>
          </w:tcPr>
          <w:p>
            <w:pPr>
              <w:spacing w:after="0"/>
              <w:rPr>
                <w:sz w:val="3"/>
                <w:szCs w:val="3"/>
                <w:color w:val="auto"/>
              </w:rPr>
            </w:pPr>
          </w:p>
        </w:tc>
        <w:tc>
          <w:tcPr>
            <w:tcW w:w="1800" w:type="dxa"/>
            <w:vAlign w:val="bottom"/>
            <w:tcBorders>
              <w:bottom w:val="single" w:sz="8" w:color="auto"/>
            </w:tcBorders>
          </w:tcPr>
          <w:p>
            <w:pPr>
              <w:spacing w:after="0"/>
              <w:rPr>
                <w:sz w:val="3"/>
                <w:szCs w:val="3"/>
                <w:color w:val="auto"/>
              </w:rPr>
            </w:pPr>
          </w:p>
        </w:tc>
        <w:tc>
          <w:tcPr>
            <w:tcW w:w="1660" w:type="dxa"/>
            <w:vAlign w:val="bottom"/>
            <w:tcBorders>
              <w:bottom w:val="single" w:sz="8" w:color="auto"/>
            </w:tcBorders>
          </w:tcPr>
          <w:p>
            <w:pPr>
              <w:spacing w:after="0"/>
              <w:rPr>
                <w:sz w:val="3"/>
                <w:szCs w:val="3"/>
                <w:color w:val="auto"/>
              </w:rPr>
            </w:pPr>
          </w:p>
        </w:tc>
        <w:tc>
          <w:tcPr>
            <w:tcW w:w="1940" w:type="dxa"/>
            <w:vAlign w:val="bottom"/>
            <w:tcBorders>
              <w:bottom w:val="single" w:sz="8" w:color="auto"/>
              <w:right w:val="single" w:sz="8" w:color="auto"/>
            </w:tcBorders>
          </w:tcPr>
          <w:p>
            <w:pPr>
              <w:spacing w:after="0"/>
              <w:rPr>
                <w:sz w:val="3"/>
                <w:szCs w:val="3"/>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left="2800"/>
        <w:spacing w:after="0"/>
        <w:tabs>
          <w:tab w:leader="none" w:pos="7120" w:val="left"/>
          <w:tab w:leader="none" w:pos="8340" w:val="left"/>
        </w:tabs>
        <w:rPr>
          <w:sz w:val="20"/>
          <w:szCs w:val="20"/>
          <w:color w:val="auto"/>
        </w:rPr>
      </w:pPr>
      <w:r>
        <w:rPr>
          <w:rFonts w:ascii="Calibri" w:cs="Calibri" w:eastAsia="Calibri" w:hAnsi="Calibri"/>
          <w:sz w:val="16"/>
          <w:szCs w:val="16"/>
          <w:color w:val="auto"/>
        </w:rPr>
        <w:t>Alphareta, GA | New York, NY | Belfast, United Kingdom</w:t>
      </w:r>
      <w:r>
        <w:rPr>
          <w:sz w:val="20"/>
          <w:szCs w:val="20"/>
          <w:color w:val="auto"/>
        </w:rPr>
        <w:tab/>
      </w:r>
      <w:r>
        <w:rPr>
          <w:rFonts w:ascii="Calibri" w:cs="Calibri" w:eastAsia="Calibri" w:hAnsi="Calibri"/>
          <w:sz w:val="16"/>
          <w:szCs w:val="16"/>
          <w:color w:val="auto"/>
        </w:rPr>
        <w:t>www.bakkt.com</w:t>
      </w:r>
      <w:r>
        <w:rPr>
          <w:sz w:val="20"/>
          <w:szCs w:val="20"/>
          <w:color w:val="auto"/>
        </w:rPr>
        <w:tab/>
      </w:r>
      <w:r>
        <w:rPr>
          <w:rFonts w:ascii="Calibri" w:cs="Calibri" w:eastAsia="Calibri" w:hAnsi="Calibri"/>
          <w:sz w:val="18"/>
          <w:szCs w:val="18"/>
          <w:color w:val="auto"/>
        </w:rPr>
        <w:t>2</w:t>
      </w:r>
    </w:p>
    <w:p>
      <w:pPr>
        <w:sectPr>
          <w:pgSz w:w="11900" w:h="16838" w:orient="portrait"/>
          <w:cols w:equalWidth="0" w:num="1">
            <w:col w:w="10720"/>
          </w:cols>
          <w:pgMar w:left="320" w:top="1440" w:right="859" w:bottom="1440" w:gutter="0" w:footer="0" w:header="0"/>
        </w:sectPr>
      </w:pPr>
    </w:p>
    <w:bookmarkStart w:id="8" w:name="page9"/>
    <w:bookmarkEnd w:id="8"/>
    <w:p>
      <w:pPr>
        <w:spacing w:after="0"/>
        <w:rPr>
          <w:sz w:val="20"/>
          <w:szCs w:val="20"/>
          <w:color w:val="auto"/>
        </w:rPr>
      </w:pPr>
      <w:r>
        <w:rPr>
          <w:rFonts w:ascii="Arial" w:cs="Arial" w:eastAsia="Arial" w:hAnsi="Arial"/>
          <w:sz w:val="22"/>
          <w:szCs w:val="22"/>
          <w:b w:val="1"/>
          <w:bCs w:val="1"/>
          <w:color w:val="auto"/>
        </w:rPr>
        <w:t>Di</w:t>
      </w:r>
      <w:r>
        <w:rPr>
          <w:rFonts w:ascii="Calibri" w:cs="Calibri" w:eastAsia="Calibri" w:hAnsi="Calibri"/>
          <w:sz w:val="22"/>
          <w:szCs w:val="22"/>
          <w:b w:val="1"/>
          <w:bCs w:val="1"/>
          <w:color w:val="auto"/>
        </w:rPr>
        <w:t>rector Dashboard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156210</wp:posOffset>
            </wp:positionV>
            <wp:extent cx="6111875" cy="371157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111875" cy="37115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Calibri" w:cs="Calibri" w:eastAsia="Calibri" w:hAnsi="Calibri"/>
          <w:sz w:val="22"/>
          <w:szCs w:val="22"/>
          <w:color w:val="auto"/>
        </w:rPr>
        <w:t>A number of Bakkt’s directors have self-identfed as diverse:</w:t>
      </w:r>
    </w:p>
    <w:p>
      <w:pPr>
        <w:spacing w:after="0" w:line="121" w:lineRule="exact"/>
        <w:rPr>
          <w:sz w:val="20"/>
          <w:szCs w:val="20"/>
          <w:color w:val="auto"/>
        </w:rPr>
      </w:pPr>
    </w:p>
    <w:p>
      <w:pPr>
        <w:ind w:left="660" w:hanging="328"/>
        <w:spacing w:after="0"/>
        <w:tabs>
          <w:tab w:leader="none" w:pos="660" w:val="left"/>
        </w:tabs>
        <w:numPr>
          <w:ilvl w:val="0"/>
          <w:numId w:val="7"/>
        </w:numPr>
        <w:rPr>
          <w:rFonts w:ascii="Times New Roman" w:cs="Times New Roman" w:eastAsia="Times New Roman" w:hAnsi="Times New Roman"/>
          <w:sz w:val="22"/>
          <w:szCs w:val="22"/>
          <w:color w:val="auto"/>
        </w:rPr>
      </w:pPr>
      <w:r>
        <w:rPr>
          <w:rFonts w:ascii="Calibri" w:cs="Calibri" w:eastAsia="Calibri" w:hAnsi="Calibri"/>
          <w:sz w:val="22"/>
          <w:szCs w:val="22"/>
          <w:color w:val="auto"/>
        </w:rPr>
        <w:t>Two directors have self-identfed as having two or more races or ethnicites;</w:t>
      </w:r>
    </w:p>
    <w:p>
      <w:pPr>
        <w:spacing w:after="0" w:line="124" w:lineRule="exact"/>
        <w:rPr>
          <w:rFonts w:ascii="Times New Roman" w:cs="Times New Roman" w:eastAsia="Times New Roman" w:hAnsi="Times New Roman"/>
          <w:sz w:val="22"/>
          <w:szCs w:val="22"/>
          <w:color w:val="auto"/>
        </w:rPr>
      </w:pPr>
    </w:p>
    <w:p>
      <w:pPr>
        <w:ind w:left="660" w:hanging="328"/>
        <w:spacing w:after="0"/>
        <w:tabs>
          <w:tab w:leader="none" w:pos="660" w:val="left"/>
        </w:tabs>
        <w:numPr>
          <w:ilvl w:val="0"/>
          <w:numId w:val="7"/>
        </w:numPr>
        <w:rPr>
          <w:rFonts w:ascii="Times New Roman" w:cs="Times New Roman" w:eastAsia="Times New Roman" w:hAnsi="Times New Roman"/>
          <w:sz w:val="22"/>
          <w:szCs w:val="22"/>
          <w:color w:val="auto"/>
        </w:rPr>
      </w:pPr>
      <w:r>
        <w:rPr>
          <w:rFonts w:ascii="Calibri" w:cs="Calibri" w:eastAsia="Calibri" w:hAnsi="Calibri"/>
          <w:sz w:val="22"/>
          <w:szCs w:val="22"/>
          <w:color w:val="auto"/>
        </w:rPr>
        <w:t>One director has self-identfed as African-American or Black; and</w:t>
      </w:r>
    </w:p>
    <w:p>
      <w:pPr>
        <w:spacing w:after="0" w:line="120" w:lineRule="exact"/>
        <w:rPr>
          <w:rFonts w:ascii="Times New Roman" w:cs="Times New Roman" w:eastAsia="Times New Roman" w:hAnsi="Times New Roman"/>
          <w:sz w:val="22"/>
          <w:szCs w:val="22"/>
          <w:color w:val="auto"/>
        </w:rPr>
      </w:pPr>
    </w:p>
    <w:p>
      <w:pPr>
        <w:ind w:left="660" w:hanging="328"/>
        <w:spacing w:after="0"/>
        <w:tabs>
          <w:tab w:leader="none" w:pos="660" w:val="left"/>
        </w:tabs>
        <w:numPr>
          <w:ilvl w:val="0"/>
          <w:numId w:val="7"/>
        </w:numPr>
        <w:rPr>
          <w:rFonts w:ascii="Times New Roman" w:cs="Times New Roman" w:eastAsia="Times New Roman" w:hAnsi="Times New Roman"/>
          <w:sz w:val="22"/>
          <w:szCs w:val="22"/>
          <w:color w:val="auto"/>
        </w:rPr>
      </w:pPr>
      <w:r>
        <w:rPr>
          <w:rFonts w:ascii="Calibri" w:cs="Calibri" w:eastAsia="Calibri" w:hAnsi="Calibri"/>
          <w:sz w:val="22"/>
          <w:szCs w:val="22"/>
          <w:color w:val="auto"/>
        </w:rPr>
        <w:t>One director has self-identfed as having citzenship outside the United States.</w:t>
      </w:r>
    </w:p>
    <w:p>
      <w:pPr>
        <w:spacing w:after="0" w:line="204" w:lineRule="exact"/>
        <w:rPr>
          <w:sz w:val="20"/>
          <w:szCs w:val="20"/>
          <w:color w:val="auto"/>
        </w:rPr>
      </w:pPr>
    </w:p>
    <w:p>
      <w:pPr>
        <w:spacing w:after="0"/>
        <w:rPr>
          <w:sz w:val="20"/>
          <w:szCs w:val="20"/>
          <w:color w:val="auto"/>
        </w:rPr>
      </w:pPr>
      <w:r>
        <w:rPr>
          <w:rFonts w:ascii="Calibri" w:cs="Calibri" w:eastAsia="Calibri" w:hAnsi="Calibri"/>
          <w:sz w:val="22"/>
          <w:szCs w:val="22"/>
          <w:b w:val="1"/>
          <w:bCs w:val="1"/>
          <w:color w:val="auto"/>
        </w:rPr>
        <w:t>Corporate Governance Strengths</w:t>
      </w:r>
    </w:p>
    <w:p>
      <w:pPr>
        <w:jc w:val="both"/>
        <w:spacing w:after="0" w:line="233" w:lineRule="auto"/>
        <w:rPr>
          <w:sz w:val="20"/>
          <w:szCs w:val="20"/>
          <w:color w:val="auto"/>
        </w:rPr>
      </w:pPr>
      <w:r>
        <w:rPr>
          <w:rFonts w:ascii="Calibri" w:cs="Calibri" w:eastAsia="Calibri" w:hAnsi="Calibri"/>
          <w:sz w:val="22"/>
          <w:szCs w:val="22"/>
          <w:color w:val="auto"/>
        </w:rPr>
        <w:t>We are focused on efectve corporate governance practces that work alongside our business model to promote our growth trajectory, as well as the interests of our stockholders. We have in place a number of governance practces to manage and oversee our business, including:</w:t>
      </w:r>
    </w:p>
    <w:p>
      <w:pPr>
        <w:spacing w:after="0" w:line="125" w:lineRule="exact"/>
        <w:rPr>
          <w:sz w:val="20"/>
          <w:szCs w:val="20"/>
          <w:color w:val="auto"/>
        </w:rPr>
      </w:pPr>
    </w:p>
    <w:p>
      <w:pPr>
        <w:ind w:left="660" w:hanging="328"/>
        <w:spacing w:after="0"/>
        <w:tabs>
          <w:tab w:leader="none" w:pos="660" w:val="left"/>
        </w:tabs>
        <w:numPr>
          <w:ilvl w:val="0"/>
          <w:numId w:val="8"/>
        </w:numPr>
        <w:rPr>
          <w:rFonts w:ascii="Times New Roman" w:cs="Times New Roman" w:eastAsia="Times New Roman" w:hAnsi="Times New Roman"/>
          <w:sz w:val="22"/>
          <w:szCs w:val="22"/>
          <w:color w:val="auto"/>
        </w:rPr>
      </w:pPr>
      <w:r>
        <w:rPr>
          <w:rFonts w:ascii="Calibri" w:cs="Calibri" w:eastAsia="Calibri" w:hAnsi="Calibri"/>
          <w:sz w:val="22"/>
          <w:szCs w:val="22"/>
          <w:color w:val="auto"/>
        </w:rPr>
        <w:t>An independent Board chair;</w:t>
      </w:r>
    </w:p>
    <w:p>
      <w:pPr>
        <w:spacing w:after="0" w:line="120" w:lineRule="exact"/>
        <w:rPr>
          <w:rFonts w:ascii="Times New Roman" w:cs="Times New Roman" w:eastAsia="Times New Roman" w:hAnsi="Times New Roman"/>
          <w:sz w:val="22"/>
          <w:szCs w:val="22"/>
          <w:color w:val="auto"/>
        </w:rPr>
      </w:pPr>
    </w:p>
    <w:p>
      <w:pPr>
        <w:ind w:left="660" w:hanging="328"/>
        <w:spacing w:after="0"/>
        <w:tabs>
          <w:tab w:leader="none" w:pos="660" w:val="left"/>
        </w:tabs>
        <w:numPr>
          <w:ilvl w:val="0"/>
          <w:numId w:val="8"/>
        </w:numPr>
        <w:rPr>
          <w:rFonts w:ascii="Times New Roman" w:cs="Times New Roman" w:eastAsia="Times New Roman" w:hAnsi="Times New Roman"/>
          <w:sz w:val="22"/>
          <w:szCs w:val="22"/>
          <w:color w:val="auto"/>
        </w:rPr>
      </w:pPr>
      <w:r>
        <w:rPr>
          <w:rFonts w:ascii="Calibri" w:cs="Calibri" w:eastAsia="Calibri" w:hAnsi="Calibri"/>
          <w:sz w:val="22"/>
          <w:szCs w:val="22"/>
          <w:color w:val="auto"/>
        </w:rPr>
        <w:t>A majority independent Board;</w:t>
      </w:r>
    </w:p>
    <w:p>
      <w:pPr>
        <w:spacing w:after="0" w:line="124" w:lineRule="exact"/>
        <w:rPr>
          <w:rFonts w:ascii="Times New Roman" w:cs="Times New Roman" w:eastAsia="Times New Roman" w:hAnsi="Times New Roman"/>
          <w:sz w:val="22"/>
          <w:szCs w:val="22"/>
          <w:color w:val="auto"/>
        </w:rPr>
      </w:pPr>
    </w:p>
    <w:p>
      <w:pPr>
        <w:ind w:left="660" w:hanging="328"/>
        <w:spacing w:after="0"/>
        <w:tabs>
          <w:tab w:leader="none" w:pos="660" w:val="left"/>
        </w:tabs>
        <w:numPr>
          <w:ilvl w:val="0"/>
          <w:numId w:val="8"/>
        </w:numPr>
        <w:rPr>
          <w:rFonts w:ascii="Times New Roman" w:cs="Times New Roman" w:eastAsia="Times New Roman" w:hAnsi="Times New Roman"/>
          <w:sz w:val="22"/>
          <w:szCs w:val="22"/>
          <w:color w:val="auto"/>
        </w:rPr>
      </w:pPr>
      <w:r>
        <w:rPr>
          <w:rFonts w:ascii="Calibri" w:cs="Calibri" w:eastAsia="Calibri" w:hAnsi="Calibri"/>
          <w:sz w:val="22"/>
          <w:szCs w:val="22"/>
          <w:color w:val="auto"/>
        </w:rPr>
        <w:t>Commitees comprised only of independent directors;</w:t>
      </w:r>
    </w:p>
    <w:p>
      <w:pPr>
        <w:spacing w:after="0" w:line="134" w:lineRule="exact"/>
        <w:rPr>
          <w:rFonts w:ascii="Times New Roman" w:cs="Times New Roman" w:eastAsia="Times New Roman" w:hAnsi="Times New Roman"/>
          <w:sz w:val="22"/>
          <w:szCs w:val="22"/>
          <w:color w:val="auto"/>
        </w:rPr>
      </w:pPr>
    </w:p>
    <w:p>
      <w:pPr>
        <w:ind w:left="660" w:hanging="328"/>
        <w:spacing w:after="0"/>
        <w:tabs>
          <w:tab w:leader="none" w:pos="660" w:val="left"/>
        </w:tabs>
        <w:numPr>
          <w:ilvl w:val="0"/>
          <w:numId w:val="8"/>
        </w:numPr>
        <w:rPr>
          <w:rFonts w:ascii="Times New Roman" w:cs="Times New Roman" w:eastAsia="Times New Roman" w:hAnsi="Times New Roman"/>
          <w:sz w:val="22"/>
          <w:szCs w:val="22"/>
          <w:color w:val="auto"/>
        </w:rPr>
      </w:pPr>
      <w:r>
        <w:rPr>
          <w:rFonts w:ascii="Calibri" w:cs="Calibri" w:eastAsia="Calibri" w:hAnsi="Calibri"/>
          <w:sz w:val="22"/>
          <w:szCs w:val="22"/>
          <w:color w:val="auto"/>
        </w:rPr>
        <w:t>An engaged Board bringing a diversity of thought and experience to discussions;</w:t>
      </w:r>
    </w:p>
    <w:p>
      <w:pPr>
        <w:spacing w:after="0" w:line="135" w:lineRule="exact"/>
        <w:rPr>
          <w:rFonts w:ascii="Times New Roman" w:cs="Times New Roman" w:eastAsia="Times New Roman" w:hAnsi="Times New Roman"/>
          <w:sz w:val="22"/>
          <w:szCs w:val="22"/>
          <w:color w:val="auto"/>
        </w:rPr>
      </w:pPr>
    </w:p>
    <w:p>
      <w:pPr>
        <w:ind w:left="660" w:right="20" w:hanging="328"/>
        <w:spacing w:after="0" w:line="229" w:lineRule="auto"/>
        <w:tabs>
          <w:tab w:leader="none" w:pos="655" w:val="left"/>
        </w:tabs>
        <w:numPr>
          <w:ilvl w:val="0"/>
          <w:numId w:val="8"/>
        </w:numPr>
        <w:rPr>
          <w:rFonts w:ascii="Times New Roman" w:cs="Times New Roman" w:eastAsia="Times New Roman" w:hAnsi="Times New Roman"/>
          <w:sz w:val="22"/>
          <w:szCs w:val="22"/>
          <w:color w:val="auto"/>
        </w:rPr>
      </w:pPr>
      <w:r>
        <w:rPr>
          <w:rFonts w:ascii="Calibri" w:cs="Calibri" w:eastAsia="Calibri" w:hAnsi="Calibri"/>
          <w:sz w:val="22"/>
          <w:szCs w:val="22"/>
          <w:color w:val="auto"/>
        </w:rPr>
        <w:t>A Votng Agreement with ICE (as defned below), as a result of which we are not a “controlled company” under the NYSE listng standards;</w:t>
      </w:r>
    </w:p>
    <w:p>
      <w:pPr>
        <w:spacing w:after="0" w:line="124" w:lineRule="exact"/>
        <w:rPr>
          <w:rFonts w:ascii="Times New Roman" w:cs="Times New Roman" w:eastAsia="Times New Roman" w:hAnsi="Times New Roman"/>
          <w:sz w:val="22"/>
          <w:szCs w:val="22"/>
          <w:color w:val="auto"/>
        </w:rPr>
      </w:pPr>
    </w:p>
    <w:p>
      <w:pPr>
        <w:ind w:left="660" w:hanging="328"/>
        <w:spacing w:after="0"/>
        <w:tabs>
          <w:tab w:leader="none" w:pos="660" w:val="left"/>
        </w:tabs>
        <w:numPr>
          <w:ilvl w:val="0"/>
          <w:numId w:val="8"/>
        </w:numPr>
        <w:rPr>
          <w:rFonts w:ascii="Times New Roman" w:cs="Times New Roman" w:eastAsia="Times New Roman" w:hAnsi="Times New Roman"/>
          <w:sz w:val="22"/>
          <w:szCs w:val="22"/>
          <w:color w:val="auto"/>
        </w:rPr>
      </w:pPr>
      <w:r>
        <w:rPr>
          <w:rFonts w:ascii="Calibri" w:cs="Calibri" w:eastAsia="Calibri" w:hAnsi="Calibri"/>
          <w:sz w:val="22"/>
          <w:szCs w:val="22"/>
          <w:color w:val="auto"/>
        </w:rPr>
        <w:t>Actve roles by our Board in strategic planning, risk management and oversight;</w:t>
      </w:r>
    </w:p>
    <w:p>
      <w:pPr>
        <w:sectPr>
          <w:pgSz w:w="11900" w:h="16838" w:orient="portrait"/>
          <w:cols w:equalWidth="0" w:num="1">
            <w:col w:w="11240"/>
          </w:cols>
          <w:pgMar w:left="320" w:top="14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2800"/>
        <w:spacing w:after="0"/>
        <w:tabs>
          <w:tab w:leader="none" w:pos="7120" w:val="left"/>
          <w:tab w:leader="none" w:pos="8340" w:val="left"/>
        </w:tabs>
        <w:rPr>
          <w:sz w:val="20"/>
          <w:szCs w:val="20"/>
          <w:color w:val="auto"/>
        </w:rPr>
      </w:pPr>
      <w:r>
        <w:rPr>
          <w:rFonts w:ascii="Calibri" w:cs="Calibri" w:eastAsia="Calibri" w:hAnsi="Calibri"/>
          <w:sz w:val="16"/>
          <w:szCs w:val="16"/>
          <w:color w:val="auto"/>
        </w:rPr>
        <w:t>Alphareta, GA | New York, NY | Belfast, United Kingdom</w:t>
      </w:r>
      <w:r>
        <w:rPr>
          <w:sz w:val="20"/>
          <w:szCs w:val="20"/>
          <w:color w:val="auto"/>
        </w:rPr>
        <w:tab/>
      </w:r>
      <w:r>
        <w:rPr>
          <w:rFonts w:ascii="Calibri" w:cs="Calibri" w:eastAsia="Calibri" w:hAnsi="Calibri"/>
          <w:sz w:val="16"/>
          <w:szCs w:val="16"/>
          <w:color w:val="auto"/>
        </w:rPr>
        <w:t>www.bakkt.com</w:t>
      </w:r>
      <w:r>
        <w:rPr>
          <w:sz w:val="20"/>
          <w:szCs w:val="20"/>
          <w:color w:val="auto"/>
        </w:rPr>
        <w:tab/>
      </w:r>
      <w:r>
        <w:rPr>
          <w:rFonts w:ascii="Calibri" w:cs="Calibri" w:eastAsia="Calibri" w:hAnsi="Calibri"/>
          <w:sz w:val="18"/>
          <w:szCs w:val="18"/>
          <w:color w:val="auto"/>
        </w:rPr>
        <w:t>3</w:t>
      </w:r>
    </w:p>
    <w:p>
      <w:pPr>
        <w:sectPr>
          <w:pgSz w:w="11900" w:h="16838" w:orient="portrait"/>
          <w:cols w:equalWidth="0" w:num="1">
            <w:col w:w="11240"/>
          </w:cols>
          <w:pgMar w:left="320" w:top="1421" w:right="339" w:bottom="1440" w:gutter="0" w:footer="0" w:header="0"/>
          <w:type w:val="continuous"/>
        </w:sectPr>
      </w:pPr>
    </w:p>
    <w:bookmarkStart w:id="9" w:name="page10"/>
    <w:bookmarkEnd w:id="9"/>
    <w:p>
      <w:pPr>
        <w:spacing w:after="0" w:line="102" w:lineRule="exact"/>
        <w:rPr>
          <w:sz w:val="20"/>
          <w:szCs w:val="20"/>
          <w:color w:val="auto"/>
        </w:rPr>
      </w:pPr>
    </w:p>
    <w:p>
      <w:pPr>
        <w:ind w:left="328" w:hanging="328"/>
        <w:spacing w:after="0" w:line="229" w:lineRule="auto"/>
        <w:tabs>
          <w:tab w:leader="none" w:pos="323" w:val="left"/>
        </w:tabs>
        <w:numPr>
          <w:ilvl w:val="0"/>
          <w:numId w:val="9"/>
        </w:numPr>
        <w:rPr>
          <w:rFonts w:ascii="Times New Roman" w:cs="Times New Roman" w:eastAsia="Times New Roman" w:hAnsi="Times New Roman"/>
          <w:sz w:val="22"/>
          <w:szCs w:val="22"/>
          <w:color w:val="auto"/>
        </w:rPr>
      </w:pPr>
      <w:r>
        <w:rPr>
          <w:rFonts w:ascii="Calibri" w:cs="Calibri" w:eastAsia="Calibri" w:hAnsi="Calibri"/>
          <w:sz w:val="22"/>
          <w:szCs w:val="22"/>
          <w:color w:val="auto"/>
        </w:rPr>
        <w:t>Corporate governance guidelines adopted by the Board setng forth our corporate governance policies and standards; and</w:t>
      </w:r>
    </w:p>
    <w:p>
      <w:pPr>
        <w:spacing w:after="0" w:line="135" w:lineRule="exact"/>
        <w:rPr>
          <w:rFonts w:ascii="Times New Roman" w:cs="Times New Roman" w:eastAsia="Times New Roman" w:hAnsi="Times New Roman"/>
          <w:sz w:val="22"/>
          <w:szCs w:val="22"/>
          <w:color w:val="auto"/>
        </w:rPr>
      </w:pPr>
    </w:p>
    <w:p>
      <w:pPr>
        <w:ind w:left="328" w:hanging="328"/>
        <w:spacing w:after="0" w:line="235" w:lineRule="auto"/>
        <w:tabs>
          <w:tab w:leader="none" w:pos="323" w:val="left"/>
        </w:tabs>
        <w:numPr>
          <w:ilvl w:val="0"/>
          <w:numId w:val="9"/>
        </w:numPr>
        <w:rPr>
          <w:rFonts w:ascii="Times New Roman" w:cs="Times New Roman" w:eastAsia="Times New Roman" w:hAnsi="Times New Roman"/>
          <w:sz w:val="22"/>
          <w:szCs w:val="22"/>
          <w:color w:val="auto"/>
        </w:rPr>
      </w:pPr>
      <w:r>
        <w:rPr>
          <w:rFonts w:ascii="Calibri" w:cs="Calibri" w:eastAsia="Calibri" w:hAnsi="Calibri"/>
          <w:sz w:val="22"/>
          <w:szCs w:val="22"/>
          <w:color w:val="auto"/>
        </w:rPr>
        <w:t>Approval by the audit and risk commitee required for related party transactons between the Company and the ofcers, directors, more than 5% shareholders and their related partes.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left="2468"/>
        <w:spacing w:after="0"/>
        <w:tabs>
          <w:tab w:leader="none" w:pos="6788" w:val="left"/>
          <w:tab w:leader="none" w:pos="8008" w:val="left"/>
        </w:tabs>
        <w:rPr>
          <w:sz w:val="20"/>
          <w:szCs w:val="20"/>
          <w:color w:val="auto"/>
        </w:rPr>
      </w:pPr>
      <w:r>
        <w:rPr>
          <w:rFonts w:ascii="Calibri" w:cs="Calibri" w:eastAsia="Calibri" w:hAnsi="Calibri"/>
          <w:sz w:val="16"/>
          <w:szCs w:val="16"/>
          <w:color w:val="auto"/>
        </w:rPr>
        <w:t>Alphareta, GA | New York, NY | Belfast, United Kingdom</w:t>
      </w:r>
      <w:r>
        <w:rPr>
          <w:sz w:val="20"/>
          <w:szCs w:val="20"/>
          <w:color w:val="auto"/>
        </w:rPr>
        <w:tab/>
      </w:r>
      <w:r>
        <w:rPr>
          <w:rFonts w:ascii="Calibri" w:cs="Calibri" w:eastAsia="Calibri" w:hAnsi="Calibri"/>
          <w:sz w:val="16"/>
          <w:szCs w:val="16"/>
          <w:color w:val="auto"/>
        </w:rPr>
        <w:t>www.bakkt.com</w:t>
      </w:r>
      <w:r>
        <w:rPr>
          <w:sz w:val="20"/>
          <w:szCs w:val="20"/>
          <w:color w:val="auto"/>
        </w:rPr>
        <w:tab/>
      </w:r>
      <w:r>
        <w:rPr>
          <w:rFonts w:ascii="Calibri" w:cs="Calibri" w:eastAsia="Calibri" w:hAnsi="Calibri"/>
          <w:sz w:val="18"/>
          <w:szCs w:val="18"/>
          <w:color w:val="auto"/>
        </w:rPr>
        <w:t>4</w:t>
      </w:r>
    </w:p>
    <w:p>
      <w:pPr>
        <w:sectPr>
          <w:pgSz w:w="11900" w:h="16838" w:orient="portrait"/>
          <w:cols w:equalWidth="0" w:num="1">
            <w:col w:w="10908"/>
          </w:cols>
          <w:pgMar w:left="652" w:top="1440" w:right="339" w:bottom="1440" w:gutter="0" w:footer="0" w:header="0"/>
        </w:sectPr>
      </w:pPr>
    </w:p>
    <w:bookmarkStart w:id="10" w:name="page11"/>
    <w:bookmarkEnd w:id="10"/>
    <w:p>
      <w:pPr>
        <w:spacing w:after="0"/>
        <w:rPr>
          <w:sz w:val="20"/>
          <w:szCs w:val="20"/>
          <w:color w:val="auto"/>
        </w:rPr>
      </w:pPr>
      <w:r>
        <w:rPr>
          <w:rFonts w:ascii="Calibri" w:cs="Calibri" w:eastAsia="Calibri" w:hAnsi="Calibri"/>
          <w:sz w:val="43"/>
          <w:szCs w:val="43"/>
          <w:color w:val="auto"/>
        </w:rPr>
        <w:t>Votng and Meetng Informaton</w:t>
      </w:r>
    </w:p>
    <w:p>
      <w:pPr>
        <w:spacing w:after="0" w:line="219" w:lineRule="exact"/>
        <w:rPr>
          <w:sz w:val="20"/>
          <w:szCs w:val="20"/>
          <w:color w:val="auto"/>
        </w:rPr>
      </w:pPr>
    </w:p>
    <w:p>
      <w:pPr>
        <w:spacing w:after="0"/>
        <w:rPr>
          <w:sz w:val="20"/>
          <w:szCs w:val="20"/>
          <w:color w:val="auto"/>
        </w:rPr>
      </w:pPr>
      <w:r>
        <w:rPr>
          <w:rFonts w:ascii="Calibri" w:cs="Calibri" w:eastAsia="Calibri" w:hAnsi="Calibri"/>
          <w:sz w:val="22"/>
          <w:szCs w:val="22"/>
          <w:b w:val="1"/>
          <w:bCs w:val="1"/>
          <w:color w:val="auto"/>
        </w:rPr>
        <w:t>Bakkt Holdings, Inc. Proxy Statement</w:t>
      </w:r>
    </w:p>
    <w:p>
      <w:pPr>
        <w:spacing w:after="0" w:line="1" w:lineRule="exact"/>
        <w:rPr>
          <w:sz w:val="20"/>
          <w:szCs w:val="20"/>
          <w:color w:val="auto"/>
        </w:rPr>
      </w:pPr>
    </w:p>
    <w:p>
      <w:pPr>
        <w:spacing w:after="0"/>
        <w:rPr>
          <w:sz w:val="20"/>
          <w:szCs w:val="20"/>
          <w:color w:val="auto"/>
        </w:rPr>
      </w:pPr>
      <w:r>
        <w:rPr>
          <w:rFonts w:ascii="Calibri" w:cs="Calibri" w:eastAsia="Calibri" w:hAnsi="Calibri"/>
          <w:sz w:val="22"/>
          <w:szCs w:val="22"/>
          <w:b w:val="1"/>
          <w:bCs w:val="1"/>
          <w:color w:val="auto"/>
        </w:rPr>
        <w:t>2024 Annual Meetng of Stockholders</w:t>
      </w:r>
    </w:p>
    <w:p>
      <w:pPr>
        <w:spacing w:after="0" w:line="227" w:lineRule="auto"/>
        <w:rPr>
          <w:sz w:val="20"/>
          <w:szCs w:val="20"/>
          <w:color w:val="auto"/>
        </w:rPr>
      </w:pPr>
      <w:r>
        <w:rPr>
          <w:rFonts w:ascii="Calibri" w:cs="Calibri" w:eastAsia="Calibri" w:hAnsi="Calibri"/>
          <w:sz w:val="22"/>
          <w:szCs w:val="22"/>
          <w:color w:val="auto"/>
        </w:rPr>
        <w:t>To be held at 12:00 p.m., Eastern Time, on Friday, May 31, 2024.</w:t>
      </w:r>
    </w:p>
    <w:p>
      <w:pPr>
        <w:spacing w:after="0" w:line="217" w:lineRule="exact"/>
        <w:rPr>
          <w:sz w:val="20"/>
          <w:szCs w:val="20"/>
          <w:color w:val="auto"/>
        </w:rPr>
      </w:pPr>
    </w:p>
    <w:p>
      <w:pPr>
        <w:jc w:val="both"/>
        <w:spacing w:after="0" w:line="229" w:lineRule="auto"/>
        <w:rPr>
          <w:sz w:val="20"/>
          <w:szCs w:val="20"/>
          <w:color w:val="auto"/>
        </w:rPr>
      </w:pPr>
      <w:r>
        <w:rPr>
          <w:rFonts w:ascii="Calibri" w:cs="Calibri" w:eastAsia="Calibri" w:hAnsi="Calibri"/>
          <w:sz w:val="22"/>
          <w:szCs w:val="22"/>
          <w:color w:val="auto"/>
        </w:rPr>
        <w:t>The informaton provided in the “queston and answer” format below is for your convenience only and is merely a summary of the informaton contained in this proxy statement. You should read this entre proxy statement carefully.</w:t>
      </w:r>
    </w:p>
    <w:p>
      <w:pPr>
        <w:spacing w:after="0" w:line="206" w:lineRule="exact"/>
        <w:rPr>
          <w:sz w:val="20"/>
          <w:szCs w:val="20"/>
          <w:color w:val="auto"/>
        </w:rPr>
      </w:pPr>
    </w:p>
    <w:p>
      <w:pPr>
        <w:spacing w:after="0"/>
        <w:rPr>
          <w:sz w:val="20"/>
          <w:szCs w:val="20"/>
          <w:color w:val="auto"/>
        </w:rPr>
      </w:pPr>
      <w:r>
        <w:rPr>
          <w:rFonts w:ascii="Calibri" w:cs="Calibri" w:eastAsia="Calibri" w:hAnsi="Calibri"/>
          <w:sz w:val="22"/>
          <w:szCs w:val="22"/>
          <w:b w:val="1"/>
          <w:bCs w:val="1"/>
          <w:color w:val="auto"/>
        </w:rPr>
        <w:t>Questons and Answers About the Proxy Materials and Our Annual Meetng</w:t>
      </w:r>
    </w:p>
    <w:p>
      <w:pPr>
        <w:spacing w:after="0" w:line="217" w:lineRule="exact"/>
        <w:rPr>
          <w:sz w:val="20"/>
          <w:szCs w:val="20"/>
          <w:color w:val="auto"/>
        </w:rPr>
      </w:pPr>
    </w:p>
    <w:p>
      <w:pPr>
        <w:spacing w:after="0"/>
        <w:rPr>
          <w:sz w:val="20"/>
          <w:szCs w:val="20"/>
          <w:color w:val="auto"/>
        </w:rPr>
      </w:pPr>
      <w:r>
        <w:rPr>
          <w:rFonts w:ascii="Calibri" w:cs="Calibri" w:eastAsia="Calibri" w:hAnsi="Calibri"/>
          <w:sz w:val="22"/>
          <w:szCs w:val="22"/>
          <w:b w:val="1"/>
          <w:bCs w:val="1"/>
          <w:color w:val="auto"/>
        </w:rPr>
        <w:t>Why am I receiving these materials?</w:t>
      </w:r>
    </w:p>
    <w:p>
      <w:pPr>
        <w:spacing w:after="0" w:line="215" w:lineRule="exact"/>
        <w:rPr>
          <w:sz w:val="20"/>
          <w:szCs w:val="20"/>
          <w:color w:val="auto"/>
        </w:rPr>
      </w:pPr>
    </w:p>
    <w:p>
      <w:pPr>
        <w:jc w:val="both"/>
        <w:spacing w:after="0" w:line="229" w:lineRule="auto"/>
        <w:rPr>
          <w:sz w:val="20"/>
          <w:szCs w:val="20"/>
          <w:color w:val="auto"/>
        </w:rPr>
      </w:pPr>
      <w:r>
        <w:rPr>
          <w:rFonts w:ascii="Calibri" w:cs="Calibri" w:eastAsia="Calibri" w:hAnsi="Calibri"/>
          <w:sz w:val="22"/>
          <w:szCs w:val="22"/>
          <w:color w:val="auto"/>
        </w:rPr>
        <w:t>This proxy statement and the form of proxy are furnished in connecton with the solicitaton of proxies by our Board for use at the 2024 annual meetng of stockholders of Bakkt Holdings, Inc., and any postponements, adjournments or contnuatons thereof. The annual meetng will be held on Friday, May 31, 2024 at 12:00 p.m., Eastern Time. As a stockholder as of the record date, you will be able to atend the meetng virtually by visitng www.virtualshareholdermeetng.com/BKKT2024, where you will be able to listen to the meetng live, submit questons and vote online during the meetng.</w:t>
      </w:r>
    </w:p>
    <w:p>
      <w:pPr>
        <w:spacing w:after="0" w:line="231" w:lineRule="exact"/>
        <w:rPr>
          <w:sz w:val="20"/>
          <w:szCs w:val="20"/>
          <w:color w:val="auto"/>
        </w:rPr>
      </w:pPr>
    </w:p>
    <w:p>
      <w:pPr>
        <w:jc w:val="both"/>
        <w:spacing w:after="0" w:line="230" w:lineRule="auto"/>
        <w:rPr>
          <w:sz w:val="20"/>
          <w:szCs w:val="20"/>
          <w:color w:val="auto"/>
        </w:rPr>
      </w:pPr>
      <w:r>
        <w:rPr>
          <w:rFonts w:ascii="Calibri" w:cs="Calibri" w:eastAsia="Calibri" w:hAnsi="Calibri"/>
          <w:sz w:val="22"/>
          <w:szCs w:val="22"/>
          <w:color w:val="auto"/>
        </w:rPr>
        <w:t>The Notce of Internet Availability of Proxy Materials, or Notce of Internet Availability, containing instructons on how to access this proxy statement, the accompanying notce of annual meetng and form of proxy, and our annual report, is frst being sent or given on or about April 19, 2024 to all stockholders of record as of April 8, 2024. The proxy materials and our annual report can be accessed as of April 19, 2024 by visitng www.proxyvote.com. If you receive a Notce of Internet Availability, then you will not receive a printed copy of the proxy materials or our annual report in the mail unless you specifcally request these materials. Instructons for requestng a printed copy of the proxy materials and our annual report are set forth in the Notce of Internet Availability.</w:t>
      </w:r>
    </w:p>
    <w:p>
      <w:pPr>
        <w:spacing w:after="0" w:line="211" w:lineRule="exact"/>
        <w:rPr>
          <w:sz w:val="20"/>
          <w:szCs w:val="20"/>
          <w:color w:val="auto"/>
        </w:rPr>
      </w:pPr>
    </w:p>
    <w:p>
      <w:pPr>
        <w:spacing w:after="0"/>
        <w:rPr>
          <w:sz w:val="20"/>
          <w:szCs w:val="20"/>
          <w:color w:val="auto"/>
        </w:rPr>
      </w:pPr>
      <w:r>
        <w:rPr>
          <w:rFonts w:ascii="Calibri" w:cs="Calibri" w:eastAsia="Calibri" w:hAnsi="Calibri"/>
          <w:sz w:val="22"/>
          <w:szCs w:val="22"/>
          <w:b w:val="1"/>
          <w:bCs w:val="1"/>
          <w:color w:val="auto"/>
        </w:rPr>
        <w:t>What proposals will be voted on at the annual meetng?</w:t>
      </w:r>
    </w:p>
    <w:p>
      <w:pPr>
        <w:spacing w:after="0" w:line="204" w:lineRule="exact"/>
        <w:rPr>
          <w:sz w:val="20"/>
          <w:szCs w:val="20"/>
          <w:color w:val="auto"/>
        </w:rPr>
      </w:pPr>
    </w:p>
    <w:p>
      <w:pPr>
        <w:spacing w:after="0"/>
        <w:rPr>
          <w:sz w:val="20"/>
          <w:szCs w:val="20"/>
          <w:color w:val="auto"/>
        </w:rPr>
      </w:pPr>
      <w:r>
        <w:rPr>
          <w:rFonts w:ascii="Calibri" w:cs="Calibri" w:eastAsia="Calibri" w:hAnsi="Calibri"/>
          <w:sz w:val="22"/>
          <w:szCs w:val="22"/>
          <w:color w:val="auto"/>
        </w:rPr>
        <w:t>The following proposals will be voted on at the annual meetng:</w:t>
      </w:r>
    </w:p>
    <w:p>
      <w:pPr>
        <w:spacing w:after="0" w:line="135" w:lineRule="exact"/>
        <w:rPr>
          <w:sz w:val="20"/>
          <w:szCs w:val="20"/>
          <w:color w:val="auto"/>
        </w:rPr>
      </w:pPr>
    </w:p>
    <w:p>
      <w:pPr>
        <w:ind w:left="660" w:hanging="328"/>
        <w:spacing w:after="0" w:line="235" w:lineRule="auto"/>
        <w:tabs>
          <w:tab w:leader="none" w:pos="655" w:val="left"/>
        </w:tabs>
        <w:numPr>
          <w:ilvl w:val="0"/>
          <w:numId w:val="10"/>
        </w:numPr>
        <w:rPr>
          <w:rFonts w:ascii="Times New Roman" w:cs="Times New Roman" w:eastAsia="Times New Roman" w:hAnsi="Times New Roman"/>
          <w:sz w:val="22"/>
          <w:szCs w:val="22"/>
          <w:color w:val="auto"/>
        </w:rPr>
      </w:pPr>
      <w:r>
        <w:rPr>
          <w:rFonts w:ascii="Calibri" w:cs="Calibri" w:eastAsia="Calibri" w:hAnsi="Calibri"/>
          <w:sz w:val="22"/>
          <w:szCs w:val="22"/>
          <w:color w:val="auto"/>
        </w:rPr>
        <w:t>the electon of Sean Collins, Richard Lumb and Andrew Main as Class III directors to hold ofce untl our 2027 annual meetng of stockholders and untl their respectve successors are elected and qualifed;</w:t>
      </w:r>
    </w:p>
    <w:p>
      <w:pPr>
        <w:spacing w:after="0" w:line="135" w:lineRule="exact"/>
        <w:rPr>
          <w:rFonts w:ascii="Times New Roman" w:cs="Times New Roman" w:eastAsia="Times New Roman" w:hAnsi="Times New Roman"/>
          <w:sz w:val="22"/>
          <w:szCs w:val="22"/>
          <w:color w:val="auto"/>
        </w:rPr>
      </w:pPr>
    </w:p>
    <w:p>
      <w:pPr>
        <w:jc w:val="both"/>
        <w:ind w:left="660" w:hanging="328"/>
        <w:spacing w:after="0" w:line="229" w:lineRule="auto"/>
        <w:tabs>
          <w:tab w:leader="none" w:pos="655" w:val="left"/>
        </w:tabs>
        <w:numPr>
          <w:ilvl w:val="0"/>
          <w:numId w:val="10"/>
        </w:numPr>
        <w:rPr>
          <w:rFonts w:ascii="Times New Roman" w:cs="Times New Roman" w:eastAsia="Times New Roman" w:hAnsi="Times New Roman"/>
          <w:sz w:val="22"/>
          <w:szCs w:val="22"/>
          <w:color w:val="auto"/>
        </w:rPr>
      </w:pPr>
      <w:r>
        <w:rPr>
          <w:rFonts w:ascii="Calibri" w:cs="Calibri" w:eastAsia="Calibri" w:hAnsi="Calibri"/>
          <w:sz w:val="22"/>
          <w:szCs w:val="22"/>
          <w:color w:val="auto"/>
        </w:rPr>
        <w:t>the approval of an amendment to the 2021 Omnibus Incentve Plan to increase the number of authorized shares of Class A Common Stock issuable thereunder to 75,873,051 shares (which number will be correspondingly adjusted to the extent the Proposed Reverse Stock Split is efected prior to the annual meetng); and</w:t>
      </w:r>
    </w:p>
    <w:p>
      <w:pPr>
        <w:spacing w:after="0" w:line="135" w:lineRule="exact"/>
        <w:rPr>
          <w:rFonts w:ascii="Times New Roman" w:cs="Times New Roman" w:eastAsia="Times New Roman" w:hAnsi="Times New Roman"/>
          <w:sz w:val="22"/>
          <w:szCs w:val="22"/>
          <w:color w:val="auto"/>
        </w:rPr>
      </w:pPr>
    </w:p>
    <w:p>
      <w:pPr>
        <w:ind w:left="660" w:hanging="328"/>
        <w:spacing w:after="0" w:line="229" w:lineRule="auto"/>
        <w:tabs>
          <w:tab w:leader="none" w:pos="655" w:val="left"/>
        </w:tabs>
        <w:numPr>
          <w:ilvl w:val="0"/>
          <w:numId w:val="10"/>
        </w:numPr>
        <w:rPr>
          <w:rFonts w:ascii="Times New Roman" w:cs="Times New Roman" w:eastAsia="Times New Roman" w:hAnsi="Times New Roman"/>
          <w:sz w:val="22"/>
          <w:szCs w:val="22"/>
          <w:color w:val="auto"/>
        </w:rPr>
      </w:pPr>
      <w:r>
        <w:rPr>
          <w:rFonts w:ascii="Calibri" w:cs="Calibri" w:eastAsia="Calibri" w:hAnsi="Calibri"/>
          <w:sz w:val="22"/>
          <w:szCs w:val="22"/>
          <w:color w:val="auto"/>
        </w:rPr>
        <w:t>the shareholder proposal, if properly presented at the annual meetng, requestng for the adopton of a simple majority vote standard.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2800"/>
        <w:spacing w:after="0"/>
        <w:tabs>
          <w:tab w:leader="none" w:pos="7120" w:val="left"/>
          <w:tab w:leader="none" w:pos="8340" w:val="left"/>
        </w:tabs>
        <w:rPr>
          <w:sz w:val="20"/>
          <w:szCs w:val="20"/>
          <w:color w:val="auto"/>
        </w:rPr>
      </w:pPr>
      <w:r>
        <w:rPr>
          <w:rFonts w:ascii="Calibri" w:cs="Calibri" w:eastAsia="Calibri" w:hAnsi="Calibri"/>
          <w:sz w:val="16"/>
          <w:szCs w:val="16"/>
          <w:color w:val="auto"/>
        </w:rPr>
        <w:t>Alphareta, GA | New York, NY | Belfast, United Kingdom</w:t>
      </w:r>
      <w:r>
        <w:rPr>
          <w:sz w:val="20"/>
          <w:szCs w:val="20"/>
          <w:color w:val="auto"/>
        </w:rPr>
        <w:tab/>
      </w:r>
      <w:r>
        <w:rPr>
          <w:rFonts w:ascii="Calibri" w:cs="Calibri" w:eastAsia="Calibri" w:hAnsi="Calibri"/>
          <w:sz w:val="16"/>
          <w:szCs w:val="16"/>
          <w:color w:val="auto"/>
        </w:rPr>
        <w:t>www.bakkt.com</w:t>
      </w:r>
      <w:r>
        <w:rPr>
          <w:sz w:val="20"/>
          <w:szCs w:val="20"/>
          <w:color w:val="auto"/>
        </w:rPr>
        <w:tab/>
      </w:r>
      <w:r>
        <w:rPr>
          <w:rFonts w:ascii="Calibri" w:cs="Calibri" w:eastAsia="Calibri" w:hAnsi="Calibri"/>
          <w:sz w:val="18"/>
          <w:szCs w:val="18"/>
          <w:color w:val="auto"/>
        </w:rPr>
        <w:t>5</w:t>
      </w:r>
    </w:p>
    <w:p>
      <w:pPr>
        <w:sectPr>
          <w:pgSz w:w="11900" w:h="16838" w:orient="portrait"/>
          <w:cols w:equalWidth="0" w:num="1">
            <w:col w:w="11240"/>
          </w:cols>
          <w:pgMar w:left="320" w:top="1381" w:right="339" w:bottom="1440" w:gutter="0" w:footer="0" w:header="0"/>
        </w:sectPr>
      </w:pPr>
    </w:p>
    <w:bookmarkStart w:id="11" w:name="page12"/>
    <w:bookmarkEnd w:id="11"/>
    <w:p>
      <w:pPr>
        <w:spacing w:after="0" w:line="184" w:lineRule="exact"/>
        <w:rPr>
          <w:sz w:val="20"/>
          <w:szCs w:val="20"/>
          <w:color w:val="auto"/>
        </w:rPr>
      </w:pPr>
    </w:p>
    <w:p>
      <w:pPr>
        <w:jc w:val="both"/>
        <w:spacing w:after="0" w:line="231" w:lineRule="auto"/>
        <w:rPr>
          <w:sz w:val="20"/>
          <w:szCs w:val="20"/>
          <w:color w:val="auto"/>
        </w:rPr>
      </w:pPr>
      <w:r>
        <w:rPr>
          <w:rFonts w:ascii="Calibri" w:cs="Calibri" w:eastAsia="Calibri" w:hAnsi="Calibri"/>
          <w:sz w:val="22"/>
          <w:szCs w:val="22"/>
          <w:color w:val="auto"/>
        </w:rPr>
        <w:t>We have called a Special Meetng of Stockholders to be held on April 23, 2024 (the “Special Meetng”) to consider, among other things, a proposal to efect a reverse stock split of our outstanding Class A Common Stock, par value $0.0001 per share (the “Class A Common Stock”) and Class V Common Stock, par value $0.0001 per share (the “Class V Common Stock”, and together with the Class A Common Stock, our “common stock”) at a rato equal to 1-for-25 (the “Proposed Reverse Stock Split”) and, contemporaneously with the Proposed Reverse Stock Split, a reducton in the number of authorized shares of common stock by a rato corresponding to that efected in the Proposed Reverse Stock Split. The proposal to be considered at the annual meetng related to the approval of an amendment to the 2021 Omnibus Incentve Plan to increase the number of authorized shares of Class A Common Stock issuable thereunder to 75,873,051 shares does not refect the potental impact of the Proposed Reverse Stock Split. As such, if we efect the Potental Reverse Stock Split prior to the annual meetng, the proposed increase to the authorized shares under the 2021 Omnibus Incentve Plan being considered at the annual meetng will be automatcally adjusted such that we will be instead seeking the approval of an amendment to the 2021 Omnibus Incentve Plan to increase the number of authorized shares of Class A Common Stock thereunder by 938,626 shares, which, if approved, would result in the total number of shares of Class A Common Stock issuable under the 2021 Omnibus Plan following such potental increase being 3,034,922 shares. Unless otherwise noted, share counts, price per share and related numbers presented herein do not give efect to the Proposed Reverse Stock Split.</w:t>
      </w:r>
    </w:p>
    <w:p>
      <w:pPr>
        <w:spacing w:after="0" w:line="227" w:lineRule="exact"/>
        <w:rPr>
          <w:sz w:val="20"/>
          <w:szCs w:val="20"/>
          <w:color w:val="auto"/>
        </w:rPr>
      </w:pPr>
    </w:p>
    <w:p>
      <w:pPr>
        <w:jc w:val="both"/>
        <w:ind w:right="20"/>
        <w:spacing w:after="0" w:line="229" w:lineRule="auto"/>
        <w:rPr>
          <w:sz w:val="20"/>
          <w:szCs w:val="20"/>
          <w:color w:val="auto"/>
        </w:rPr>
      </w:pPr>
      <w:r>
        <w:rPr>
          <w:rFonts w:ascii="Calibri" w:cs="Calibri" w:eastAsia="Calibri" w:hAnsi="Calibri"/>
          <w:sz w:val="22"/>
          <w:szCs w:val="22"/>
          <w:color w:val="auto"/>
        </w:rPr>
        <w:t>As of the date of this proxy statement, our management and board of directors were not aware of any other maters to be presented at the annual meetng.</w:t>
      </w:r>
    </w:p>
    <w:p>
      <w:pPr>
        <w:spacing w:after="0" w:line="204" w:lineRule="exact"/>
        <w:rPr>
          <w:sz w:val="20"/>
          <w:szCs w:val="20"/>
          <w:color w:val="auto"/>
        </w:rPr>
      </w:pPr>
    </w:p>
    <w:p>
      <w:pPr>
        <w:spacing w:after="0"/>
        <w:rPr>
          <w:sz w:val="20"/>
          <w:szCs w:val="20"/>
          <w:color w:val="auto"/>
        </w:rPr>
      </w:pPr>
      <w:r>
        <w:rPr>
          <w:rFonts w:ascii="Calibri" w:cs="Calibri" w:eastAsia="Calibri" w:hAnsi="Calibri"/>
          <w:sz w:val="22"/>
          <w:szCs w:val="22"/>
          <w:b w:val="1"/>
          <w:bCs w:val="1"/>
          <w:color w:val="auto"/>
        </w:rPr>
        <w:t>How does the Board recommend that I vote on these proposals?</w:t>
      </w:r>
    </w:p>
    <w:p>
      <w:pPr>
        <w:spacing w:after="0" w:line="204" w:lineRule="exact"/>
        <w:rPr>
          <w:sz w:val="20"/>
          <w:szCs w:val="20"/>
          <w:color w:val="auto"/>
        </w:rPr>
      </w:pPr>
    </w:p>
    <w:p>
      <w:pPr>
        <w:spacing w:after="0"/>
        <w:rPr>
          <w:sz w:val="20"/>
          <w:szCs w:val="20"/>
          <w:color w:val="auto"/>
        </w:rPr>
      </w:pPr>
      <w:r>
        <w:rPr>
          <w:rFonts w:ascii="Calibri" w:cs="Calibri" w:eastAsia="Calibri" w:hAnsi="Calibri"/>
          <w:sz w:val="22"/>
          <w:szCs w:val="22"/>
          <w:color w:val="auto"/>
        </w:rPr>
        <w:t>Our Board recommends that you vote your shares:</w:t>
      </w:r>
    </w:p>
    <w:p>
      <w:pPr>
        <w:spacing w:after="0" w:line="136" w:lineRule="exact"/>
        <w:rPr>
          <w:sz w:val="20"/>
          <w:szCs w:val="20"/>
          <w:color w:val="auto"/>
        </w:rPr>
      </w:pPr>
    </w:p>
    <w:p>
      <w:pPr>
        <w:ind w:left="660" w:hanging="328"/>
        <w:spacing w:after="0"/>
        <w:tabs>
          <w:tab w:leader="none" w:pos="660" w:val="left"/>
        </w:tabs>
        <w:numPr>
          <w:ilvl w:val="0"/>
          <w:numId w:val="11"/>
        </w:numPr>
        <w:rPr>
          <w:rFonts w:ascii="Times New Roman" w:cs="Times New Roman" w:eastAsia="Times New Roman" w:hAnsi="Times New Roman"/>
          <w:sz w:val="22"/>
          <w:szCs w:val="22"/>
          <w:color w:val="auto"/>
        </w:rPr>
      </w:pPr>
      <w:r>
        <w:rPr>
          <w:rFonts w:ascii="Calibri" w:cs="Calibri" w:eastAsia="Calibri" w:hAnsi="Calibri"/>
          <w:sz w:val="22"/>
          <w:szCs w:val="22"/>
          <w:color w:val="auto"/>
        </w:rPr>
        <w:t>“FOR” the electon of Sean Collins, Richard Lumb and Andrew Main as Class III directors;</w:t>
      </w:r>
    </w:p>
    <w:p>
      <w:pPr>
        <w:spacing w:after="0" w:line="135" w:lineRule="exact"/>
        <w:rPr>
          <w:rFonts w:ascii="Times New Roman" w:cs="Times New Roman" w:eastAsia="Times New Roman" w:hAnsi="Times New Roman"/>
          <w:sz w:val="22"/>
          <w:szCs w:val="22"/>
          <w:color w:val="auto"/>
        </w:rPr>
      </w:pPr>
    </w:p>
    <w:p>
      <w:pPr>
        <w:jc w:val="both"/>
        <w:ind w:left="660" w:hanging="328"/>
        <w:spacing w:after="0" w:line="229" w:lineRule="auto"/>
        <w:tabs>
          <w:tab w:leader="none" w:pos="655" w:val="left"/>
        </w:tabs>
        <w:numPr>
          <w:ilvl w:val="0"/>
          <w:numId w:val="11"/>
        </w:numPr>
        <w:rPr>
          <w:rFonts w:ascii="Times New Roman" w:cs="Times New Roman" w:eastAsia="Times New Roman" w:hAnsi="Times New Roman"/>
          <w:sz w:val="22"/>
          <w:szCs w:val="22"/>
          <w:color w:val="auto"/>
        </w:rPr>
      </w:pPr>
      <w:r>
        <w:rPr>
          <w:rFonts w:ascii="Calibri" w:cs="Calibri" w:eastAsia="Calibri" w:hAnsi="Calibri"/>
          <w:sz w:val="22"/>
          <w:szCs w:val="22"/>
          <w:color w:val="auto"/>
        </w:rPr>
        <w:t>“FOR” the approval of an amendment to the 2021 Omnibus Incentve Plan, as amended (the “2021 Omnibus Incentve Plan Amendment”) to increase the number of authorized shares of Class A Common Stock issuable thereunder to 75,873,051 shares (which number will be correspondingly adjusted to the extent the Proposed Reverse Stock Split is efected prior to the annual meetng).</w:t>
      </w:r>
    </w:p>
    <w:p>
      <w:pPr>
        <w:spacing w:after="0" w:line="136" w:lineRule="exact"/>
        <w:rPr>
          <w:rFonts w:ascii="Times New Roman" w:cs="Times New Roman" w:eastAsia="Times New Roman" w:hAnsi="Times New Roman"/>
          <w:sz w:val="22"/>
          <w:szCs w:val="22"/>
          <w:color w:val="auto"/>
        </w:rPr>
      </w:pPr>
    </w:p>
    <w:p>
      <w:pPr>
        <w:ind w:left="660" w:hanging="328"/>
        <w:spacing w:after="0"/>
        <w:tabs>
          <w:tab w:leader="none" w:pos="660" w:val="left"/>
        </w:tabs>
        <w:numPr>
          <w:ilvl w:val="0"/>
          <w:numId w:val="11"/>
        </w:numPr>
        <w:rPr>
          <w:rFonts w:ascii="Times New Roman" w:cs="Times New Roman" w:eastAsia="Times New Roman" w:hAnsi="Times New Roman"/>
          <w:sz w:val="22"/>
          <w:szCs w:val="22"/>
          <w:color w:val="auto"/>
        </w:rPr>
      </w:pPr>
      <w:r>
        <w:rPr>
          <w:rFonts w:ascii="Calibri" w:cs="Calibri" w:eastAsia="Calibri" w:hAnsi="Calibri"/>
          <w:sz w:val="22"/>
          <w:szCs w:val="22"/>
          <w:color w:val="auto"/>
        </w:rPr>
        <w:t>“AGAINST” the shareholder proposal of simple majority vote standard.</w:t>
      </w:r>
    </w:p>
    <w:p>
      <w:pPr>
        <w:spacing w:after="0" w:line="204" w:lineRule="exact"/>
        <w:rPr>
          <w:sz w:val="20"/>
          <w:szCs w:val="20"/>
          <w:color w:val="auto"/>
        </w:rPr>
      </w:pPr>
    </w:p>
    <w:p>
      <w:pPr>
        <w:spacing w:after="0"/>
        <w:rPr>
          <w:sz w:val="20"/>
          <w:szCs w:val="20"/>
          <w:color w:val="auto"/>
        </w:rPr>
      </w:pPr>
      <w:r>
        <w:rPr>
          <w:rFonts w:ascii="Calibri" w:cs="Calibri" w:eastAsia="Calibri" w:hAnsi="Calibri"/>
          <w:sz w:val="22"/>
          <w:szCs w:val="22"/>
          <w:b w:val="1"/>
          <w:bCs w:val="1"/>
          <w:color w:val="auto"/>
        </w:rPr>
        <w:t>Who is enttled to vote at the annual meetng?</w:t>
      </w:r>
    </w:p>
    <w:p>
      <w:pPr>
        <w:spacing w:after="0" w:line="216" w:lineRule="exact"/>
        <w:rPr>
          <w:sz w:val="20"/>
          <w:szCs w:val="20"/>
          <w:color w:val="auto"/>
        </w:rPr>
      </w:pPr>
    </w:p>
    <w:p>
      <w:pPr>
        <w:jc w:val="both"/>
        <w:spacing w:after="0" w:line="231" w:lineRule="auto"/>
        <w:rPr>
          <w:sz w:val="20"/>
          <w:szCs w:val="20"/>
          <w:color w:val="auto"/>
        </w:rPr>
      </w:pPr>
      <w:r>
        <w:rPr>
          <w:rFonts w:ascii="Calibri" w:cs="Calibri" w:eastAsia="Calibri" w:hAnsi="Calibri"/>
          <w:sz w:val="22"/>
          <w:szCs w:val="22"/>
          <w:color w:val="auto"/>
        </w:rPr>
        <w:t>Holders of our Class A and Class V Common Stock as of the close of business on April 8, 2024, the record date for the annual meetng, may vote at the annual meetng. As of the record date, there were 145,494,960 shares of Class A Common Stock and 179,883,479 shares of Class V Common Stock outstanding (which numbers do not give efect to the Proposed Reverse Stock Split). Our Class A Common Stock and Class V Common Stock will vote as a single class on all maters described in this proxy statement for which your vote is being solicited. Each share of common stock is enttled to one vote on each mater properly brought before the annual meetng. Stockholders are not permited to cumulate votes with respect to the electon of directors.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2800"/>
        <w:spacing w:after="0"/>
        <w:tabs>
          <w:tab w:leader="none" w:pos="7120" w:val="left"/>
          <w:tab w:leader="none" w:pos="8340" w:val="left"/>
        </w:tabs>
        <w:rPr>
          <w:sz w:val="20"/>
          <w:szCs w:val="20"/>
          <w:color w:val="auto"/>
        </w:rPr>
      </w:pPr>
      <w:r>
        <w:rPr>
          <w:rFonts w:ascii="Calibri" w:cs="Calibri" w:eastAsia="Calibri" w:hAnsi="Calibri"/>
          <w:sz w:val="16"/>
          <w:szCs w:val="16"/>
          <w:color w:val="auto"/>
        </w:rPr>
        <w:t>Alphareta, GA | New York, NY | Belfast, United Kingdom</w:t>
      </w:r>
      <w:r>
        <w:rPr>
          <w:sz w:val="20"/>
          <w:szCs w:val="20"/>
          <w:color w:val="auto"/>
        </w:rPr>
        <w:tab/>
      </w:r>
      <w:r>
        <w:rPr>
          <w:rFonts w:ascii="Calibri" w:cs="Calibri" w:eastAsia="Calibri" w:hAnsi="Calibri"/>
          <w:sz w:val="16"/>
          <w:szCs w:val="16"/>
          <w:color w:val="auto"/>
        </w:rPr>
        <w:t>www.bakkt.com</w:t>
      </w:r>
      <w:r>
        <w:rPr>
          <w:sz w:val="20"/>
          <w:szCs w:val="20"/>
          <w:color w:val="auto"/>
        </w:rPr>
        <w:tab/>
      </w:r>
      <w:r>
        <w:rPr>
          <w:rFonts w:ascii="Calibri" w:cs="Calibri" w:eastAsia="Calibri" w:hAnsi="Calibri"/>
          <w:sz w:val="18"/>
          <w:szCs w:val="18"/>
          <w:color w:val="auto"/>
        </w:rPr>
        <w:t>6</w:t>
      </w:r>
    </w:p>
    <w:p>
      <w:pPr>
        <w:sectPr>
          <w:pgSz w:w="11900" w:h="16838" w:orient="portrait"/>
          <w:cols w:equalWidth="0" w:num="1">
            <w:col w:w="11240"/>
          </w:cols>
          <w:pgMar w:left="320" w:top="1440" w:right="339" w:bottom="1440" w:gutter="0" w:footer="0" w:header="0"/>
        </w:sectPr>
      </w:pPr>
    </w:p>
    <w:bookmarkStart w:id="12" w:name="page13"/>
    <w:bookmarkEnd w:id="12"/>
    <w:p>
      <w:pPr>
        <w:spacing w:after="0" w:line="184" w:lineRule="exact"/>
        <w:rPr>
          <w:sz w:val="20"/>
          <w:szCs w:val="20"/>
          <w:color w:val="auto"/>
        </w:rPr>
      </w:pPr>
    </w:p>
    <w:p>
      <w:pPr>
        <w:jc w:val="both"/>
        <w:spacing w:after="0" w:line="231" w:lineRule="auto"/>
        <w:rPr>
          <w:sz w:val="20"/>
          <w:szCs w:val="20"/>
          <w:color w:val="auto"/>
        </w:rPr>
      </w:pPr>
      <w:r>
        <w:rPr>
          <w:rFonts w:ascii="Calibri" w:cs="Calibri" w:eastAsia="Calibri" w:hAnsi="Calibri"/>
          <w:sz w:val="22"/>
          <w:szCs w:val="22"/>
          <w:i w:val="1"/>
          <w:iCs w:val="1"/>
          <w:color w:val="auto"/>
        </w:rPr>
        <w:t>Stockholders of Record</w:t>
      </w:r>
      <w:r>
        <w:rPr>
          <w:rFonts w:ascii="Calibri" w:cs="Calibri" w:eastAsia="Calibri" w:hAnsi="Calibri"/>
          <w:sz w:val="22"/>
          <w:szCs w:val="22"/>
          <w:color w:val="auto"/>
        </w:rPr>
        <w:t>. If your shares are registered directly in your name with our transfer agent, Equinit Trust Company, LLC,</w:t>
      </w:r>
      <w:r>
        <w:rPr>
          <w:rFonts w:ascii="Calibri" w:cs="Calibri" w:eastAsia="Calibri" w:hAnsi="Calibri"/>
          <w:sz w:val="22"/>
          <w:szCs w:val="22"/>
          <w:i w:val="1"/>
          <w:iCs w:val="1"/>
          <w:color w:val="auto"/>
        </w:rPr>
        <w:t xml:space="preserve"> </w:t>
      </w:r>
      <w:r>
        <w:rPr>
          <w:rFonts w:ascii="Calibri" w:cs="Calibri" w:eastAsia="Calibri" w:hAnsi="Calibri"/>
          <w:sz w:val="22"/>
          <w:szCs w:val="22"/>
          <w:color w:val="auto"/>
        </w:rPr>
        <w:t>then you are considered the stockholder of record with respect to those shares, and the Notce of Internet Availability was sent directly to you by us. As a stockholder of record, you have the right to grant your votng proxy directly to the individuals listed on the proxy card or to vote on your own behalf at the annual meetng. Throughout this proxy statement, we refer to these holders as “stockholders of record.”</w:t>
      </w:r>
    </w:p>
    <w:p>
      <w:pPr>
        <w:spacing w:after="0" w:line="220" w:lineRule="exact"/>
        <w:rPr>
          <w:sz w:val="20"/>
          <w:szCs w:val="20"/>
          <w:color w:val="auto"/>
        </w:rPr>
      </w:pPr>
    </w:p>
    <w:p>
      <w:pPr>
        <w:jc w:val="both"/>
        <w:spacing w:after="0" w:line="231" w:lineRule="auto"/>
        <w:rPr>
          <w:sz w:val="20"/>
          <w:szCs w:val="20"/>
          <w:color w:val="auto"/>
        </w:rPr>
      </w:pPr>
      <w:r>
        <w:rPr>
          <w:rFonts w:ascii="Calibri" w:cs="Calibri" w:eastAsia="Calibri" w:hAnsi="Calibri"/>
          <w:sz w:val="22"/>
          <w:szCs w:val="22"/>
          <w:i w:val="1"/>
          <w:iCs w:val="1"/>
          <w:color w:val="auto"/>
        </w:rPr>
        <w:t>Street Name Stockholders</w:t>
      </w:r>
      <w:r>
        <w:rPr>
          <w:rFonts w:ascii="Calibri" w:cs="Calibri" w:eastAsia="Calibri" w:hAnsi="Calibri"/>
          <w:sz w:val="22"/>
          <w:szCs w:val="22"/>
          <w:color w:val="auto"/>
        </w:rPr>
        <w:t>. If your shares are held in a brokerage account or by a broker, bank or other nominee, then you are</w:t>
      </w:r>
      <w:r>
        <w:rPr>
          <w:rFonts w:ascii="Calibri" w:cs="Calibri" w:eastAsia="Calibri" w:hAnsi="Calibri"/>
          <w:sz w:val="22"/>
          <w:szCs w:val="22"/>
          <w:i w:val="1"/>
          <w:iCs w:val="1"/>
          <w:color w:val="auto"/>
        </w:rPr>
        <w:t xml:space="preserve"> </w:t>
      </w:r>
      <w:r>
        <w:rPr>
          <w:rFonts w:ascii="Calibri" w:cs="Calibri" w:eastAsia="Calibri" w:hAnsi="Calibri"/>
          <w:sz w:val="22"/>
          <w:szCs w:val="22"/>
          <w:color w:val="auto"/>
        </w:rPr>
        <w:t>considered the benefcial owner of shares held in street name, and the Notce of Internet Availability was forwarded to you by your broker, bank or other nominee, which is considered the stockholder of record with respect to those shares. As a benefcial owner, you have the right to direct your broker, bank or other nominee on how to vote the shares held in your account by following the instructons that your broker, bank or other nominee sent to you. Throughout this proxy statement, we refer to these holders as “street name stockholders.”</w:t>
      </w:r>
    </w:p>
    <w:p>
      <w:pPr>
        <w:spacing w:after="0" w:line="205" w:lineRule="exact"/>
        <w:rPr>
          <w:sz w:val="20"/>
          <w:szCs w:val="20"/>
          <w:color w:val="auto"/>
        </w:rPr>
      </w:pPr>
    </w:p>
    <w:p>
      <w:pPr>
        <w:spacing w:after="0"/>
        <w:rPr>
          <w:sz w:val="20"/>
          <w:szCs w:val="20"/>
          <w:color w:val="auto"/>
        </w:rPr>
      </w:pPr>
      <w:r>
        <w:rPr>
          <w:rFonts w:ascii="Calibri" w:cs="Calibri" w:eastAsia="Calibri" w:hAnsi="Calibri"/>
          <w:sz w:val="22"/>
          <w:szCs w:val="22"/>
          <w:b w:val="1"/>
          <w:bCs w:val="1"/>
          <w:color w:val="auto"/>
        </w:rPr>
        <w:t>Is there a list of registered stockholders enttled to vote at the annual meetng?</w:t>
      </w:r>
    </w:p>
    <w:p>
      <w:pPr>
        <w:spacing w:after="0" w:line="217" w:lineRule="exact"/>
        <w:rPr>
          <w:sz w:val="20"/>
          <w:szCs w:val="20"/>
          <w:color w:val="auto"/>
        </w:rPr>
      </w:pPr>
    </w:p>
    <w:p>
      <w:pPr>
        <w:jc w:val="both"/>
        <w:spacing w:after="0" w:line="231" w:lineRule="auto"/>
        <w:rPr>
          <w:sz w:val="20"/>
          <w:szCs w:val="20"/>
          <w:color w:val="auto"/>
        </w:rPr>
      </w:pPr>
      <w:r>
        <w:rPr>
          <w:rFonts w:ascii="Calibri" w:cs="Calibri" w:eastAsia="Calibri" w:hAnsi="Calibri"/>
          <w:sz w:val="22"/>
          <w:szCs w:val="22"/>
          <w:color w:val="auto"/>
        </w:rPr>
        <w:t>A list of registered stockholders enttled to vote at the annual meetng will be made available for examinaton by any stockholder for any purpose germane to the meetng for the ten-day period prior to the annual meetng at 10000 Avalon Boulevard, Suite 1000, Alphareta, Georgia 30009, between the hours of 9:00 a.m. and 5:00 p.m., local tme. The list of registered stockholders enttled to vote at the annual meetng will also be available online during the annual meetng at www.virtualshareholdermeetng.com/BKKT2024, for those stockholders atending the annual meetng.</w:t>
      </w:r>
    </w:p>
    <w:p>
      <w:pPr>
        <w:spacing w:after="0" w:line="207" w:lineRule="exact"/>
        <w:rPr>
          <w:sz w:val="20"/>
          <w:szCs w:val="20"/>
          <w:color w:val="auto"/>
        </w:rPr>
      </w:pPr>
    </w:p>
    <w:p>
      <w:pPr>
        <w:spacing w:after="0"/>
        <w:rPr>
          <w:sz w:val="20"/>
          <w:szCs w:val="20"/>
          <w:color w:val="auto"/>
        </w:rPr>
      </w:pPr>
      <w:r>
        <w:rPr>
          <w:rFonts w:ascii="Calibri" w:cs="Calibri" w:eastAsia="Calibri" w:hAnsi="Calibri"/>
          <w:sz w:val="22"/>
          <w:szCs w:val="22"/>
          <w:b w:val="1"/>
          <w:bCs w:val="1"/>
          <w:color w:val="auto"/>
        </w:rPr>
        <w:t>How many votes are needed for approval of each proposal?</w:t>
      </w:r>
    </w:p>
    <w:p>
      <w:pPr>
        <w:spacing w:after="0" w:line="135" w:lineRule="exact"/>
        <w:rPr>
          <w:sz w:val="20"/>
          <w:szCs w:val="20"/>
          <w:color w:val="auto"/>
        </w:rPr>
      </w:pPr>
    </w:p>
    <w:p>
      <w:pPr>
        <w:jc w:val="both"/>
        <w:ind w:left="660" w:hanging="328"/>
        <w:spacing w:after="0" w:line="232" w:lineRule="auto"/>
        <w:tabs>
          <w:tab w:leader="none" w:pos="655" w:val="left"/>
        </w:tabs>
        <w:numPr>
          <w:ilvl w:val="0"/>
          <w:numId w:val="12"/>
        </w:numPr>
        <w:rPr>
          <w:rFonts w:ascii="Times New Roman" w:cs="Times New Roman" w:eastAsia="Times New Roman" w:hAnsi="Times New Roman"/>
          <w:sz w:val="22"/>
          <w:szCs w:val="22"/>
          <w:color w:val="auto"/>
        </w:rPr>
      </w:pPr>
      <w:r>
        <w:rPr>
          <w:rFonts w:ascii="Calibri" w:cs="Calibri" w:eastAsia="Calibri" w:hAnsi="Calibri"/>
          <w:sz w:val="22"/>
          <w:szCs w:val="22"/>
          <w:b w:val="1"/>
          <w:bCs w:val="1"/>
          <w:color w:val="auto"/>
        </w:rPr>
        <w:t xml:space="preserve">Proposal No. 1: </w:t>
      </w:r>
      <w:r>
        <w:rPr>
          <w:rFonts w:ascii="Calibri" w:cs="Calibri" w:eastAsia="Calibri" w:hAnsi="Calibri"/>
          <w:sz w:val="22"/>
          <w:szCs w:val="22"/>
          <w:color w:val="auto"/>
        </w:rPr>
        <w:t>Each director is elected by a plurality of the votes cast by the stockholders present at the annual meetng</w:t>
      </w:r>
      <w:r>
        <w:rPr>
          <w:rFonts w:ascii="Calibri" w:cs="Calibri" w:eastAsia="Calibri" w:hAnsi="Calibri"/>
          <w:sz w:val="22"/>
          <w:szCs w:val="22"/>
          <w:b w:val="1"/>
          <w:bCs w:val="1"/>
          <w:color w:val="auto"/>
        </w:rPr>
        <w:t xml:space="preserve"> </w:t>
      </w:r>
      <w:r>
        <w:rPr>
          <w:rFonts w:ascii="Calibri" w:cs="Calibri" w:eastAsia="Calibri" w:hAnsi="Calibri"/>
          <w:sz w:val="22"/>
          <w:szCs w:val="22"/>
          <w:color w:val="auto"/>
        </w:rPr>
        <w:t>or represented by proxy at the annual meetng and enttled to vote on the electon of directors. A plurality means that the nominees with the largest number of “FOR” votes are elected as directors. You may (1) vote “FOR” the electon of all of the director nominees named herein, (2) “WITHHOLD” authority to vote for all such director nominees, or (3) vote “FOR” the electon of all such director nominees other than any nominees with respect to whom the vote is specifcally WITHHELD by indicatng in the space provided on the proxy. Because the outcome of this proposal will be determined by a plurality vote, any shares not voted FOR a partcular nominee, whether as a result of choosing to WITHHOLD authority to vote or a broker nonvote, will have no efect on the outcome of the electon.</w:t>
      </w:r>
    </w:p>
    <w:p>
      <w:pPr>
        <w:spacing w:after="0" w:line="126" w:lineRule="exact"/>
        <w:rPr>
          <w:rFonts w:ascii="Times New Roman" w:cs="Times New Roman" w:eastAsia="Times New Roman" w:hAnsi="Times New Roman"/>
          <w:sz w:val="22"/>
          <w:szCs w:val="22"/>
          <w:color w:val="auto"/>
        </w:rPr>
      </w:pPr>
    </w:p>
    <w:p>
      <w:pPr>
        <w:ind w:left="660" w:hanging="328"/>
        <w:spacing w:after="0"/>
        <w:tabs>
          <w:tab w:leader="none" w:pos="660" w:val="left"/>
        </w:tabs>
        <w:numPr>
          <w:ilvl w:val="0"/>
          <w:numId w:val="12"/>
        </w:numPr>
        <w:rPr>
          <w:rFonts w:ascii="Times New Roman" w:cs="Times New Roman" w:eastAsia="Times New Roman" w:hAnsi="Times New Roman"/>
          <w:sz w:val="22"/>
          <w:szCs w:val="22"/>
          <w:color w:val="auto"/>
        </w:rPr>
      </w:pPr>
      <w:r>
        <w:rPr>
          <w:rFonts w:ascii="Calibri" w:cs="Calibri" w:eastAsia="Calibri" w:hAnsi="Calibri"/>
          <w:sz w:val="22"/>
          <w:szCs w:val="22"/>
          <w:b w:val="1"/>
          <w:bCs w:val="1"/>
          <w:color w:val="auto"/>
        </w:rPr>
        <w:t xml:space="preserve">Proposal No. 2: </w:t>
      </w:r>
      <w:r>
        <w:rPr>
          <w:rFonts w:ascii="Calibri" w:cs="Calibri" w:eastAsia="Calibri" w:hAnsi="Calibri"/>
          <w:sz w:val="22"/>
          <w:szCs w:val="22"/>
          <w:color w:val="auto"/>
        </w:rPr>
        <w:t>Intentonally Omited.</w:t>
      </w:r>
    </w:p>
    <w:p>
      <w:pPr>
        <w:spacing w:after="0" w:line="133" w:lineRule="exact"/>
        <w:rPr>
          <w:rFonts w:ascii="Times New Roman" w:cs="Times New Roman" w:eastAsia="Times New Roman" w:hAnsi="Times New Roman"/>
          <w:sz w:val="22"/>
          <w:szCs w:val="22"/>
          <w:color w:val="auto"/>
        </w:rPr>
      </w:pPr>
    </w:p>
    <w:p>
      <w:pPr>
        <w:jc w:val="both"/>
        <w:ind w:left="660" w:hanging="328"/>
        <w:spacing w:after="0" w:line="231" w:lineRule="auto"/>
        <w:tabs>
          <w:tab w:leader="none" w:pos="655" w:val="left"/>
        </w:tabs>
        <w:numPr>
          <w:ilvl w:val="0"/>
          <w:numId w:val="12"/>
        </w:numPr>
        <w:rPr>
          <w:rFonts w:ascii="Times New Roman" w:cs="Times New Roman" w:eastAsia="Times New Roman" w:hAnsi="Times New Roman"/>
          <w:sz w:val="22"/>
          <w:szCs w:val="22"/>
          <w:color w:val="auto"/>
        </w:rPr>
      </w:pPr>
      <w:r>
        <w:rPr>
          <w:rFonts w:ascii="Calibri" w:cs="Calibri" w:eastAsia="Calibri" w:hAnsi="Calibri"/>
          <w:sz w:val="22"/>
          <w:szCs w:val="22"/>
          <w:b w:val="1"/>
          <w:bCs w:val="1"/>
          <w:color w:val="auto"/>
        </w:rPr>
        <w:t xml:space="preserve">Proposal No. 3: </w:t>
      </w:r>
      <w:r>
        <w:rPr>
          <w:rFonts w:ascii="Calibri" w:cs="Calibri" w:eastAsia="Calibri" w:hAnsi="Calibri"/>
          <w:sz w:val="22"/>
          <w:szCs w:val="22"/>
          <w:color w:val="auto"/>
        </w:rPr>
        <w:t>The approval of the 2021 Omnibus Incentve Plan Amendment requires the afrmatve vote of a majority</w:t>
      </w:r>
      <w:r>
        <w:rPr>
          <w:rFonts w:ascii="Calibri" w:cs="Calibri" w:eastAsia="Calibri" w:hAnsi="Calibri"/>
          <w:sz w:val="22"/>
          <w:szCs w:val="22"/>
          <w:b w:val="1"/>
          <w:bCs w:val="1"/>
          <w:color w:val="auto"/>
        </w:rPr>
        <w:t xml:space="preserve"> </w:t>
      </w:r>
      <w:r>
        <w:rPr>
          <w:rFonts w:ascii="Calibri" w:cs="Calibri" w:eastAsia="Calibri" w:hAnsi="Calibri"/>
          <w:sz w:val="22"/>
          <w:szCs w:val="22"/>
          <w:color w:val="auto"/>
        </w:rPr>
        <w:t>of the votng power of the outstanding shares of the Company present at the annual meetng or represented by proxy at the annual meetng and enttled to vote on this proposal. You may vote “FOR” or “AGAINST” this proposal, or you may indicate that you wish to “ABSTAIN” from votng on this proposal. Abstentons will be counted for purposes of determining the presence or absence of a quorum and will be considered as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left="2800"/>
        <w:spacing w:after="0"/>
        <w:tabs>
          <w:tab w:leader="none" w:pos="7120" w:val="left"/>
          <w:tab w:leader="none" w:pos="8340" w:val="left"/>
        </w:tabs>
        <w:rPr>
          <w:sz w:val="20"/>
          <w:szCs w:val="20"/>
          <w:color w:val="auto"/>
        </w:rPr>
      </w:pPr>
      <w:r>
        <w:rPr>
          <w:rFonts w:ascii="Calibri" w:cs="Calibri" w:eastAsia="Calibri" w:hAnsi="Calibri"/>
          <w:sz w:val="16"/>
          <w:szCs w:val="16"/>
          <w:color w:val="auto"/>
        </w:rPr>
        <w:t>Alphareta, GA | New York, NY | Belfast, United Kingdom</w:t>
      </w:r>
      <w:r>
        <w:rPr>
          <w:sz w:val="20"/>
          <w:szCs w:val="20"/>
          <w:color w:val="auto"/>
        </w:rPr>
        <w:tab/>
      </w:r>
      <w:r>
        <w:rPr>
          <w:rFonts w:ascii="Calibri" w:cs="Calibri" w:eastAsia="Calibri" w:hAnsi="Calibri"/>
          <w:sz w:val="16"/>
          <w:szCs w:val="16"/>
          <w:color w:val="auto"/>
        </w:rPr>
        <w:t>www.bakkt.com</w:t>
      </w:r>
      <w:r>
        <w:rPr>
          <w:sz w:val="20"/>
          <w:szCs w:val="20"/>
          <w:color w:val="auto"/>
        </w:rPr>
        <w:tab/>
      </w:r>
      <w:r>
        <w:rPr>
          <w:rFonts w:ascii="Calibri" w:cs="Calibri" w:eastAsia="Calibri" w:hAnsi="Calibri"/>
          <w:sz w:val="18"/>
          <w:szCs w:val="18"/>
          <w:color w:val="auto"/>
        </w:rPr>
        <w:t>7</w:t>
      </w:r>
    </w:p>
    <w:p>
      <w:pPr>
        <w:sectPr>
          <w:pgSz w:w="11900" w:h="16838" w:orient="portrait"/>
          <w:cols w:equalWidth="0" w:num="1">
            <w:col w:w="11240"/>
          </w:cols>
          <w:pgMar w:left="320" w:top="1440" w:right="339" w:bottom="1440" w:gutter="0" w:footer="0" w:header="0"/>
        </w:sectPr>
      </w:pPr>
    </w:p>
    <w:bookmarkStart w:id="13" w:name="page14"/>
    <w:bookmarkEnd w:id="13"/>
    <w:p>
      <w:pPr>
        <w:spacing w:after="0" w:line="76" w:lineRule="exact"/>
        <w:rPr>
          <w:sz w:val="20"/>
          <w:szCs w:val="20"/>
          <w:color w:val="auto"/>
        </w:rPr>
      </w:pPr>
    </w:p>
    <w:p>
      <w:pPr>
        <w:jc w:val="both"/>
        <w:ind w:left="660"/>
        <w:spacing w:after="0" w:line="229" w:lineRule="auto"/>
        <w:rPr>
          <w:sz w:val="20"/>
          <w:szCs w:val="20"/>
          <w:color w:val="auto"/>
        </w:rPr>
      </w:pPr>
      <w:r>
        <w:rPr>
          <w:rFonts w:ascii="Calibri" w:cs="Calibri" w:eastAsia="Calibri" w:hAnsi="Calibri"/>
          <w:sz w:val="22"/>
          <w:szCs w:val="22"/>
          <w:color w:val="auto"/>
        </w:rPr>
        <w:t>being present for the vote on this proposal but will not be counted as a vote cast “FOR” this proposal and will, therefore, have the efect of a vote “AGAINST” this proposal. Broker non-votes will not be considered as enttled to vote on this proposal and will have no efect on this proposal.</w:t>
      </w:r>
    </w:p>
    <w:p>
      <w:pPr>
        <w:spacing w:after="0" w:line="149" w:lineRule="exact"/>
        <w:rPr>
          <w:sz w:val="20"/>
          <w:szCs w:val="20"/>
          <w:color w:val="auto"/>
        </w:rPr>
      </w:pPr>
    </w:p>
    <w:p>
      <w:pPr>
        <w:jc w:val="both"/>
        <w:ind w:left="660" w:hanging="328"/>
        <w:spacing w:after="0" w:line="231" w:lineRule="auto"/>
        <w:tabs>
          <w:tab w:leader="none" w:pos="655" w:val="left"/>
        </w:tabs>
        <w:numPr>
          <w:ilvl w:val="0"/>
          <w:numId w:val="13"/>
        </w:numPr>
        <w:rPr>
          <w:rFonts w:ascii="Times New Roman" w:cs="Times New Roman" w:eastAsia="Times New Roman" w:hAnsi="Times New Roman"/>
          <w:sz w:val="22"/>
          <w:szCs w:val="22"/>
          <w:color w:val="auto"/>
        </w:rPr>
      </w:pPr>
      <w:r>
        <w:rPr>
          <w:rFonts w:ascii="Calibri" w:cs="Calibri" w:eastAsia="Calibri" w:hAnsi="Calibri"/>
          <w:sz w:val="22"/>
          <w:szCs w:val="22"/>
          <w:b w:val="1"/>
          <w:bCs w:val="1"/>
          <w:color w:val="auto"/>
        </w:rPr>
        <w:t xml:space="preserve">Proposal No. 4: </w:t>
      </w:r>
      <w:r>
        <w:rPr>
          <w:rFonts w:ascii="Calibri" w:cs="Calibri" w:eastAsia="Calibri" w:hAnsi="Calibri"/>
          <w:sz w:val="22"/>
          <w:szCs w:val="22"/>
          <w:color w:val="auto"/>
        </w:rPr>
        <w:t>The approval of a shareholder proposal of simple majority vote standard requires the majority of votes</w:t>
      </w:r>
      <w:r>
        <w:rPr>
          <w:rFonts w:ascii="Calibri" w:cs="Calibri" w:eastAsia="Calibri" w:hAnsi="Calibri"/>
          <w:sz w:val="22"/>
          <w:szCs w:val="22"/>
          <w:b w:val="1"/>
          <w:bCs w:val="1"/>
          <w:color w:val="auto"/>
        </w:rPr>
        <w:t xml:space="preserve"> </w:t>
      </w:r>
      <w:r>
        <w:rPr>
          <w:rFonts w:ascii="Calibri" w:cs="Calibri" w:eastAsia="Calibri" w:hAnsi="Calibri"/>
          <w:sz w:val="22"/>
          <w:szCs w:val="22"/>
          <w:color w:val="auto"/>
        </w:rPr>
        <w:t>cast by the stockholders present at the annual meetng or represented by proxy at the annual meetng and enttled to vote on this proposal. You may vote “FOR” or “AGAINST” this proposal, or you may indicate that you wish to “ABSTAIN” from votng on this proposal. Abstentons will be counted for purposes of determining the presence or absence of a quorum and will be considered as being present for the vote on this proposal but will not be counted as a vote cast “FOR” this proposal and will, therefore, have the efect of a vote “AGAINST” this proposal. Broker non-votes will not be considered as enttled to vote on this proposal and will have no efect on this proposal.</w:t>
      </w:r>
    </w:p>
    <w:p>
      <w:pPr>
        <w:spacing w:after="0" w:line="259" w:lineRule="exact"/>
        <w:rPr>
          <w:sz w:val="20"/>
          <w:szCs w:val="20"/>
          <w:color w:val="auto"/>
        </w:rPr>
      </w:pPr>
    </w:p>
    <w:p>
      <w:pPr>
        <w:spacing w:after="0"/>
        <w:rPr>
          <w:sz w:val="20"/>
          <w:szCs w:val="20"/>
          <w:color w:val="auto"/>
        </w:rPr>
      </w:pPr>
      <w:r>
        <w:rPr>
          <w:rFonts w:ascii="Calibri" w:cs="Calibri" w:eastAsia="Calibri" w:hAnsi="Calibri"/>
          <w:sz w:val="22"/>
          <w:szCs w:val="22"/>
          <w:b w:val="1"/>
          <w:bCs w:val="1"/>
          <w:color w:val="auto"/>
        </w:rPr>
        <w:t>What is the quorum requirement for the annual meetng?</w:t>
      </w:r>
    </w:p>
    <w:p>
      <w:pPr>
        <w:spacing w:after="0" w:line="268" w:lineRule="exact"/>
        <w:rPr>
          <w:sz w:val="20"/>
          <w:szCs w:val="20"/>
          <w:color w:val="auto"/>
        </w:rPr>
      </w:pPr>
    </w:p>
    <w:p>
      <w:pPr>
        <w:jc w:val="both"/>
        <w:spacing w:after="0" w:line="230" w:lineRule="auto"/>
        <w:rPr>
          <w:sz w:val="20"/>
          <w:szCs w:val="20"/>
          <w:color w:val="auto"/>
        </w:rPr>
      </w:pPr>
      <w:r>
        <w:rPr>
          <w:rFonts w:ascii="Calibri" w:cs="Calibri" w:eastAsia="Calibri" w:hAnsi="Calibri"/>
          <w:sz w:val="22"/>
          <w:szCs w:val="22"/>
          <w:color w:val="auto"/>
        </w:rPr>
        <w:t>A quorum is the minimum number of shares required to be present or represented at the annual meetng for the meetng to be properly held under our bylaws and Delaware law. The presence, at the annual meetng or by proxy, of a majority of the votng power of our capital stock issued and outstanding and enttled to vote will consttute a quorum to transact business at the annual meetng. Abstentons, choosing to withhold authority to vote and broker non-votes are counted as present and enttled to vote for purposes of determining a quorum. If there is no quorum, either the chairperson of the meetng or the majority of stockholders enttled to vote at the meetng, present at the annual meetng or represented by proxy, may adjourn the meetng to another tme or place.</w:t>
      </w:r>
    </w:p>
    <w:p>
      <w:pPr>
        <w:spacing w:after="0" w:line="267" w:lineRule="exact"/>
        <w:rPr>
          <w:sz w:val="20"/>
          <w:szCs w:val="20"/>
          <w:color w:val="auto"/>
        </w:rPr>
      </w:pPr>
    </w:p>
    <w:p>
      <w:pPr>
        <w:spacing w:after="0"/>
        <w:rPr>
          <w:sz w:val="20"/>
          <w:szCs w:val="20"/>
          <w:color w:val="auto"/>
        </w:rPr>
      </w:pPr>
      <w:r>
        <w:rPr>
          <w:rFonts w:ascii="Calibri" w:cs="Calibri" w:eastAsia="Calibri" w:hAnsi="Calibri"/>
          <w:sz w:val="22"/>
          <w:szCs w:val="22"/>
          <w:b w:val="1"/>
          <w:bCs w:val="1"/>
          <w:color w:val="auto"/>
        </w:rPr>
        <w:t>How do I vote and what are the votng deadlines?</w:t>
      </w:r>
    </w:p>
    <w:p>
      <w:pPr>
        <w:spacing w:after="0" w:line="271" w:lineRule="exact"/>
        <w:rPr>
          <w:sz w:val="20"/>
          <w:szCs w:val="20"/>
          <w:color w:val="auto"/>
        </w:rPr>
      </w:pPr>
    </w:p>
    <w:p>
      <w:pPr>
        <w:spacing w:after="0"/>
        <w:rPr>
          <w:sz w:val="20"/>
          <w:szCs w:val="20"/>
          <w:color w:val="auto"/>
        </w:rPr>
      </w:pPr>
      <w:r>
        <w:rPr>
          <w:rFonts w:ascii="Calibri" w:cs="Calibri" w:eastAsia="Calibri" w:hAnsi="Calibri"/>
          <w:sz w:val="22"/>
          <w:szCs w:val="22"/>
          <w:i w:val="1"/>
          <w:iCs w:val="1"/>
          <w:color w:val="auto"/>
        </w:rPr>
        <w:t>Stockholder of Record</w:t>
      </w:r>
      <w:r>
        <w:rPr>
          <w:rFonts w:ascii="Calibri" w:cs="Calibri" w:eastAsia="Calibri" w:hAnsi="Calibri"/>
          <w:sz w:val="22"/>
          <w:szCs w:val="22"/>
          <w:color w:val="auto"/>
        </w:rPr>
        <w:t>. If you are a stockholder of record, you may vote in one of the following ways:</w:t>
      </w:r>
    </w:p>
    <w:p>
      <w:pPr>
        <w:spacing w:after="0" w:line="241" w:lineRule="exact"/>
        <w:rPr>
          <w:sz w:val="20"/>
          <w:szCs w:val="20"/>
          <w:color w:val="auto"/>
        </w:rPr>
      </w:pPr>
    </w:p>
    <w:p>
      <w:pPr>
        <w:ind w:left="660" w:hanging="328"/>
        <w:spacing w:after="0" w:line="229" w:lineRule="auto"/>
        <w:tabs>
          <w:tab w:leader="none" w:pos="655" w:val="left"/>
        </w:tabs>
        <w:numPr>
          <w:ilvl w:val="0"/>
          <w:numId w:val="14"/>
        </w:numPr>
        <w:rPr>
          <w:rFonts w:ascii="Times New Roman" w:cs="Times New Roman" w:eastAsia="Times New Roman" w:hAnsi="Times New Roman"/>
          <w:sz w:val="22"/>
          <w:szCs w:val="22"/>
          <w:color w:val="auto"/>
        </w:rPr>
      </w:pPr>
      <w:r>
        <w:rPr>
          <w:rFonts w:ascii="Calibri" w:cs="Calibri" w:eastAsia="Calibri" w:hAnsi="Calibri"/>
          <w:sz w:val="22"/>
          <w:szCs w:val="22"/>
          <w:color w:val="auto"/>
        </w:rPr>
        <w:t>by Internet at www.proxyvote.com, 24 hours a day, 7 days a week, untl 11:59pm, Eastern Time, on May 30, 2024 (have your Notce of Internet Availability or proxy card in hand when you visit the website);</w:t>
      </w:r>
    </w:p>
    <w:p>
      <w:pPr>
        <w:spacing w:after="0" w:line="243" w:lineRule="exact"/>
        <w:rPr>
          <w:rFonts w:ascii="Times New Roman" w:cs="Times New Roman" w:eastAsia="Times New Roman" w:hAnsi="Times New Roman"/>
          <w:sz w:val="22"/>
          <w:szCs w:val="22"/>
          <w:color w:val="auto"/>
        </w:rPr>
      </w:pPr>
    </w:p>
    <w:p>
      <w:pPr>
        <w:ind w:left="660" w:right="20" w:hanging="328"/>
        <w:spacing w:after="0" w:line="229" w:lineRule="auto"/>
        <w:tabs>
          <w:tab w:leader="none" w:pos="655" w:val="left"/>
        </w:tabs>
        <w:numPr>
          <w:ilvl w:val="0"/>
          <w:numId w:val="14"/>
        </w:numPr>
        <w:rPr>
          <w:rFonts w:ascii="Times New Roman" w:cs="Times New Roman" w:eastAsia="Times New Roman" w:hAnsi="Times New Roman"/>
          <w:sz w:val="22"/>
          <w:szCs w:val="22"/>
          <w:color w:val="auto"/>
        </w:rPr>
      </w:pPr>
      <w:r>
        <w:rPr>
          <w:rFonts w:ascii="Calibri" w:cs="Calibri" w:eastAsia="Calibri" w:hAnsi="Calibri"/>
          <w:sz w:val="22"/>
          <w:szCs w:val="22"/>
          <w:color w:val="auto"/>
        </w:rPr>
        <w:t>by toll-free telephone at 1-800-690-6903, 24 hours a day, 7 days a week, untl 11:59pm, Eastern Time, on May 30, 2024 (have your Notce of Internet Availability or proxy card in hand when you call);</w:t>
      </w:r>
    </w:p>
    <w:p>
      <w:pPr>
        <w:spacing w:after="0" w:line="257" w:lineRule="exact"/>
        <w:rPr>
          <w:rFonts w:ascii="Times New Roman" w:cs="Times New Roman" w:eastAsia="Times New Roman" w:hAnsi="Times New Roman"/>
          <w:sz w:val="22"/>
          <w:szCs w:val="22"/>
          <w:color w:val="auto"/>
        </w:rPr>
      </w:pPr>
    </w:p>
    <w:p>
      <w:pPr>
        <w:ind w:left="660" w:hanging="328"/>
        <w:spacing w:after="0" w:line="229" w:lineRule="auto"/>
        <w:tabs>
          <w:tab w:leader="none" w:pos="655" w:val="left"/>
        </w:tabs>
        <w:numPr>
          <w:ilvl w:val="0"/>
          <w:numId w:val="14"/>
        </w:numPr>
        <w:rPr>
          <w:rFonts w:ascii="Times New Roman" w:cs="Times New Roman" w:eastAsia="Times New Roman" w:hAnsi="Times New Roman"/>
          <w:sz w:val="22"/>
          <w:szCs w:val="22"/>
          <w:color w:val="auto"/>
        </w:rPr>
      </w:pPr>
      <w:r>
        <w:rPr>
          <w:rFonts w:ascii="Calibri" w:cs="Calibri" w:eastAsia="Calibri" w:hAnsi="Calibri"/>
          <w:sz w:val="22"/>
          <w:szCs w:val="22"/>
          <w:color w:val="auto"/>
        </w:rPr>
        <w:t>by completng, signing and mailing your proxy card (if you received printed proxy materials), which must be received prior to the annual meetng; or</w:t>
      </w:r>
    </w:p>
    <w:p>
      <w:pPr>
        <w:spacing w:after="0" w:line="243" w:lineRule="exact"/>
        <w:rPr>
          <w:rFonts w:ascii="Times New Roman" w:cs="Times New Roman" w:eastAsia="Times New Roman" w:hAnsi="Times New Roman"/>
          <w:sz w:val="22"/>
          <w:szCs w:val="22"/>
          <w:color w:val="auto"/>
        </w:rPr>
      </w:pPr>
    </w:p>
    <w:p>
      <w:pPr>
        <w:ind w:left="660" w:hanging="328"/>
        <w:spacing w:after="0" w:line="229" w:lineRule="auto"/>
        <w:tabs>
          <w:tab w:leader="none" w:pos="655" w:val="left"/>
        </w:tabs>
        <w:numPr>
          <w:ilvl w:val="0"/>
          <w:numId w:val="14"/>
        </w:numPr>
        <w:rPr>
          <w:rFonts w:ascii="Times New Roman" w:cs="Times New Roman" w:eastAsia="Times New Roman" w:hAnsi="Times New Roman"/>
          <w:sz w:val="22"/>
          <w:szCs w:val="22"/>
          <w:color w:val="auto"/>
        </w:rPr>
      </w:pPr>
      <w:r>
        <w:rPr>
          <w:rFonts w:ascii="Calibri" w:cs="Calibri" w:eastAsia="Calibri" w:hAnsi="Calibri"/>
          <w:sz w:val="22"/>
          <w:szCs w:val="22"/>
          <w:color w:val="auto"/>
        </w:rPr>
        <w:t>by atending the meetng virtually by visitng www.virtualshareholdermeetng.com/BKKT2024, where you may vote during the meetng (have your Notce of Internet Availability or proxy card in hand when you visit the website).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2800"/>
        <w:spacing w:after="0"/>
        <w:tabs>
          <w:tab w:leader="none" w:pos="7120" w:val="left"/>
          <w:tab w:leader="none" w:pos="8340" w:val="left"/>
        </w:tabs>
        <w:rPr>
          <w:sz w:val="20"/>
          <w:szCs w:val="20"/>
          <w:color w:val="auto"/>
        </w:rPr>
      </w:pPr>
      <w:r>
        <w:rPr>
          <w:rFonts w:ascii="Calibri" w:cs="Calibri" w:eastAsia="Calibri" w:hAnsi="Calibri"/>
          <w:sz w:val="16"/>
          <w:szCs w:val="16"/>
          <w:color w:val="auto"/>
        </w:rPr>
        <w:t>Alphareta, GA | New York, NY | Belfast, United Kingdom</w:t>
      </w:r>
      <w:r>
        <w:rPr>
          <w:sz w:val="20"/>
          <w:szCs w:val="20"/>
          <w:color w:val="auto"/>
        </w:rPr>
        <w:tab/>
      </w:r>
      <w:r>
        <w:rPr>
          <w:rFonts w:ascii="Calibri" w:cs="Calibri" w:eastAsia="Calibri" w:hAnsi="Calibri"/>
          <w:sz w:val="16"/>
          <w:szCs w:val="16"/>
          <w:color w:val="auto"/>
        </w:rPr>
        <w:t>www.bakkt.com</w:t>
      </w:r>
      <w:r>
        <w:rPr>
          <w:sz w:val="20"/>
          <w:szCs w:val="20"/>
          <w:color w:val="auto"/>
        </w:rPr>
        <w:tab/>
      </w:r>
      <w:r>
        <w:rPr>
          <w:rFonts w:ascii="Calibri" w:cs="Calibri" w:eastAsia="Calibri" w:hAnsi="Calibri"/>
          <w:sz w:val="18"/>
          <w:szCs w:val="18"/>
          <w:color w:val="auto"/>
        </w:rPr>
        <w:t>8</w:t>
      </w:r>
    </w:p>
    <w:p>
      <w:pPr>
        <w:sectPr>
          <w:pgSz w:w="11900" w:h="16838" w:orient="portrait"/>
          <w:cols w:equalWidth="0" w:num="1">
            <w:col w:w="11240"/>
          </w:cols>
          <w:pgMar w:left="320" w:top="1440" w:right="339" w:bottom="1440" w:gutter="0" w:footer="0" w:header="0"/>
        </w:sectPr>
      </w:pPr>
    </w:p>
    <w:bookmarkStart w:id="14" w:name="page15"/>
    <w:bookmarkEnd w:id="14"/>
    <w:p>
      <w:pPr>
        <w:spacing w:after="0" w:line="184" w:lineRule="exact"/>
        <w:rPr>
          <w:sz w:val="20"/>
          <w:szCs w:val="20"/>
          <w:color w:val="auto"/>
        </w:rPr>
      </w:pPr>
    </w:p>
    <w:p>
      <w:pPr>
        <w:jc w:val="both"/>
        <w:spacing w:after="0" w:line="231" w:lineRule="auto"/>
        <w:rPr>
          <w:sz w:val="20"/>
          <w:szCs w:val="20"/>
          <w:color w:val="auto"/>
        </w:rPr>
      </w:pPr>
      <w:r>
        <w:rPr>
          <w:rFonts w:ascii="Calibri" w:cs="Calibri" w:eastAsia="Calibri" w:hAnsi="Calibri"/>
          <w:sz w:val="22"/>
          <w:szCs w:val="22"/>
          <w:i w:val="1"/>
          <w:iCs w:val="1"/>
          <w:color w:val="auto"/>
        </w:rPr>
        <w:t>Street Name Stockholders</w:t>
      </w:r>
      <w:r>
        <w:rPr>
          <w:rFonts w:ascii="Calibri" w:cs="Calibri" w:eastAsia="Calibri" w:hAnsi="Calibri"/>
          <w:sz w:val="22"/>
          <w:szCs w:val="22"/>
          <w:color w:val="auto"/>
        </w:rPr>
        <w:t>. If you are a street name stockholder, then you will receive votng instructons from your broker, bank</w:t>
      </w:r>
      <w:r>
        <w:rPr>
          <w:rFonts w:ascii="Calibri" w:cs="Calibri" w:eastAsia="Calibri" w:hAnsi="Calibri"/>
          <w:sz w:val="22"/>
          <w:szCs w:val="22"/>
          <w:i w:val="1"/>
          <w:iCs w:val="1"/>
          <w:color w:val="auto"/>
        </w:rPr>
        <w:t xml:space="preserve"> </w:t>
      </w:r>
      <w:r>
        <w:rPr>
          <w:rFonts w:ascii="Calibri" w:cs="Calibri" w:eastAsia="Calibri" w:hAnsi="Calibri"/>
          <w:sz w:val="22"/>
          <w:szCs w:val="22"/>
          <w:color w:val="auto"/>
        </w:rPr>
        <w:t>or other nominee. The availability of Internet and telephone votng optons will depend on the votng process of your broker, bank or other nominee. We therefore recommend that you follow the votng instructons in the materials you receive. If your votng instructon form or Notce of Internet Availability indicates that you may vote your shares through the proxyvote.com website, then you may vote those shares at the annual meetng with the control number indicated on that votng instructon form or Notce of Internet Availability. Otherwise, you may not vote your shares at the annual meetng unless you obtain a legal proxy from your broker, bank or other nominee.</w:t>
      </w:r>
    </w:p>
    <w:p>
      <w:pPr>
        <w:spacing w:after="0" w:line="205" w:lineRule="exact"/>
        <w:rPr>
          <w:sz w:val="20"/>
          <w:szCs w:val="20"/>
          <w:color w:val="auto"/>
        </w:rPr>
      </w:pPr>
    </w:p>
    <w:p>
      <w:pPr>
        <w:spacing w:after="0"/>
        <w:rPr>
          <w:sz w:val="20"/>
          <w:szCs w:val="20"/>
          <w:color w:val="auto"/>
        </w:rPr>
      </w:pPr>
      <w:r>
        <w:rPr>
          <w:rFonts w:ascii="Calibri" w:cs="Calibri" w:eastAsia="Calibri" w:hAnsi="Calibri"/>
          <w:sz w:val="22"/>
          <w:szCs w:val="22"/>
          <w:b w:val="1"/>
          <w:bCs w:val="1"/>
          <w:color w:val="auto"/>
        </w:rPr>
        <w:t>How can I get help if I have trouble checking in or listening to the annual meetng online?</w:t>
      </w:r>
    </w:p>
    <w:p>
      <w:pPr>
        <w:spacing w:after="0" w:line="228" w:lineRule="exact"/>
        <w:rPr>
          <w:sz w:val="20"/>
          <w:szCs w:val="20"/>
          <w:color w:val="auto"/>
        </w:rPr>
      </w:pPr>
    </w:p>
    <w:p>
      <w:pPr>
        <w:jc w:val="both"/>
        <w:spacing w:after="0" w:line="229" w:lineRule="auto"/>
        <w:rPr>
          <w:sz w:val="20"/>
          <w:szCs w:val="20"/>
          <w:color w:val="auto"/>
        </w:rPr>
      </w:pPr>
      <w:r>
        <w:rPr>
          <w:rFonts w:ascii="Calibri" w:cs="Calibri" w:eastAsia="Calibri" w:hAnsi="Calibri"/>
          <w:sz w:val="22"/>
          <w:szCs w:val="22"/>
          <w:color w:val="auto"/>
        </w:rPr>
        <w:t>If you encounter difcultes accessing the virtual meetng during the check-in or meetng tme, please call the technical support number that will be posted on the virtual meetng log-in page.</w:t>
      </w:r>
    </w:p>
    <w:p>
      <w:pPr>
        <w:spacing w:after="0" w:line="217" w:lineRule="exact"/>
        <w:rPr>
          <w:sz w:val="20"/>
          <w:szCs w:val="20"/>
          <w:color w:val="auto"/>
        </w:rPr>
      </w:pPr>
    </w:p>
    <w:p>
      <w:pPr>
        <w:jc w:val="both"/>
        <w:spacing w:after="0" w:line="229" w:lineRule="auto"/>
        <w:rPr>
          <w:sz w:val="20"/>
          <w:szCs w:val="20"/>
          <w:color w:val="auto"/>
        </w:rPr>
      </w:pPr>
      <w:r>
        <w:rPr>
          <w:rFonts w:ascii="Calibri" w:cs="Calibri" w:eastAsia="Calibri" w:hAnsi="Calibri"/>
          <w:sz w:val="22"/>
          <w:szCs w:val="22"/>
          <w:b w:val="1"/>
          <w:bCs w:val="1"/>
          <w:color w:val="auto"/>
        </w:rPr>
        <w:t>What if I do not specify how my shares are to be voted or fail to provide tmely directons to my broker, bank or other nominee?</w:t>
      </w:r>
    </w:p>
    <w:p>
      <w:pPr>
        <w:spacing w:after="0" w:line="217" w:lineRule="exact"/>
        <w:rPr>
          <w:sz w:val="20"/>
          <w:szCs w:val="20"/>
          <w:color w:val="auto"/>
        </w:rPr>
      </w:pPr>
    </w:p>
    <w:p>
      <w:pPr>
        <w:jc w:val="both"/>
        <w:spacing w:after="0" w:line="229" w:lineRule="auto"/>
        <w:rPr>
          <w:sz w:val="20"/>
          <w:szCs w:val="20"/>
          <w:color w:val="auto"/>
        </w:rPr>
      </w:pPr>
      <w:r>
        <w:rPr>
          <w:rFonts w:ascii="Calibri" w:cs="Calibri" w:eastAsia="Calibri" w:hAnsi="Calibri"/>
          <w:sz w:val="22"/>
          <w:szCs w:val="22"/>
          <w:i w:val="1"/>
          <w:iCs w:val="1"/>
          <w:color w:val="auto"/>
        </w:rPr>
        <w:t>Stockholder of Record</w:t>
      </w:r>
      <w:r>
        <w:rPr>
          <w:rFonts w:ascii="Calibri" w:cs="Calibri" w:eastAsia="Calibri" w:hAnsi="Calibri"/>
          <w:sz w:val="22"/>
          <w:szCs w:val="22"/>
          <w:color w:val="auto"/>
        </w:rPr>
        <w:t>. If you are a stockholder of record and you submit a proxy, but you do not provide votng instructons,</w:t>
      </w:r>
      <w:r>
        <w:rPr>
          <w:rFonts w:ascii="Calibri" w:cs="Calibri" w:eastAsia="Calibri" w:hAnsi="Calibri"/>
          <w:sz w:val="22"/>
          <w:szCs w:val="22"/>
          <w:i w:val="1"/>
          <w:iCs w:val="1"/>
          <w:color w:val="auto"/>
        </w:rPr>
        <w:t xml:space="preserve"> </w:t>
      </w:r>
      <w:r>
        <w:rPr>
          <w:rFonts w:ascii="Calibri" w:cs="Calibri" w:eastAsia="Calibri" w:hAnsi="Calibri"/>
          <w:sz w:val="22"/>
          <w:szCs w:val="22"/>
          <w:color w:val="auto"/>
        </w:rPr>
        <w:t>your shares will be voted:</w:t>
      </w:r>
    </w:p>
    <w:p>
      <w:pPr>
        <w:spacing w:after="0" w:line="136" w:lineRule="exact"/>
        <w:rPr>
          <w:sz w:val="20"/>
          <w:szCs w:val="20"/>
          <w:color w:val="auto"/>
        </w:rPr>
      </w:pPr>
    </w:p>
    <w:p>
      <w:pPr>
        <w:ind w:left="660" w:hanging="328"/>
        <w:spacing w:after="0"/>
        <w:tabs>
          <w:tab w:leader="none" w:pos="660" w:val="left"/>
        </w:tabs>
        <w:numPr>
          <w:ilvl w:val="0"/>
          <w:numId w:val="15"/>
        </w:numPr>
        <w:rPr>
          <w:rFonts w:ascii="Times New Roman" w:cs="Times New Roman" w:eastAsia="Times New Roman" w:hAnsi="Times New Roman"/>
          <w:sz w:val="22"/>
          <w:szCs w:val="22"/>
          <w:color w:val="auto"/>
        </w:rPr>
      </w:pPr>
      <w:r>
        <w:rPr>
          <w:rFonts w:ascii="Calibri" w:cs="Calibri" w:eastAsia="Calibri" w:hAnsi="Calibri"/>
          <w:sz w:val="22"/>
          <w:szCs w:val="22"/>
          <w:color w:val="auto"/>
        </w:rPr>
        <w:t>“FOR” the electon of Sean Collins, Richard Lumb and Andrew Main as Class III directors;</w:t>
      </w:r>
    </w:p>
    <w:p>
      <w:pPr>
        <w:spacing w:after="0" w:line="135" w:lineRule="exact"/>
        <w:rPr>
          <w:rFonts w:ascii="Times New Roman" w:cs="Times New Roman" w:eastAsia="Times New Roman" w:hAnsi="Times New Roman"/>
          <w:sz w:val="22"/>
          <w:szCs w:val="22"/>
          <w:color w:val="auto"/>
        </w:rPr>
      </w:pPr>
    </w:p>
    <w:p>
      <w:pPr>
        <w:jc w:val="both"/>
        <w:ind w:left="660" w:hanging="328"/>
        <w:spacing w:after="0" w:line="229" w:lineRule="auto"/>
        <w:tabs>
          <w:tab w:leader="none" w:pos="655" w:val="left"/>
        </w:tabs>
        <w:numPr>
          <w:ilvl w:val="0"/>
          <w:numId w:val="15"/>
        </w:numPr>
        <w:rPr>
          <w:rFonts w:ascii="Times New Roman" w:cs="Times New Roman" w:eastAsia="Times New Roman" w:hAnsi="Times New Roman"/>
          <w:sz w:val="22"/>
          <w:szCs w:val="22"/>
          <w:color w:val="auto"/>
        </w:rPr>
      </w:pPr>
      <w:r>
        <w:rPr>
          <w:rFonts w:ascii="Calibri" w:cs="Calibri" w:eastAsia="Calibri" w:hAnsi="Calibri"/>
          <w:sz w:val="22"/>
          <w:szCs w:val="22"/>
          <w:color w:val="auto"/>
        </w:rPr>
        <w:t>“FOR” the approval of an amendment to the 2021 Omnibus Incentve Plan to increase the number of shares of Class A Common Stock issuable thereunder to 75,873,051 shares (which number will be correspondingly adjusted to the extent the Proposed Reverse Stock Split is efected prior to the annual meetng); and</w:t>
      </w:r>
    </w:p>
    <w:p>
      <w:pPr>
        <w:spacing w:after="0" w:line="125" w:lineRule="exact"/>
        <w:rPr>
          <w:rFonts w:ascii="Times New Roman" w:cs="Times New Roman" w:eastAsia="Times New Roman" w:hAnsi="Times New Roman"/>
          <w:sz w:val="22"/>
          <w:szCs w:val="22"/>
          <w:color w:val="auto"/>
        </w:rPr>
      </w:pPr>
    </w:p>
    <w:p>
      <w:pPr>
        <w:ind w:left="660" w:hanging="328"/>
        <w:spacing w:after="0"/>
        <w:tabs>
          <w:tab w:leader="none" w:pos="660" w:val="left"/>
        </w:tabs>
        <w:numPr>
          <w:ilvl w:val="0"/>
          <w:numId w:val="15"/>
        </w:numPr>
        <w:rPr>
          <w:rFonts w:ascii="Times New Roman" w:cs="Times New Roman" w:eastAsia="Times New Roman" w:hAnsi="Times New Roman"/>
          <w:sz w:val="22"/>
          <w:szCs w:val="22"/>
          <w:color w:val="auto"/>
        </w:rPr>
      </w:pPr>
      <w:r>
        <w:rPr>
          <w:rFonts w:ascii="Calibri" w:cs="Calibri" w:eastAsia="Calibri" w:hAnsi="Calibri"/>
          <w:sz w:val="22"/>
          <w:szCs w:val="22"/>
          <w:color w:val="auto"/>
        </w:rPr>
        <w:t>“AGAINST” the shareholder proposal of simple majority vote standard.</w:t>
      </w:r>
    </w:p>
    <w:p>
      <w:pPr>
        <w:spacing w:after="0" w:line="228" w:lineRule="exact"/>
        <w:rPr>
          <w:sz w:val="20"/>
          <w:szCs w:val="20"/>
          <w:color w:val="auto"/>
        </w:rPr>
      </w:pPr>
    </w:p>
    <w:p>
      <w:pPr>
        <w:jc w:val="both"/>
        <w:spacing w:after="0" w:line="229" w:lineRule="auto"/>
        <w:rPr>
          <w:sz w:val="20"/>
          <w:szCs w:val="20"/>
          <w:color w:val="auto"/>
        </w:rPr>
      </w:pPr>
      <w:r>
        <w:rPr>
          <w:rFonts w:ascii="Calibri" w:cs="Calibri" w:eastAsia="Calibri" w:hAnsi="Calibri"/>
          <w:sz w:val="22"/>
          <w:szCs w:val="22"/>
          <w:color w:val="auto"/>
        </w:rPr>
        <w:t>In additon, if any other maters are properly brought before the annual meetng, the persons named as proxies will be authorized to vote or otherwise act on those maters in accordance with their judgment.</w:t>
      </w:r>
    </w:p>
    <w:p>
      <w:pPr>
        <w:spacing w:after="0" w:line="217" w:lineRule="exact"/>
        <w:rPr>
          <w:sz w:val="20"/>
          <w:szCs w:val="20"/>
          <w:color w:val="auto"/>
        </w:rPr>
      </w:pPr>
    </w:p>
    <w:p>
      <w:pPr>
        <w:jc w:val="both"/>
        <w:spacing w:after="0" w:line="231" w:lineRule="auto"/>
        <w:rPr>
          <w:sz w:val="20"/>
          <w:szCs w:val="20"/>
          <w:color w:val="auto"/>
        </w:rPr>
      </w:pPr>
      <w:r>
        <w:rPr>
          <w:rFonts w:ascii="Calibri" w:cs="Calibri" w:eastAsia="Calibri" w:hAnsi="Calibri"/>
          <w:sz w:val="22"/>
          <w:szCs w:val="22"/>
          <w:i w:val="1"/>
          <w:iCs w:val="1"/>
          <w:color w:val="auto"/>
        </w:rPr>
        <w:t>Street Name Stockholders</w:t>
      </w:r>
      <w:r>
        <w:rPr>
          <w:rFonts w:ascii="Calibri" w:cs="Calibri" w:eastAsia="Calibri" w:hAnsi="Calibri"/>
          <w:sz w:val="22"/>
          <w:szCs w:val="22"/>
          <w:color w:val="auto"/>
        </w:rPr>
        <w:t>. Brokers, banks and other nominees holding shares of common stock in street name for customers</w:t>
      </w:r>
      <w:r>
        <w:rPr>
          <w:rFonts w:ascii="Calibri" w:cs="Calibri" w:eastAsia="Calibri" w:hAnsi="Calibri"/>
          <w:sz w:val="22"/>
          <w:szCs w:val="22"/>
          <w:i w:val="1"/>
          <w:iCs w:val="1"/>
          <w:color w:val="auto"/>
        </w:rPr>
        <w:t xml:space="preserve"> </w:t>
      </w:r>
      <w:r>
        <w:rPr>
          <w:rFonts w:ascii="Calibri" w:cs="Calibri" w:eastAsia="Calibri" w:hAnsi="Calibri"/>
          <w:sz w:val="22"/>
          <w:szCs w:val="22"/>
          <w:color w:val="auto"/>
        </w:rPr>
        <w:t>are generally required to vote such shares in the manner directed by their customers. Your broker, bank or other nominee will not have discreton to vote on any proposals at the annual meetng absent directon from you, given none of the proposals being considered at the annual meetng are routne. If you own shares through a nominee, such as a broker or bank, please be sure to instruct your nominee how to vote to ensure that your shares are counted on each of the proposals.</w:t>
      </w:r>
    </w:p>
    <w:p>
      <w:pPr>
        <w:spacing w:after="0" w:line="209" w:lineRule="exact"/>
        <w:rPr>
          <w:sz w:val="20"/>
          <w:szCs w:val="20"/>
          <w:color w:val="auto"/>
        </w:rPr>
      </w:pPr>
    </w:p>
    <w:p>
      <w:pPr>
        <w:spacing w:after="0"/>
        <w:rPr>
          <w:sz w:val="20"/>
          <w:szCs w:val="20"/>
          <w:color w:val="auto"/>
        </w:rPr>
      </w:pPr>
      <w:r>
        <w:rPr>
          <w:rFonts w:ascii="Calibri" w:cs="Calibri" w:eastAsia="Calibri" w:hAnsi="Calibri"/>
          <w:sz w:val="22"/>
          <w:szCs w:val="22"/>
          <w:b w:val="1"/>
          <w:bCs w:val="1"/>
          <w:color w:val="auto"/>
        </w:rPr>
        <w:t>Can I change my vote or revoke my proxy?</w:t>
      </w:r>
    </w:p>
    <w:p>
      <w:pPr>
        <w:spacing w:after="0" w:line="215" w:lineRule="exact"/>
        <w:rPr>
          <w:sz w:val="20"/>
          <w:szCs w:val="20"/>
          <w:color w:val="auto"/>
        </w:rPr>
      </w:pPr>
    </w:p>
    <w:p>
      <w:pPr>
        <w:jc w:val="both"/>
        <w:spacing w:after="0" w:line="229" w:lineRule="auto"/>
        <w:rPr>
          <w:sz w:val="20"/>
          <w:szCs w:val="20"/>
          <w:color w:val="auto"/>
        </w:rPr>
      </w:pPr>
      <w:r>
        <w:rPr>
          <w:rFonts w:ascii="Calibri" w:cs="Calibri" w:eastAsia="Calibri" w:hAnsi="Calibri"/>
          <w:sz w:val="22"/>
          <w:szCs w:val="22"/>
          <w:i w:val="1"/>
          <w:iCs w:val="1"/>
          <w:color w:val="auto"/>
        </w:rPr>
        <w:t>Stockholder of Record</w:t>
      </w:r>
      <w:r>
        <w:rPr>
          <w:rFonts w:ascii="Calibri" w:cs="Calibri" w:eastAsia="Calibri" w:hAnsi="Calibri"/>
          <w:sz w:val="22"/>
          <w:szCs w:val="22"/>
          <w:color w:val="auto"/>
        </w:rPr>
        <w:t>. If you are a stockholder of record, you can change your vote or revoke your proxy before the annual</w:t>
      </w:r>
      <w:r>
        <w:rPr>
          <w:rFonts w:ascii="Calibri" w:cs="Calibri" w:eastAsia="Calibri" w:hAnsi="Calibri"/>
          <w:sz w:val="22"/>
          <w:szCs w:val="22"/>
          <w:i w:val="1"/>
          <w:iCs w:val="1"/>
          <w:color w:val="auto"/>
        </w:rPr>
        <w:t xml:space="preserve"> </w:t>
      </w:r>
      <w:r>
        <w:rPr>
          <w:rFonts w:ascii="Calibri" w:cs="Calibri" w:eastAsia="Calibri" w:hAnsi="Calibri"/>
          <w:sz w:val="22"/>
          <w:szCs w:val="22"/>
          <w:color w:val="auto"/>
        </w:rPr>
        <w:t>meetng by: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2800"/>
        <w:spacing w:after="0"/>
        <w:tabs>
          <w:tab w:leader="none" w:pos="7120" w:val="left"/>
          <w:tab w:leader="none" w:pos="8340" w:val="left"/>
        </w:tabs>
        <w:rPr>
          <w:sz w:val="20"/>
          <w:szCs w:val="20"/>
          <w:color w:val="auto"/>
        </w:rPr>
      </w:pPr>
      <w:r>
        <w:rPr>
          <w:rFonts w:ascii="Calibri" w:cs="Calibri" w:eastAsia="Calibri" w:hAnsi="Calibri"/>
          <w:sz w:val="16"/>
          <w:szCs w:val="16"/>
          <w:color w:val="auto"/>
        </w:rPr>
        <w:t>Alphareta, GA | New York, NY | Belfast, United Kingdom</w:t>
      </w:r>
      <w:r>
        <w:rPr>
          <w:sz w:val="20"/>
          <w:szCs w:val="20"/>
          <w:color w:val="auto"/>
        </w:rPr>
        <w:tab/>
      </w:r>
      <w:r>
        <w:rPr>
          <w:rFonts w:ascii="Calibri" w:cs="Calibri" w:eastAsia="Calibri" w:hAnsi="Calibri"/>
          <w:sz w:val="16"/>
          <w:szCs w:val="16"/>
          <w:color w:val="auto"/>
        </w:rPr>
        <w:t>www.bakkt.com</w:t>
      </w:r>
      <w:r>
        <w:rPr>
          <w:sz w:val="20"/>
          <w:szCs w:val="20"/>
          <w:color w:val="auto"/>
        </w:rPr>
        <w:tab/>
      </w:r>
      <w:r>
        <w:rPr>
          <w:rFonts w:ascii="Calibri" w:cs="Calibri" w:eastAsia="Calibri" w:hAnsi="Calibri"/>
          <w:sz w:val="18"/>
          <w:szCs w:val="18"/>
          <w:color w:val="auto"/>
        </w:rPr>
        <w:t>9</w:t>
      </w:r>
    </w:p>
    <w:p>
      <w:pPr>
        <w:sectPr>
          <w:pgSz w:w="11900" w:h="16838" w:orient="portrait"/>
          <w:cols w:equalWidth="0" w:num="1">
            <w:col w:w="11240"/>
          </w:cols>
          <w:pgMar w:left="320" w:top="1440" w:right="339" w:bottom="1440" w:gutter="0" w:footer="0" w:header="0"/>
        </w:sectPr>
      </w:pPr>
    </w:p>
    <w:bookmarkStart w:id="15" w:name="page16"/>
    <w:bookmarkEnd w:id="15"/>
    <w:p>
      <w:pPr>
        <w:spacing w:after="0" w:line="92" w:lineRule="exact"/>
        <w:rPr>
          <w:sz w:val="20"/>
          <w:szCs w:val="20"/>
          <w:color w:val="auto"/>
        </w:rPr>
      </w:pPr>
    </w:p>
    <w:p>
      <w:pPr>
        <w:ind w:left="660" w:hanging="328"/>
        <w:spacing w:after="0"/>
        <w:tabs>
          <w:tab w:leader="none" w:pos="660" w:val="left"/>
        </w:tabs>
        <w:numPr>
          <w:ilvl w:val="0"/>
          <w:numId w:val="16"/>
        </w:numPr>
        <w:rPr>
          <w:rFonts w:ascii="Times New Roman" w:cs="Times New Roman" w:eastAsia="Times New Roman" w:hAnsi="Times New Roman"/>
          <w:sz w:val="22"/>
          <w:szCs w:val="22"/>
          <w:color w:val="auto"/>
        </w:rPr>
      </w:pPr>
      <w:r>
        <w:rPr>
          <w:rFonts w:ascii="Calibri" w:cs="Calibri" w:eastAsia="Calibri" w:hAnsi="Calibri"/>
          <w:sz w:val="22"/>
          <w:szCs w:val="22"/>
          <w:color w:val="auto"/>
        </w:rPr>
        <w:t>entering a new vote by Internet or telephone (subject to the applicable deadlines for each method as set forth above);</w:t>
      </w:r>
    </w:p>
    <w:p>
      <w:pPr>
        <w:spacing w:after="0" w:line="122" w:lineRule="exact"/>
        <w:rPr>
          <w:rFonts w:ascii="Times New Roman" w:cs="Times New Roman" w:eastAsia="Times New Roman" w:hAnsi="Times New Roman"/>
          <w:sz w:val="22"/>
          <w:szCs w:val="22"/>
          <w:color w:val="auto"/>
        </w:rPr>
      </w:pPr>
    </w:p>
    <w:p>
      <w:pPr>
        <w:ind w:left="660" w:hanging="328"/>
        <w:spacing w:after="0"/>
        <w:tabs>
          <w:tab w:leader="none" w:pos="660" w:val="left"/>
        </w:tabs>
        <w:numPr>
          <w:ilvl w:val="0"/>
          <w:numId w:val="16"/>
        </w:numPr>
        <w:rPr>
          <w:rFonts w:ascii="Times New Roman" w:cs="Times New Roman" w:eastAsia="Times New Roman" w:hAnsi="Times New Roman"/>
          <w:sz w:val="22"/>
          <w:szCs w:val="22"/>
          <w:color w:val="auto"/>
        </w:rPr>
      </w:pPr>
      <w:r>
        <w:rPr>
          <w:rFonts w:ascii="Calibri" w:cs="Calibri" w:eastAsia="Calibri" w:hAnsi="Calibri"/>
          <w:sz w:val="22"/>
          <w:szCs w:val="22"/>
          <w:color w:val="auto"/>
        </w:rPr>
        <w:t>completng and returning a later-dated proxy card, which must be received prior to the annual meetng;</w:t>
      </w:r>
    </w:p>
    <w:p>
      <w:pPr>
        <w:spacing w:after="0" w:line="133" w:lineRule="exact"/>
        <w:rPr>
          <w:rFonts w:ascii="Times New Roman" w:cs="Times New Roman" w:eastAsia="Times New Roman" w:hAnsi="Times New Roman"/>
          <w:sz w:val="22"/>
          <w:szCs w:val="22"/>
          <w:color w:val="auto"/>
        </w:rPr>
      </w:pPr>
    </w:p>
    <w:p>
      <w:pPr>
        <w:jc w:val="both"/>
        <w:ind w:left="660" w:hanging="328"/>
        <w:spacing w:after="0" w:line="233" w:lineRule="auto"/>
        <w:tabs>
          <w:tab w:leader="none" w:pos="655" w:val="left"/>
        </w:tabs>
        <w:numPr>
          <w:ilvl w:val="0"/>
          <w:numId w:val="16"/>
        </w:numPr>
        <w:rPr>
          <w:rFonts w:ascii="Times New Roman" w:cs="Times New Roman" w:eastAsia="Times New Roman" w:hAnsi="Times New Roman"/>
          <w:sz w:val="22"/>
          <w:szCs w:val="22"/>
          <w:color w:val="auto"/>
        </w:rPr>
      </w:pPr>
      <w:r>
        <w:rPr>
          <w:rFonts w:ascii="Calibri" w:cs="Calibri" w:eastAsia="Calibri" w:hAnsi="Calibri"/>
          <w:sz w:val="22"/>
          <w:szCs w:val="22"/>
          <w:color w:val="auto"/>
        </w:rPr>
        <w:t>delivering a writen notce of revocaton to our corporate secretary at Bakkt Holdings, Inc., 10000 Avalon Boulevard, Suite 1000, Alphareta, Georgia 30009, Atenton: Corporate Secretary, which must be received prior to the annual meetng; or</w:t>
      </w:r>
    </w:p>
    <w:p>
      <w:pPr>
        <w:spacing w:after="0" w:line="135" w:lineRule="exact"/>
        <w:rPr>
          <w:rFonts w:ascii="Times New Roman" w:cs="Times New Roman" w:eastAsia="Times New Roman" w:hAnsi="Times New Roman"/>
          <w:sz w:val="22"/>
          <w:szCs w:val="22"/>
          <w:color w:val="auto"/>
        </w:rPr>
      </w:pPr>
    </w:p>
    <w:p>
      <w:pPr>
        <w:ind w:left="660" w:hanging="328"/>
        <w:spacing w:after="0" w:line="229" w:lineRule="auto"/>
        <w:tabs>
          <w:tab w:leader="none" w:pos="655" w:val="left"/>
        </w:tabs>
        <w:numPr>
          <w:ilvl w:val="0"/>
          <w:numId w:val="16"/>
        </w:numPr>
        <w:rPr>
          <w:rFonts w:ascii="Times New Roman" w:cs="Times New Roman" w:eastAsia="Times New Roman" w:hAnsi="Times New Roman"/>
          <w:sz w:val="22"/>
          <w:szCs w:val="22"/>
          <w:color w:val="auto"/>
        </w:rPr>
      </w:pPr>
      <w:r>
        <w:rPr>
          <w:rFonts w:ascii="Calibri" w:cs="Calibri" w:eastAsia="Calibri" w:hAnsi="Calibri"/>
          <w:sz w:val="22"/>
          <w:szCs w:val="22"/>
          <w:color w:val="auto"/>
        </w:rPr>
        <w:t>atending and votng at the annual meetng (although atendance at the annual meetng will not, by itself, revoke a proxy).</w:t>
      </w:r>
    </w:p>
    <w:p>
      <w:pPr>
        <w:spacing w:after="0" w:line="217" w:lineRule="exact"/>
        <w:rPr>
          <w:sz w:val="20"/>
          <w:szCs w:val="20"/>
          <w:color w:val="auto"/>
        </w:rPr>
      </w:pPr>
    </w:p>
    <w:p>
      <w:pPr>
        <w:jc w:val="both"/>
        <w:spacing w:after="0" w:line="235" w:lineRule="auto"/>
        <w:rPr>
          <w:sz w:val="20"/>
          <w:szCs w:val="20"/>
          <w:color w:val="auto"/>
        </w:rPr>
      </w:pPr>
      <w:r>
        <w:rPr>
          <w:rFonts w:ascii="Calibri" w:cs="Calibri" w:eastAsia="Calibri" w:hAnsi="Calibri"/>
          <w:sz w:val="22"/>
          <w:szCs w:val="22"/>
          <w:i w:val="1"/>
          <w:iCs w:val="1"/>
          <w:color w:val="auto"/>
        </w:rPr>
        <w:t>Street Name Stockholders</w:t>
      </w:r>
      <w:r>
        <w:rPr>
          <w:rFonts w:ascii="Calibri" w:cs="Calibri" w:eastAsia="Calibri" w:hAnsi="Calibri"/>
          <w:sz w:val="22"/>
          <w:szCs w:val="22"/>
          <w:color w:val="auto"/>
        </w:rPr>
        <w:t>. If you are a street name stockholder, then your broker, bank or other nominee can provide you with</w:t>
      </w:r>
      <w:r>
        <w:rPr>
          <w:rFonts w:ascii="Calibri" w:cs="Calibri" w:eastAsia="Calibri" w:hAnsi="Calibri"/>
          <w:sz w:val="22"/>
          <w:szCs w:val="22"/>
          <w:i w:val="1"/>
          <w:iCs w:val="1"/>
          <w:color w:val="auto"/>
        </w:rPr>
        <w:t xml:space="preserve"> </w:t>
      </w:r>
      <w:r>
        <w:rPr>
          <w:rFonts w:ascii="Calibri" w:cs="Calibri" w:eastAsia="Calibri" w:hAnsi="Calibri"/>
          <w:sz w:val="22"/>
          <w:szCs w:val="22"/>
          <w:color w:val="auto"/>
        </w:rPr>
        <w:t>instructons on how to change or revoke your proxy.</w:t>
      </w:r>
    </w:p>
    <w:p>
      <w:pPr>
        <w:spacing w:after="0" w:line="206" w:lineRule="exact"/>
        <w:rPr>
          <w:sz w:val="20"/>
          <w:szCs w:val="20"/>
          <w:color w:val="auto"/>
        </w:rPr>
      </w:pPr>
    </w:p>
    <w:p>
      <w:pPr>
        <w:spacing w:after="0"/>
        <w:rPr>
          <w:sz w:val="20"/>
          <w:szCs w:val="20"/>
          <w:color w:val="auto"/>
        </w:rPr>
      </w:pPr>
      <w:r>
        <w:rPr>
          <w:rFonts w:ascii="Calibri" w:cs="Calibri" w:eastAsia="Calibri" w:hAnsi="Calibri"/>
          <w:sz w:val="22"/>
          <w:szCs w:val="22"/>
          <w:b w:val="1"/>
          <w:bCs w:val="1"/>
          <w:color w:val="auto"/>
        </w:rPr>
        <w:t>What is the efect of giving a proxy?</w:t>
      </w:r>
    </w:p>
    <w:p>
      <w:pPr>
        <w:spacing w:after="0" w:line="214" w:lineRule="exact"/>
        <w:rPr>
          <w:sz w:val="20"/>
          <w:szCs w:val="20"/>
          <w:color w:val="auto"/>
        </w:rPr>
      </w:pPr>
    </w:p>
    <w:p>
      <w:pPr>
        <w:jc w:val="both"/>
        <w:spacing w:after="0" w:line="230" w:lineRule="auto"/>
        <w:rPr>
          <w:sz w:val="20"/>
          <w:szCs w:val="20"/>
          <w:color w:val="auto"/>
        </w:rPr>
      </w:pPr>
      <w:r>
        <w:rPr>
          <w:rFonts w:ascii="Calibri" w:cs="Calibri" w:eastAsia="Calibri" w:hAnsi="Calibri"/>
          <w:sz w:val="22"/>
          <w:szCs w:val="22"/>
          <w:color w:val="auto"/>
        </w:rPr>
        <w:t>Proxies are solicited by and on behalf of our Board. Andrew Main, our Chief Executve Ofcer and President, Karen Alexander, our Chief Financial Ofcer, and Marc D'Annunzio, our General Counsel and Secretary, and each of them, with full power of substtuton and re-substtuton, have been designated as proxy holders for the annual meetng by our Board. When proxies are properly dated, executed and returned, the shares represented by such proxies will be voted at the annual meetng in accordance with the instructons of the stockholder. If the proxy is dated and signed, but no specifc instructons are given, however, the shares will be voted in accordance with the recommendatons of our Board on the proposals as described above. If any other maters are properly brought before the annual meetng, then the proxy holders will use their own judgment to determine how to vote your shares. If the annual meetng is postponed or adjourned, then the proxy holders can vote your shares on the new meetng date, unless you have properly revoked your proxy, as described above.</w:t>
      </w:r>
    </w:p>
    <w:p>
      <w:pPr>
        <w:spacing w:after="0" w:line="223" w:lineRule="exact"/>
        <w:rPr>
          <w:sz w:val="20"/>
          <w:szCs w:val="20"/>
          <w:color w:val="auto"/>
        </w:rPr>
      </w:pPr>
    </w:p>
    <w:p>
      <w:pPr>
        <w:spacing w:after="0"/>
        <w:rPr>
          <w:sz w:val="20"/>
          <w:szCs w:val="20"/>
          <w:color w:val="auto"/>
        </w:rPr>
      </w:pPr>
      <w:r>
        <w:rPr>
          <w:rFonts w:ascii="Calibri" w:cs="Calibri" w:eastAsia="Calibri" w:hAnsi="Calibri"/>
          <w:sz w:val="22"/>
          <w:szCs w:val="22"/>
          <w:b w:val="1"/>
          <w:bCs w:val="1"/>
          <w:color w:val="auto"/>
        </w:rPr>
        <w:t>Who will count the votes?</w:t>
      </w:r>
    </w:p>
    <w:p>
      <w:pPr>
        <w:spacing w:after="0" w:line="204" w:lineRule="exact"/>
        <w:rPr>
          <w:sz w:val="20"/>
          <w:szCs w:val="20"/>
          <w:color w:val="auto"/>
        </w:rPr>
      </w:pPr>
    </w:p>
    <w:p>
      <w:pPr>
        <w:spacing w:after="0"/>
        <w:rPr>
          <w:sz w:val="20"/>
          <w:szCs w:val="20"/>
          <w:color w:val="auto"/>
        </w:rPr>
      </w:pPr>
      <w:r>
        <w:rPr>
          <w:rFonts w:ascii="Calibri" w:cs="Calibri" w:eastAsia="Calibri" w:hAnsi="Calibri"/>
          <w:sz w:val="22"/>
          <w:szCs w:val="22"/>
          <w:color w:val="auto"/>
        </w:rPr>
        <w:t>A representatve of Broadridge Financial Solutons will tabulate the votes and act as inspector of electon.</w:t>
      </w:r>
    </w:p>
    <w:p>
      <w:pPr>
        <w:spacing w:after="0" w:line="204" w:lineRule="exact"/>
        <w:rPr>
          <w:sz w:val="20"/>
          <w:szCs w:val="20"/>
          <w:color w:val="auto"/>
        </w:rPr>
      </w:pPr>
    </w:p>
    <w:p>
      <w:pPr>
        <w:spacing w:after="0"/>
        <w:rPr>
          <w:sz w:val="20"/>
          <w:szCs w:val="20"/>
          <w:color w:val="auto"/>
        </w:rPr>
      </w:pPr>
      <w:r>
        <w:rPr>
          <w:rFonts w:ascii="Calibri" w:cs="Calibri" w:eastAsia="Calibri" w:hAnsi="Calibri"/>
          <w:sz w:val="22"/>
          <w:szCs w:val="22"/>
          <w:b w:val="1"/>
          <w:bCs w:val="1"/>
          <w:color w:val="auto"/>
        </w:rPr>
        <w:t>How can I contact Bakkt’s transfer agent?</w:t>
      </w:r>
    </w:p>
    <w:p>
      <w:pPr>
        <w:spacing w:after="0" w:line="216" w:lineRule="exact"/>
        <w:rPr>
          <w:sz w:val="20"/>
          <w:szCs w:val="20"/>
          <w:color w:val="auto"/>
        </w:rPr>
      </w:pPr>
    </w:p>
    <w:p>
      <w:pPr>
        <w:jc w:val="both"/>
        <w:spacing w:after="0" w:line="232" w:lineRule="auto"/>
        <w:rPr>
          <w:sz w:val="20"/>
          <w:szCs w:val="20"/>
          <w:color w:val="auto"/>
        </w:rPr>
      </w:pPr>
      <w:r>
        <w:rPr>
          <w:rFonts w:ascii="Calibri" w:cs="Calibri" w:eastAsia="Calibri" w:hAnsi="Calibri"/>
          <w:sz w:val="22"/>
          <w:szCs w:val="22"/>
          <w:color w:val="auto"/>
        </w:rPr>
        <w:t>You may contact our transfer agent, Equinit Trust Company, LLC, by telephone at 1-800-937-5449, by email at helpast@equinit.com or by writng Equinit Trust Company, LLC, at 55 Challenger Road, Floor 2, Ridgefeld Park, NJ 07660. You may also access instructons with respect to certain stockholder maters (e.g., change of address) via the Internet at htps://www.equinit.com.</w:t>
      </w:r>
    </w:p>
    <w:p>
      <w:pPr>
        <w:spacing w:after="0" w:line="205" w:lineRule="exact"/>
        <w:rPr>
          <w:sz w:val="20"/>
          <w:szCs w:val="20"/>
          <w:color w:val="auto"/>
        </w:rPr>
      </w:pPr>
    </w:p>
    <w:p>
      <w:pPr>
        <w:spacing w:after="0"/>
        <w:rPr>
          <w:sz w:val="20"/>
          <w:szCs w:val="20"/>
          <w:color w:val="auto"/>
        </w:rPr>
      </w:pPr>
      <w:r>
        <w:rPr>
          <w:rFonts w:ascii="Calibri" w:cs="Calibri" w:eastAsia="Calibri" w:hAnsi="Calibri"/>
          <w:sz w:val="22"/>
          <w:szCs w:val="22"/>
          <w:b w:val="1"/>
          <w:bCs w:val="1"/>
          <w:color w:val="auto"/>
        </w:rPr>
        <w:t>How are proxies solicited for the annual meetng and who is paying for such solicitaton?</w:t>
      </w:r>
    </w:p>
    <w:p>
      <w:pPr>
        <w:spacing w:after="0" w:line="216" w:lineRule="exact"/>
        <w:rPr>
          <w:sz w:val="20"/>
          <w:szCs w:val="20"/>
          <w:color w:val="auto"/>
        </w:rPr>
      </w:pPr>
    </w:p>
    <w:p>
      <w:pPr>
        <w:jc w:val="both"/>
        <w:spacing w:after="0" w:line="229" w:lineRule="auto"/>
        <w:rPr>
          <w:sz w:val="20"/>
          <w:szCs w:val="20"/>
          <w:color w:val="auto"/>
        </w:rPr>
      </w:pPr>
      <w:r>
        <w:rPr>
          <w:rFonts w:ascii="Calibri" w:cs="Calibri" w:eastAsia="Calibri" w:hAnsi="Calibri"/>
          <w:sz w:val="22"/>
          <w:szCs w:val="22"/>
          <w:color w:val="auto"/>
        </w:rPr>
        <w:t>Our Board is solicitng proxies for use at the annual meetng by means of the proxy materials. We will bear the entre cost of proxy solicitaton, including the preparaton, assembly, printng, mailing and distributon of the proxy materials. Copies of solicitaton materials will also be made available upon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2760"/>
        <w:spacing w:after="0"/>
        <w:tabs>
          <w:tab w:leader="none" w:pos="7080" w:val="left"/>
          <w:tab w:leader="none" w:pos="8300" w:val="left"/>
        </w:tabs>
        <w:rPr>
          <w:sz w:val="20"/>
          <w:szCs w:val="20"/>
          <w:color w:val="auto"/>
        </w:rPr>
      </w:pPr>
      <w:r>
        <w:rPr>
          <w:rFonts w:ascii="Calibri" w:cs="Calibri" w:eastAsia="Calibri" w:hAnsi="Calibri"/>
          <w:sz w:val="16"/>
          <w:szCs w:val="16"/>
          <w:color w:val="auto"/>
        </w:rPr>
        <w:t>Alphareta, GA | New York, NY | Belfast, United Kingdom</w:t>
      </w:r>
      <w:r>
        <w:rPr>
          <w:sz w:val="20"/>
          <w:szCs w:val="20"/>
          <w:color w:val="auto"/>
        </w:rPr>
        <w:tab/>
      </w:r>
      <w:r>
        <w:rPr>
          <w:rFonts w:ascii="Calibri" w:cs="Calibri" w:eastAsia="Calibri" w:hAnsi="Calibri"/>
          <w:sz w:val="16"/>
          <w:szCs w:val="16"/>
          <w:color w:val="auto"/>
        </w:rPr>
        <w:t>www.bakkt.com</w:t>
      </w:r>
      <w:r>
        <w:rPr>
          <w:sz w:val="20"/>
          <w:szCs w:val="20"/>
          <w:color w:val="auto"/>
        </w:rPr>
        <w:tab/>
      </w:r>
      <w:r>
        <w:rPr>
          <w:rFonts w:ascii="Calibri" w:cs="Calibri" w:eastAsia="Calibri" w:hAnsi="Calibri"/>
          <w:sz w:val="17"/>
          <w:szCs w:val="17"/>
          <w:color w:val="auto"/>
        </w:rPr>
        <w:t>10</w:t>
      </w:r>
    </w:p>
    <w:p>
      <w:pPr>
        <w:sectPr>
          <w:pgSz w:w="11900" w:h="16838" w:orient="portrait"/>
          <w:cols w:equalWidth="0" w:num="1">
            <w:col w:w="11240"/>
          </w:cols>
          <w:pgMar w:left="320" w:top="1440" w:right="339" w:bottom="1440" w:gutter="0" w:footer="0" w:header="0"/>
        </w:sectPr>
      </w:pPr>
    </w:p>
    <w:bookmarkStart w:id="16" w:name="page17"/>
    <w:bookmarkEnd w:id="16"/>
    <w:p>
      <w:pPr>
        <w:spacing w:after="0" w:line="184" w:lineRule="exact"/>
        <w:rPr>
          <w:sz w:val="20"/>
          <w:szCs w:val="20"/>
          <w:color w:val="auto"/>
        </w:rPr>
      </w:pPr>
    </w:p>
    <w:p>
      <w:pPr>
        <w:jc w:val="both"/>
        <w:spacing w:after="0" w:line="231" w:lineRule="auto"/>
        <w:rPr>
          <w:sz w:val="20"/>
          <w:szCs w:val="20"/>
          <w:color w:val="auto"/>
        </w:rPr>
      </w:pPr>
      <w:r>
        <w:rPr>
          <w:rFonts w:ascii="Calibri" w:cs="Calibri" w:eastAsia="Calibri" w:hAnsi="Calibri"/>
          <w:sz w:val="22"/>
          <w:szCs w:val="22"/>
          <w:color w:val="auto"/>
        </w:rPr>
        <w:t>request to brokers, banks and other nominees to forward to the benefcial owners of the shares held of record by such brokers, banks or other nominees. The original solicitaton of proxies may be supplemented by solicitaton by telephone, electronic communicatons or other means by our directors, ofcers or employees. No additonal compensaton will be paid to these individuals for any such services, although we may reimburse such individuals for their reasonable out-of-pocket expenses in connecton with such solicitaton.</w:t>
      </w:r>
    </w:p>
    <w:p>
      <w:pPr>
        <w:spacing w:after="0" w:line="207" w:lineRule="exact"/>
        <w:rPr>
          <w:sz w:val="20"/>
          <w:szCs w:val="20"/>
          <w:color w:val="auto"/>
        </w:rPr>
      </w:pPr>
    </w:p>
    <w:p>
      <w:pPr>
        <w:spacing w:after="0"/>
        <w:rPr>
          <w:sz w:val="20"/>
          <w:szCs w:val="20"/>
          <w:color w:val="auto"/>
        </w:rPr>
      </w:pPr>
      <w:r>
        <w:rPr>
          <w:rFonts w:ascii="Calibri" w:cs="Calibri" w:eastAsia="Calibri" w:hAnsi="Calibri"/>
          <w:sz w:val="22"/>
          <w:szCs w:val="22"/>
          <w:b w:val="1"/>
          <w:bCs w:val="1"/>
          <w:color w:val="auto"/>
        </w:rPr>
        <w:t>Where can I fnd the votng results of the annual meetng?</w:t>
      </w:r>
    </w:p>
    <w:p>
      <w:pPr>
        <w:spacing w:after="0" w:line="217" w:lineRule="exact"/>
        <w:rPr>
          <w:sz w:val="20"/>
          <w:szCs w:val="20"/>
          <w:color w:val="auto"/>
        </w:rPr>
      </w:pPr>
    </w:p>
    <w:p>
      <w:pPr>
        <w:jc w:val="both"/>
        <w:spacing w:after="0" w:line="233" w:lineRule="auto"/>
        <w:rPr>
          <w:sz w:val="20"/>
          <w:szCs w:val="20"/>
          <w:color w:val="auto"/>
        </w:rPr>
      </w:pPr>
      <w:r>
        <w:rPr>
          <w:rFonts w:ascii="Calibri" w:cs="Calibri" w:eastAsia="Calibri" w:hAnsi="Calibri"/>
          <w:sz w:val="22"/>
          <w:szCs w:val="22"/>
          <w:color w:val="auto"/>
        </w:rPr>
        <w:t>We will disclose votng results on a Current Report on Form 8-K that we will fle with the SEC, within four business days afer the meetng. If fnal votng results are not available to us in tme to fle a Form 8-K, we will fle a Form 8-K to publish preliminary results and will provide the fnal results in an amendment to the Form 8-K as soon as they become available.</w:t>
      </w:r>
    </w:p>
    <w:p>
      <w:pPr>
        <w:spacing w:after="0" w:line="206" w:lineRule="exact"/>
        <w:rPr>
          <w:sz w:val="20"/>
          <w:szCs w:val="20"/>
          <w:color w:val="auto"/>
        </w:rPr>
      </w:pPr>
    </w:p>
    <w:p>
      <w:pPr>
        <w:spacing w:after="0"/>
        <w:rPr>
          <w:sz w:val="20"/>
          <w:szCs w:val="20"/>
          <w:color w:val="auto"/>
        </w:rPr>
      </w:pPr>
      <w:r>
        <w:rPr>
          <w:rFonts w:ascii="Calibri" w:cs="Calibri" w:eastAsia="Calibri" w:hAnsi="Calibri"/>
          <w:sz w:val="22"/>
          <w:szCs w:val="22"/>
          <w:b w:val="1"/>
          <w:bCs w:val="1"/>
          <w:color w:val="auto"/>
        </w:rPr>
        <w:t>Why did I receive a Notce of Internet Availability instead of a full set of proxy materials?</w:t>
      </w:r>
    </w:p>
    <w:p>
      <w:pPr>
        <w:spacing w:after="0" w:line="215" w:lineRule="exact"/>
        <w:rPr>
          <w:sz w:val="20"/>
          <w:szCs w:val="20"/>
          <w:color w:val="auto"/>
        </w:rPr>
      </w:pPr>
    </w:p>
    <w:p>
      <w:pPr>
        <w:jc w:val="both"/>
        <w:spacing w:after="0" w:line="231" w:lineRule="auto"/>
        <w:rPr>
          <w:sz w:val="20"/>
          <w:szCs w:val="20"/>
          <w:color w:val="auto"/>
        </w:rPr>
      </w:pPr>
      <w:r>
        <w:rPr>
          <w:rFonts w:ascii="Calibri" w:cs="Calibri" w:eastAsia="Calibri" w:hAnsi="Calibri"/>
          <w:sz w:val="22"/>
          <w:szCs w:val="22"/>
          <w:color w:val="auto"/>
        </w:rPr>
        <w:t>In accordance with the rules of the SEC, we have elected to furnish our proxy materials, including this proxy statement and our annual report, primarily via the Internet. As a result, we are mailing to our stockholders a Notce of Internet Availability instead of a paper copy of the proxy materials. The Notce of Internet Availability contains instructons on how to access our proxy materials on the Internet, how to vote on the proposals, how to request printed copies of the proxy materials and our annual report, and how to request to receive all future proxy materials in printed form by mail or electronically by e-mail. We encourage stockholders to take advantage of the availability of the proxy materials on the Internet to help reduce our costs and the environmental impact of our annual meetngs.</w:t>
      </w:r>
    </w:p>
    <w:p>
      <w:pPr>
        <w:spacing w:after="0" w:line="216" w:lineRule="exact"/>
        <w:rPr>
          <w:sz w:val="20"/>
          <w:szCs w:val="20"/>
          <w:color w:val="auto"/>
        </w:rPr>
      </w:pPr>
    </w:p>
    <w:p>
      <w:pPr>
        <w:spacing w:after="0"/>
        <w:rPr>
          <w:sz w:val="20"/>
          <w:szCs w:val="20"/>
          <w:color w:val="auto"/>
        </w:rPr>
      </w:pPr>
      <w:r>
        <w:rPr>
          <w:rFonts w:ascii="Calibri" w:cs="Calibri" w:eastAsia="Calibri" w:hAnsi="Calibri"/>
          <w:sz w:val="21"/>
          <w:szCs w:val="21"/>
          <w:b w:val="1"/>
          <w:bCs w:val="1"/>
          <w:color w:val="auto"/>
        </w:rPr>
        <w:t>What does it mean if I receive more than one Notce of Internet Availability or more than one set of printed proxy materials?</w:t>
      </w:r>
    </w:p>
    <w:p>
      <w:pPr>
        <w:spacing w:after="0" w:line="216" w:lineRule="exact"/>
        <w:rPr>
          <w:sz w:val="20"/>
          <w:szCs w:val="20"/>
          <w:color w:val="auto"/>
        </w:rPr>
      </w:pPr>
    </w:p>
    <w:p>
      <w:pPr>
        <w:jc w:val="both"/>
        <w:spacing w:after="0" w:line="232" w:lineRule="auto"/>
        <w:rPr>
          <w:sz w:val="20"/>
          <w:szCs w:val="20"/>
          <w:color w:val="auto"/>
        </w:rPr>
      </w:pPr>
      <w:r>
        <w:rPr>
          <w:rFonts w:ascii="Calibri" w:cs="Calibri" w:eastAsia="Calibri" w:hAnsi="Calibri"/>
          <w:sz w:val="22"/>
          <w:szCs w:val="22"/>
          <w:color w:val="auto"/>
        </w:rPr>
        <w:t>If you receive more than one Notce of Internet Availability or more than one set of printed proxy materials, then your shares may be registered in more than one name and/or are registered in diferent accounts. Please follow the votng instructons on each Notce of Internet Availability or each set of printed proxy materials, as applicable, to ensure that all of your shares are voted.</w:t>
      </w:r>
    </w:p>
    <w:p>
      <w:pPr>
        <w:spacing w:after="0" w:line="217" w:lineRule="exact"/>
        <w:rPr>
          <w:sz w:val="20"/>
          <w:szCs w:val="20"/>
          <w:color w:val="auto"/>
        </w:rPr>
      </w:pPr>
    </w:p>
    <w:p>
      <w:pPr>
        <w:ind w:right="240"/>
        <w:spacing w:after="0" w:line="233" w:lineRule="auto"/>
        <w:rPr>
          <w:sz w:val="20"/>
          <w:szCs w:val="20"/>
          <w:color w:val="auto"/>
        </w:rPr>
      </w:pPr>
      <w:r>
        <w:rPr>
          <w:rFonts w:ascii="Calibri" w:cs="Calibri" w:eastAsia="Calibri" w:hAnsi="Calibri"/>
          <w:sz w:val="22"/>
          <w:szCs w:val="22"/>
          <w:b w:val="1"/>
          <w:bCs w:val="1"/>
          <w:color w:val="auto"/>
        </w:rPr>
        <w:t>I share an address with another stockholder, and we received only one copy of the Notce of Internet Availability or proxy statement and annual report. How may I obtain an additonal copy of the Notce of Internet Availability or proxy statement and annual report?</w:t>
      </w:r>
    </w:p>
    <w:p>
      <w:pPr>
        <w:spacing w:after="0" w:line="217" w:lineRule="exact"/>
        <w:rPr>
          <w:sz w:val="20"/>
          <w:szCs w:val="20"/>
          <w:color w:val="auto"/>
        </w:rPr>
      </w:pPr>
    </w:p>
    <w:p>
      <w:pPr>
        <w:jc w:val="both"/>
        <w:spacing w:after="0" w:line="231" w:lineRule="auto"/>
        <w:rPr>
          <w:sz w:val="20"/>
          <w:szCs w:val="20"/>
          <w:color w:val="auto"/>
        </w:rPr>
      </w:pPr>
      <w:r>
        <w:rPr>
          <w:rFonts w:ascii="Calibri" w:cs="Calibri" w:eastAsia="Calibri" w:hAnsi="Calibri"/>
          <w:sz w:val="22"/>
          <w:szCs w:val="22"/>
          <w:color w:val="auto"/>
        </w:rPr>
        <w:t>We have adopted a procedure approved by the SEC called “householding,” under which we can deliver a single copy of the Notce of Internet Availability and, if applicable, the proxy statement and annual report, to multple stockholders who share the same address unless we receive contrary instructons from one or more stockholders. This procedure reduces our printng and mailing costs. Stockholders who partcipate in householding will contnue to be able to access and receive separate proxy cards. Upon writen or oral request, we will deliver promptly a separate copy of the Notce of Internet Availability and, if applicable, the proxy statement and annual report, to any stockholder at a shared address to which we delivered a single copy of these documents. To receive a separate copy,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2760"/>
        <w:spacing w:after="0"/>
        <w:tabs>
          <w:tab w:leader="none" w:pos="7080" w:val="left"/>
          <w:tab w:leader="none" w:pos="8300" w:val="left"/>
        </w:tabs>
        <w:rPr>
          <w:sz w:val="20"/>
          <w:szCs w:val="20"/>
          <w:color w:val="auto"/>
        </w:rPr>
      </w:pPr>
      <w:r>
        <w:rPr>
          <w:rFonts w:ascii="Calibri" w:cs="Calibri" w:eastAsia="Calibri" w:hAnsi="Calibri"/>
          <w:sz w:val="16"/>
          <w:szCs w:val="16"/>
          <w:color w:val="auto"/>
        </w:rPr>
        <w:t>Alphareta, GA | New York, NY | Belfast, United Kingdom</w:t>
      </w:r>
      <w:r>
        <w:rPr>
          <w:sz w:val="20"/>
          <w:szCs w:val="20"/>
          <w:color w:val="auto"/>
        </w:rPr>
        <w:tab/>
      </w:r>
      <w:r>
        <w:rPr>
          <w:rFonts w:ascii="Calibri" w:cs="Calibri" w:eastAsia="Calibri" w:hAnsi="Calibri"/>
          <w:sz w:val="16"/>
          <w:szCs w:val="16"/>
          <w:color w:val="auto"/>
        </w:rPr>
        <w:t>www.bakkt.com</w:t>
      </w:r>
      <w:r>
        <w:rPr>
          <w:sz w:val="20"/>
          <w:szCs w:val="20"/>
          <w:color w:val="auto"/>
        </w:rPr>
        <w:tab/>
      </w:r>
      <w:r>
        <w:rPr>
          <w:rFonts w:ascii="Calibri" w:cs="Calibri" w:eastAsia="Calibri" w:hAnsi="Calibri"/>
          <w:sz w:val="17"/>
          <w:szCs w:val="17"/>
          <w:color w:val="auto"/>
        </w:rPr>
        <w:t>11</w:t>
      </w:r>
    </w:p>
    <w:p>
      <w:pPr>
        <w:sectPr>
          <w:pgSz w:w="11900" w:h="16838" w:orient="portrait"/>
          <w:cols w:equalWidth="0" w:num="1">
            <w:col w:w="11240"/>
          </w:cols>
          <w:pgMar w:left="320" w:top="1440" w:right="339" w:bottom="1440" w:gutter="0" w:footer="0" w:header="0"/>
        </w:sectPr>
      </w:pPr>
    </w:p>
    <w:bookmarkStart w:id="17" w:name="page18"/>
    <w:bookmarkEnd w:id="17"/>
    <w:p>
      <w:pPr>
        <w:spacing w:after="0" w:line="184" w:lineRule="exact"/>
        <w:rPr>
          <w:sz w:val="20"/>
          <w:szCs w:val="20"/>
          <w:color w:val="auto"/>
        </w:rPr>
      </w:pPr>
    </w:p>
    <w:p>
      <w:pPr>
        <w:spacing w:after="0" w:line="229" w:lineRule="auto"/>
        <w:rPr>
          <w:sz w:val="20"/>
          <w:szCs w:val="20"/>
          <w:color w:val="auto"/>
        </w:rPr>
      </w:pPr>
      <w:r>
        <w:rPr>
          <w:rFonts w:ascii="Calibri" w:cs="Calibri" w:eastAsia="Calibri" w:hAnsi="Calibri"/>
          <w:sz w:val="22"/>
          <w:szCs w:val="22"/>
          <w:color w:val="auto"/>
        </w:rPr>
        <w:t>or, if you are receiving multple copies, to request that we only send a single copy of next year’s Notce of Internet Availability or proxy statement and annual report, as applicable, you may contact us as follows:</w:t>
      </w:r>
    </w:p>
    <w:p>
      <w:pPr>
        <w:jc w:val="center"/>
        <w:ind w:right="-19"/>
        <w:spacing w:after="0" w:line="231" w:lineRule="auto"/>
        <w:rPr>
          <w:sz w:val="20"/>
          <w:szCs w:val="20"/>
          <w:color w:val="auto"/>
        </w:rPr>
      </w:pPr>
      <w:r>
        <w:rPr>
          <w:rFonts w:ascii="Calibri" w:cs="Calibri" w:eastAsia="Calibri" w:hAnsi="Calibri"/>
          <w:sz w:val="22"/>
          <w:szCs w:val="22"/>
          <w:color w:val="auto"/>
        </w:rPr>
        <w:t>Bakkt Holdings, Inc.</w:t>
      </w:r>
    </w:p>
    <w:p>
      <w:pPr>
        <w:spacing w:after="0" w:line="1" w:lineRule="exact"/>
        <w:rPr>
          <w:sz w:val="20"/>
          <w:szCs w:val="20"/>
          <w:color w:val="auto"/>
        </w:rPr>
      </w:pPr>
    </w:p>
    <w:p>
      <w:pPr>
        <w:jc w:val="center"/>
        <w:ind w:right="-19"/>
        <w:spacing w:after="0"/>
        <w:rPr>
          <w:sz w:val="20"/>
          <w:szCs w:val="20"/>
          <w:color w:val="auto"/>
        </w:rPr>
      </w:pPr>
      <w:r>
        <w:rPr>
          <w:rFonts w:ascii="Calibri" w:cs="Calibri" w:eastAsia="Calibri" w:hAnsi="Calibri"/>
          <w:sz w:val="22"/>
          <w:szCs w:val="22"/>
          <w:color w:val="auto"/>
        </w:rPr>
        <w:t>Atenton: Investor Relatons</w:t>
      </w:r>
    </w:p>
    <w:p>
      <w:pPr>
        <w:jc w:val="center"/>
        <w:ind w:right="-19"/>
        <w:spacing w:after="0" w:line="229" w:lineRule="auto"/>
        <w:rPr>
          <w:sz w:val="20"/>
          <w:szCs w:val="20"/>
          <w:color w:val="auto"/>
        </w:rPr>
      </w:pPr>
      <w:r>
        <w:rPr>
          <w:rFonts w:ascii="Calibri" w:cs="Calibri" w:eastAsia="Calibri" w:hAnsi="Calibri"/>
          <w:sz w:val="22"/>
          <w:szCs w:val="22"/>
          <w:color w:val="auto"/>
        </w:rPr>
        <w:t>10000 Avalon Boulevard, Suite 1000,</w:t>
      </w:r>
    </w:p>
    <w:p>
      <w:pPr>
        <w:jc w:val="center"/>
        <w:ind w:right="-19"/>
        <w:spacing w:after="0" w:line="227" w:lineRule="auto"/>
        <w:rPr>
          <w:sz w:val="20"/>
          <w:szCs w:val="20"/>
          <w:color w:val="auto"/>
        </w:rPr>
      </w:pPr>
      <w:r>
        <w:rPr>
          <w:rFonts w:ascii="Calibri" w:cs="Calibri" w:eastAsia="Calibri" w:hAnsi="Calibri"/>
          <w:sz w:val="22"/>
          <w:szCs w:val="22"/>
          <w:color w:val="auto"/>
        </w:rPr>
        <w:t>Alphareta, Georgia 30009</w:t>
      </w:r>
    </w:p>
    <w:p>
      <w:pPr>
        <w:spacing w:after="0" w:line="234" w:lineRule="exact"/>
        <w:rPr>
          <w:sz w:val="20"/>
          <w:szCs w:val="20"/>
          <w:color w:val="auto"/>
        </w:rPr>
      </w:pPr>
    </w:p>
    <w:p>
      <w:pPr>
        <w:spacing w:after="0"/>
        <w:rPr>
          <w:sz w:val="20"/>
          <w:szCs w:val="20"/>
          <w:color w:val="auto"/>
        </w:rPr>
      </w:pPr>
      <w:r>
        <w:rPr>
          <w:rFonts w:ascii="Calibri" w:cs="Calibri" w:eastAsia="Calibri" w:hAnsi="Calibri"/>
          <w:sz w:val="22"/>
          <w:szCs w:val="22"/>
          <w:color w:val="auto"/>
        </w:rPr>
        <w:t>Street name stockholders may contact their broker, bank or other nominee to request informaton about householding.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2760"/>
        <w:spacing w:after="0"/>
        <w:tabs>
          <w:tab w:leader="none" w:pos="7080" w:val="left"/>
          <w:tab w:leader="none" w:pos="8300" w:val="left"/>
        </w:tabs>
        <w:rPr>
          <w:sz w:val="20"/>
          <w:szCs w:val="20"/>
          <w:color w:val="auto"/>
        </w:rPr>
      </w:pPr>
      <w:r>
        <w:rPr>
          <w:rFonts w:ascii="Calibri" w:cs="Calibri" w:eastAsia="Calibri" w:hAnsi="Calibri"/>
          <w:sz w:val="16"/>
          <w:szCs w:val="16"/>
          <w:color w:val="auto"/>
        </w:rPr>
        <w:t>Alphareta, GA | New York, NY | Belfast, United Kingdom</w:t>
      </w:r>
      <w:r>
        <w:rPr>
          <w:sz w:val="20"/>
          <w:szCs w:val="20"/>
          <w:color w:val="auto"/>
        </w:rPr>
        <w:tab/>
      </w:r>
      <w:r>
        <w:rPr>
          <w:rFonts w:ascii="Calibri" w:cs="Calibri" w:eastAsia="Calibri" w:hAnsi="Calibri"/>
          <w:sz w:val="16"/>
          <w:szCs w:val="16"/>
          <w:color w:val="auto"/>
        </w:rPr>
        <w:t>www.bakkt.com</w:t>
      </w:r>
      <w:r>
        <w:rPr>
          <w:sz w:val="20"/>
          <w:szCs w:val="20"/>
          <w:color w:val="auto"/>
        </w:rPr>
        <w:tab/>
      </w:r>
      <w:r>
        <w:rPr>
          <w:rFonts w:ascii="Calibri" w:cs="Calibri" w:eastAsia="Calibri" w:hAnsi="Calibri"/>
          <w:sz w:val="17"/>
          <w:szCs w:val="17"/>
          <w:color w:val="auto"/>
        </w:rPr>
        <w:t>12</w:t>
      </w:r>
    </w:p>
    <w:p>
      <w:pPr>
        <w:sectPr>
          <w:pgSz w:w="11900" w:h="16838" w:orient="portrait"/>
          <w:cols w:equalWidth="0" w:num="1">
            <w:col w:w="11240"/>
          </w:cols>
          <w:pgMar w:left="320" w:top="1440" w:right="339" w:bottom="1440" w:gutter="0" w:footer="0" w:header="0"/>
        </w:sectPr>
      </w:pPr>
    </w:p>
    <w:bookmarkStart w:id="18" w:name="page19"/>
    <w:bookmarkEnd w:id="18"/>
    <w:p>
      <w:pPr>
        <w:spacing w:after="0" w:line="160" w:lineRule="exact"/>
        <w:rPr>
          <w:sz w:val="20"/>
          <w:szCs w:val="20"/>
          <w:color w:val="auto"/>
        </w:rPr>
      </w:pPr>
    </w:p>
    <w:p>
      <w:pPr>
        <w:spacing w:after="0"/>
        <w:rPr>
          <w:sz w:val="20"/>
          <w:szCs w:val="20"/>
          <w:color w:val="auto"/>
        </w:rPr>
      </w:pPr>
      <w:r>
        <w:rPr>
          <w:rFonts w:ascii="Calibri" w:cs="Calibri" w:eastAsia="Calibri" w:hAnsi="Calibri"/>
          <w:sz w:val="43"/>
          <w:szCs w:val="43"/>
          <w:color w:val="auto"/>
        </w:rPr>
        <w:t>Informaton on Board of Directors and Corporate Governance</w:t>
      </w:r>
    </w:p>
    <w:p>
      <w:pPr>
        <w:spacing w:after="0" w:line="215" w:lineRule="exact"/>
        <w:rPr>
          <w:sz w:val="20"/>
          <w:szCs w:val="20"/>
          <w:color w:val="auto"/>
        </w:rPr>
      </w:pPr>
    </w:p>
    <w:p>
      <w:pPr>
        <w:spacing w:after="0"/>
        <w:rPr>
          <w:sz w:val="20"/>
          <w:szCs w:val="20"/>
          <w:color w:val="auto"/>
        </w:rPr>
      </w:pPr>
      <w:r>
        <w:rPr>
          <w:rFonts w:ascii="Calibri" w:cs="Calibri" w:eastAsia="Calibri" w:hAnsi="Calibri"/>
          <w:sz w:val="29"/>
          <w:szCs w:val="29"/>
          <w:b w:val="1"/>
          <w:bCs w:val="1"/>
          <w:color w:val="auto"/>
        </w:rPr>
        <w:t>Compositon of the Board</w:t>
      </w:r>
    </w:p>
    <w:p>
      <w:pPr>
        <w:spacing w:after="0" w:line="226" w:lineRule="exact"/>
        <w:rPr>
          <w:sz w:val="20"/>
          <w:szCs w:val="20"/>
          <w:color w:val="auto"/>
        </w:rPr>
      </w:pPr>
    </w:p>
    <w:p>
      <w:pPr>
        <w:jc w:val="both"/>
        <w:spacing w:after="0" w:line="244" w:lineRule="auto"/>
        <w:rPr>
          <w:sz w:val="20"/>
          <w:szCs w:val="20"/>
          <w:color w:val="auto"/>
        </w:rPr>
      </w:pPr>
      <w:r>
        <w:rPr>
          <w:rFonts w:ascii="Calibri" w:cs="Calibri" w:eastAsia="Calibri" w:hAnsi="Calibri"/>
          <w:sz w:val="21"/>
          <w:szCs w:val="21"/>
          <w:color w:val="auto"/>
        </w:rPr>
        <w:t>Bakkt’s business and afairs are managed under the directon of our Board. Our Board currently consists of eight directors, fve of whom are independent under the listng standards of the New York Stock Exchange, or NYSE. The number of directors is fxed by the Board, subject to the terms of our certfcate of incorporaton and bylaws. Each of our directors will contnue to serve as a director untl the electon and qualifcaton of his or her successor, or untl his or her earlier death, resignaton or removal.</w:t>
      </w:r>
    </w:p>
    <w:p>
      <w:pPr>
        <w:spacing w:after="0" w:line="213" w:lineRule="exact"/>
        <w:rPr>
          <w:sz w:val="20"/>
          <w:szCs w:val="20"/>
          <w:color w:val="auto"/>
        </w:rPr>
      </w:pPr>
    </w:p>
    <w:p>
      <w:pPr>
        <w:jc w:val="both"/>
        <w:spacing w:after="0" w:line="229" w:lineRule="auto"/>
        <w:rPr>
          <w:sz w:val="20"/>
          <w:szCs w:val="20"/>
          <w:color w:val="auto"/>
        </w:rPr>
      </w:pPr>
      <w:r>
        <w:rPr>
          <w:rFonts w:ascii="Calibri" w:cs="Calibri" w:eastAsia="Calibri" w:hAnsi="Calibri"/>
          <w:sz w:val="22"/>
          <w:szCs w:val="22"/>
          <w:color w:val="auto"/>
        </w:rPr>
        <w:t>Our Board is divided into three classes with staggered three-year terms. Only one class of directors is elected at each annual meetng of our stockholders, with the other classes contnuing for the remainder of their respectve three-year terms. Thus, at each annual meetng of stockholders, a class of directors will be elected for a three-year term to succeed the class whose term is then expiring.</w:t>
      </w:r>
    </w:p>
    <w:p>
      <w:pPr>
        <w:spacing w:after="0" w:line="217" w:lineRule="exact"/>
        <w:rPr>
          <w:sz w:val="20"/>
          <w:szCs w:val="20"/>
          <w:color w:val="auto"/>
        </w:rPr>
      </w:pPr>
    </w:p>
    <w:p>
      <w:pPr>
        <w:jc w:val="both"/>
        <w:spacing w:after="0" w:line="235" w:lineRule="auto"/>
        <w:rPr>
          <w:sz w:val="20"/>
          <w:szCs w:val="20"/>
          <w:color w:val="auto"/>
        </w:rPr>
      </w:pPr>
      <w:r>
        <w:rPr>
          <w:rFonts w:ascii="Calibri" w:cs="Calibri" w:eastAsia="Calibri" w:hAnsi="Calibri"/>
          <w:sz w:val="22"/>
          <w:szCs w:val="22"/>
          <w:color w:val="auto"/>
        </w:rPr>
        <w:t>The following table sets forth the names, ages as of April 2, 2024, and certain other informaton for each of our directors and director nominees:</w:t>
      </w:r>
    </w:p>
    <w:p>
      <w:pPr>
        <w:spacing w:after="0" w:line="279" w:lineRule="exact"/>
        <w:rPr>
          <w:sz w:val="20"/>
          <w:szCs w:val="20"/>
          <w:color w:val="auto"/>
        </w:rPr>
      </w:pPr>
    </w:p>
    <w:tbl>
      <w:tblPr>
        <w:tblLayout w:type="fixed"/>
        <w:tblInd w:w="10" w:type="dxa"/>
        <w:tblCellMar>
          <w:top w:w="0" w:type="dxa"/>
          <w:left w:w="0" w:type="dxa"/>
          <w:bottom w:w="0" w:type="dxa"/>
          <w:right w:w="0" w:type="dxa"/>
        </w:tblCellMar>
      </w:tblPr>
      <w:tr>
        <w:trPr>
          <w:trHeight w:val="171"/>
        </w:trPr>
        <w:tc>
          <w:tcPr>
            <w:tcW w:w="2040" w:type="dxa"/>
            <w:vAlign w:val="bottom"/>
            <w:tcBorders>
              <w:top w:val="single" w:sz="8" w:color="auto"/>
              <w:left w:val="single" w:sz="8" w:color="auto"/>
            </w:tcBorders>
            <w:shd w:val="clear" w:color="auto" w:fill="151618"/>
          </w:tcPr>
          <w:p>
            <w:pPr>
              <w:spacing w:after="0"/>
              <w:rPr>
                <w:sz w:val="14"/>
                <w:szCs w:val="14"/>
                <w:color w:val="auto"/>
              </w:rPr>
            </w:pPr>
          </w:p>
        </w:tc>
        <w:tc>
          <w:tcPr>
            <w:tcW w:w="1140" w:type="dxa"/>
            <w:vAlign w:val="bottom"/>
            <w:tcBorders>
              <w:top w:val="single" w:sz="8" w:color="auto"/>
            </w:tcBorders>
            <w:shd w:val="clear" w:color="auto" w:fill="151618"/>
          </w:tcPr>
          <w:p>
            <w:pPr>
              <w:spacing w:after="0"/>
              <w:rPr>
                <w:sz w:val="14"/>
                <w:szCs w:val="14"/>
                <w:color w:val="auto"/>
              </w:rPr>
            </w:pPr>
          </w:p>
        </w:tc>
        <w:tc>
          <w:tcPr>
            <w:tcW w:w="840" w:type="dxa"/>
            <w:vAlign w:val="bottom"/>
            <w:tcBorders>
              <w:top w:val="single" w:sz="8" w:color="auto"/>
            </w:tcBorders>
            <w:shd w:val="clear" w:color="auto" w:fill="151618"/>
          </w:tcPr>
          <w:p>
            <w:pPr>
              <w:spacing w:after="0"/>
              <w:rPr>
                <w:sz w:val="14"/>
                <w:szCs w:val="14"/>
                <w:color w:val="auto"/>
              </w:rPr>
            </w:pPr>
          </w:p>
        </w:tc>
        <w:tc>
          <w:tcPr>
            <w:tcW w:w="1900" w:type="dxa"/>
            <w:vAlign w:val="bottom"/>
            <w:tcBorders>
              <w:top w:val="single" w:sz="8" w:color="auto"/>
            </w:tcBorders>
            <w:shd w:val="clear" w:color="auto" w:fill="151618"/>
          </w:tcPr>
          <w:p>
            <w:pPr>
              <w:spacing w:after="0"/>
              <w:rPr>
                <w:sz w:val="14"/>
                <w:szCs w:val="14"/>
                <w:color w:val="auto"/>
              </w:rPr>
            </w:pPr>
          </w:p>
        </w:tc>
        <w:tc>
          <w:tcPr>
            <w:tcW w:w="1520" w:type="dxa"/>
            <w:vAlign w:val="bottom"/>
            <w:tcBorders>
              <w:top w:val="single" w:sz="8" w:color="auto"/>
            </w:tcBorders>
            <w:shd w:val="clear" w:color="auto" w:fill="151618"/>
          </w:tcPr>
          <w:p>
            <w:pPr>
              <w:spacing w:after="0"/>
              <w:rPr>
                <w:sz w:val="14"/>
                <w:szCs w:val="14"/>
                <w:color w:val="auto"/>
              </w:rPr>
            </w:pPr>
          </w:p>
        </w:tc>
        <w:tc>
          <w:tcPr>
            <w:tcW w:w="1500" w:type="dxa"/>
            <w:vAlign w:val="bottom"/>
            <w:tcBorders>
              <w:top w:val="single" w:sz="8" w:color="auto"/>
            </w:tcBorders>
            <w:shd w:val="clear" w:color="auto" w:fill="151618"/>
          </w:tcPr>
          <w:p>
            <w:pPr>
              <w:ind w:left="380"/>
              <w:spacing w:after="0" w:line="171" w:lineRule="exact"/>
              <w:rPr>
                <w:sz w:val="20"/>
                <w:szCs w:val="20"/>
                <w:color w:val="auto"/>
              </w:rPr>
            </w:pPr>
            <w:r>
              <w:rPr>
                <w:rFonts w:ascii="Calibri" w:cs="Calibri" w:eastAsia="Calibri" w:hAnsi="Calibri"/>
                <w:sz w:val="16"/>
                <w:szCs w:val="16"/>
                <w:b w:val="1"/>
                <w:bCs w:val="1"/>
                <w:color w:val="FFFFFF"/>
              </w:rPr>
              <w:t>Current Term</w:t>
            </w:r>
          </w:p>
        </w:tc>
        <w:tc>
          <w:tcPr>
            <w:tcW w:w="1920" w:type="dxa"/>
            <w:vAlign w:val="bottom"/>
            <w:tcBorders>
              <w:top w:val="single" w:sz="8" w:color="auto"/>
              <w:right w:val="single" w:sz="8" w:color="auto"/>
            </w:tcBorders>
            <w:shd w:val="clear" w:color="auto" w:fill="151618"/>
          </w:tcPr>
          <w:p>
            <w:pPr>
              <w:ind w:left="220"/>
              <w:spacing w:after="0" w:line="171" w:lineRule="exact"/>
              <w:rPr>
                <w:sz w:val="20"/>
                <w:szCs w:val="20"/>
                <w:color w:val="auto"/>
              </w:rPr>
            </w:pPr>
            <w:r>
              <w:rPr>
                <w:rFonts w:ascii="Calibri" w:cs="Calibri" w:eastAsia="Calibri" w:hAnsi="Calibri"/>
                <w:sz w:val="16"/>
                <w:szCs w:val="16"/>
                <w:b w:val="1"/>
                <w:bCs w:val="1"/>
                <w:color w:val="FFFFFF"/>
              </w:rPr>
              <w:t>Expiraton of Term for</w:t>
            </w:r>
          </w:p>
        </w:tc>
      </w:tr>
      <w:tr>
        <w:trPr>
          <w:trHeight w:val="226"/>
        </w:trPr>
        <w:tc>
          <w:tcPr>
            <w:tcW w:w="2040" w:type="dxa"/>
            <w:vAlign w:val="bottom"/>
            <w:tcBorders>
              <w:left w:val="single" w:sz="8" w:color="auto"/>
              <w:bottom w:val="single" w:sz="8" w:color="151618"/>
            </w:tcBorders>
            <w:shd w:val="clear" w:color="auto" w:fill="151618"/>
          </w:tcPr>
          <w:p>
            <w:pPr>
              <w:ind w:left="80"/>
              <w:spacing w:after="0" w:line="193" w:lineRule="exact"/>
              <w:rPr>
                <w:sz w:val="20"/>
                <w:szCs w:val="20"/>
                <w:color w:val="auto"/>
              </w:rPr>
            </w:pPr>
            <w:r>
              <w:rPr>
                <w:rFonts w:ascii="Calibri" w:cs="Calibri" w:eastAsia="Calibri" w:hAnsi="Calibri"/>
                <w:sz w:val="16"/>
                <w:szCs w:val="16"/>
                <w:b w:val="1"/>
                <w:bCs w:val="1"/>
                <w:color w:val="FFFFFF"/>
              </w:rPr>
              <w:t>Name</w:t>
            </w:r>
          </w:p>
        </w:tc>
        <w:tc>
          <w:tcPr>
            <w:tcW w:w="1140" w:type="dxa"/>
            <w:vAlign w:val="bottom"/>
            <w:tcBorders>
              <w:bottom w:val="single" w:sz="8" w:color="151618"/>
            </w:tcBorders>
            <w:shd w:val="clear" w:color="auto" w:fill="151618"/>
          </w:tcPr>
          <w:p>
            <w:pPr>
              <w:ind w:left="360"/>
              <w:spacing w:after="0" w:line="193" w:lineRule="exact"/>
              <w:rPr>
                <w:sz w:val="20"/>
                <w:szCs w:val="20"/>
                <w:color w:val="auto"/>
              </w:rPr>
            </w:pPr>
            <w:r>
              <w:rPr>
                <w:rFonts w:ascii="Calibri" w:cs="Calibri" w:eastAsia="Calibri" w:hAnsi="Calibri"/>
                <w:sz w:val="16"/>
                <w:szCs w:val="16"/>
                <w:b w:val="1"/>
                <w:bCs w:val="1"/>
                <w:color w:val="FFFFFF"/>
              </w:rPr>
              <w:t>Class</w:t>
            </w:r>
          </w:p>
        </w:tc>
        <w:tc>
          <w:tcPr>
            <w:tcW w:w="840" w:type="dxa"/>
            <w:vAlign w:val="bottom"/>
            <w:tcBorders>
              <w:bottom w:val="single" w:sz="8" w:color="151618"/>
            </w:tcBorders>
            <w:shd w:val="clear" w:color="auto" w:fill="151618"/>
          </w:tcPr>
          <w:p>
            <w:pPr>
              <w:jc w:val="center"/>
              <w:ind w:left="59"/>
              <w:spacing w:after="0" w:line="193" w:lineRule="exact"/>
              <w:rPr>
                <w:sz w:val="20"/>
                <w:szCs w:val="20"/>
                <w:color w:val="auto"/>
              </w:rPr>
            </w:pPr>
            <w:r>
              <w:rPr>
                <w:rFonts w:ascii="Calibri" w:cs="Calibri" w:eastAsia="Calibri" w:hAnsi="Calibri"/>
                <w:sz w:val="16"/>
                <w:szCs w:val="16"/>
                <w:b w:val="1"/>
                <w:bCs w:val="1"/>
                <w:color w:val="FFFFFF"/>
              </w:rPr>
              <w:t>Age</w:t>
            </w:r>
          </w:p>
        </w:tc>
        <w:tc>
          <w:tcPr>
            <w:tcW w:w="1900" w:type="dxa"/>
            <w:vAlign w:val="bottom"/>
            <w:tcBorders>
              <w:bottom w:val="single" w:sz="8" w:color="151618"/>
            </w:tcBorders>
            <w:shd w:val="clear" w:color="auto" w:fill="151618"/>
          </w:tcPr>
          <w:p>
            <w:pPr>
              <w:ind w:left="220"/>
              <w:spacing w:after="0" w:line="193" w:lineRule="exact"/>
              <w:rPr>
                <w:sz w:val="20"/>
                <w:szCs w:val="20"/>
                <w:color w:val="auto"/>
              </w:rPr>
            </w:pPr>
            <w:r>
              <w:rPr>
                <w:rFonts w:ascii="Calibri" w:cs="Calibri" w:eastAsia="Calibri" w:hAnsi="Calibri"/>
                <w:sz w:val="16"/>
                <w:szCs w:val="16"/>
                <w:b w:val="1"/>
                <w:bCs w:val="1"/>
                <w:color w:val="FFFFFF"/>
              </w:rPr>
              <w:t>Positon(s)</w:t>
            </w:r>
          </w:p>
        </w:tc>
        <w:tc>
          <w:tcPr>
            <w:tcW w:w="1520" w:type="dxa"/>
            <w:vAlign w:val="bottom"/>
            <w:tcBorders>
              <w:bottom w:val="single" w:sz="8" w:color="151618"/>
            </w:tcBorders>
            <w:shd w:val="clear" w:color="auto" w:fill="151618"/>
          </w:tcPr>
          <w:p>
            <w:pPr>
              <w:jc w:val="right"/>
              <w:ind w:right="339"/>
              <w:spacing w:after="0" w:line="193" w:lineRule="exact"/>
              <w:rPr>
                <w:sz w:val="20"/>
                <w:szCs w:val="20"/>
                <w:color w:val="auto"/>
              </w:rPr>
            </w:pPr>
            <w:r>
              <w:rPr>
                <w:rFonts w:ascii="Calibri" w:cs="Calibri" w:eastAsia="Calibri" w:hAnsi="Calibri"/>
                <w:sz w:val="16"/>
                <w:szCs w:val="16"/>
                <w:b w:val="1"/>
                <w:bCs w:val="1"/>
                <w:color w:val="FFFFFF"/>
              </w:rPr>
              <w:t>Director Since</w:t>
            </w:r>
          </w:p>
        </w:tc>
        <w:tc>
          <w:tcPr>
            <w:tcW w:w="1500" w:type="dxa"/>
            <w:vAlign w:val="bottom"/>
            <w:tcBorders>
              <w:bottom w:val="single" w:sz="8" w:color="151618"/>
            </w:tcBorders>
            <w:shd w:val="clear" w:color="auto" w:fill="151618"/>
          </w:tcPr>
          <w:p>
            <w:pPr>
              <w:ind w:left="380"/>
              <w:spacing w:after="0" w:line="193" w:lineRule="exact"/>
              <w:rPr>
                <w:sz w:val="20"/>
                <w:szCs w:val="20"/>
                <w:color w:val="auto"/>
              </w:rPr>
            </w:pPr>
            <w:r>
              <w:rPr>
                <w:rFonts w:ascii="Calibri" w:cs="Calibri" w:eastAsia="Calibri" w:hAnsi="Calibri"/>
                <w:sz w:val="16"/>
                <w:szCs w:val="16"/>
                <w:b w:val="1"/>
                <w:bCs w:val="1"/>
                <w:color w:val="FFFFFF"/>
              </w:rPr>
              <w:t>Expires</w:t>
            </w:r>
          </w:p>
        </w:tc>
        <w:tc>
          <w:tcPr>
            <w:tcW w:w="1920" w:type="dxa"/>
            <w:vAlign w:val="bottom"/>
            <w:tcBorders>
              <w:bottom w:val="single" w:sz="8" w:color="151618"/>
              <w:right w:val="single" w:sz="8" w:color="auto"/>
            </w:tcBorders>
            <w:shd w:val="clear" w:color="auto" w:fill="151618"/>
          </w:tcPr>
          <w:p>
            <w:pPr>
              <w:ind w:left="220"/>
              <w:spacing w:after="0" w:line="193" w:lineRule="exact"/>
              <w:rPr>
                <w:sz w:val="20"/>
                <w:szCs w:val="20"/>
                <w:color w:val="auto"/>
              </w:rPr>
            </w:pPr>
            <w:r>
              <w:rPr>
                <w:rFonts w:ascii="Calibri" w:cs="Calibri" w:eastAsia="Calibri" w:hAnsi="Calibri"/>
                <w:sz w:val="16"/>
                <w:szCs w:val="16"/>
                <w:b w:val="1"/>
                <w:bCs w:val="1"/>
                <w:color w:val="FFFFFF"/>
              </w:rPr>
              <w:t>Which Nominated</w:t>
            </w:r>
          </w:p>
        </w:tc>
      </w:tr>
      <w:tr>
        <w:trPr>
          <w:trHeight w:val="214"/>
        </w:trPr>
        <w:tc>
          <w:tcPr>
            <w:tcW w:w="2040" w:type="dxa"/>
            <w:vAlign w:val="bottom"/>
            <w:tcBorders>
              <w:top w:val="single" w:sz="8" w:color="auto"/>
              <w:left w:val="single" w:sz="8" w:color="auto"/>
              <w:bottom w:val="single" w:sz="8" w:color="E5FF61"/>
            </w:tcBorders>
            <w:shd w:val="clear" w:color="auto" w:fill="E5FF61"/>
          </w:tcPr>
          <w:p>
            <w:pPr>
              <w:ind w:left="80"/>
              <w:spacing w:after="0" w:line="187" w:lineRule="exact"/>
              <w:rPr>
                <w:sz w:val="20"/>
                <w:szCs w:val="20"/>
                <w:color w:val="auto"/>
              </w:rPr>
            </w:pPr>
            <w:r>
              <w:rPr>
                <w:rFonts w:ascii="Calibri" w:cs="Calibri" w:eastAsia="Calibri" w:hAnsi="Calibri"/>
                <w:sz w:val="16"/>
                <w:szCs w:val="16"/>
                <w:b w:val="1"/>
                <w:bCs w:val="1"/>
                <w:color w:val="auto"/>
              </w:rPr>
              <w:t>Nominees for Director</w:t>
            </w:r>
          </w:p>
        </w:tc>
        <w:tc>
          <w:tcPr>
            <w:tcW w:w="1140" w:type="dxa"/>
            <w:vAlign w:val="bottom"/>
            <w:tcBorders>
              <w:top w:val="single" w:sz="8" w:color="auto"/>
              <w:bottom w:val="single" w:sz="8" w:color="E5FF61"/>
            </w:tcBorders>
            <w:shd w:val="clear" w:color="auto" w:fill="E5FF61"/>
          </w:tcPr>
          <w:p>
            <w:pPr>
              <w:spacing w:after="0"/>
              <w:rPr>
                <w:sz w:val="18"/>
                <w:szCs w:val="18"/>
                <w:color w:val="auto"/>
              </w:rPr>
            </w:pPr>
          </w:p>
        </w:tc>
        <w:tc>
          <w:tcPr>
            <w:tcW w:w="840" w:type="dxa"/>
            <w:vAlign w:val="bottom"/>
            <w:tcBorders>
              <w:top w:val="single" w:sz="8" w:color="auto"/>
              <w:bottom w:val="single" w:sz="8" w:color="E5FF61"/>
            </w:tcBorders>
            <w:shd w:val="clear" w:color="auto" w:fill="E5FF61"/>
          </w:tcPr>
          <w:p>
            <w:pPr>
              <w:spacing w:after="0"/>
              <w:rPr>
                <w:sz w:val="18"/>
                <w:szCs w:val="18"/>
                <w:color w:val="auto"/>
              </w:rPr>
            </w:pPr>
          </w:p>
        </w:tc>
        <w:tc>
          <w:tcPr>
            <w:tcW w:w="1900" w:type="dxa"/>
            <w:vAlign w:val="bottom"/>
            <w:tcBorders>
              <w:top w:val="single" w:sz="8" w:color="auto"/>
              <w:bottom w:val="single" w:sz="8" w:color="E5FF61"/>
            </w:tcBorders>
            <w:shd w:val="clear" w:color="auto" w:fill="E5FF61"/>
          </w:tcPr>
          <w:p>
            <w:pPr>
              <w:spacing w:after="0"/>
              <w:rPr>
                <w:sz w:val="18"/>
                <w:szCs w:val="18"/>
                <w:color w:val="auto"/>
              </w:rPr>
            </w:pPr>
          </w:p>
        </w:tc>
        <w:tc>
          <w:tcPr>
            <w:tcW w:w="1520" w:type="dxa"/>
            <w:vAlign w:val="bottom"/>
            <w:tcBorders>
              <w:top w:val="single" w:sz="8" w:color="auto"/>
              <w:bottom w:val="single" w:sz="8" w:color="E5FF61"/>
            </w:tcBorders>
            <w:shd w:val="clear" w:color="auto" w:fill="E5FF61"/>
          </w:tcPr>
          <w:p>
            <w:pPr>
              <w:spacing w:after="0"/>
              <w:rPr>
                <w:sz w:val="18"/>
                <w:szCs w:val="18"/>
                <w:color w:val="auto"/>
              </w:rPr>
            </w:pPr>
          </w:p>
        </w:tc>
        <w:tc>
          <w:tcPr>
            <w:tcW w:w="1500" w:type="dxa"/>
            <w:vAlign w:val="bottom"/>
            <w:tcBorders>
              <w:top w:val="single" w:sz="8" w:color="auto"/>
              <w:bottom w:val="single" w:sz="8" w:color="E5FF61"/>
            </w:tcBorders>
            <w:shd w:val="clear" w:color="auto" w:fill="E5FF61"/>
          </w:tcPr>
          <w:p>
            <w:pPr>
              <w:spacing w:after="0"/>
              <w:rPr>
                <w:sz w:val="18"/>
                <w:szCs w:val="18"/>
                <w:color w:val="auto"/>
              </w:rPr>
            </w:pPr>
          </w:p>
        </w:tc>
        <w:tc>
          <w:tcPr>
            <w:tcW w:w="1920" w:type="dxa"/>
            <w:vAlign w:val="bottom"/>
            <w:tcBorders>
              <w:top w:val="single" w:sz="8" w:color="auto"/>
              <w:bottom w:val="single" w:sz="8" w:color="E5FF61"/>
              <w:right w:val="single" w:sz="8" w:color="auto"/>
            </w:tcBorders>
            <w:shd w:val="clear" w:color="auto" w:fill="E5FF61"/>
          </w:tcPr>
          <w:p>
            <w:pPr>
              <w:spacing w:after="0"/>
              <w:rPr>
                <w:sz w:val="18"/>
                <w:szCs w:val="18"/>
                <w:color w:val="auto"/>
              </w:rPr>
            </w:pPr>
          </w:p>
        </w:tc>
      </w:tr>
      <w:tr>
        <w:trPr>
          <w:trHeight w:val="237"/>
        </w:trPr>
        <w:tc>
          <w:tcPr>
            <w:tcW w:w="2040" w:type="dxa"/>
            <w:vAlign w:val="bottom"/>
            <w:tcBorders>
              <w:top w:val="single" w:sz="8" w:color="auto"/>
              <w:left w:val="single" w:sz="8" w:color="auto"/>
              <w:bottom w:val="single" w:sz="8" w:color="auto"/>
            </w:tcBorders>
          </w:tcPr>
          <w:p>
            <w:pPr>
              <w:ind w:left="80"/>
              <w:spacing w:after="0" w:line="237" w:lineRule="exact"/>
              <w:rPr>
                <w:sz w:val="20"/>
                <w:szCs w:val="20"/>
                <w:color w:val="auto"/>
              </w:rPr>
            </w:pPr>
            <w:r>
              <w:rPr>
                <w:rFonts w:ascii="Calibri" w:cs="Calibri" w:eastAsia="Calibri" w:hAnsi="Calibri"/>
                <w:sz w:val="16"/>
                <w:szCs w:val="16"/>
                <w:b w:val="1"/>
                <w:bCs w:val="1"/>
                <w:color w:val="auto"/>
              </w:rPr>
              <w:t>Sean Collins</w:t>
            </w:r>
            <w:r>
              <w:rPr>
                <w:rFonts w:ascii="Calibri" w:cs="Calibri" w:eastAsia="Calibri" w:hAnsi="Calibri"/>
                <w:sz w:val="21"/>
                <w:szCs w:val="21"/>
                <w:b w:val="1"/>
                <w:bCs w:val="1"/>
                <w:color w:val="auto"/>
                <w:vertAlign w:val="superscript"/>
              </w:rPr>
              <w:t>(1)(2)(3)</w:t>
            </w:r>
          </w:p>
        </w:tc>
        <w:tc>
          <w:tcPr>
            <w:tcW w:w="1140" w:type="dxa"/>
            <w:vAlign w:val="bottom"/>
            <w:tcBorders>
              <w:top w:val="single" w:sz="8" w:color="auto"/>
              <w:bottom w:val="single" w:sz="8" w:color="auto"/>
            </w:tcBorders>
          </w:tcPr>
          <w:p>
            <w:pPr>
              <w:jc w:val="center"/>
              <w:ind w:left="179"/>
              <w:spacing w:after="0" w:line="193" w:lineRule="exact"/>
              <w:rPr>
                <w:sz w:val="20"/>
                <w:szCs w:val="20"/>
                <w:color w:val="auto"/>
              </w:rPr>
            </w:pPr>
            <w:r>
              <w:rPr>
                <w:rFonts w:ascii="Calibri" w:cs="Calibri" w:eastAsia="Calibri" w:hAnsi="Calibri"/>
                <w:sz w:val="16"/>
                <w:szCs w:val="16"/>
                <w:color w:val="auto"/>
                <w:w w:val="98"/>
              </w:rPr>
              <w:t>III</w:t>
            </w:r>
          </w:p>
        </w:tc>
        <w:tc>
          <w:tcPr>
            <w:tcW w:w="840" w:type="dxa"/>
            <w:vAlign w:val="bottom"/>
            <w:tcBorders>
              <w:top w:val="single" w:sz="8" w:color="auto"/>
              <w:bottom w:val="single" w:sz="8" w:color="auto"/>
            </w:tcBorders>
          </w:tcPr>
          <w:p>
            <w:pPr>
              <w:jc w:val="center"/>
              <w:ind w:left="39"/>
              <w:spacing w:after="0" w:line="193" w:lineRule="exact"/>
              <w:rPr>
                <w:sz w:val="20"/>
                <w:szCs w:val="20"/>
                <w:color w:val="auto"/>
              </w:rPr>
            </w:pPr>
            <w:r>
              <w:rPr>
                <w:rFonts w:ascii="Calibri" w:cs="Calibri" w:eastAsia="Calibri" w:hAnsi="Calibri"/>
                <w:sz w:val="16"/>
                <w:szCs w:val="16"/>
                <w:color w:val="auto"/>
                <w:w w:val="98"/>
              </w:rPr>
              <w:t>44</w:t>
            </w:r>
          </w:p>
        </w:tc>
        <w:tc>
          <w:tcPr>
            <w:tcW w:w="1900" w:type="dxa"/>
            <w:vAlign w:val="bottom"/>
            <w:tcBorders>
              <w:top w:val="single" w:sz="8" w:color="auto"/>
              <w:bottom w:val="single" w:sz="8" w:color="auto"/>
            </w:tcBorders>
          </w:tcPr>
          <w:p>
            <w:pPr>
              <w:ind w:left="220"/>
              <w:spacing w:after="0" w:line="193" w:lineRule="exact"/>
              <w:rPr>
                <w:sz w:val="20"/>
                <w:szCs w:val="20"/>
                <w:color w:val="auto"/>
              </w:rPr>
            </w:pPr>
            <w:r>
              <w:rPr>
                <w:rFonts w:ascii="Calibri" w:cs="Calibri" w:eastAsia="Calibri" w:hAnsi="Calibri"/>
                <w:sz w:val="16"/>
                <w:szCs w:val="16"/>
                <w:color w:val="auto"/>
              </w:rPr>
              <w:t>Director</w:t>
            </w:r>
          </w:p>
        </w:tc>
        <w:tc>
          <w:tcPr>
            <w:tcW w:w="1520" w:type="dxa"/>
            <w:vAlign w:val="bottom"/>
            <w:tcBorders>
              <w:top w:val="single" w:sz="8" w:color="auto"/>
              <w:bottom w:val="single" w:sz="8" w:color="auto"/>
            </w:tcBorders>
          </w:tcPr>
          <w:p>
            <w:pPr>
              <w:jc w:val="right"/>
              <w:ind w:right="299"/>
              <w:spacing w:after="0" w:line="193" w:lineRule="exact"/>
              <w:rPr>
                <w:sz w:val="20"/>
                <w:szCs w:val="20"/>
                <w:color w:val="auto"/>
              </w:rPr>
            </w:pPr>
            <w:r>
              <w:rPr>
                <w:rFonts w:ascii="Calibri" w:cs="Calibri" w:eastAsia="Calibri" w:hAnsi="Calibri"/>
                <w:sz w:val="16"/>
                <w:szCs w:val="16"/>
                <w:color w:val="auto"/>
              </w:rPr>
              <w:t>2021</w:t>
            </w:r>
          </w:p>
        </w:tc>
        <w:tc>
          <w:tcPr>
            <w:tcW w:w="1500" w:type="dxa"/>
            <w:vAlign w:val="bottom"/>
            <w:tcBorders>
              <w:top w:val="single" w:sz="8" w:color="auto"/>
              <w:bottom w:val="single" w:sz="8" w:color="auto"/>
            </w:tcBorders>
          </w:tcPr>
          <w:p>
            <w:pPr>
              <w:jc w:val="right"/>
              <w:ind w:right="279"/>
              <w:spacing w:after="0" w:line="193" w:lineRule="exact"/>
              <w:rPr>
                <w:sz w:val="20"/>
                <w:szCs w:val="20"/>
                <w:color w:val="auto"/>
              </w:rPr>
            </w:pPr>
            <w:r>
              <w:rPr>
                <w:rFonts w:ascii="Calibri" w:cs="Calibri" w:eastAsia="Calibri" w:hAnsi="Calibri"/>
                <w:sz w:val="16"/>
                <w:szCs w:val="16"/>
                <w:color w:val="auto"/>
              </w:rPr>
              <w:t>2024</w:t>
            </w:r>
          </w:p>
        </w:tc>
        <w:tc>
          <w:tcPr>
            <w:tcW w:w="1920" w:type="dxa"/>
            <w:vAlign w:val="bottom"/>
            <w:tcBorders>
              <w:top w:val="single" w:sz="8" w:color="auto"/>
              <w:bottom w:val="single" w:sz="8" w:color="auto"/>
              <w:right w:val="single" w:sz="8" w:color="auto"/>
            </w:tcBorders>
          </w:tcPr>
          <w:p>
            <w:pPr>
              <w:jc w:val="center"/>
              <w:ind w:left="39"/>
              <w:spacing w:after="0" w:line="193" w:lineRule="exact"/>
              <w:rPr>
                <w:sz w:val="20"/>
                <w:szCs w:val="20"/>
                <w:color w:val="auto"/>
              </w:rPr>
            </w:pPr>
            <w:r>
              <w:rPr>
                <w:rFonts w:ascii="Calibri" w:cs="Calibri" w:eastAsia="Calibri" w:hAnsi="Calibri"/>
                <w:sz w:val="16"/>
                <w:szCs w:val="16"/>
                <w:b w:val="1"/>
                <w:bCs w:val="1"/>
                <w:color w:val="auto"/>
                <w:w w:val="98"/>
              </w:rPr>
              <w:t>2027</w:t>
            </w:r>
          </w:p>
        </w:tc>
      </w:tr>
      <w:tr>
        <w:trPr>
          <w:trHeight w:val="236"/>
        </w:trPr>
        <w:tc>
          <w:tcPr>
            <w:tcW w:w="2040" w:type="dxa"/>
            <w:vAlign w:val="bottom"/>
            <w:tcBorders>
              <w:left w:val="single" w:sz="8" w:color="auto"/>
              <w:bottom w:val="single" w:sz="8" w:color="auto"/>
            </w:tcBorders>
          </w:tcPr>
          <w:p>
            <w:pPr>
              <w:ind w:left="80"/>
              <w:spacing w:after="0" w:line="237" w:lineRule="exact"/>
              <w:rPr>
                <w:sz w:val="20"/>
                <w:szCs w:val="20"/>
                <w:color w:val="auto"/>
              </w:rPr>
            </w:pPr>
            <w:r>
              <w:rPr>
                <w:rFonts w:ascii="Calibri" w:cs="Calibri" w:eastAsia="Calibri" w:hAnsi="Calibri"/>
                <w:sz w:val="16"/>
                <w:szCs w:val="16"/>
                <w:b w:val="1"/>
                <w:bCs w:val="1"/>
                <w:color w:val="auto"/>
              </w:rPr>
              <w:t>Richard Lumb</w:t>
            </w:r>
            <w:r>
              <w:rPr>
                <w:rFonts w:ascii="Calibri" w:cs="Calibri" w:eastAsia="Calibri" w:hAnsi="Calibri"/>
                <w:sz w:val="21"/>
                <w:szCs w:val="21"/>
                <w:b w:val="1"/>
                <w:bCs w:val="1"/>
                <w:color w:val="auto"/>
                <w:vertAlign w:val="superscript"/>
              </w:rPr>
              <w:t>(1)</w:t>
            </w:r>
          </w:p>
        </w:tc>
        <w:tc>
          <w:tcPr>
            <w:tcW w:w="1140" w:type="dxa"/>
            <w:vAlign w:val="bottom"/>
            <w:tcBorders>
              <w:bottom w:val="single" w:sz="8" w:color="auto"/>
            </w:tcBorders>
          </w:tcPr>
          <w:p>
            <w:pPr>
              <w:jc w:val="center"/>
              <w:ind w:left="179"/>
              <w:spacing w:after="0" w:line="193" w:lineRule="exact"/>
              <w:rPr>
                <w:sz w:val="20"/>
                <w:szCs w:val="20"/>
                <w:color w:val="auto"/>
              </w:rPr>
            </w:pPr>
            <w:r>
              <w:rPr>
                <w:rFonts w:ascii="Calibri" w:cs="Calibri" w:eastAsia="Calibri" w:hAnsi="Calibri"/>
                <w:sz w:val="16"/>
                <w:szCs w:val="16"/>
                <w:color w:val="auto"/>
                <w:w w:val="98"/>
              </w:rPr>
              <w:t>III</w:t>
            </w:r>
          </w:p>
        </w:tc>
        <w:tc>
          <w:tcPr>
            <w:tcW w:w="840" w:type="dxa"/>
            <w:vAlign w:val="bottom"/>
            <w:tcBorders>
              <w:bottom w:val="single" w:sz="8" w:color="auto"/>
            </w:tcBorders>
          </w:tcPr>
          <w:p>
            <w:pPr>
              <w:jc w:val="center"/>
              <w:ind w:left="39"/>
              <w:spacing w:after="0" w:line="193" w:lineRule="exact"/>
              <w:rPr>
                <w:sz w:val="20"/>
                <w:szCs w:val="20"/>
                <w:color w:val="auto"/>
              </w:rPr>
            </w:pPr>
            <w:r>
              <w:rPr>
                <w:rFonts w:ascii="Calibri" w:cs="Calibri" w:eastAsia="Calibri" w:hAnsi="Calibri"/>
                <w:sz w:val="16"/>
                <w:szCs w:val="16"/>
                <w:color w:val="auto"/>
                <w:w w:val="98"/>
              </w:rPr>
              <w:t>63</w:t>
            </w:r>
          </w:p>
        </w:tc>
        <w:tc>
          <w:tcPr>
            <w:tcW w:w="1900" w:type="dxa"/>
            <w:vAlign w:val="bottom"/>
            <w:tcBorders>
              <w:bottom w:val="single" w:sz="8" w:color="auto"/>
            </w:tcBorders>
          </w:tcPr>
          <w:p>
            <w:pPr>
              <w:ind w:left="220"/>
              <w:spacing w:after="0" w:line="193" w:lineRule="exact"/>
              <w:rPr>
                <w:sz w:val="20"/>
                <w:szCs w:val="20"/>
                <w:color w:val="auto"/>
              </w:rPr>
            </w:pPr>
            <w:r>
              <w:rPr>
                <w:rFonts w:ascii="Calibri" w:cs="Calibri" w:eastAsia="Calibri" w:hAnsi="Calibri"/>
                <w:sz w:val="16"/>
                <w:szCs w:val="16"/>
                <w:color w:val="auto"/>
              </w:rPr>
              <w:t>Director</w:t>
            </w:r>
          </w:p>
        </w:tc>
        <w:tc>
          <w:tcPr>
            <w:tcW w:w="1520" w:type="dxa"/>
            <w:vAlign w:val="bottom"/>
            <w:tcBorders>
              <w:bottom w:val="single" w:sz="8" w:color="auto"/>
            </w:tcBorders>
          </w:tcPr>
          <w:p>
            <w:pPr>
              <w:jc w:val="right"/>
              <w:ind w:right="299"/>
              <w:spacing w:after="0" w:line="193" w:lineRule="exact"/>
              <w:rPr>
                <w:sz w:val="20"/>
                <w:szCs w:val="20"/>
                <w:color w:val="auto"/>
              </w:rPr>
            </w:pPr>
            <w:r>
              <w:rPr>
                <w:rFonts w:ascii="Calibri" w:cs="Calibri" w:eastAsia="Calibri" w:hAnsi="Calibri"/>
                <w:sz w:val="16"/>
                <w:szCs w:val="16"/>
                <w:color w:val="auto"/>
              </w:rPr>
              <w:t>2021</w:t>
            </w:r>
          </w:p>
        </w:tc>
        <w:tc>
          <w:tcPr>
            <w:tcW w:w="1500" w:type="dxa"/>
            <w:vAlign w:val="bottom"/>
            <w:tcBorders>
              <w:bottom w:val="single" w:sz="8" w:color="auto"/>
            </w:tcBorders>
          </w:tcPr>
          <w:p>
            <w:pPr>
              <w:jc w:val="right"/>
              <w:ind w:right="279"/>
              <w:spacing w:after="0" w:line="193" w:lineRule="exact"/>
              <w:rPr>
                <w:sz w:val="20"/>
                <w:szCs w:val="20"/>
                <w:color w:val="auto"/>
              </w:rPr>
            </w:pPr>
            <w:r>
              <w:rPr>
                <w:rFonts w:ascii="Calibri" w:cs="Calibri" w:eastAsia="Calibri" w:hAnsi="Calibri"/>
                <w:sz w:val="16"/>
                <w:szCs w:val="16"/>
                <w:color w:val="auto"/>
              </w:rPr>
              <w:t>2024</w:t>
            </w:r>
          </w:p>
        </w:tc>
        <w:tc>
          <w:tcPr>
            <w:tcW w:w="1920" w:type="dxa"/>
            <w:vAlign w:val="bottom"/>
            <w:tcBorders>
              <w:bottom w:val="single" w:sz="8" w:color="auto"/>
              <w:right w:val="single" w:sz="8" w:color="auto"/>
            </w:tcBorders>
          </w:tcPr>
          <w:p>
            <w:pPr>
              <w:jc w:val="center"/>
              <w:ind w:left="39"/>
              <w:spacing w:after="0" w:line="193" w:lineRule="exact"/>
              <w:rPr>
                <w:sz w:val="20"/>
                <w:szCs w:val="20"/>
                <w:color w:val="auto"/>
              </w:rPr>
            </w:pPr>
            <w:r>
              <w:rPr>
                <w:rFonts w:ascii="Calibri" w:cs="Calibri" w:eastAsia="Calibri" w:hAnsi="Calibri"/>
                <w:sz w:val="16"/>
                <w:szCs w:val="16"/>
                <w:b w:val="1"/>
                <w:bCs w:val="1"/>
                <w:color w:val="auto"/>
                <w:w w:val="98"/>
              </w:rPr>
              <w:t>2027</w:t>
            </w:r>
          </w:p>
        </w:tc>
      </w:tr>
      <w:tr>
        <w:trPr>
          <w:trHeight w:val="155"/>
        </w:trPr>
        <w:tc>
          <w:tcPr>
            <w:tcW w:w="2040" w:type="dxa"/>
            <w:vAlign w:val="bottom"/>
            <w:tcBorders>
              <w:left w:val="single" w:sz="8" w:color="auto"/>
            </w:tcBorders>
          </w:tcPr>
          <w:p>
            <w:pPr>
              <w:ind w:left="80"/>
              <w:spacing w:after="0" w:line="156" w:lineRule="exact"/>
              <w:rPr>
                <w:sz w:val="20"/>
                <w:szCs w:val="20"/>
                <w:color w:val="auto"/>
              </w:rPr>
            </w:pPr>
            <w:r>
              <w:rPr>
                <w:rFonts w:ascii="Calibri" w:cs="Calibri" w:eastAsia="Calibri" w:hAnsi="Calibri"/>
                <w:sz w:val="16"/>
                <w:szCs w:val="16"/>
                <w:b w:val="1"/>
                <w:bCs w:val="1"/>
                <w:color w:val="auto"/>
              </w:rPr>
              <w:t>Andrew Main</w:t>
            </w:r>
          </w:p>
        </w:tc>
        <w:tc>
          <w:tcPr>
            <w:tcW w:w="1140" w:type="dxa"/>
            <w:vAlign w:val="bottom"/>
          </w:tcPr>
          <w:p>
            <w:pPr>
              <w:jc w:val="center"/>
              <w:ind w:left="179"/>
              <w:spacing w:after="0" w:line="156" w:lineRule="exact"/>
              <w:rPr>
                <w:sz w:val="20"/>
                <w:szCs w:val="20"/>
                <w:color w:val="auto"/>
              </w:rPr>
            </w:pPr>
            <w:r>
              <w:rPr>
                <w:rFonts w:ascii="Calibri" w:cs="Calibri" w:eastAsia="Calibri" w:hAnsi="Calibri"/>
                <w:sz w:val="16"/>
                <w:szCs w:val="16"/>
                <w:color w:val="auto"/>
                <w:w w:val="98"/>
              </w:rPr>
              <w:t>III</w:t>
            </w:r>
          </w:p>
        </w:tc>
        <w:tc>
          <w:tcPr>
            <w:tcW w:w="840" w:type="dxa"/>
            <w:vAlign w:val="bottom"/>
          </w:tcPr>
          <w:p>
            <w:pPr>
              <w:jc w:val="center"/>
              <w:ind w:left="39"/>
              <w:spacing w:after="0" w:line="156" w:lineRule="exact"/>
              <w:rPr>
                <w:sz w:val="20"/>
                <w:szCs w:val="20"/>
                <w:color w:val="auto"/>
              </w:rPr>
            </w:pPr>
            <w:r>
              <w:rPr>
                <w:rFonts w:ascii="Calibri" w:cs="Calibri" w:eastAsia="Calibri" w:hAnsi="Calibri"/>
                <w:sz w:val="16"/>
                <w:szCs w:val="16"/>
                <w:color w:val="auto"/>
                <w:w w:val="98"/>
              </w:rPr>
              <w:t>59</w:t>
            </w:r>
          </w:p>
        </w:tc>
        <w:tc>
          <w:tcPr>
            <w:tcW w:w="1900" w:type="dxa"/>
            <w:vAlign w:val="bottom"/>
          </w:tcPr>
          <w:p>
            <w:pPr>
              <w:ind w:left="220"/>
              <w:spacing w:after="0" w:line="156" w:lineRule="exact"/>
              <w:rPr>
                <w:sz w:val="20"/>
                <w:szCs w:val="20"/>
                <w:color w:val="auto"/>
              </w:rPr>
            </w:pPr>
            <w:r>
              <w:rPr>
                <w:rFonts w:ascii="Calibri" w:cs="Calibri" w:eastAsia="Calibri" w:hAnsi="Calibri"/>
                <w:sz w:val="16"/>
                <w:szCs w:val="16"/>
                <w:color w:val="auto"/>
              </w:rPr>
              <w:t>Chief Executve Ofcer,</w:t>
            </w:r>
          </w:p>
        </w:tc>
        <w:tc>
          <w:tcPr>
            <w:tcW w:w="1520" w:type="dxa"/>
            <w:vAlign w:val="bottom"/>
          </w:tcPr>
          <w:p>
            <w:pPr>
              <w:jc w:val="right"/>
              <w:ind w:right="299"/>
              <w:spacing w:after="0" w:line="156" w:lineRule="exact"/>
              <w:rPr>
                <w:sz w:val="20"/>
                <w:szCs w:val="20"/>
                <w:color w:val="auto"/>
              </w:rPr>
            </w:pPr>
            <w:r>
              <w:rPr>
                <w:rFonts w:ascii="Calibri" w:cs="Calibri" w:eastAsia="Calibri" w:hAnsi="Calibri"/>
                <w:sz w:val="16"/>
                <w:szCs w:val="16"/>
                <w:color w:val="auto"/>
              </w:rPr>
              <w:t>2021</w:t>
            </w:r>
          </w:p>
        </w:tc>
        <w:tc>
          <w:tcPr>
            <w:tcW w:w="1500" w:type="dxa"/>
            <w:vAlign w:val="bottom"/>
          </w:tcPr>
          <w:p>
            <w:pPr>
              <w:jc w:val="right"/>
              <w:ind w:right="279"/>
              <w:spacing w:after="0" w:line="156" w:lineRule="exact"/>
              <w:rPr>
                <w:sz w:val="20"/>
                <w:szCs w:val="20"/>
                <w:color w:val="auto"/>
              </w:rPr>
            </w:pPr>
            <w:r>
              <w:rPr>
                <w:rFonts w:ascii="Calibri" w:cs="Calibri" w:eastAsia="Calibri" w:hAnsi="Calibri"/>
                <w:sz w:val="16"/>
                <w:szCs w:val="16"/>
                <w:color w:val="auto"/>
              </w:rPr>
              <w:t>2024</w:t>
            </w:r>
          </w:p>
        </w:tc>
        <w:tc>
          <w:tcPr>
            <w:tcW w:w="1920" w:type="dxa"/>
            <w:vAlign w:val="bottom"/>
            <w:tcBorders>
              <w:right w:val="single" w:sz="8" w:color="auto"/>
            </w:tcBorders>
          </w:tcPr>
          <w:p>
            <w:pPr>
              <w:jc w:val="center"/>
              <w:ind w:left="39"/>
              <w:spacing w:after="0" w:line="156" w:lineRule="exact"/>
              <w:rPr>
                <w:sz w:val="20"/>
                <w:szCs w:val="20"/>
                <w:color w:val="auto"/>
              </w:rPr>
            </w:pPr>
            <w:r>
              <w:rPr>
                <w:rFonts w:ascii="Calibri" w:cs="Calibri" w:eastAsia="Calibri" w:hAnsi="Calibri"/>
                <w:sz w:val="16"/>
                <w:szCs w:val="16"/>
                <w:b w:val="1"/>
                <w:bCs w:val="1"/>
                <w:color w:val="auto"/>
                <w:w w:val="98"/>
              </w:rPr>
              <w:t>2027</w:t>
            </w:r>
          </w:p>
        </w:tc>
      </w:tr>
      <w:tr>
        <w:trPr>
          <w:trHeight w:val="194"/>
        </w:trPr>
        <w:tc>
          <w:tcPr>
            <w:tcW w:w="2040" w:type="dxa"/>
            <w:vAlign w:val="bottom"/>
            <w:tcBorders>
              <w:left w:val="single" w:sz="8" w:color="auto"/>
            </w:tcBorders>
          </w:tcPr>
          <w:p>
            <w:pPr>
              <w:spacing w:after="0"/>
              <w:rPr>
                <w:sz w:val="16"/>
                <w:szCs w:val="16"/>
                <w:color w:val="auto"/>
              </w:rPr>
            </w:pPr>
          </w:p>
        </w:tc>
        <w:tc>
          <w:tcPr>
            <w:tcW w:w="1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900" w:type="dxa"/>
            <w:vAlign w:val="bottom"/>
          </w:tcPr>
          <w:p>
            <w:pPr>
              <w:ind w:left="220"/>
              <w:spacing w:after="0" w:line="193" w:lineRule="exact"/>
              <w:rPr>
                <w:sz w:val="20"/>
                <w:szCs w:val="20"/>
                <w:color w:val="auto"/>
              </w:rPr>
            </w:pPr>
            <w:r>
              <w:rPr>
                <w:rFonts w:ascii="Calibri" w:cs="Calibri" w:eastAsia="Calibri" w:hAnsi="Calibri"/>
                <w:sz w:val="16"/>
                <w:szCs w:val="16"/>
                <w:color w:val="auto"/>
              </w:rPr>
              <w:t>President, Director</w:t>
            </w:r>
          </w:p>
        </w:tc>
        <w:tc>
          <w:tcPr>
            <w:tcW w:w="152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920" w:type="dxa"/>
            <w:vAlign w:val="bottom"/>
            <w:tcBorders>
              <w:right w:val="single" w:sz="8" w:color="auto"/>
            </w:tcBorders>
          </w:tcPr>
          <w:p>
            <w:pPr>
              <w:spacing w:after="0"/>
              <w:rPr>
                <w:sz w:val="16"/>
                <w:szCs w:val="16"/>
                <w:color w:val="auto"/>
              </w:rPr>
            </w:pPr>
          </w:p>
        </w:tc>
      </w:tr>
      <w:tr>
        <w:trPr>
          <w:trHeight w:val="23"/>
        </w:trPr>
        <w:tc>
          <w:tcPr>
            <w:tcW w:w="2040" w:type="dxa"/>
            <w:vAlign w:val="bottom"/>
            <w:tcBorders>
              <w:left w:val="single" w:sz="8" w:color="auto"/>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right w:val="single" w:sz="8" w:color="auto"/>
            </w:tcBorders>
          </w:tcPr>
          <w:p>
            <w:pPr>
              <w:spacing w:after="0" w:line="20" w:lineRule="exact"/>
              <w:rPr>
                <w:sz w:val="1"/>
                <w:szCs w:val="1"/>
                <w:color w:val="auto"/>
              </w:rPr>
            </w:pPr>
          </w:p>
        </w:tc>
      </w:tr>
      <w:tr>
        <w:trPr>
          <w:trHeight w:val="215"/>
        </w:trPr>
        <w:tc>
          <w:tcPr>
            <w:tcW w:w="2040" w:type="dxa"/>
            <w:vAlign w:val="bottom"/>
            <w:tcBorders>
              <w:left w:val="single" w:sz="8" w:color="auto"/>
              <w:bottom w:val="single" w:sz="8" w:color="E5FF61"/>
            </w:tcBorders>
            <w:shd w:val="clear" w:color="auto" w:fill="E5FF61"/>
          </w:tcPr>
          <w:p>
            <w:pPr>
              <w:ind w:left="80"/>
              <w:spacing w:after="0" w:line="187" w:lineRule="exact"/>
              <w:rPr>
                <w:sz w:val="20"/>
                <w:szCs w:val="20"/>
                <w:color w:val="auto"/>
              </w:rPr>
            </w:pPr>
            <w:r>
              <w:rPr>
                <w:rFonts w:ascii="Calibri" w:cs="Calibri" w:eastAsia="Calibri" w:hAnsi="Calibri"/>
                <w:sz w:val="16"/>
                <w:szCs w:val="16"/>
                <w:b w:val="1"/>
                <w:bCs w:val="1"/>
                <w:color w:val="auto"/>
              </w:rPr>
              <w:t>Contnuing Directors</w:t>
            </w:r>
          </w:p>
        </w:tc>
        <w:tc>
          <w:tcPr>
            <w:tcW w:w="1140" w:type="dxa"/>
            <w:vAlign w:val="bottom"/>
            <w:tcBorders>
              <w:bottom w:val="single" w:sz="8" w:color="E5FF61"/>
            </w:tcBorders>
            <w:shd w:val="clear" w:color="auto" w:fill="E5FF61"/>
          </w:tcPr>
          <w:p>
            <w:pPr>
              <w:spacing w:after="0"/>
              <w:rPr>
                <w:sz w:val="18"/>
                <w:szCs w:val="18"/>
                <w:color w:val="auto"/>
              </w:rPr>
            </w:pPr>
          </w:p>
        </w:tc>
        <w:tc>
          <w:tcPr>
            <w:tcW w:w="840" w:type="dxa"/>
            <w:vAlign w:val="bottom"/>
            <w:tcBorders>
              <w:bottom w:val="single" w:sz="8" w:color="E5FF61"/>
            </w:tcBorders>
            <w:shd w:val="clear" w:color="auto" w:fill="E5FF61"/>
          </w:tcPr>
          <w:p>
            <w:pPr>
              <w:spacing w:after="0"/>
              <w:rPr>
                <w:sz w:val="18"/>
                <w:szCs w:val="18"/>
                <w:color w:val="auto"/>
              </w:rPr>
            </w:pPr>
          </w:p>
        </w:tc>
        <w:tc>
          <w:tcPr>
            <w:tcW w:w="1900" w:type="dxa"/>
            <w:vAlign w:val="bottom"/>
            <w:tcBorders>
              <w:bottom w:val="single" w:sz="8" w:color="E5FF61"/>
            </w:tcBorders>
            <w:shd w:val="clear" w:color="auto" w:fill="E5FF61"/>
          </w:tcPr>
          <w:p>
            <w:pPr>
              <w:spacing w:after="0"/>
              <w:rPr>
                <w:sz w:val="18"/>
                <w:szCs w:val="18"/>
                <w:color w:val="auto"/>
              </w:rPr>
            </w:pPr>
          </w:p>
        </w:tc>
        <w:tc>
          <w:tcPr>
            <w:tcW w:w="1520" w:type="dxa"/>
            <w:vAlign w:val="bottom"/>
            <w:tcBorders>
              <w:bottom w:val="single" w:sz="8" w:color="E5FF61"/>
            </w:tcBorders>
            <w:shd w:val="clear" w:color="auto" w:fill="E5FF61"/>
          </w:tcPr>
          <w:p>
            <w:pPr>
              <w:spacing w:after="0"/>
              <w:rPr>
                <w:sz w:val="18"/>
                <w:szCs w:val="18"/>
                <w:color w:val="auto"/>
              </w:rPr>
            </w:pPr>
          </w:p>
        </w:tc>
        <w:tc>
          <w:tcPr>
            <w:tcW w:w="1500" w:type="dxa"/>
            <w:vAlign w:val="bottom"/>
            <w:tcBorders>
              <w:bottom w:val="single" w:sz="8" w:color="E5FF61"/>
            </w:tcBorders>
            <w:shd w:val="clear" w:color="auto" w:fill="E5FF61"/>
          </w:tcPr>
          <w:p>
            <w:pPr>
              <w:spacing w:after="0"/>
              <w:rPr>
                <w:sz w:val="18"/>
                <w:szCs w:val="18"/>
                <w:color w:val="auto"/>
              </w:rPr>
            </w:pPr>
          </w:p>
        </w:tc>
        <w:tc>
          <w:tcPr>
            <w:tcW w:w="1920" w:type="dxa"/>
            <w:vAlign w:val="bottom"/>
            <w:tcBorders>
              <w:bottom w:val="single" w:sz="8" w:color="E5FF61"/>
              <w:right w:val="single" w:sz="8" w:color="auto"/>
            </w:tcBorders>
            <w:shd w:val="clear" w:color="auto" w:fill="E5FF61"/>
          </w:tcPr>
          <w:p>
            <w:pPr>
              <w:spacing w:after="0"/>
              <w:rPr>
                <w:sz w:val="18"/>
                <w:szCs w:val="18"/>
                <w:color w:val="auto"/>
              </w:rPr>
            </w:pPr>
          </w:p>
        </w:tc>
      </w:tr>
      <w:tr>
        <w:trPr>
          <w:trHeight w:val="195"/>
        </w:trPr>
        <w:tc>
          <w:tcPr>
            <w:tcW w:w="2040" w:type="dxa"/>
            <w:vAlign w:val="bottom"/>
            <w:tcBorders>
              <w:top w:val="single" w:sz="8" w:color="auto"/>
              <w:left w:val="single" w:sz="8" w:color="auto"/>
            </w:tcBorders>
          </w:tcPr>
          <w:p>
            <w:pPr>
              <w:ind w:left="80"/>
              <w:spacing w:after="0"/>
              <w:rPr>
                <w:sz w:val="20"/>
                <w:szCs w:val="20"/>
                <w:color w:val="auto"/>
              </w:rPr>
            </w:pPr>
            <w:r>
              <w:rPr>
                <w:rFonts w:ascii="Calibri" w:cs="Calibri" w:eastAsia="Calibri" w:hAnsi="Calibri"/>
                <w:sz w:val="16"/>
                <w:szCs w:val="16"/>
                <w:b w:val="1"/>
                <w:bCs w:val="1"/>
                <w:color w:val="auto"/>
              </w:rPr>
              <w:t>David Clifon</w:t>
            </w:r>
          </w:p>
        </w:tc>
        <w:tc>
          <w:tcPr>
            <w:tcW w:w="1140" w:type="dxa"/>
            <w:vAlign w:val="bottom"/>
            <w:tcBorders>
              <w:top w:val="single" w:sz="8" w:color="auto"/>
            </w:tcBorders>
          </w:tcPr>
          <w:p>
            <w:pPr>
              <w:jc w:val="center"/>
              <w:ind w:left="179"/>
              <w:spacing w:after="0" w:line="193" w:lineRule="exact"/>
              <w:rPr>
                <w:sz w:val="20"/>
                <w:szCs w:val="20"/>
                <w:color w:val="auto"/>
              </w:rPr>
            </w:pPr>
            <w:r>
              <w:rPr>
                <w:rFonts w:ascii="Calibri" w:cs="Calibri" w:eastAsia="Calibri" w:hAnsi="Calibri"/>
                <w:sz w:val="16"/>
                <w:szCs w:val="16"/>
                <w:color w:val="auto"/>
                <w:w w:val="98"/>
              </w:rPr>
              <w:t>II</w:t>
            </w:r>
          </w:p>
        </w:tc>
        <w:tc>
          <w:tcPr>
            <w:tcW w:w="840" w:type="dxa"/>
            <w:vAlign w:val="bottom"/>
            <w:tcBorders>
              <w:top w:val="single" w:sz="8" w:color="auto"/>
            </w:tcBorders>
          </w:tcPr>
          <w:p>
            <w:pPr>
              <w:jc w:val="center"/>
              <w:ind w:left="39"/>
              <w:spacing w:after="0" w:line="193" w:lineRule="exact"/>
              <w:rPr>
                <w:sz w:val="20"/>
                <w:szCs w:val="20"/>
                <w:color w:val="auto"/>
              </w:rPr>
            </w:pPr>
            <w:r>
              <w:rPr>
                <w:rFonts w:ascii="Calibri" w:cs="Calibri" w:eastAsia="Calibri" w:hAnsi="Calibri"/>
                <w:sz w:val="16"/>
                <w:szCs w:val="16"/>
                <w:color w:val="auto"/>
                <w:w w:val="98"/>
              </w:rPr>
              <w:t>47</w:t>
            </w:r>
          </w:p>
        </w:tc>
        <w:tc>
          <w:tcPr>
            <w:tcW w:w="1900" w:type="dxa"/>
            <w:vAlign w:val="bottom"/>
            <w:tcBorders>
              <w:top w:val="single" w:sz="8" w:color="auto"/>
            </w:tcBorders>
          </w:tcPr>
          <w:p>
            <w:pPr>
              <w:ind w:left="220"/>
              <w:spacing w:after="0" w:line="193" w:lineRule="exact"/>
              <w:rPr>
                <w:sz w:val="20"/>
                <w:szCs w:val="20"/>
                <w:color w:val="auto"/>
              </w:rPr>
            </w:pPr>
            <w:r>
              <w:rPr>
                <w:rFonts w:ascii="Calibri" w:cs="Calibri" w:eastAsia="Calibri" w:hAnsi="Calibri"/>
                <w:sz w:val="16"/>
                <w:szCs w:val="16"/>
                <w:color w:val="auto"/>
              </w:rPr>
              <w:t>Director</w:t>
            </w:r>
          </w:p>
        </w:tc>
        <w:tc>
          <w:tcPr>
            <w:tcW w:w="1520" w:type="dxa"/>
            <w:vAlign w:val="bottom"/>
            <w:tcBorders>
              <w:top w:val="single" w:sz="8" w:color="auto"/>
            </w:tcBorders>
          </w:tcPr>
          <w:p>
            <w:pPr>
              <w:jc w:val="right"/>
              <w:ind w:right="299"/>
              <w:spacing w:after="0" w:line="193" w:lineRule="exact"/>
              <w:rPr>
                <w:sz w:val="20"/>
                <w:szCs w:val="20"/>
                <w:color w:val="auto"/>
              </w:rPr>
            </w:pPr>
            <w:r>
              <w:rPr>
                <w:rFonts w:ascii="Calibri" w:cs="Calibri" w:eastAsia="Calibri" w:hAnsi="Calibri"/>
                <w:sz w:val="16"/>
                <w:szCs w:val="16"/>
                <w:color w:val="auto"/>
              </w:rPr>
              <w:t>2021</w:t>
            </w:r>
          </w:p>
        </w:tc>
        <w:tc>
          <w:tcPr>
            <w:tcW w:w="1500" w:type="dxa"/>
            <w:vAlign w:val="bottom"/>
            <w:tcBorders>
              <w:top w:val="single" w:sz="8" w:color="auto"/>
            </w:tcBorders>
          </w:tcPr>
          <w:p>
            <w:pPr>
              <w:jc w:val="right"/>
              <w:ind w:right="279"/>
              <w:spacing w:after="0" w:line="193" w:lineRule="exact"/>
              <w:rPr>
                <w:sz w:val="20"/>
                <w:szCs w:val="20"/>
                <w:color w:val="auto"/>
              </w:rPr>
            </w:pPr>
            <w:r>
              <w:rPr>
                <w:rFonts w:ascii="Calibri" w:cs="Calibri" w:eastAsia="Calibri" w:hAnsi="Calibri"/>
                <w:sz w:val="16"/>
                <w:szCs w:val="16"/>
                <w:color w:val="auto"/>
              </w:rPr>
              <w:t>2026</w:t>
            </w:r>
          </w:p>
        </w:tc>
        <w:tc>
          <w:tcPr>
            <w:tcW w:w="1920" w:type="dxa"/>
            <w:vAlign w:val="bottom"/>
            <w:tcBorders>
              <w:top w:val="single" w:sz="8" w:color="auto"/>
              <w:right w:val="single" w:sz="8" w:color="auto"/>
            </w:tcBorders>
          </w:tcPr>
          <w:p>
            <w:pPr>
              <w:jc w:val="center"/>
              <w:ind w:left="59"/>
              <w:spacing w:after="0" w:line="193" w:lineRule="exact"/>
              <w:rPr>
                <w:sz w:val="20"/>
                <w:szCs w:val="20"/>
                <w:color w:val="auto"/>
              </w:rPr>
            </w:pPr>
            <w:r>
              <w:rPr>
                <w:rFonts w:ascii="Calibri" w:cs="Calibri" w:eastAsia="Calibri" w:hAnsi="Calibri"/>
                <w:sz w:val="16"/>
                <w:szCs w:val="16"/>
                <w:b w:val="1"/>
                <w:bCs w:val="1"/>
                <w:color w:val="auto"/>
                <w:w w:val="96"/>
              </w:rPr>
              <w:t>—</w:t>
            </w:r>
          </w:p>
        </w:tc>
      </w:tr>
      <w:tr>
        <w:trPr>
          <w:trHeight w:val="41"/>
        </w:trPr>
        <w:tc>
          <w:tcPr>
            <w:tcW w:w="2040" w:type="dxa"/>
            <w:vAlign w:val="bottom"/>
            <w:tcBorders>
              <w:left w:val="single" w:sz="8" w:color="auto"/>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1900" w:type="dxa"/>
            <w:vAlign w:val="bottom"/>
            <w:tcBorders>
              <w:bottom w:val="single" w:sz="8" w:color="auto"/>
            </w:tcBorders>
          </w:tcPr>
          <w:p>
            <w:pPr>
              <w:spacing w:after="0"/>
              <w:rPr>
                <w:sz w:val="3"/>
                <w:szCs w:val="3"/>
                <w:color w:val="auto"/>
              </w:rPr>
            </w:pPr>
          </w:p>
        </w:tc>
        <w:tc>
          <w:tcPr>
            <w:tcW w:w="1520" w:type="dxa"/>
            <w:vAlign w:val="bottom"/>
            <w:tcBorders>
              <w:bottom w:val="single" w:sz="8" w:color="auto"/>
            </w:tcBorders>
          </w:tcPr>
          <w:p>
            <w:pPr>
              <w:spacing w:after="0"/>
              <w:rPr>
                <w:sz w:val="3"/>
                <w:szCs w:val="3"/>
                <w:color w:val="auto"/>
              </w:rPr>
            </w:pPr>
          </w:p>
        </w:tc>
        <w:tc>
          <w:tcPr>
            <w:tcW w:w="1500" w:type="dxa"/>
            <w:vAlign w:val="bottom"/>
            <w:tcBorders>
              <w:bottom w:val="single" w:sz="8" w:color="auto"/>
            </w:tcBorders>
          </w:tcPr>
          <w:p>
            <w:pPr>
              <w:spacing w:after="0"/>
              <w:rPr>
                <w:sz w:val="3"/>
                <w:szCs w:val="3"/>
                <w:color w:val="auto"/>
              </w:rPr>
            </w:pPr>
          </w:p>
        </w:tc>
        <w:tc>
          <w:tcPr>
            <w:tcW w:w="1920" w:type="dxa"/>
            <w:vAlign w:val="bottom"/>
            <w:tcBorders>
              <w:bottom w:val="single" w:sz="8" w:color="auto"/>
              <w:right w:val="single" w:sz="8" w:color="auto"/>
            </w:tcBorders>
          </w:tcPr>
          <w:p>
            <w:pPr>
              <w:spacing w:after="0"/>
              <w:rPr>
                <w:sz w:val="3"/>
                <w:szCs w:val="3"/>
                <w:color w:val="auto"/>
              </w:rPr>
            </w:pPr>
          </w:p>
        </w:tc>
      </w:tr>
      <w:tr>
        <w:trPr>
          <w:trHeight w:val="237"/>
        </w:trPr>
        <w:tc>
          <w:tcPr>
            <w:tcW w:w="2040" w:type="dxa"/>
            <w:vAlign w:val="bottom"/>
            <w:tcBorders>
              <w:left w:val="single" w:sz="8" w:color="auto"/>
              <w:bottom w:val="single" w:sz="8" w:color="auto"/>
            </w:tcBorders>
          </w:tcPr>
          <w:p>
            <w:pPr>
              <w:ind w:left="80"/>
              <w:spacing w:after="0" w:line="237" w:lineRule="exact"/>
              <w:rPr>
                <w:sz w:val="20"/>
                <w:szCs w:val="20"/>
                <w:color w:val="auto"/>
              </w:rPr>
            </w:pPr>
            <w:r>
              <w:rPr>
                <w:rFonts w:ascii="Calibri" w:cs="Calibri" w:eastAsia="Calibri" w:hAnsi="Calibri"/>
                <w:sz w:val="16"/>
                <w:szCs w:val="16"/>
                <w:b w:val="1"/>
                <w:bCs w:val="1"/>
                <w:color w:val="auto"/>
              </w:rPr>
              <w:t>De’Ana Dow</w:t>
            </w:r>
            <w:r>
              <w:rPr>
                <w:rFonts w:ascii="Calibri" w:cs="Calibri" w:eastAsia="Calibri" w:hAnsi="Calibri"/>
                <w:sz w:val="21"/>
                <w:szCs w:val="21"/>
                <w:b w:val="1"/>
                <w:bCs w:val="1"/>
                <w:color w:val="auto"/>
                <w:vertAlign w:val="superscript"/>
              </w:rPr>
              <w:t>(1)</w:t>
            </w:r>
          </w:p>
        </w:tc>
        <w:tc>
          <w:tcPr>
            <w:tcW w:w="1140" w:type="dxa"/>
            <w:vAlign w:val="bottom"/>
            <w:tcBorders>
              <w:bottom w:val="single" w:sz="8" w:color="auto"/>
            </w:tcBorders>
          </w:tcPr>
          <w:p>
            <w:pPr>
              <w:jc w:val="center"/>
              <w:ind w:left="179"/>
              <w:spacing w:after="0" w:line="193" w:lineRule="exact"/>
              <w:rPr>
                <w:sz w:val="20"/>
                <w:szCs w:val="20"/>
                <w:color w:val="auto"/>
              </w:rPr>
            </w:pPr>
            <w:r>
              <w:rPr>
                <w:rFonts w:ascii="Calibri" w:cs="Calibri" w:eastAsia="Calibri" w:hAnsi="Calibri"/>
                <w:sz w:val="16"/>
                <w:szCs w:val="16"/>
                <w:color w:val="auto"/>
                <w:w w:val="98"/>
              </w:rPr>
              <w:t>II</w:t>
            </w:r>
          </w:p>
        </w:tc>
        <w:tc>
          <w:tcPr>
            <w:tcW w:w="840" w:type="dxa"/>
            <w:vAlign w:val="bottom"/>
            <w:tcBorders>
              <w:bottom w:val="single" w:sz="8" w:color="auto"/>
            </w:tcBorders>
          </w:tcPr>
          <w:p>
            <w:pPr>
              <w:jc w:val="center"/>
              <w:ind w:left="39"/>
              <w:spacing w:after="0" w:line="193" w:lineRule="exact"/>
              <w:rPr>
                <w:sz w:val="20"/>
                <w:szCs w:val="20"/>
                <w:color w:val="auto"/>
              </w:rPr>
            </w:pPr>
            <w:r>
              <w:rPr>
                <w:rFonts w:ascii="Calibri" w:cs="Calibri" w:eastAsia="Calibri" w:hAnsi="Calibri"/>
                <w:sz w:val="16"/>
                <w:szCs w:val="16"/>
                <w:color w:val="auto"/>
                <w:w w:val="98"/>
              </w:rPr>
              <w:t>68</w:t>
            </w:r>
          </w:p>
        </w:tc>
        <w:tc>
          <w:tcPr>
            <w:tcW w:w="1900" w:type="dxa"/>
            <w:vAlign w:val="bottom"/>
            <w:tcBorders>
              <w:bottom w:val="single" w:sz="8" w:color="auto"/>
            </w:tcBorders>
          </w:tcPr>
          <w:p>
            <w:pPr>
              <w:ind w:left="220"/>
              <w:spacing w:after="0" w:line="193" w:lineRule="exact"/>
              <w:rPr>
                <w:sz w:val="20"/>
                <w:szCs w:val="20"/>
                <w:color w:val="auto"/>
              </w:rPr>
            </w:pPr>
            <w:r>
              <w:rPr>
                <w:rFonts w:ascii="Calibri" w:cs="Calibri" w:eastAsia="Calibri" w:hAnsi="Calibri"/>
                <w:sz w:val="16"/>
                <w:szCs w:val="16"/>
                <w:color w:val="auto"/>
              </w:rPr>
              <w:t>Director</w:t>
            </w:r>
          </w:p>
        </w:tc>
        <w:tc>
          <w:tcPr>
            <w:tcW w:w="1520" w:type="dxa"/>
            <w:vAlign w:val="bottom"/>
            <w:tcBorders>
              <w:bottom w:val="single" w:sz="8" w:color="auto"/>
            </w:tcBorders>
          </w:tcPr>
          <w:p>
            <w:pPr>
              <w:jc w:val="right"/>
              <w:ind w:right="299"/>
              <w:spacing w:after="0" w:line="193" w:lineRule="exact"/>
              <w:rPr>
                <w:sz w:val="20"/>
                <w:szCs w:val="20"/>
                <w:color w:val="auto"/>
              </w:rPr>
            </w:pPr>
            <w:r>
              <w:rPr>
                <w:rFonts w:ascii="Calibri" w:cs="Calibri" w:eastAsia="Calibri" w:hAnsi="Calibri"/>
                <w:sz w:val="16"/>
                <w:szCs w:val="16"/>
                <w:color w:val="auto"/>
              </w:rPr>
              <w:t>2022</w:t>
            </w:r>
          </w:p>
        </w:tc>
        <w:tc>
          <w:tcPr>
            <w:tcW w:w="1500" w:type="dxa"/>
            <w:vAlign w:val="bottom"/>
            <w:tcBorders>
              <w:bottom w:val="single" w:sz="8" w:color="auto"/>
            </w:tcBorders>
          </w:tcPr>
          <w:p>
            <w:pPr>
              <w:jc w:val="right"/>
              <w:ind w:right="279"/>
              <w:spacing w:after="0" w:line="193" w:lineRule="exact"/>
              <w:rPr>
                <w:sz w:val="20"/>
                <w:szCs w:val="20"/>
                <w:color w:val="auto"/>
              </w:rPr>
            </w:pPr>
            <w:r>
              <w:rPr>
                <w:rFonts w:ascii="Calibri" w:cs="Calibri" w:eastAsia="Calibri" w:hAnsi="Calibri"/>
                <w:sz w:val="16"/>
                <w:szCs w:val="16"/>
                <w:color w:val="auto"/>
              </w:rPr>
              <w:t>2026</w:t>
            </w:r>
          </w:p>
        </w:tc>
        <w:tc>
          <w:tcPr>
            <w:tcW w:w="1920" w:type="dxa"/>
            <w:vAlign w:val="bottom"/>
            <w:tcBorders>
              <w:bottom w:val="single" w:sz="8" w:color="auto"/>
              <w:right w:val="single" w:sz="8" w:color="auto"/>
            </w:tcBorders>
          </w:tcPr>
          <w:p>
            <w:pPr>
              <w:jc w:val="center"/>
              <w:ind w:left="59"/>
              <w:spacing w:after="0" w:line="193" w:lineRule="exact"/>
              <w:rPr>
                <w:sz w:val="20"/>
                <w:szCs w:val="20"/>
                <w:color w:val="auto"/>
              </w:rPr>
            </w:pPr>
            <w:r>
              <w:rPr>
                <w:rFonts w:ascii="Calibri" w:cs="Calibri" w:eastAsia="Calibri" w:hAnsi="Calibri"/>
                <w:sz w:val="16"/>
                <w:szCs w:val="16"/>
                <w:b w:val="1"/>
                <w:bCs w:val="1"/>
                <w:color w:val="auto"/>
                <w:w w:val="96"/>
              </w:rPr>
              <w:t>—</w:t>
            </w:r>
          </w:p>
        </w:tc>
      </w:tr>
      <w:tr>
        <w:trPr>
          <w:trHeight w:val="236"/>
        </w:trPr>
        <w:tc>
          <w:tcPr>
            <w:tcW w:w="2040" w:type="dxa"/>
            <w:vAlign w:val="bottom"/>
            <w:tcBorders>
              <w:left w:val="single" w:sz="8" w:color="auto"/>
              <w:bottom w:val="single" w:sz="8" w:color="auto"/>
            </w:tcBorders>
          </w:tcPr>
          <w:p>
            <w:pPr>
              <w:ind w:left="80"/>
              <w:spacing w:after="0" w:line="237" w:lineRule="exact"/>
              <w:rPr>
                <w:sz w:val="20"/>
                <w:szCs w:val="20"/>
                <w:color w:val="auto"/>
              </w:rPr>
            </w:pPr>
            <w:r>
              <w:rPr>
                <w:rFonts w:ascii="Calibri" w:cs="Calibri" w:eastAsia="Calibri" w:hAnsi="Calibri"/>
                <w:sz w:val="16"/>
                <w:szCs w:val="16"/>
                <w:b w:val="1"/>
                <w:bCs w:val="1"/>
                <w:color w:val="auto"/>
              </w:rPr>
              <w:t>Michelle J. Goldberg</w:t>
            </w:r>
            <w:r>
              <w:rPr>
                <w:rFonts w:ascii="Calibri" w:cs="Calibri" w:eastAsia="Calibri" w:hAnsi="Calibri"/>
                <w:sz w:val="21"/>
                <w:szCs w:val="21"/>
                <w:b w:val="1"/>
                <w:bCs w:val="1"/>
                <w:color w:val="auto"/>
                <w:vertAlign w:val="superscript"/>
              </w:rPr>
              <w:t>(1)(3)</w:t>
            </w:r>
          </w:p>
        </w:tc>
        <w:tc>
          <w:tcPr>
            <w:tcW w:w="1140" w:type="dxa"/>
            <w:vAlign w:val="bottom"/>
            <w:tcBorders>
              <w:bottom w:val="single" w:sz="8" w:color="auto"/>
            </w:tcBorders>
          </w:tcPr>
          <w:p>
            <w:pPr>
              <w:jc w:val="center"/>
              <w:ind w:left="179"/>
              <w:spacing w:after="0" w:line="193" w:lineRule="exact"/>
              <w:rPr>
                <w:sz w:val="20"/>
                <w:szCs w:val="20"/>
                <w:color w:val="auto"/>
              </w:rPr>
            </w:pPr>
            <w:r>
              <w:rPr>
                <w:rFonts w:ascii="Calibri" w:cs="Calibri" w:eastAsia="Calibri" w:hAnsi="Calibri"/>
                <w:sz w:val="16"/>
                <w:szCs w:val="16"/>
                <w:color w:val="auto"/>
                <w:w w:val="97"/>
              </w:rPr>
              <w:t>I</w:t>
            </w:r>
          </w:p>
        </w:tc>
        <w:tc>
          <w:tcPr>
            <w:tcW w:w="840" w:type="dxa"/>
            <w:vAlign w:val="bottom"/>
            <w:tcBorders>
              <w:bottom w:val="single" w:sz="8" w:color="auto"/>
            </w:tcBorders>
          </w:tcPr>
          <w:p>
            <w:pPr>
              <w:jc w:val="center"/>
              <w:ind w:left="39"/>
              <w:spacing w:after="0" w:line="193" w:lineRule="exact"/>
              <w:rPr>
                <w:sz w:val="20"/>
                <w:szCs w:val="20"/>
                <w:color w:val="auto"/>
              </w:rPr>
            </w:pPr>
            <w:r>
              <w:rPr>
                <w:rFonts w:ascii="Calibri" w:cs="Calibri" w:eastAsia="Calibri" w:hAnsi="Calibri"/>
                <w:sz w:val="16"/>
                <w:szCs w:val="16"/>
                <w:color w:val="auto"/>
                <w:w w:val="98"/>
              </w:rPr>
              <w:t>55</w:t>
            </w:r>
          </w:p>
        </w:tc>
        <w:tc>
          <w:tcPr>
            <w:tcW w:w="1900" w:type="dxa"/>
            <w:vAlign w:val="bottom"/>
            <w:tcBorders>
              <w:bottom w:val="single" w:sz="8" w:color="auto"/>
            </w:tcBorders>
          </w:tcPr>
          <w:p>
            <w:pPr>
              <w:ind w:left="220"/>
              <w:spacing w:after="0" w:line="193" w:lineRule="exact"/>
              <w:rPr>
                <w:sz w:val="20"/>
                <w:szCs w:val="20"/>
                <w:color w:val="auto"/>
              </w:rPr>
            </w:pPr>
            <w:r>
              <w:rPr>
                <w:rFonts w:ascii="Calibri" w:cs="Calibri" w:eastAsia="Calibri" w:hAnsi="Calibri"/>
                <w:sz w:val="16"/>
                <w:szCs w:val="16"/>
                <w:color w:val="auto"/>
              </w:rPr>
              <w:t>Director</w:t>
            </w:r>
          </w:p>
        </w:tc>
        <w:tc>
          <w:tcPr>
            <w:tcW w:w="1520" w:type="dxa"/>
            <w:vAlign w:val="bottom"/>
            <w:tcBorders>
              <w:bottom w:val="single" w:sz="8" w:color="auto"/>
            </w:tcBorders>
          </w:tcPr>
          <w:p>
            <w:pPr>
              <w:jc w:val="right"/>
              <w:ind w:right="299"/>
              <w:spacing w:after="0" w:line="193" w:lineRule="exact"/>
              <w:rPr>
                <w:sz w:val="20"/>
                <w:szCs w:val="20"/>
                <w:color w:val="auto"/>
              </w:rPr>
            </w:pPr>
            <w:r>
              <w:rPr>
                <w:rFonts w:ascii="Calibri" w:cs="Calibri" w:eastAsia="Calibri" w:hAnsi="Calibri"/>
                <w:sz w:val="16"/>
                <w:szCs w:val="16"/>
                <w:color w:val="auto"/>
              </w:rPr>
              <w:t>2021</w:t>
            </w:r>
          </w:p>
        </w:tc>
        <w:tc>
          <w:tcPr>
            <w:tcW w:w="1500" w:type="dxa"/>
            <w:vAlign w:val="bottom"/>
            <w:tcBorders>
              <w:bottom w:val="single" w:sz="8" w:color="auto"/>
            </w:tcBorders>
          </w:tcPr>
          <w:p>
            <w:pPr>
              <w:jc w:val="right"/>
              <w:ind w:right="279"/>
              <w:spacing w:after="0" w:line="193" w:lineRule="exact"/>
              <w:rPr>
                <w:sz w:val="20"/>
                <w:szCs w:val="20"/>
                <w:color w:val="auto"/>
              </w:rPr>
            </w:pPr>
            <w:r>
              <w:rPr>
                <w:rFonts w:ascii="Calibri" w:cs="Calibri" w:eastAsia="Calibri" w:hAnsi="Calibri"/>
                <w:sz w:val="16"/>
                <w:szCs w:val="16"/>
                <w:color w:val="auto"/>
              </w:rPr>
              <w:t>2025</w:t>
            </w:r>
          </w:p>
        </w:tc>
        <w:tc>
          <w:tcPr>
            <w:tcW w:w="1920" w:type="dxa"/>
            <w:vAlign w:val="bottom"/>
            <w:tcBorders>
              <w:bottom w:val="single" w:sz="8" w:color="auto"/>
              <w:right w:val="single" w:sz="8" w:color="auto"/>
            </w:tcBorders>
          </w:tcPr>
          <w:p>
            <w:pPr>
              <w:jc w:val="center"/>
              <w:ind w:left="59"/>
              <w:spacing w:after="0" w:line="193" w:lineRule="exact"/>
              <w:rPr>
                <w:sz w:val="20"/>
                <w:szCs w:val="20"/>
                <w:color w:val="auto"/>
              </w:rPr>
            </w:pPr>
            <w:r>
              <w:rPr>
                <w:rFonts w:ascii="Calibri" w:cs="Calibri" w:eastAsia="Calibri" w:hAnsi="Calibri"/>
                <w:sz w:val="16"/>
                <w:szCs w:val="16"/>
                <w:b w:val="1"/>
                <w:bCs w:val="1"/>
                <w:color w:val="auto"/>
                <w:w w:val="96"/>
              </w:rPr>
              <w:t>—</w:t>
            </w:r>
          </w:p>
        </w:tc>
      </w:tr>
      <w:tr>
        <w:trPr>
          <w:trHeight w:val="237"/>
        </w:trPr>
        <w:tc>
          <w:tcPr>
            <w:tcW w:w="2040" w:type="dxa"/>
            <w:vAlign w:val="bottom"/>
            <w:tcBorders>
              <w:left w:val="single" w:sz="8" w:color="auto"/>
              <w:bottom w:val="single" w:sz="8" w:color="auto"/>
            </w:tcBorders>
          </w:tcPr>
          <w:p>
            <w:pPr>
              <w:ind w:left="80"/>
              <w:spacing w:after="0" w:line="237" w:lineRule="exact"/>
              <w:rPr>
                <w:sz w:val="20"/>
                <w:szCs w:val="20"/>
                <w:color w:val="auto"/>
              </w:rPr>
            </w:pPr>
            <w:r>
              <w:rPr>
                <w:rFonts w:ascii="Calibri" w:cs="Calibri" w:eastAsia="Calibri" w:hAnsi="Calibri"/>
                <w:sz w:val="16"/>
                <w:szCs w:val="16"/>
                <w:b w:val="1"/>
                <w:bCs w:val="1"/>
                <w:color w:val="auto"/>
              </w:rPr>
              <w:t>Jill Simeone</w:t>
            </w:r>
            <w:r>
              <w:rPr>
                <w:rFonts w:ascii="Calibri" w:cs="Calibri" w:eastAsia="Calibri" w:hAnsi="Calibri"/>
                <w:sz w:val="21"/>
                <w:szCs w:val="21"/>
                <w:b w:val="1"/>
                <w:bCs w:val="1"/>
                <w:color w:val="auto"/>
                <w:vertAlign w:val="superscript"/>
              </w:rPr>
              <w:t>(2)(3)</w:t>
            </w:r>
          </w:p>
        </w:tc>
        <w:tc>
          <w:tcPr>
            <w:tcW w:w="1140" w:type="dxa"/>
            <w:vAlign w:val="bottom"/>
            <w:tcBorders>
              <w:bottom w:val="single" w:sz="8" w:color="auto"/>
            </w:tcBorders>
          </w:tcPr>
          <w:p>
            <w:pPr>
              <w:jc w:val="center"/>
              <w:ind w:left="179"/>
              <w:spacing w:after="0" w:line="193" w:lineRule="exact"/>
              <w:rPr>
                <w:sz w:val="20"/>
                <w:szCs w:val="20"/>
                <w:color w:val="auto"/>
              </w:rPr>
            </w:pPr>
            <w:r>
              <w:rPr>
                <w:rFonts w:ascii="Calibri" w:cs="Calibri" w:eastAsia="Calibri" w:hAnsi="Calibri"/>
                <w:sz w:val="16"/>
                <w:szCs w:val="16"/>
                <w:color w:val="auto"/>
                <w:w w:val="97"/>
              </w:rPr>
              <w:t>I</w:t>
            </w:r>
          </w:p>
        </w:tc>
        <w:tc>
          <w:tcPr>
            <w:tcW w:w="840" w:type="dxa"/>
            <w:vAlign w:val="bottom"/>
            <w:tcBorders>
              <w:bottom w:val="single" w:sz="8" w:color="auto"/>
            </w:tcBorders>
          </w:tcPr>
          <w:p>
            <w:pPr>
              <w:jc w:val="center"/>
              <w:ind w:left="39"/>
              <w:spacing w:after="0" w:line="193" w:lineRule="exact"/>
              <w:rPr>
                <w:sz w:val="20"/>
                <w:szCs w:val="20"/>
                <w:color w:val="auto"/>
              </w:rPr>
            </w:pPr>
            <w:r>
              <w:rPr>
                <w:rFonts w:ascii="Calibri" w:cs="Calibri" w:eastAsia="Calibri" w:hAnsi="Calibri"/>
                <w:sz w:val="16"/>
                <w:szCs w:val="16"/>
                <w:color w:val="auto"/>
                <w:w w:val="98"/>
              </w:rPr>
              <w:t>57</w:t>
            </w:r>
          </w:p>
        </w:tc>
        <w:tc>
          <w:tcPr>
            <w:tcW w:w="1900" w:type="dxa"/>
            <w:vAlign w:val="bottom"/>
            <w:tcBorders>
              <w:bottom w:val="single" w:sz="8" w:color="auto"/>
            </w:tcBorders>
          </w:tcPr>
          <w:p>
            <w:pPr>
              <w:ind w:left="220"/>
              <w:spacing w:after="0" w:line="193" w:lineRule="exact"/>
              <w:rPr>
                <w:sz w:val="20"/>
                <w:szCs w:val="20"/>
                <w:color w:val="auto"/>
              </w:rPr>
            </w:pPr>
            <w:r>
              <w:rPr>
                <w:rFonts w:ascii="Calibri" w:cs="Calibri" w:eastAsia="Calibri" w:hAnsi="Calibri"/>
                <w:sz w:val="16"/>
                <w:szCs w:val="16"/>
                <w:color w:val="auto"/>
              </w:rPr>
              <w:t>Director</w:t>
            </w:r>
          </w:p>
        </w:tc>
        <w:tc>
          <w:tcPr>
            <w:tcW w:w="1520" w:type="dxa"/>
            <w:vAlign w:val="bottom"/>
            <w:tcBorders>
              <w:bottom w:val="single" w:sz="8" w:color="auto"/>
            </w:tcBorders>
          </w:tcPr>
          <w:p>
            <w:pPr>
              <w:jc w:val="right"/>
              <w:ind w:right="299"/>
              <w:spacing w:after="0" w:line="193" w:lineRule="exact"/>
              <w:rPr>
                <w:sz w:val="20"/>
                <w:szCs w:val="20"/>
                <w:color w:val="auto"/>
              </w:rPr>
            </w:pPr>
            <w:r>
              <w:rPr>
                <w:rFonts w:ascii="Calibri" w:cs="Calibri" w:eastAsia="Calibri" w:hAnsi="Calibri"/>
                <w:sz w:val="16"/>
                <w:szCs w:val="16"/>
                <w:color w:val="auto"/>
              </w:rPr>
              <w:t>2022</w:t>
            </w:r>
          </w:p>
        </w:tc>
        <w:tc>
          <w:tcPr>
            <w:tcW w:w="1500" w:type="dxa"/>
            <w:vAlign w:val="bottom"/>
            <w:tcBorders>
              <w:bottom w:val="single" w:sz="8" w:color="auto"/>
            </w:tcBorders>
          </w:tcPr>
          <w:p>
            <w:pPr>
              <w:jc w:val="right"/>
              <w:ind w:right="279"/>
              <w:spacing w:after="0" w:line="193" w:lineRule="exact"/>
              <w:rPr>
                <w:sz w:val="20"/>
                <w:szCs w:val="20"/>
                <w:color w:val="auto"/>
              </w:rPr>
            </w:pPr>
            <w:r>
              <w:rPr>
                <w:rFonts w:ascii="Calibri" w:cs="Calibri" w:eastAsia="Calibri" w:hAnsi="Calibri"/>
                <w:sz w:val="16"/>
                <w:szCs w:val="16"/>
                <w:color w:val="auto"/>
              </w:rPr>
              <w:t>2025</w:t>
            </w:r>
          </w:p>
        </w:tc>
        <w:tc>
          <w:tcPr>
            <w:tcW w:w="1920" w:type="dxa"/>
            <w:vAlign w:val="bottom"/>
            <w:tcBorders>
              <w:bottom w:val="single" w:sz="8" w:color="auto"/>
              <w:right w:val="single" w:sz="8" w:color="auto"/>
            </w:tcBorders>
          </w:tcPr>
          <w:p>
            <w:pPr>
              <w:jc w:val="center"/>
              <w:ind w:left="59"/>
              <w:spacing w:after="0" w:line="193" w:lineRule="exact"/>
              <w:rPr>
                <w:sz w:val="20"/>
                <w:szCs w:val="20"/>
                <w:color w:val="auto"/>
              </w:rPr>
            </w:pPr>
            <w:r>
              <w:rPr>
                <w:rFonts w:ascii="Calibri" w:cs="Calibri" w:eastAsia="Calibri" w:hAnsi="Calibri"/>
                <w:sz w:val="16"/>
                <w:szCs w:val="16"/>
                <w:b w:val="1"/>
                <w:bCs w:val="1"/>
                <w:color w:val="auto"/>
                <w:w w:val="96"/>
              </w:rPr>
              <w:t>—</w:t>
            </w:r>
          </w:p>
        </w:tc>
      </w:tr>
      <w:tr>
        <w:trPr>
          <w:trHeight w:val="195"/>
        </w:trPr>
        <w:tc>
          <w:tcPr>
            <w:tcW w:w="2040" w:type="dxa"/>
            <w:vAlign w:val="bottom"/>
            <w:tcBorders>
              <w:left w:val="single" w:sz="8" w:color="auto"/>
            </w:tcBorders>
          </w:tcPr>
          <w:p>
            <w:pPr>
              <w:ind w:left="80"/>
              <w:spacing w:after="0"/>
              <w:rPr>
                <w:sz w:val="20"/>
                <w:szCs w:val="20"/>
                <w:color w:val="auto"/>
              </w:rPr>
            </w:pPr>
            <w:r>
              <w:rPr>
                <w:rFonts w:ascii="Calibri" w:cs="Calibri" w:eastAsia="Calibri" w:hAnsi="Calibri"/>
                <w:sz w:val="16"/>
                <w:szCs w:val="16"/>
                <w:b w:val="1"/>
                <w:bCs w:val="1"/>
                <w:color w:val="auto"/>
              </w:rPr>
              <w:t>Gordon Watson</w:t>
            </w:r>
          </w:p>
        </w:tc>
        <w:tc>
          <w:tcPr>
            <w:tcW w:w="1140" w:type="dxa"/>
            <w:vAlign w:val="bottom"/>
          </w:tcPr>
          <w:p>
            <w:pPr>
              <w:jc w:val="center"/>
              <w:ind w:left="179"/>
              <w:spacing w:after="0" w:line="193" w:lineRule="exact"/>
              <w:rPr>
                <w:sz w:val="20"/>
                <w:szCs w:val="20"/>
                <w:color w:val="auto"/>
              </w:rPr>
            </w:pPr>
            <w:r>
              <w:rPr>
                <w:rFonts w:ascii="Calibri" w:cs="Calibri" w:eastAsia="Calibri" w:hAnsi="Calibri"/>
                <w:sz w:val="16"/>
                <w:szCs w:val="16"/>
                <w:color w:val="auto"/>
                <w:w w:val="98"/>
              </w:rPr>
              <w:t>II</w:t>
            </w:r>
          </w:p>
        </w:tc>
        <w:tc>
          <w:tcPr>
            <w:tcW w:w="840" w:type="dxa"/>
            <w:vAlign w:val="bottom"/>
          </w:tcPr>
          <w:p>
            <w:pPr>
              <w:jc w:val="center"/>
              <w:ind w:left="39"/>
              <w:spacing w:after="0" w:line="193" w:lineRule="exact"/>
              <w:rPr>
                <w:sz w:val="20"/>
                <w:szCs w:val="20"/>
                <w:color w:val="auto"/>
              </w:rPr>
            </w:pPr>
            <w:r>
              <w:rPr>
                <w:rFonts w:ascii="Calibri" w:cs="Calibri" w:eastAsia="Calibri" w:hAnsi="Calibri"/>
                <w:sz w:val="16"/>
                <w:szCs w:val="16"/>
                <w:color w:val="auto"/>
                <w:w w:val="98"/>
              </w:rPr>
              <w:t>45</w:t>
            </w:r>
          </w:p>
        </w:tc>
        <w:tc>
          <w:tcPr>
            <w:tcW w:w="1900" w:type="dxa"/>
            <w:vAlign w:val="bottom"/>
          </w:tcPr>
          <w:p>
            <w:pPr>
              <w:ind w:left="220"/>
              <w:spacing w:after="0" w:line="193" w:lineRule="exact"/>
              <w:rPr>
                <w:sz w:val="20"/>
                <w:szCs w:val="20"/>
                <w:color w:val="auto"/>
              </w:rPr>
            </w:pPr>
            <w:r>
              <w:rPr>
                <w:rFonts w:ascii="Calibri" w:cs="Calibri" w:eastAsia="Calibri" w:hAnsi="Calibri"/>
                <w:sz w:val="16"/>
                <w:szCs w:val="16"/>
                <w:color w:val="auto"/>
              </w:rPr>
              <w:t>Director</w:t>
            </w:r>
          </w:p>
        </w:tc>
        <w:tc>
          <w:tcPr>
            <w:tcW w:w="1520" w:type="dxa"/>
            <w:vAlign w:val="bottom"/>
          </w:tcPr>
          <w:p>
            <w:pPr>
              <w:jc w:val="right"/>
              <w:ind w:right="299"/>
              <w:spacing w:after="0" w:line="193" w:lineRule="exact"/>
              <w:rPr>
                <w:sz w:val="20"/>
                <w:szCs w:val="20"/>
                <w:color w:val="auto"/>
              </w:rPr>
            </w:pPr>
            <w:r>
              <w:rPr>
                <w:rFonts w:ascii="Calibri" w:cs="Calibri" w:eastAsia="Calibri" w:hAnsi="Calibri"/>
                <w:sz w:val="16"/>
                <w:szCs w:val="16"/>
                <w:color w:val="auto"/>
              </w:rPr>
              <w:t>2021</w:t>
            </w:r>
          </w:p>
        </w:tc>
        <w:tc>
          <w:tcPr>
            <w:tcW w:w="1500" w:type="dxa"/>
            <w:vAlign w:val="bottom"/>
          </w:tcPr>
          <w:p>
            <w:pPr>
              <w:jc w:val="right"/>
              <w:ind w:right="279"/>
              <w:spacing w:after="0" w:line="193" w:lineRule="exact"/>
              <w:rPr>
                <w:sz w:val="20"/>
                <w:szCs w:val="20"/>
                <w:color w:val="auto"/>
              </w:rPr>
            </w:pPr>
            <w:r>
              <w:rPr>
                <w:rFonts w:ascii="Calibri" w:cs="Calibri" w:eastAsia="Calibri" w:hAnsi="Calibri"/>
                <w:sz w:val="16"/>
                <w:szCs w:val="16"/>
                <w:color w:val="auto"/>
              </w:rPr>
              <w:t>2026</w:t>
            </w:r>
          </w:p>
        </w:tc>
        <w:tc>
          <w:tcPr>
            <w:tcW w:w="1920" w:type="dxa"/>
            <w:vAlign w:val="bottom"/>
            <w:tcBorders>
              <w:right w:val="single" w:sz="8" w:color="auto"/>
            </w:tcBorders>
          </w:tcPr>
          <w:p>
            <w:pPr>
              <w:jc w:val="center"/>
              <w:ind w:left="59"/>
              <w:spacing w:after="0" w:line="193" w:lineRule="exact"/>
              <w:rPr>
                <w:sz w:val="20"/>
                <w:szCs w:val="20"/>
                <w:color w:val="auto"/>
              </w:rPr>
            </w:pPr>
            <w:r>
              <w:rPr>
                <w:rFonts w:ascii="Calibri" w:cs="Calibri" w:eastAsia="Calibri" w:hAnsi="Calibri"/>
                <w:sz w:val="16"/>
                <w:szCs w:val="16"/>
                <w:b w:val="1"/>
                <w:bCs w:val="1"/>
                <w:color w:val="auto"/>
                <w:w w:val="96"/>
              </w:rPr>
              <w:t>—</w:t>
            </w:r>
          </w:p>
        </w:tc>
      </w:tr>
      <w:tr>
        <w:trPr>
          <w:trHeight w:val="41"/>
        </w:trPr>
        <w:tc>
          <w:tcPr>
            <w:tcW w:w="2040" w:type="dxa"/>
            <w:vAlign w:val="bottom"/>
            <w:tcBorders>
              <w:left w:val="single" w:sz="8" w:color="auto"/>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1900" w:type="dxa"/>
            <w:vAlign w:val="bottom"/>
            <w:tcBorders>
              <w:bottom w:val="single" w:sz="8" w:color="auto"/>
            </w:tcBorders>
          </w:tcPr>
          <w:p>
            <w:pPr>
              <w:spacing w:after="0"/>
              <w:rPr>
                <w:sz w:val="3"/>
                <w:szCs w:val="3"/>
                <w:color w:val="auto"/>
              </w:rPr>
            </w:pPr>
          </w:p>
        </w:tc>
        <w:tc>
          <w:tcPr>
            <w:tcW w:w="1520" w:type="dxa"/>
            <w:vAlign w:val="bottom"/>
            <w:tcBorders>
              <w:bottom w:val="single" w:sz="8" w:color="auto"/>
            </w:tcBorders>
          </w:tcPr>
          <w:p>
            <w:pPr>
              <w:spacing w:after="0"/>
              <w:rPr>
                <w:sz w:val="3"/>
                <w:szCs w:val="3"/>
                <w:color w:val="auto"/>
              </w:rPr>
            </w:pPr>
          </w:p>
        </w:tc>
        <w:tc>
          <w:tcPr>
            <w:tcW w:w="1500" w:type="dxa"/>
            <w:vAlign w:val="bottom"/>
            <w:tcBorders>
              <w:bottom w:val="single" w:sz="8" w:color="auto"/>
            </w:tcBorders>
          </w:tcPr>
          <w:p>
            <w:pPr>
              <w:spacing w:after="0"/>
              <w:rPr>
                <w:sz w:val="3"/>
                <w:szCs w:val="3"/>
                <w:color w:val="auto"/>
              </w:rPr>
            </w:pPr>
          </w:p>
        </w:tc>
        <w:tc>
          <w:tcPr>
            <w:tcW w:w="1920" w:type="dxa"/>
            <w:vAlign w:val="bottom"/>
            <w:tcBorders>
              <w:bottom w:val="single" w:sz="8" w:color="auto"/>
              <w:right w:val="single" w:sz="8" w:color="auto"/>
            </w:tcBorders>
          </w:tcPr>
          <w:p>
            <w:pPr>
              <w:spacing w:after="0"/>
              <w:rPr>
                <w:sz w:val="3"/>
                <w:szCs w:val="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1430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14300" cy="8890"/>
                    </a:xfrm>
                    <a:prstGeom prst="rect">
                      <a:avLst/>
                    </a:prstGeom>
                    <a:noFill/>
                  </pic:spPr>
                </pic:pic>
              </a:graphicData>
            </a:graphic>
          </wp:anchor>
        </w:drawing>
      </w:r>
    </w:p>
    <w:p>
      <w:pPr>
        <w:spacing w:after="0" w:line="230" w:lineRule="exact"/>
        <w:rPr>
          <w:sz w:val="20"/>
          <w:szCs w:val="20"/>
          <w:color w:val="auto"/>
        </w:rPr>
      </w:pPr>
    </w:p>
    <w:p>
      <w:pPr>
        <w:ind w:left="360" w:hanging="352"/>
        <w:spacing w:after="0"/>
        <w:tabs>
          <w:tab w:leader="none" w:pos="360" w:val="left"/>
        </w:tabs>
        <w:numPr>
          <w:ilvl w:val="0"/>
          <w:numId w:val="17"/>
        </w:numPr>
        <w:rPr>
          <w:rFonts w:ascii="Calibri" w:cs="Calibri" w:eastAsia="Calibri" w:hAnsi="Calibri"/>
          <w:sz w:val="16"/>
          <w:szCs w:val="16"/>
          <w:color w:val="auto"/>
        </w:rPr>
      </w:pPr>
      <w:r>
        <w:rPr>
          <w:rFonts w:ascii="Calibri" w:cs="Calibri" w:eastAsia="Calibri" w:hAnsi="Calibri"/>
          <w:sz w:val="16"/>
          <w:szCs w:val="16"/>
          <w:color w:val="auto"/>
        </w:rPr>
        <w:t>Member of audit commitee</w:t>
      </w:r>
    </w:p>
    <w:p>
      <w:pPr>
        <w:ind w:left="380" w:hanging="372"/>
        <w:spacing w:after="0" w:line="232" w:lineRule="auto"/>
        <w:tabs>
          <w:tab w:leader="none" w:pos="380" w:val="left"/>
        </w:tabs>
        <w:numPr>
          <w:ilvl w:val="0"/>
          <w:numId w:val="17"/>
        </w:numPr>
        <w:rPr>
          <w:rFonts w:ascii="Calibri" w:cs="Calibri" w:eastAsia="Calibri" w:hAnsi="Calibri"/>
          <w:sz w:val="16"/>
          <w:szCs w:val="16"/>
          <w:color w:val="auto"/>
        </w:rPr>
      </w:pPr>
      <w:r>
        <w:rPr>
          <w:rFonts w:ascii="Calibri" w:cs="Calibri" w:eastAsia="Calibri" w:hAnsi="Calibri"/>
          <w:sz w:val="16"/>
          <w:szCs w:val="16"/>
          <w:color w:val="auto"/>
        </w:rPr>
        <w:t>Member of compensaton commitee</w:t>
      </w:r>
    </w:p>
    <w:p>
      <w:pPr>
        <w:spacing w:after="0" w:line="7" w:lineRule="exact"/>
        <w:rPr>
          <w:rFonts w:ascii="Calibri" w:cs="Calibri" w:eastAsia="Calibri" w:hAnsi="Calibri"/>
          <w:sz w:val="16"/>
          <w:szCs w:val="16"/>
          <w:color w:val="auto"/>
        </w:rPr>
      </w:pPr>
    </w:p>
    <w:p>
      <w:pPr>
        <w:ind w:left="380" w:hanging="372"/>
        <w:spacing w:after="0"/>
        <w:tabs>
          <w:tab w:leader="none" w:pos="380" w:val="left"/>
        </w:tabs>
        <w:numPr>
          <w:ilvl w:val="0"/>
          <w:numId w:val="17"/>
        </w:numPr>
        <w:rPr>
          <w:rFonts w:ascii="Calibri" w:cs="Calibri" w:eastAsia="Calibri" w:hAnsi="Calibri"/>
          <w:sz w:val="16"/>
          <w:szCs w:val="16"/>
          <w:color w:val="auto"/>
        </w:rPr>
      </w:pPr>
      <w:r>
        <w:rPr>
          <w:rFonts w:ascii="Calibri" w:cs="Calibri" w:eastAsia="Calibri" w:hAnsi="Calibri"/>
          <w:sz w:val="16"/>
          <w:szCs w:val="16"/>
          <w:color w:val="auto"/>
        </w:rPr>
        <w:t>Member of nominatng and corporate governance commitee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2760"/>
        <w:spacing w:after="0"/>
        <w:tabs>
          <w:tab w:leader="none" w:pos="7080" w:val="left"/>
          <w:tab w:leader="none" w:pos="8300" w:val="left"/>
        </w:tabs>
        <w:rPr>
          <w:sz w:val="20"/>
          <w:szCs w:val="20"/>
          <w:color w:val="auto"/>
        </w:rPr>
      </w:pPr>
      <w:r>
        <w:rPr>
          <w:rFonts w:ascii="Calibri" w:cs="Calibri" w:eastAsia="Calibri" w:hAnsi="Calibri"/>
          <w:sz w:val="16"/>
          <w:szCs w:val="16"/>
          <w:color w:val="auto"/>
        </w:rPr>
        <w:t>Alphareta, GA | New York, NY | Belfast, United Kingdom</w:t>
      </w:r>
      <w:r>
        <w:rPr>
          <w:sz w:val="20"/>
          <w:szCs w:val="20"/>
          <w:color w:val="auto"/>
        </w:rPr>
        <w:tab/>
      </w:r>
      <w:r>
        <w:rPr>
          <w:rFonts w:ascii="Calibri" w:cs="Calibri" w:eastAsia="Calibri" w:hAnsi="Calibri"/>
          <w:sz w:val="16"/>
          <w:szCs w:val="16"/>
          <w:color w:val="auto"/>
        </w:rPr>
        <w:t>www.bakkt.com</w:t>
      </w:r>
      <w:r>
        <w:rPr>
          <w:sz w:val="20"/>
          <w:szCs w:val="20"/>
          <w:color w:val="auto"/>
        </w:rPr>
        <w:tab/>
      </w:r>
      <w:r>
        <w:rPr>
          <w:rFonts w:ascii="Calibri" w:cs="Calibri" w:eastAsia="Calibri" w:hAnsi="Calibri"/>
          <w:sz w:val="17"/>
          <w:szCs w:val="17"/>
          <w:color w:val="auto"/>
        </w:rPr>
        <w:t>13</w:t>
      </w:r>
    </w:p>
    <w:p>
      <w:pPr>
        <w:sectPr>
          <w:pgSz w:w="11900" w:h="16838" w:orient="portrait"/>
          <w:cols w:equalWidth="0" w:num="1">
            <w:col w:w="11240"/>
          </w:cols>
          <w:pgMar w:left="320" w:top="1440" w:right="339" w:bottom="1440" w:gutter="0" w:footer="0" w:header="0"/>
        </w:sectPr>
      </w:pPr>
    </w:p>
    <w:bookmarkStart w:id="19" w:name="page20"/>
    <w:bookmarkEnd w:id="19"/>
    <w:p>
      <w:pPr>
        <w:spacing w:after="0" w:line="171" w:lineRule="exact"/>
        <w:rPr>
          <w:sz w:val="20"/>
          <w:szCs w:val="20"/>
          <w:color w:val="auto"/>
        </w:rPr>
      </w:pPr>
    </w:p>
    <w:p>
      <w:pPr>
        <w:spacing w:after="0"/>
        <w:rPr>
          <w:sz w:val="20"/>
          <w:szCs w:val="20"/>
          <w:color w:val="auto"/>
        </w:rPr>
      </w:pPr>
      <w:r>
        <w:rPr>
          <w:rFonts w:ascii="Calibri" w:cs="Calibri" w:eastAsia="Calibri" w:hAnsi="Calibri"/>
          <w:sz w:val="29"/>
          <w:szCs w:val="29"/>
          <w:b w:val="1"/>
          <w:bCs w:val="1"/>
          <w:color w:val="auto"/>
        </w:rPr>
        <w:t>Nominees for Director</w:t>
      </w:r>
    </w:p>
    <w:p>
      <w:pPr>
        <w:spacing w:after="0" w:line="225" w:lineRule="exact"/>
        <w:rPr>
          <w:sz w:val="20"/>
          <w:szCs w:val="20"/>
          <w:color w:val="auto"/>
        </w:rPr>
      </w:pPr>
    </w:p>
    <w:p>
      <w:pPr>
        <w:jc w:val="both"/>
        <w:spacing w:after="0" w:line="230" w:lineRule="auto"/>
        <w:rPr>
          <w:sz w:val="20"/>
          <w:szCs w:val="20"/>
          <w:color w:val="auto"/>
        </w:rPr>
      </w:pPr>
      <w:r>
        <w:rPr>
          <w:rFonts w:ascii="Calibri" w:cs="Calibri" w:eastAsia="Calibri" w:hAnsi="Calibri"/>
          <w:sz w:val="22"/>
          <w:szCs w:val="22"/>
          <w:b w:val="1"/>
          <w:bCs w:val="1"/>
          <w:color w:val="auto"/>
        </w:rPr>
        <w:t xml:space="preserve">Sean Collins </w:t>
      </w:r>
      <w:r>
        <w:rPr>
          <w:rFonts w:ascii="Calibri" w:cs="Calibri" w:eastAsia="Calibri" w:hAnsi="Calibri"/>
          <w:sz w:val="22"/>
          <w:szCs w:val="22"/>
          <w:color w:val="auto"/>
        </w:rPr>
        <w:t>served on the board of managers of Opco since its incepton in December 2018 untl the closing of our business</w:t>
      </w:r>
      <w:r>
        <w:rPr>
          <w:rFonts w:ascii="Calibri" w:cs="Calibri" w:eastAsia="Calibri" w:hAnsi="Calibri"/>
          <w:sz w:val="22"/>
          <w:szCs w:val="22"/>
          <w:b w:val="1"/>
          <w:bCs w:val="1"/>
          <w:color w:val="auto"/>
        </w:rPr>
        <w:t xml:space="preserve"> </w:t>
      </w:r>
      <w:r>
        <w:rPr>
          <w:rFonts w:ascii="Calibri" w:cs="Calibri" w:eastAsia="Calibri" w:hAnsi="Calibri"/>
          <w:sz w:val="22"/>
          <w:szCs w:val="22"/>
          <w:color w:val="auto"/>
        </w:rPr>
        <w:t>combinaton with VPC Impact Acquisiton Holdings on October 15, 2021 (the “Closing”). Mr. Collins has over twenty years of experience investng, advising, operatng and building companies focused on digital transformaton. As co-founder and Managing Partner of Goldfnch Partners from 2018 to present, he invests across industry vertcals, including in enterprise sofware companies and fntechs. Prior to Goldfnch, Mr. Collins was the co-founder and Chief Investment Ofcer of Boston Consultng Group (“BCG”) Digital Ventures, the division of BCG that partners with global leaders to help build new digital business units and spin out assets into new companies. In 2017, he was elected the youngest Senior Partner in the history of BCG (“BCG DV”). Prior to BCG DV, Mr. Collins held other roles, including service as a Senior Vice President of Marketng, E-Commerce and Strategy at Sports Authority, Inc., and before that was with McKinsey &amp; Company, where he was a member of the Marketng Practce. Mr. Collins holds a BA in Economics and Music (Classical Piano) from Whitman College.</w:t>
      </w:r>
    </w:p>
    <w:p>
      <w:pPr>
        <w:spacing w:after="0" w:line="221" w:lineRule="exact"/>
        <w:rPr>
          <w:sz w:val="20"/>
          <w:szCs w:val="20"/>
          <w:color w:val="auto"/>
        </w:rPr>
      </w:pPr>
    </w:p>
    <w:p>
      <w:pPr>
        <w:jc w:val="both"/>
        <w:spacing w:after="0" w:line="235" w:lineRule="auto"/>
        <w:rPr>
          <w:sz w:val="20"/>
          <w:szCs w:val="20"/>
          <w:color w:val="auto"/>
        </w:rPr>
      </w:pPr>
      <w:r>
        <w:rPr>
          <w:rFonts w:ascii="Calibri" w:cs="Calibri" w:eastAsia="Calibri" w:hAnsi="Calibri"/>
          <w:sz w:val="22"/>
          <w:szCs w:val="22"/>
          <w:color w:val="auto"/>
        </w:rPr>
        <w:t>We believe that Mr. Collins’ extensive experience across the fnancial services and retail industries, as well as functonal depth in marketng and loyalty, provide him with the knowledge and background to serve as a director on the Board.</w:t>
      </w:r>
    </w:p>
    <w:p>
      <w:pPr>
        <w:spacing w:after="0" w:line="217" w:lineRule="exact"/>
        <w:rPr>
          <w:sz w:val="20"/>
          <w:szCs w:val="20"/>
          <w:color w:val="auto"/>
        </w:rPr>
      </w:pPr>
    </w:p>
    <w:p>
      <w:pPr>
        <w:jc w:val="both"/>
        <w:spacing w:after="0" w:line="242" w:lineRule="auto"/>
        <w:rPr>
          <w:sz w:val="20"/>
          <w:szCs w:val="20"/>
          <w:color w:val="auto"/>
        </w:rPr>
      </w:pPr>
      <w:r>
        <w:rPr>
          <w:rFonts w:ascii="Calibri" w:cs="Calibri" w:eastAsia="Calibri" w:hAnsi="Calibri"/>
          <w:sz w:val="21"/>
          <w:szCs w:val="21"/>
          <w:b w:val="1"/>
          <w:bCs w:val="1"/>
          <w:color w:val="auto"/>
        </w:rPr>
        <w:t xml:space="preserve">Richard A. Lumb </w:t>
      </w:r>
      <w:r>
        <w:rPr>
          <w:rFonts w:ascii="Calibri" w:cs="Calibri" w:eastAsia="Calibri" w:hAnsi="Calibri"/>
          <w:sz w:val="21"/>
          <w:szCs w:val="21"/>
          <w:color w:val="auto"/>
        </w:rPr>
        <w:t>has been a member of our Board since the Closing and has signifcant technology, fnance and investment</w:t>
      </w:r>
      <w:r>
        <w:rPr>
          <w:rFonts w:ascii="Calibri" w:cs="Calibri" w:eastAsia="Calibri" w:hAnsi="Calibri"/>
          <w:sz w:val="21"/>
          <w:szCs w:val="21"/>
          <w:b w:val="1"/>
          <w:bCs w:val="1"/>
          <w:color w:val="auto"/>
        </w:rPr>
        <w:t xml:space="preserve"> </w:t>
      </w:r>
      <w:r>
        <w:rPr>
          <w:rFonts w:ascii="Calibri" w:cs="Calibri" w:eastAsia="Calibri" w:hAnsi="Calibri"/>
          <w:sz w:val="21"/>
          <w:szCs w:val="21"/>
          <w:color w:val="auto"/>
        </w:rPr>
        <w:t>expertse. Mr. Lumb has served as an Industry Partner at Motve Partners, a private equity frm specializing in enterprise fnancial services, sofware growth and buy-out investments since 2019. Prior to joining Motve Partners, Mr. Lumb enjoyed a 35-year tenure at Accenture, from 1984 untl 2019, where he held the positon of Group Chief Executve of Financial Services from 2010 to 2019, serving clients in the banking, insurance and capital market sectors. During his tme at Accenture, Mr. Lumb played a leading role in multple technology company acquisitons and minority investments, including the 2011 acquisiton of Duck Creek Technologies. Mr. Lumb earned a B.Sc. in Mechanical Engineering and an M.B.A. from the University of Bradford.</w:t>
      </w:r>
    </w:p>
    <w:p>
      <w:pPr>
        <w:spacing w:after="0" w:line="216" w:lineRule="exact"/>
        <w:rPr>
          <w:sz w:val="20"/>
          <w:szCs w:val="20"/>
          <w:color w:val="auto"/>
        </w:rPr>
      </w:pPr>
    </w:p>
    <w:p>
      <w:pPr>
        <w:jc w:val="both"/>
        <w:spacing w:after="0" w:line="229" w:lineRule="auto"/>
        <w:rPr>
          <w:sz w:val="20"/>
          <w:szCs w:val="20"/>
          <w:color w:val="auto"/>
        </w:rPr>
      </w:pPr>
      <w:r>
        <w:rPr>
          <w:rFonts w:ascii="Calibri" w:cs="Calibri" w:eastAsia="Calibri" w:hAnsi="Calibri"/>
          <w:sz w:val="22"/>
          <w:szCs w:val="22"/>
          <w:color w:val="auto"/>
        </w:rPr>
        <w:t>We believe that Mr. Lumb’s extensive experience across the fnancial services and technology industries, Including M&amp;A experience provide him with the fnancial knowledge and background to serve on the Board.</w:t>
      </w:r>
    </w:p>
    <w:p>
      <w:pPr>
        <w:spacing w:after="0" w:line="230" w:lineRule="exact"/>
        <w:rPr>
          <w:sz w:val="20"/>
          <w:szCs w:val="20"/>
          <w:color w:val="auto"/>
        </w:rPr>
      </w:pPr>
    </w:p>
    <w:p>
      <w:pPr>
        <w:jc w:val="both"/>
        <w:spacing w:after="0" w:line="231" w:lineRule="auto"/>
        <w:rPr>
          <w:sz w:val="20"/>
          <w:szCs w:val="20"/>
          <w:color w:val="auto"/>
        </w:rPr>
      </w:pPr>
      <w:r>
        <w:rPr>
          <w:rFonts w:ascii="Calibri" w:cs="Calibri" w:eastAsia="Calibri" w:hAnsi="Calibri"/>
          <w:sz w:val="22"/>
          <w:szCs w:val="22"/>
          <w:b w:val="1"/>
          <w:bCs w:val="1"/>
          <w:color w:val="auto"/>
        </w:rPr>
        <w:t xml:space="preserve">Andrew A. Main </w:t>
      </w:r>
      <w:r>
        <w:rPr>
          <w:rFonts w:ascii="Calibri" w:cs="Calibri" w:eastAsia="Calibri" w:hAnsi="Calibri"/>
          <w:sz w:val="22"/>
          <w:szCs w:val="22"/>
          <w:color w:val="auto"/>
        </w:rPr>
        <w:t>has been a member of our Board since the Closing and our Chief Executve Ofcer and President since March</w:t>
      </w:r>
      <w:r>
        <w:rPr>
          <w:rFonts w:ascii="Calibri" w:cs="Calibri" w:eastAsia="Calibri" w:hAnsi="Calibri"/>
          <w:sz w:val="22"/>
          <w:szCs w:val="22"/>
          <w:b w:val="1"/>
          <w:bCs w:val="1"/>
          <w:color w:val="auto"/>
        </w:rPr>
        <w:t xml:space="preserve"> </w:t>
      </w:r>
      <w:r>
        <w:rPr>
          <w:rFonts w:ascii="Calibri" w:cs="Calibri" w:eastAsia="Calibri" w:hAnsi="Calibri"/>
          <w:sz w:val="22"/>
          <w:szCs w:val="22"/>
          <w:color w:val="auto"/>
        </w:rPr>
        <w:t>26, 2024, and has signifcant technology and marketng expertse. Mr. Main served as the Chief Executve Ofcer of Ogilvy, an advertsing, marketng and public relatons agency from 2020 to 2022. Prior to joining Ogilvy, Mr. Main was the Global Head of Deloite Digital, the digital consultancy branch of Deloite from 2014 to 2020 where he oversaw the acquisiton of multple creatve agencies to grow the brand. Mr. Main has more than 30 years of consultng and marketng agency experience and has extensive experience working with businesses to modernize and bring new ideas to market quickly. Mr. Main earned a Master of Arts from the University of Edinburgh in Business, Marketng and Geography.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2760"/>
        <w:spacing w:after="0"/>
        <w:tabs>
          <w:tab w:leader="none" w:pos="7080" w:val="left"/>
          <w:tab w:leader="none" w:pos="8300" w:val="left"/>
        </w:tabs>
        <w:rPr>
          <w:sz w:val="20"/>
          <w:szCs w:val="20"/>
          <w:color w:val="auto"/>
        </w:rPr>
      </w:pPr>
      <w:r>
        <w:rPr>
          <w:rFonts w:ascii="Calibri" w:cs="Calibri" w:eastAsia="Calibri" w:hAnsi="Calibri"/>
          <w:sz w:val="16"/>
          <w:szCs w:val="16"/>
          <w:color w:val="auto"/>
        </w:rPr>
        <w:t>Alphareta, GA | New York, NY | Belfast, United Kingdom</w:t>
      </w:r>
      <w:r>
        <w:rPr>
          <w:sz w:val="20"/>
          <w:szCs w:val="20"/>
          <w:color w:val="auto"/>
        </w:rPr>
        <w:tab/>
      </w:r>
      <w:r>
        <w:rPr>
          <w:rFonts w:ascii="Calibri" w:cs="Calibri" w:eastAsia="Calibri" w:hAnsi="Calibri"/>
          <w:sz w:val="16"/>
          <w:szCs w:val="16"/>
          <w:color w:val="auto"/>
        </w:rPr>
        <w:t>www.bakkt.com</w:t>
      </w:r>
      <w:r>
        <w:rPr>
          <w:sz w:val="20"/>
          <w:szCs w:val="20"/>
          <w:color w:val="auto"/>
        </w:rPr>
        <w:tab/>
      </w:r>
      <w:r>
        <w:rPr>
          <w:rFonts w:ascii="Calibri" w:cs="Calibri" w:eastAsia="Calibri" w:hAnsi="Calibri"/>
          <w:sz w:val="17"/>
          <w:szCs w:val="17"/>
          <w:color w:val="auto"/>
        </w:rPr>
        <w:t>14</w:t>
      </w:r>
    </w:p>
    <w:p>
      <w:pPr>
        <w:sectPr>
          <w:pgSz w:w="11900" w:h="16838" w:orient="portrait"/>
          <w:cols w:equalWidth="0" w:num="1">
            <w:col w:w="11240"/>
          </w:cols>
          <w:pgMar w:left="320" w:top="1440" w:right="339" w:bottom="1440" w:gutter="0" w:footer="0" w:header="0"/>
        </w:sectPr>
      </w:pPr>
    </w:p>
    <w:bookmarkStart w:id="20" w:name="page21"/>
    <w:bookmarkEnd w:id="20"/>
    <w:p>
      <w:pPr>
        <w:spacing w:after="0" w:line="184" w:lineRule="exact"/>
        <w:rPr>
          <w:sz w:val="20"/>
          <w:szCs w:val="20"/>
          <w:color w:val="auto"/>
        </w:rPr>
      </w:pPr>
    </w:p>
    <w:p>
      <w:pPr>
        <w:jc w:val="both"/>
        <w:ind w:right="20"/>
        <w:spacing w:after="0" w:line="229" w:lineRule="auto"/>
        <w:rPr>
          <w:sz w:val="20"/>
          <w:szCs w:val="20"/>
          <w:color w:val="auto"/>
        </w:rPr>
      </w:pPr>
      <w:r>
        <w:rPr>
          <w:rFonts w:ascii="Calibri" w:cs="Calibri" w:eastAsia="Calibri" w:hAnsi="Calibri"/>
          <w:sz w:val="22"/>
          <w:szCs w:val="22"/>
          <w:color w:val="auto"/>
        </w:rPr>
        <w:t>We believe that Mr. Main’s experience helping brands grow and modernize and focus on digital consultancy provide him with the experience needed to serve as a director on the Board.</w:t>
      </w:r>
    </w:p>
    <w:p>
      <w:pPr>
        <w:spacing w:after="0" w:line="204" w:lineRule="exact"/>
        <w:rPr>
          <w:sz w:val="20"/>
          <w:szCs w:val="20"/>
          <w:color w:val="auto"/>
        </w:rPr>
      </w:pPr>
    </w:p>
    <w:p>
      <w:pPr>
        <w:spacing w:after="0"/>
        <w:rPr>
          <w:sz w:val="20"/>
          <w:szCs w:val="20"/>
          <w:color w:val="auto"/>
        </w:rPr>
      </w:pPr>
      <w:r>
        <w:rPr>
          <w:rFonts w:ascii="Calibri" w:cs="Calibri" w:eastAsia="Calibri" w:hAnsi="Calibri"/>
          <w:sz w:val="29"/>
          <w:szCs w:val="29"/>
          <w:b w:val="1"/>
          <w:bCs w:val="1"/>
          <w:color w:val="auto"/>
        </w:rPr>
        <w:t>Contnuing Directors</w:t>
      </w:r>
    </w:p>
    <w:p>
      <w:pPr>
        <w:spacing w:after="0" w:line="226" w:lineRule="exact"/>
        <w:rPr>
          <w:sz w:val="20"/>
          <w:szCs w:val="20"/>
          <w:color w:val="auto"/>
        </w:rPr>
      </w:pPr>
    </w:p>
    <w:p>
      <w:pPr>
        <w:jc w:val="both"/>
        <w:spacing w:after="0" w:line="230" w:lineRule="auto"/>
        <w:rPr>
          <w:sz w:val="20"/>
          <w:szCs w:val="20"/>
          <w:color w:val="auto"/>
        </w:rPr>
      </w:pPr>
      <w:r>
        <w:rPr>
          <w:rFonts w:ascii="Calibri" w:cs="Calibri" w:eastAsia="Calibri" w:hAnsi="Calibri"/>
          <w:sz w:val="22"/>
          <w:szCs w:val="22"/>
          <w:b w:val="1"/>
          <w:bCs w:val="1"/>
          <w:color w:val="auto"/>
        </w:rPr>
        <w:t xml:space="preserve">David Clifon </w:t>
      </w:r>
      <w:r>
        <w:rPr>
          <w:rFonts w:ascii="Calibri" w:cs="Calibri" w:eastAsia="Calibri" w:hAnsi="Calibri"/>
          <w:sz w:val="22"/>
          <w:szCs w:val="22"/>
          <w:color w:val="auto"/>
        </w:rPr>
        <w:t>served as Interim Chief Executve Ofcer for the Company’s predecessor, Bakkt Opco Holdings, LLC (f/k/a Bakkt</w:t>
      </w:r>
      <w:r>
        <w:rPr>
          <w:rFonts w:ascii="Calibri" w:cs="Calibri" w:eastAsia="Calibri" w:hAnsi="Calibri"/>
          <w:sz w:val="22"/>
          <w:szCs w:val="22"/>
          <w:b w:val="1"/>
          <w:bCs w:val="1"/>
          <w:color w:val="auto"/>
        </w:rPr>
        <w:t xml:space="preserve"> </w:t>
      </w:r>
      <w:r>
        <w:rPr>
          <w:rFonts w:ascii="Calibri" w:cs="Calibri" w:eastAsia="Calibri" w:hAnsi="Calibri"/>
          <w:sz w:val="22"/>
          <w:szCs w:val="22"/>
          <w:color w:val="auto"/>
        </w:rPr>
        <w:t>Holdings, LLC (“Opco”)), from April 2020 to January 2021. While serving in this role, Mr. Clifon was involved in the development of strategy and the assessment of its strategic alternatves, which resulted in our business combinaton with VIH Impact Acquisiton Holdings, and our resultng listng as a public company. From 2019 to present, Mr. Clifon has served as Vice President of M&amp;A and Integraton at Intercontnental Exchange Holdings, Inc. (“ICE”). In this and prior roles, Mr. Clifon oversaw the successful completon of numerous strategic transactons, including ICE’s 2013 acquisiton of NYSE Euronext, along with other global strategic transactons and initatves. Mr. Clifon joined ICE in 2008, serving previously as ICE’s Associate General Counsel, M&amp;A. Mr. Clifon received his Juris Doctor from Mercer University’s Walter F. George School of Law and is a graduate of a Davidson College.</w:t>
      </w:r>
    </w:p>
    <w:p>
      <w:pPr>
        <w:spacing w:after="0" w:line="235" w:lineRule="exact"/>
        <w:rPr>
          <w:sz w:val="20"/>
          <w:szCs w:val="20"/>
          <w:color w:val="auto"/>
        </w:rPr>
      </w:pPr>
    </w:p>
    <w:p>
      <w:pPr>
        <w:jc w:val="both"/>
        <w:ind w:right="20"/>
        <w:spacing w:after="0" w:line="229" w:lineRule="auto"/>
        <w:rPr>
          <w:sz w:val="20"/>
          <w:szCs w:val="20"/>
          <w:color w:val="auto"/>
        </w:rPr>
      </w:pPr>
      <w:r>
        <w:rPr>
          <w:rFonts w:ascii="Calibri" w:cs="Calibri" w:eastAsia="Calibri" w:hAnsi="Calibri"/>
          <w:sz w:val="22"/>
          <w:szCs w:val="22"/>
          <w:color w:val="auto"/>
        </w:rPr>
        <w:t>We believe that Mr. Clifon’s previous experience both with Opco and at ICE provide him with the strategic and management background to serve on the Board.</w:t>
      </w:r>
    </w:p>
    <w:p>
      <w:pPr>
        <w:spacing w:after="0" w:line="217" w:lineRule="exact"/>
        <w:rPr>
          <w:sz w:val="20"/>
          <w:szCs w:val="20"/>
          <w:color w:val="auto"/>
        </w:rPr>
      </w:pPr>
    </w:p>
    <w:p>
      <w:pPr>
        <w:jc w:val="both"/>
        <w:spacing w:after="0" w:line="242" w:lineRule="auto"/>
        <w:rPr>
          <w:sz w:val="20"/>
          <w:szCs w:val="20"/>
          <w:color w:val="auto"/>
        </w:rPr>
      </w:pPr>
      <w:r>
        <w:rPr>
          <w:rFonts w:ascii="Calibri" w:cs="Calibri" w:eastAsia="Calibri" w:hAnsi="Calibri"/>
          <w:sz w:val="21"/>
          <w:szCs w:val="21"/>
          <w:b w:val="1"/>
          <w:bCs w:val="1"/>
          <w:color w:val="auto"/>
        </w:rPr>
        <w:t xml:space="preserve">De’Ana Dow </w:t>
      </w:r>
      <w:r>
        <w:rPr>
          <w:rFonts w:ascii="Calibri" w:cs="Calibri" w:eastAsia="Calibri" w:hAnsi="Calibri"/>
          <w:sz w:val="21"/>
          <w:szCs w:val="21"/>
          <w:color w:val="auto"/>
        </w:rPr>
        <w:t>has been a member of our Board since April 22, 2022. Ms. Dow is partner and general counsel with Capitol Counsel</w:t>
      </w:r>
      <w:r>
        <w:rPr>
          <w:rFonts w:ascii="Calibri" w:cs="Calibri" w:eastAsia="Calibri" w:hAnsi="Calibri"/>
          <w:sz w:val="21"/>
          <w:szCs w:val="21"/>
          <w:b w:val="1"/>
          <w:bCs w:val="1"/>
          <w:color w:val="auto"/>
        </w:rPr>
        <w:t xml:space="preserve"> </w:t>
      </w:r>
      <w:r>
        <w:rPr>
          <w:rFonts w:ascii="Calibri" w:cs="Calibri" w:eastAsia="Calibri" w:hAnsi="Calibri"/>
          <w:sz w:val="21"/>
          <w:szCs w:val="21"/>
          <w:color w:val="auto"/>
        </w:rPr>
        <w:t>LLC, a full-service government relatons frm, where she has served since 2012. Her primary focus has been derivatves markets with many years of senior level experience in both technical and policy areas. Prior to Ms. Dow’s positon with Capitol Counsel, from 2010 to 2012, Ms. Dow served as the Senior Vice President of Ogilvy Government Relatons, Washington, D.C., which specializes in futures and derivatves markets. Before joining Ogilvy, from 2008 through 2010, Ms. Dow was the Managing Director for Government Afairs at CME Group, the world’s largest derivatves exchange. In that role, Ms. Dow managed the organizaton’s eforts related to the Dodd Frank fnancial market regulatory reform bill as it progressed through the House and the Senate, as well as the regulatory actons at the CFTC, Securites and Exchange Commission, Treasury Department and the Federal Reserve. From 2005 through 2008, Ms. Dow served as the Senior Vice President and Chief Legislatve Counsel for the New York Mercantle Exchange (“NYMEX”), before NYMEX merged with the CME. As the head of ofce and regulatory counsel for NYMEX, she successfully guided the company through a complex legislatve agenda aimed at eliminatng critcal liquidity providers from the markets, and monitored numerous CFTC regulatory flings for accuracy and sufcient analytcal content. Ms. Dow received an undergraduate degree from Bowie State College and a Juris Doctorate from Georgetown University Law Center.</w:t>
      </w:r>
    </w:p>
    <w:p>
      <w:pPr>
        <w:spacing w:after="0" w:line="217" w:lineRule="exact"/>
        <w:rPr>
          <w:sz w:val="20"/>
          <w:szCs w:val="20"/>
          <w:color w:val="auto"/>
        </w:rPr>
      </w:pPr>
    </w:p>
    <w:p>
      <w:pPr>
        <w:jc w:val="both"/>
        <w:spacing w:after="0" w:line="235" w:lineRule="auto"/>
        <w:rPr>
          <w:sz w:val="20"/>
          <w:szCs w:val="20"/>
          <w:color w:val="auto"/>
        </w:rPr>
      </w:pPr>
      <w:r>
        <w:rPr>
          <w:rFonts w:ascii="Calibri" w:cs="Calibri" w:eastAsia="Calibri" w:hAnsi="Calibri"/>
          <w:sz w:val="22"/>
          <w:szCs w:val="22"/>
          <w:color w:val="auto"/>
        </w:rPr>
        <w:t>We believe Ms. Dow is qualifed to serve on our Board given her expertse in fnancial markets regulatory issues before federal agencies and departments.</w:t>
      </w:r>
    </w:p>
    <w:p>
      <w:pPr>
        <w:spacing w:after="0" w:line="217" w:lineRule="exact"/>
        <w:rPr>
          <w:sz w:val="20"/>
          <w:szCs w:val="20"/>
          <w:color w:val="auto"/>
        </w:rPr>
      </w:pPr>
    </w:p>
    <w:p>
      <w:pPr>
        <w:jc w:val="both"/>
        <w:spacing w:after="0" w:line="229" w:lineRule="auto"/>
        <w:rPr>
          <w:sz w:val="20"/>
          <w:szCs w:val="20"/>
          <w:color w:val="auto"/>
        </w:rPr>
      </w:pPr>
      <w:r>
        <w:rPr>
          <w:rFonts w:ascii="Calibri" w:cs="Calibri" w:eastAsia="Calibri" w:hAnsi="Calibri"/>
          <w:sz w:val="22"/>
          <w:szCs w:val="22"/>
          <w:b w:val="1"/>
          <w:bCs w:val="1"/>
          <w:color w:val="auto"/>
        </w:rPr>
        <w:t xml:space="preserve">Michelle J. Goldberg </w:t>
      </w:r>
      <w:r>
        <w:rPr>
          <w:rFonts w:ascii="Calibri" w:cs="Calibri" w:eastAsia="Calibri" w:hAnsi="Calibri"/>
          <w:sz w:val="22"/>
          <w:szCs w:val="22"/>
          <w:color w:val="auto"/>
        </w:rPr>
        <w:t>has been a member of our Board since the Closing and has signifcant technology, investment, retail</w:t>
      </w:r>
      <w:r>
        <w:rPr>
          <w:rFonts w:ascii="Calibri" w:cs="Calibri" w:eastAsia="Calibri" w:hAnsi="Calibri"/>
          <w:sz w:val="22"/>
          <w:szCs w:val="22"/>
          <w:b w:val="1"/>
          <w:bCs w:val="1"/>
          <w:color w:val="auto"/>
        </w:rPr>
        <w:t xml:space="preserve"> </w:t>
      </w:r>
      <w:r>
        <w:rPr>
          <w:rFonts w:ascii="Calibri" w:cs="Calibri" w:eastAsia="Calibri" w:hAnsi="Calibri"/>
          <w:sz w:val="22"/>
          <w:szCs w:val="22"/>
          <w:color w:val="auto"/>
        </w:rPr>
        <w:t>disrupton, fnance and digital media expertse. Ms. Goldberg was a partner at Igniton, an early stage enterprise sofware venture capital frm, from 2000 to 2020 and is now an advisor and limited partner to SoGal Ventures. Ms. Goldberg is a seasoned technology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2760"/>
        <w:spacing w:after="0"/>
        <w:tabs>
          <w:tab w:leader="none" w:pos="7080" w:val="left"/>
          <w:tab w:leader="none" w:pos="8300" w:val="left"/>
        </w:tabs>
        <w:rPr>
          <w:sz w:val="20"/>
          <w:szCs w:val="20"/>
          <w:color w:val="auto"/>
        </w:rPr>
      </w:pPr>
      <w:r>
        <w:rPr>
          <w:rFonts w:ascii="Calibri" w:cs="Calibri" w:eastAsia="Calibri" w:hAnsi="Calibri"/>
          <w:sz w:val="16"/>
          <w:szCs w:val="16"/>
          <w:color w:val="auto"/>
        </w:rPr>
        <w:t>Alphareta, GA | New York, NY | Belfast, United Kingdom</w:t>
      </w:r>
      <w:r>
        <w:rPr>
          <w:sz w:val="20"/>
          <w:szCs w:val="20"/>
          <w:color w:val="auto"/>
        </w:rPr>
        <w:tab/>
      </w:r>
      <w:r>
        <w:rPr>
          <w:rFonts w:ascii="Calibri" w:cs="Calibri" w:eastAsia="Calibri" w:hAnsi="Calibri"/>
          <w:sz w:val="16"/>
          <w:szCs w:val="16"/>
          <w:color w:val="auto"/>
        </w:rPr>
        <w:t>www.bakkt.com</w:t>
      </w:r>
      <w:r>
        <w:rPr>
          <w:sz w:val="20"/>
          <w:szCs w:val="20"/>
          <w:color w:val="auto"/>
        </w:rPr>
        <w:tab/>
      </w:r>
      <w:r>
        <w:rPr>
          <w:rFonts w:ascii="Calibri" w:cs="Calibri" w:eastAsia="Calibri" w:hAnsi="Calibri"/>
          <w:sz w:val="17"/>
          <w:szCs w:val="17"/>
          <w:color w:val="auto"/>
        </w:rPr>
        <w:t>15</w:t>
      </w:r>
    </w:p>
    <w:p>
      <w:pPr>
        <w:sectPr>
          <w:pgSz w:w="11900" w:h="16838" w:orient="portrait"/>
          <w:cols w:equalWidth="0" w:num="1">
            <w:col w:w="11240"/>
          </w:cols>
          <w:pgMar w:left="320" w:top="1440" w:right="339" w:bottom="1440" w:gutter="0" w:footer="0" w:header="0"/>
        </w:sectPr>
      </w:pPr>
    </w:p>
    <w:bookmarkStart w:id="21" w:name="page22"/>
    <w:bookmarkEnd w:id="21"/>
    <w:p>
      <w:pPr>
        <w:spacing w:after="0" w:line="184" w:lineRule="exact"/>
        <w:rPr>
          <w:sz w:val="20"/>
          <w:szCs w:val="20"/>
          <w:color w:val="auto"/>
        </w:rPr>
      </w:pPr>
    </w:p>
    <w:p>
      <w:pPr>
        <w:jc w:val="both"/>
        <w:spacing w:after="0" w:line="231" w:lineRule="auto"/>
        <w:rPr>
          <w:sz w:val="20"/>
          <w:szCs w:val="20"/>
          <w:color w:val="auto"/>
        </w:rPr>
      </w:pPr>
      <w:r>
        <w:rPr>
          <w:rFonts w:ascii="Calibri" w:cs="Calibri" w:eastAsia="Calibri" w:hAnsi="Calibri"/>
          <w:sz w:val="22"/>
          <w:szCs w:val="22"/>
          <w:color w:val="auto"/>
        </w:rPr>
        <w:t>investor with strategic, fnancial and governance experience and a focus on consumer-facing, digital media and retail opportunites leveraging data analytcs and investng in emerging consumer technologies, including Web 3.0. Ms. Goldberg has served as a member of the board of directors for Taubman Centers, Inc., Legg Mason and Plum Creek where she was a member of the audit and compensaton commitees and chair of Risk Commitee. She has also served on special commitees for M&amp;A and technology. Ms. Goldberg has M.A. from Harvard University and a B.A. from Columbia University.</w:t>
      </w:r>
    </w:p>
    <w:p>
      <w:pPr>
        <w:spacing w:after="0" w:line="220" w:lineRule="exact"/>
        <w:rPr>
          <w:sz w:val="20"/>
          <w:szCs w:val="20"/>
          <w:color w:val="auto"/>
        </w:rPr>
      </w:pPr>
    </w:p>
    <w:p>
      <w:pPr>
        <w:jc w:val="both"/>
        <w:spacing w:after="0" w:line="229" w:lineRule="auto"/>
        <w:rPr>
          <w:sz w:val="20"/>
          <w:szCs w:val="20"/>
          <w:color w:val="auto"/>
        </w:rPr>
      </w:pPr>
      <w:r>
        <w:rPr>
          <w:rFonts w:ascii="Calibri" w:cs="Calibri" w:eastAsia="Calibri" w:hAnsi="Calibri"/>
          <w:sz w:val="22"/>
          <w:szCs w:val="22"/>
          <w:color w:val="auto"/>
        </w:rPr>
        <w:t>We believe that Ms. Goldberg’s previous public board experience, including her focus on technology, fnance and governance, provide her with the leadership experience and background to serve on our board.</w:t>
      </w:r>
    </w:p>
    <w:p>
      <w:pPr>
        <w:spacing w:after="0" w:line="217" w:lineRule="exact"/>
        <w:rPr>
          <w:sz w:val="20"/>
          <w:szCs w:val="20"/>
          <w:color w:val="auto"/>
        </w:rPr>
      </w:pPr>
    </w:p>
    <w:p>
      <w:pPr>
        <w:jc w:val="both"/>
        <w:spacing w:after="0" w:line="231" w:lineRule="auto"/>
        <w:rPr>
          <w:sz w:val="20"/>
          <w:szCs w:val="20"/>
          <w:color w:val="auto"/>
        </w:rPr>
      </w:pPr>
      <w:r>
        <w:rPr>
          <w:rFonts w:ascii="Calibri" w:cs="Calibri" w:eastAsia="Calibri" w:hAnsi="Calibri"/>
          <w:sz w:val="22"/>
          <w:szCs w:val="22"/>
          <w:b w:val="1"/>
          <w:bCs w:val="1"/>
          <w:color w:val="auto"/>
        </w:rPr>
        <w:t xml:space="preserve">Jill Simeone </w:t>
      </w:r>
      <w:r>
        <w:rPr>
          <w:rFonts w:ascii="Calibri" w:cs="Calibri" w:eastAsia="Calibri" w:hAnsi="Calibri"/>
          <w:sz w:val="22"/>
          <w:szCs w:val="22"/>
          <w:color w:val="auto"/>
        </w:rPr>
        <w:t>has been a member of our Board since April 22, 2022. Ms. Simeone has served as a strategic business and legal</w:t>
      </w:r>
      <w:r>
        <w:rPr>
          <w:rFonts w:ascii="Calibri" w:cs="Calibri" w:eastAsia="Calibri" w:hAnsi="Calibri"/>
          <w:sz w:val="22"/>
          <w:szCs w:val="22"/>
          <w:b w:val="1"/>
          <w:bCs w:val="1"/>
          <w:color w:val="auto"/>
        </w:rPr>
        <w:t xml:space="preserve"> </w:t>
      </w:r>
      <w:r>
        <w:rPr>
          <w:rFonts w:ascii="Calibri" w:cs="Calibri" w:eastAsia="Calibri" w:hAnsi="Calibri"/>
          <w:sz w:val="22"/>
          <w:szCs w:val="22"/>
          <w:color w:val="auto"/>
        </w:rPr>
        <w:t xml:space="preserve">advisor for over 25 years. She is currently a Trustee on the Board of the Brooklyn Friends School, and Chair of their Nominatng and Governance Commitee. She is a member of the Mt. Sinai Kravis Children’s Hospital Family Advisory Council. From 2017 to 2022, she served as Chief Legal Ofcer and Corporate Secretary, and previously General Counsel and Corporate Secretary, of Etsy, Inc. (NASDAQ: ETSY). From 2016 to 2017, Ms. Simeone was the Vice President, Senior Counsel, and Assistant Secretary at American Express Global Business Travel (NYSE: AXP). From 2013 to 2016, Ms. Simeone was the General Counsel and Chief Compliance Ofcer of KCAP Financial, Inc. (NASDAQ: KCAP). From 2001 to 2011, Ms. Simeone was the General Counsel of CMEX S.A. de C.V. (NYSE: CX). Ms. Simeone received a Fulbright Scholarship in Mexico to study internatonal business and law in Mexico, received an AB </w:t>
      </w:r>
      <w:r>
        <w:rPr>
          <w:rFonts w:ascii="Calibri" w:cs="Calibri" w:eastAsia="Calibri" w:hAnsi="Calibri"/>
          <w:sz w:val="22"/>
          <w:szCs w:val="22"/>
          <w:i w:val="1"/>
          <w:iCs w:val="1"/>
          <w:color w:val="auto"/>
        </w:rPr>
        <w:t>cum laude</w:t>
      </w:r>
      <w:r>
        <w:rPr>
          <w:rFonts w:ascii="Calibri" w:cs="Calibri" w:eastAsia="Calibri" w:hAnsi="Calibri"/>
          <w:sz w:val="22"/>
          <w:szCs w:val="22"/>
          <w:color w:val="auto"/>
        </w:rPr>
        <w:t xml:space="preserve"> in American History and Literature from Harvard University and a Juris Doctorate from University of California Law School, San Francisco.</w:t>
      </w:r>
    </w:p>
    <w:p>
      <w:pPr>
        <w:spacing w:after="0" w:line="223" w:lineRule="exact"/>
        <w:rPr>
          <w:sz w:val="20"/>
          <w:szCs w:val="20"/>
          <w:color w:val="auto"/>
        </w:rPr>
      </w:pPr>
    </w:p>
    <w:p>
      <w:pPr>
        <w:jc w:val="both"/>
        <w:spacing w:after="0" w:line="233" w:lineRule="auto"/>
        <w:rPr>
          <w:sz w:val="20"/>
          <w:szCs w:val="20"/>
          <w:color w:val="auto"/>
        </w:rPr>
      </w:pPr>
      <w:r>
        <w:rPr>
          <w:rFonts w:ascii="Calibri" w:cs="Calibri" w:eastAsia="Calibri" w:hAnsi="Calibri"/>
          <w:sz w:val="22"/>
          <w:szCs w:val="22"/>
          <w:color w:val="auto"/>
        </w:rPr>
        <w:t>We believe Ms. Simeone is qualifed to serve on our Board because of her experience in internatonal M&amp;A, strategic advising, legal and compliance, governance, fntech and other regulated businesses, executve compensaton, and public company reportng.</w:t>
      </w:r>
    </w:p>
    <w:p>
      <w:pPr>
        <w:spacing w:after="0" w:line="217" w:lineRule="exact"/>
        <w:rPr>
          <w:sz w:val="20"/>
          <w:szCs w:val="20"/>
          <w:color w:val="auto"/>
        </w:rPr>
      </w:pPr>
    </w:p>
    <w:p>
      <w:pPr>
        <w:jc w:val="both"/>
        <w:spacing w:after="0" w:line="230" w:lineRule="auto"/>
        <w:rPr>
          <w:sz w:val="20"/>
          <w:szCs w:val="20"/>
          <w:color w:val="auto"/>
        </w:rPr>
      </w:pPr>
      <w:r>
        <w:rPr>
          <w:rFonts w:ascii="Calibri" w:cs="Calibri" w:eastAsia="Calibri" w:hAnsi="Calibri"/>
          <w:sz w:val="22"/>
          <w:szCs w:val="22"/>
          <w:b w:val="1"/>
          <w:bCs w:val="1"/>
          <w:color w:val="auto"/>
        </w:rPr>
        <w:t xml:space="preserve">Gordon Watson </w:t>
      </w:r>
      <w:r>
        <w:rPr>
          <w:rFonts w:ascii="Calibri" w:cs="Calibri" w:eastAsia="Calibri" w:hAnsi="Calibri"/>
          <w:sz w:val="22"/>
          <w:szCs w:val="22"/>
          <w:color w:val="auto"/>
        </w:rPr>
        <w:t>serves as a Partner at Victory Park Capital Advisors, LLC, which he joined in 2014. Mr. Watson is a member of</w:t>
      </w:r>
      <w:r>
        <w:rPr>
          <w:rFonts w:ascii="Calibri" w:cs="Calibri" w:eastAsia="Calibri" w:hAnsi="Calibri"/>
          <w:sz w:val="22"/>
          <w:szCs w:val="22"/>
          <w:b w:val="1"/>
          <w:bCs w:val="1"/>
          <w:color w:val="auto"/>
        </w:rPr>
        <w:t xml:space="preserve"> </w:t>
      </w:r>
      <w:r>
        <w:rPr>
          <w:rFonts w:ascii="Calibri" w:cs="Calibri" w:eastAsia="Calibri" w:hAnsi="Calibri"/>
          <w:sz w:val="22"/>
          <w:szCs w:val="22"/>
          <w:color w:val="auto"/>
        </w:rPr>
        <w:t xml:space="preserve">Victory Park’s investment commitee and helps lead its Fintech investng </w:t>
      </w:r>
      <w:r>
        <w:rPr>
          <w:rFonts w:ascii="Calibri" w:cs="Calibri" w:eastAsia="Calibri" w:hAnsi="Calibri"/>
          <w:sz w:val="22"/>
          <w:szCs w:val="22"/>
          <w:color w:val="231F20"/>
        </w:rPr>
        <w:t>team. Mr. Watson is the Investment Manager for VIH</w:t>
      </w:r>
      <w:r>
        <w:rPr>
          <w:rFonts w:ascii="Calibri" w:cs="Calibri" w:eastAsia="Calibri" w:hAnsi="Calibri"/>
          <w:sz w:val="22"/>
          <w:szCs w:val="22"/>
          <w:color w:val="auto"/>
        </w:rPr>
        <w:t xml:space="preserve"> </w:t>
      </w:r>
      <w:r>
        <w:rPr>
          <w:rFonts w:ascii="Calibri" w:cs="Calibri" w:eastAsia="Calibri" w:hAnsi="Calibri"/>
          <w:sz w:val="22"/>
          <w:szCs w:val="22"/>
          <w:color w:val="231F20"/>
        </w:rPr>
        <w:t>Specialty Lending Investments PLC (LSE: VSL), a Victory Park-managed, U.K. publicly listed investment trust focused on opportunites in the Fintech market. Gordon is the Co-Chief Executve Ofcer of VPC Impact Acquisiton Holdings II, a special purpose acquisiton company, and VPC Impact Acquisiton Holdings III, Inc., a special purpose acquisiton company. Prior to the business combinaton, Mr. Watson served on our Board and as our President and Chief Operatng Ofcer. Previously, Mr. Watson was a portolio manager focused on distressed debt at GLG Partners, a London-based 31 billion mult-strategy hedge fund that concentrates on a diverse range of alternatve investments. Mr. Watson joined GLG when it purchased Ore Hill Partners, a credit focused hedge fund where he was a partner. Mr. Watson received a B.A. in politcal science from Colgate University and an MBA from Columbia University.</w:t>
      </w:r>
    </w:p>
    <w:p>
      <w:pPr>
        <w:spacing w:after="0" w:line="234" w:lineRule="exact"/>
        <w:rPr>
          <w:sz w:val="20"/>
          <w:szCs w:val="20"/>
          <w:color w:val="auto"/>
        </w:rPr>
      </w:pPr>
    </w:p>
    <w:p>
      <w:pPr>
        <w:jc w:val="both"/>
        <w:spacing w:after="0" w:line="229" w:lineRule="auto"/>
        <w:rPr>
          <w:sz w:val="20"/>
          <w:szCs w:val="20"/>
          <w:color w:val="auto"/>
        </w:rPr>
      </w:pPr>
      <w:r>
        <w:rPr>
          <w:rFonts w:ascii="Calibri" w:cs="Calibri" w:eastAsia="Calibri" w:hAnsi="Calibri"/>
          <w:sz w:val="22"/>
          <w:szCs w:val="22"/>
          <w:color w:val="231F20"/>
        </w:rPr>
        <w:t>We believe that Mr. Watson’s experience in fntech and investments provide him with the fnancial knowledge and background to serve as a director on the Board.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left="2760"/>
        <w:spacing w:after="0"/>
        <w:tabs>
          <w:tab w:leader="none" w:pos="7080" w:val="left"/>
          <w:tab w:leader="none" w:pos="8300" w:val="left"/>
        </w:tabs>
        <w:rPr>
          <w:sz w:val="20"/>
          <w:szCs w:val="20"/>
          <w:color w:val="auto"/>
        </w:rPr>
      </w:pPr>
      <w:r>
        <w:rPr>
          <w:rFonts w:ascii="Calibri" w:cs="Calibri" w:eastAsia="Calibri" w:hAnsi="Calibri"/>
          <w:sz w:val="16"/>
          <w:szCs w:val="16"/>
          <w:color w:val="auto"/>
        </w:rPr>
        <w:t>Alphareta, GA | New York, NY | Belfast, United Kingdom</w:t>
      </w:r>
      <w:r>
        <w:rPr>
          <w:sz w:val="20"/>
          <w:szCs w:val="20"/>
          <w:color w:val="auto"/>
        </w:rPr>
        <w:tab/>
      </w:r>
      <w:r>
        <w:rPr>
          <w:rFonts w:ascii="Calibri" w:cs="Calibri" w:eastAsia="Calibri" w:hAnsi="Calibri"/>
          <w:sz w:val="16"/>
          <w:szCs w:val="16"/>
          <w:color w:val="auto"/>
        </w:rPr>
        <w:t>www.bakkt.com</w:t>
      </w:r>
      <w:r>
        <w:rPr>
          <w:sz w:val="20"/>
          <w:szCs w:val="20"/>
          <w:color w:val="auto"/>
        </w:rPr>
        <w:tab/>
      </w:r>
      <w:r>
        <w:rPr>
          <w:rFonts w:ascii="Calibri" w:cs="Calibri" w:eastAsia="Calibri" w:hAnsi="Calibri"/>
          <w:sz w:val="17"/>
          <w:szCs w:val="17"/>
          <w:color w:val="auto"/>
        </w:rPr>
        <w:t>16</w:t>
      </w:r>
    </w:p>
    <w:p>
      <w:pPr>
        <w:sectPr>
          <w:pgSz w:w="11900" w:h="16838" w:orient="portrait"/>
          <w:cols w:equalWidth="0" w:num="1">
            <w:col w:w="11240"/>
          </w:cols>
          <w:pgMar w:left="320" w:top="1440" w:right="339" w:bottom="1440" w:gutter="0" w:footer="0" w:header="0"/>
        </w:sectPr>
      </w:pPr>
    </w:p>
    <w:bookmarkStart w:id="22" w:name="page23"/>
    <w:bookmarkEnd w:id="22"/>
    <w:p>
      <w:pPr>
        <w:spacing w:after="0" w:line="171" w:lineRule="exact"/>
        <w:rPr>
          <w:sz w:val="20"/>
          <w:szCs w:val="20"/>
          <w:color w:val="auto"/>
        </w:rPr>
      </w:pPr>
    </w:p>
    <w:p>
      <w:pPr>
        <w:spacing w:after="0"/>
        <w:rPr>
          <w:sz w:val="20"/>
          <w:szCs w:val="20"/>
          <w:color w:val="auto"/>
        </w:rPr>
      </w:pPr>
      <w:r>
        <w:rPr>
          <w:rFonts w:ascii="Calibri" w:cs="Calibri" w:eastAsia="Calibri" w:hAnsi="Calibri"/>
          <w:sz w:val="29"/>
          <w:szCs w:val="29"/>
          <w:b w:val="1"/>
          <w:bCs w:val="1"/>
          <w:color w:val="auto"/>
        </w:rPr>
        <w:t>Board Leadership Structure</w:t>
      </w:r>
    </w:p>
    <w:p>
      <w:pPr>
        <w:spacing w:after="0" w:line="226" w:lineRule="exact"/>
        <w:rPr>
          <w:sz w:val="20"/>
          <w:szCs w:val="20"/>
          <w:color w:val="auto"/>
        </w:rPr>
      </w:pPr>
    </w:p>
    <w:p>
      <w:pPr>
        <w:jc w:val="both"/>
        <w:spacing w:after="0"/>
        <w:rPr>
          <w:sz w:val="20"/>
          <w:szCs w:val="20"/>
          <w:color w:val="auto"/>
        </w:rPr>
      </w:pPr>
      <w:r>
        <w:rPr>
          <w:rFonts w:ascii="Calibri" w:cs="Calibri" w:eastAsia="Calibri" w:hAnsi="Calibri"/>
          <w:sz w:val="21"/>
          <w:szCs w:val="21"/>
          <w:color w:val="auto"/>
        </w:rPr>
        <w:t>Our corporate governance framework provides our board with fexibility to determine the appropriate leadership structure for the company, and whether the roles of chairperson and chief executve ofcer should be separated or combined. In making this determinaton, our board considers many factors, including the needs of the business, our board’s assessment of its leadership needs from tme to tme and the best interests of our stockholders. Mr. Collins currently serves as the chairperson of our Board.</w:t>
      </w:r>
    </w:p>
    <w:p>
      <w:pPr>
        <w:spacing w:after="0" w:line="217" w:lineRule="exact"/>
        <w:rPr>
          <w:sz w:val="20"/>
          <w:szCs w:val="20"/>
          <w:color w:val="auto"/>
        </w:rPr>
      </w:pPr>
    </w:p>
    <w:p>
      <w:pPr>
        <w:jc w:val="both"/>
        <w:spacing w:after="0" w:line="231" w:lineRule="auto"/>
        <w:rPr>
          <w:sz w:val="20"/>
          <w:szCs w:val="20"/>
          <w:color w:val="auto"/>
        </w:rPr>
      </w:pPr>
      <w:r>
        <w:rPr>
          <w:rFonts w:ascii="Calibri" w:cs="Calibri" w:eastAsia="Calibri" w:hAnsi="Calibri"/>
          <w:sz w:val="22"/>
          <w:szCs w:val="22"/>
          <w:color w:val="auto"/>
        </w:rPr>
        <w:t>Our board believes that it is currently appropriate to separate the roles of chairperson and chief executve ofcer. Mr. Main, our chief executve ofcer, is responsible for day-to-day leadership, while Mr. Collins, our chairperson, along with the rest of our independent directors, ensures that our board’s tme and atenton is focused on providing independent oversight of management and maters critcal to our company. Our Board believes that Mr. Collins’ deep knowledge of the company and industry, as well as strong leadership and governance experience, enable Mr. Collins to lead our board efectvely and independently. Accordingly, we believe that our current leadership structure is appropriate and enhances the Board’s ability to efectvely carry out its roles and responsibilites on behalf of our stockholders.</w:t>
      </w:r>
    </w:p>
    <w:p>
      <w:pPr>
        <w:spacing w:after="0" w:line="217" w:lineRule="exact"/>
        <w:rPr>
          <w:sz w:val="20"/>
          <w:szCs w:val="20"/>
          <w:color w:val="auto"/>
        </w:rPr>
      </w:pPr>
    </w:p>
    <w:p>
      <w:pPr>
        <w:spacing w:after="0"/>
        <w:rPr>
          <w:sz w:val="20"/>
          <w:szCs w:val="20"/>
          <w:color w:val="auto"/>
        </w:rPr>
      </w:pPr>
      <w:r>
        <w:rPr>
          <w:rFonts w:ascii="Calibri" w:cs="Calibri" w:eastAsia="Calibri" w:hAnsi="Calibri"/>
          <w:sz w:val="29"/>
          <w:szCs w:val="29"/>
          <w:b w:val="1"/>
          <w:bCs w:val="1"/>
          <w:color w:val="auto"/>
        </w:rPr>
        <w:t>Director Independence</w:t>
      </w:r>
    </w:p>
    <w:p>
      <w:pPr>
        <w:spacing w:after="0" w:line="104" w:lineRule="exact"/>
        <w:rPr>
          <w:sz w:val="20"/>
          <w:szCs w:val="20"/>
          <w:color w:val="auto"/>
        </w:rPr>
      </w:pPr>
    </w:p>
    <w:p>
      <w:pPr>
        <w:jc w:val="both"/>
        <w:spacing w:after="0" w:line="231" w:lineRule="auto"/>
        <w:rPr>
          <w:sz w:val="20"/>
          <w:szCs w:val="20"/>
          <w:color w:val="auto"/>
        </w:rPr>
      </w:pPr>
      <w:r>
        <w:rPr>
          <w:rFonts w:ascii="Calibri" w:cs="Calibri" w:eastAsia="Calibri" w:hAnsi="Calibri"/>
          <w:sz w:val="22"/>
          <w:szCs w:val="22"/>
          <w:color w:val="auto"/>
        </w:rPr>
        <w:t>Our Class A Common Stock is listed on the NYSE. As a company listed on the NYSE, we are required under NYSE listng rules to maintain a board comprised of a majority of independent directors as determined afrmatvely by our board. Under NYSE listng rules, a director will only qualify as an independent director if that listed company’s board of directors afrmatvely determines that the director has no material relatonship with such listed company (either directly or as a partner, stockholder or ofcer of an organizaton that has a relatonship with such listed company). In additon, the NYSE listng rules require that, subject to specifed exceptons, each member of our audit, compensaton and nominatng and corporate governance commitees be independent.</w:t>
      </w:r>
    </w:p>
    <w:p>
      <w:pPr>
        <w:spacing w:after="0" w:line="121" w:lineRule="exact"/>
        <w:rPr>
          <w:sz w:val="20"/>
          <w:szCs w:val="20"/>
          <w:color w:val="auto"/>
        </w:rPr>
      </w:pPr>
    </w:p>
    <w:p>
      <w:pPr>
        <w:jc w:val="both"/>
        <w:spacing w:after="0" w:line="229" w:lineRule="auto"/>
        <w:rPr>
          <w:sz w:val="20"/>
          <w:szCs w:val="20"/>
          <w:color w:val="auto"/>
        </w:rPr>
      </w:pPr>
      <w:r>
        <w:rPr>
          <w:rFonts w:ascii="Calibri" w:cs="Calibri" w:eastAsia="Calibri" w:hAnsi="Calibri"/>
          <w:sz w:val="22"/>
          <w:szCs w:val="22"/>
          <w:color w:val="auto"/>
        </w:rPr>
        <w:t>Audit and risk commitee members must also satsfy the additonal independence criteria set forth in Rule 10A-3 under the Securites Exchange Act of 1934, as amended, or the Exchange Act, and NYSE listng rules applicable to audit and risk commitee members. Compensaton commitee members must also satsfy the additonal independence criteria set forth in Rule 10C-1 under the Exchange Act and NYSE listng rules applicable to compensaton commitee members.</w:t>
      </w:r>
    </w:p>
    <w:p>
      <w:pPr>
        <w:spacing w:after="0" w:line="109" w:lineRule="exact"/>
        <w:rPr>
          <w:sz w:val="20"/>
          <w:szCs w:val="20"/>
          <w:color w:val="auto"/>
        </w:rPr>
      </w:pPr>
    </w:p>
    <w:p>
      <w:pPr>
        <w:jc w:val="both"/>
        <w:spacing w:after="0" w:line="231" w:lineRule="auto"/>
        <w:rPr>
          <w:sz w:val="20"/>
          <w:szCs w:val="20"/>
          <w:color w:val="auto"/>
        </w:rPr>
      </w:pPr>
      <w:r>
        <w:rPr>
          <w:rFonts w:ascii="Calibri" w:cs="Calibri" w:eastAsia="Calibri" w:hAnsi="Calibri"/>
          <w:sz w:val="22"/>
          <w:szCs w:val="22"/>
          <w:color w:val="auto"/>
        </w:rPr>
        <w:t>Our Board has undertaken a review of the independence of each of our directors. Based on informaton provided by each director concerning his or her background, employment and afliatons, our Board has determined that Mr. Collins, Ms. Dow, Ms. Goldberg, Mr. Lumb and Ms. Simeone, representng fve of our eight directors, do not have any material relatonship with us (either directly or as a partner, stockholder or ofcer of an organizaton that has a relatonship with us) and that each of these directors is an “independent director” as defned under the listng standards of the NYSE.</w:t>
      </w:r>
    </w:p>
    <w:p>
      <w:pPr>
        <w:spacing w:after="0" w:line="220" w:lineRule="exact"/>
        <w:rPr>
          <w:sz w:val="20"/>
          <w:szCs w:val="20"/>
          <w:color w:val="auto"/>
        </w:rPr>
      </w:pPr>
    </w:p>
    <w:p>
      <w:pPr>
        <w:jc w:val="both"/>
        <w:spacing w:after="0" w:line="229" w:lineRule="auto"/>
        <w:rPr>
          <w:sz w:val="20"/>
          <w:szCs w:val="20"/>
          <w:color w:val="auto"/>
        </w:rPr>
      </w:pPr>
      <w:r>
        <w:rPr>
          <w:rFonts w:ascii="Calibri" w:cs="Calibri" w:eastAsia="Calibri" w:hAnsi="Calibri"/>
          <w:sz w:val="22"/>
          <w:szCs w:val="22"/>
          <w:color w:val="auto"/>
        </w:rPr>
        <w:t>In making these determinatons, our Board considered the current and prior relatonships that each non-employee director has with Bakkt and all other facts and circumstances that our Board deemed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2760"/>
        <w:spacing w:after="0"/>
        <w:tabs>
          <w:tab w:leader="none" w:pos="7080" w:val="left"/>
          <w:tab w:leader="none" w:pos="8300" w:val="left"/>
        </w:tabs>
        <w:rPr>
          <w:sz w:val="20"/>
          <w:szCs w:val="20"/>
          <w:color w:val="auto"/>
        </w:rPr>
      </w:pPr>
      <w:r>
        <w:rPr>
          <w:rFonts w:ascii="Calibri" w:cs="Calibri" w:eastAsia="Calibri" w:hAnsi="Calibri"/>
          <w:sz w:val="16"/>
          <w:szCs w:val="16"/>
          <w:color w:val="auto"/>
        </w:rPr>
        <w:t>Alphareta, GA | New York, NY | Belfast, United Kingdom</w:t>
      </w:r>
      <w:r>
        <w:rPr>
          <w:sz w:val="20"/>
          <w:szCs w:val="20"/>
          <w:color w:val="auto"/>
        </w:rPr>
        <w:tab/>
      </w:r>
      <w:r>
        <w:rPr>
          <w:rFonts w:ascii="Calibri" w:cs="Calibri" w:eastAsia="Calibri" w:hAnsi="Calibri"/>
          <w:sz w:val="16"/>
          <w:szCs w:val="16"/>
          <w:color w:val="auto"/>
        </w:rPr>
        <w:t>www.bakkt.com</w:t>
      </w:r>
      <w:r>
        <w:rPr>
          <w:sz w:val="20"/>
          <w:szCs w:val="20"/>
          <w:color w:val="auto"/>
        </w:rPr>
        <w:tab/>
      </w:r>
      <w:r>
        <w:rPr>
          <w:rFonts w:ascii="Calibri" w:cs="Calibri" w:eastAsia="Calibri" w:hAnsi="Calibri"/>
          <w:sz w:val="17"/>
          <w:szCs w:val="17"/>
          <w:color w:val="auto"/>
        </w:rPr>
        <w:t>17</w:t>
      </w:r>
    </w:p>
    <w:p>
      <w:pPr>
        <w:sectPr>
          <w:pgSz w:w="11900" w:h="16838" w:orient="portrait"/>
          <w:cols w:equalWidth="0" w:num="1">
            <w:col w:w="11240"/>
          </w:cols>
          <w:pgMar w:left="320" w:top="1440" w:right="339" w:bottom="1440" w:gutter="0" w:footer="0" w:header="0"/>
        </w:sectPr>
      </w:pPr>
    </w:p>
    <w:bookmarkStart w:id="23" w:name="page24"/>
    <w:bookmarkEnd w:id="23"/>
    <w:p>
      <w:pPr>
        <w:spacing w:after="0" w:line="183" w:lineRule="exact"/>
        <w:rPr>
          <w:sz w:val="20"/>
          <w:szCs w:val="20"/>
          <w:color w:val="auto"/>
        </w:rPr>
      </w:pPr>
    </w:p>
    <w:p>
      <w:pPr>
        <w:jc w:val="both"/>
        <w:spacing w:after="0" w:line="229" w:lineRule="auto"/>
        <w:rPr>
          <w:sz w:val="20"/>
          <w:szCs w:val="20"/>
          <w:color w:val="auto"/>
        </w:rPr>
      </w:pPr>
      <w:r>
        <w:rPr>
          <w:rFonts w:ascii="Calibri" w:cs="Calibri" w:eastAsia="Calibri" w:hAnsi="Calibri"/>
          <w:sz w:val="22"/>
          <w:szCs w:val="22"/>
          <w:color w:val="auto"/>
        </w:rPr>
        <w:t>relevant in determining their independence, including the benefcial ownership of our capital stock by each non-employee director, and the transactons involving them described in the secton ttled “Related Person Transactons.”</w:t>
      </w:r>
    </w:p>
    <w:p>
      <w:pPr>
        <w:spacing w:after="0" w:line="206" w:lineRule="exact"/>
        <w:rPr>
          <w:sz w:val="20"/>
          <w:szCs w:val="20"/>
          <w:color w:val="auto"/>
        </w:rPr>
      </w:pPr>
    </w:p>
    <w:p>
      <w:pPr>
        <w:spacing w:after="0"/>
        <w:rPr>
          <w:sz w:val="20"/>
          <w:szCs w:val="20"/>
          <w:color w:val="auto"/>
        </w:rPr>
      </w:pPr>
      <w:r>
        <w:rPr>
          <w:rFonts w:ascii="Calibri" w:cs="Calibri" w:eastAsia="Calibri" w:hAnsi="Calibri"/>
          <w:sz w:val="22"/>
          <w:szCs w:val="22"/>
          <w:color w:val="auto"/>
        </w:rPr>
        <w:t>There are no family relatonships among any of our directors, director nominees or executve ofcers.</w:t>
      </w:r>
    </w:p>
    <w:p>
      <w:pPr>
        <w:spacing w:after="0" w:line="215" w:lineRule="exact"/>
        <w:rPr>
          <w:sz w:val="20"/>
          <w:szCs w:val="20"/>
          <w:color w:val="auto"/>
        </w:rPr>
      </w:pPr>
    </w:p>
    <w:p>
      <w:pPr>
        <w:spacing w:after="0"/>
        <w:rPr>
          <w:sz w:val="20"/>
          <w:szCs w:val="20"/>
          <w:color w:val="auto"/>
        </w:rPr>
      </w:pPr>
      <w:r>
        <w:rPr>
          <w:rFonts w:ascii="Calibri" w:cs="Calibri" w:eastAsia="Calibri" w:hAnsi="Calibri"/>
          <w:sz w:val="29"/>
          <w:szCs w:val="29"/>
          <w:b w:val="1"/>
          <w:bCs w:val="1"/>
          <w:color w:val="auto"/>
        </w:rPr>
        <w:t>Role of Board in Risk Oversight Process</w:t>
      </w:r>
    </w:p>
    <w:p>
      <w:pPr>
        <w:spacing w:after="0" w:line="212" w:lineRule="exact"/>
        <w:rPr>
          <w:sz w:val="20"/>
          <w:szCs w:val="20"/>
          <w:color w:val="auto"/>
        </w:rPr>
      </w:pPr>
    </w:p>
    <w:p>
      <w:pPr>
        <w:jc w:val="both"/>
        <w:spacing w:after="0" w:line="231" w:lineRule="auto"/>
        <w:rPr>
          <w:sz w:val="20"/>
          <w:szCs w:val="20"/>
          <w:color w:val="auto"/>
        </w:rPr>
      </w:pPr>
      <w:r>
        <w:rPr>
          <w:rFonts w:ascii="Calibri" w:cs="Calibri" w:eastAsia="Calibri" w:hAnsi="Calibri"/>
          <w:sz w:val="22"/>
          <w:szCs w:val="22"/>
          <w:color w:val="auto"/>
        </w:rPr>
        <w:t>Risk is part of every business. Bakkt’s business has several inherent risks, including strategic, fnancial, business, operatonal, legal, regulatory, compliance and reputatonal. We have designed and implemented processes to manage risk in our operatons. Management is responsible for the day-to-day management of risks the company faces, while our Board, as a whole and assisted by its commitees, has responsibility for the oversight of risk management, reviewing, evaluatng and discussing strategic and operatonal risk, cybersecurity risks, among other risks, receives reports from management and on all signifcant commitee actvites at each regular board meetng, and evaluates the risks inherent in signifcant transactons.</w:t>
      </w:r>
    </w:p>
    <w:p>
      <w:pPr>
        <w:spacing w:after="0" w:line="218" w:lineRule="exact"/>
        <w:rPr>
          <w:sz w:val="20"/>
          <w:szCs w:val="20"/>
          <w:color w:val="auto"/>
        </w:rPr>
      </w:pPr>
    </w:p>
    <w:p>
      <w:pPr>
        <w:jc w:val="both"/>
        <w:spacing w:after="0" w:line="232" w:lineRule="auto"/>
        <w:rPr>
          <w:sz w:val="20"/>
          <w:szCs w:val="20"/>
          <w:color w:val="auto"/>
        </w:rPr>
      </w:pPr>
      <w:r>
        <w:rPr>
          <w:rFonts w:ascii="Calibri" w:cs="Calibri" w:eastAsia="Calibri" w:hAnsi="Calibri"/>
          <w:sz w:val="22"/>
          <w:szCs w:val="22"/>
          <w:color w:val="auto"/>
        </w:rPr>
        <w:t>The commitees of the Board also assist the Board in fulflling its oversight responsibilites in certain areas of risk. The audit and risk commitee assists in fulflling the oversight responsibilites with respect to management of major risk exposures, including in the areas of fnancial reportng and internal controls, and has general oversight over cybersecurity risks. Risk assessment reports are regularly provided by management to the audit commitee. The compensaton commitee assists in fulflling oversight responsibilites with respect to the management of risks arising from our compensaton policies and programs. The nominatng and corporate governance assists in fulflling oversight responsibilites with respect to the management of risks associated with the Board’s organizaton, membership and structure and corporate governance. All of the commitees report back to the Board on the commitees’ actvites and maters discussed and reviewed at the commitees’ meetngs.</w:t>
      </w:r>
    </w:p>
    <w:p>
      <w:pPr>
        <w:spacing w:after="0" w:line="206" w:lineRule="exact"/>
        <w:rPr>
          <w:sz w:val="20"/>
          <w:szCs w:val="20"/>
          <w:color w:val="auto"/>
        </w:rPr>
      </w:pPr>
    </w:p>
    <w:p>
      <w:pPr>
        <w:spacing w:after="0"/>
        <w:rPr>
          <w:sz w:val="20"/>
          <w:szCs w:val="20"/>
          <w:color w:val="auto"/>
        </w:rPr>
      </w:pPr>
      <w:r>
        <w:rPr>
          <w:rFonts w:ascii="Calibri" w:cs="Calibri" w:eastAsia="Calibri" w:hAnsi="Calibri"/>
          <w:sz w:val="29"/>
          <w:szCs w:val="29"/>
          <w:b w:val="1"/>
          <w:bCs w:val="1"/>
          <w:color w:val="auto"/>
        </w:rPr>
        <w:t>Atendance at Board and Stockholder Meetngs</w:t>
      </w:r>
    </w:p>
    <w:p>
      <w:pPr>
        <w:spacing w:after="0" w:line="212" w:lineRule="exact"/>
        <w:rPr>
          <w:sz w:val="20"/>
          <w:szCs w:val="20"/>
          <w:color w:val="auto"/>
        </w:rPr>
      </w:pPr>
    </w:p>
    <w:p>
      <w:pPr>
        <w:jc w:val="both"/>
        <w:spacing w:after="0" w:line="232" w:lineRule="auto"/>
        <w:rPr>
          <w:sz w:val="20"/>
          <w:szCs w:val="20"/>
          <w:color w:val="auto"/>
        </w:rPr>
      </w:pPr>
      <w:r>
        <w:rPr>
          <w:rFonts w:ascii="Calibri" w:cs="Calibri" w:eastAsia="Calibri" w:hAnsi="Calibri"/>
          <w:sz w:val="22"/>
          <w:szCs w:val="22"/>
          <w:color w:val="auto"/>
        </w:rPr>
        <w:t>During our fscal year ended December 31, 2023, our Board held 21 meetngs (including regularly scheduled and special meetngs), and each director atended at least 75% of (1) the total number of meetngs of the Board held during the period for which he or she has been a director and (2) the total number of meetngs held by each commitee on which he or she served during the periods that he or she served.</w:t>
      </w:r>
    </w:p>
    <w:p>
      <w:pPr>
        <w:spacing w:after="0" w:line="217" w:lineRule="exact"/>
        <w:rPr>
          <w:sz w:val="20"/>
          <w:szCs w:val="20"/>
          <w:color w:val="auto"/>
        </w:rPr>
      </w:pPr>
    </w:p>
    <w:p>
      <w:pPr>
        <w:jc w:val="both"/>
        <w:spacing w:after="0" w:line="229" w:lineRule="auto"/>
        <w:rPr>
          <w:sz w:val="20"/>
          <w:szCs w:val="20"/>
          <w:color w:val="auto"/>
        </w:rPr>
      </w:pPr>
      <w:r>
        <w:rPr>
          <w:rFonts w:ascii="Calibri" w:cs="Calibri" w:eastAsia="Calibri" w:hAnsi="Calibri"/>
          <w:sz w:val="22"/>
          <w:szCs w:val="22"/>
          <w:color w:val="auto"/>
        </w:rPr>
        <w:t>Although we do not have a formal policy regarding atendance by members of our Board at the annual meetngs of stockholders, we strongly encourage, but do not require, directors to atend.</w:t>
      </w:r>
    </w:p>
    <w:p>
      <w:pPr>
        <w:spacing w:after="0" w:line="218" w:lineRule="exact"/>
        <w:rPr>
          <w:sz w:val="20"/>
          <w:szCs w:val="20"/>
          <w:color w:val="auto"/>
        </w:rPr>
      </w:pPr>
    </w:p>
    <w:p>
      <w:pPr>
        <w:spacing w:after="0"/>
        <w:rPr>
          <w:sz w:val="20"/>
          <w:szCs w:val="20"/>
          <w:color w:val="auto"/>
        </w:rPr>
      </w:pPr>
      <w:r>
        <w:rPr>
          <w:rFonts w:ascii="Calibri" w:cs="Calibri" w:eastAsia="Calibri" w:hAnsi="Calibri"/>
          <w:sz w:val="29"/>
          <w:szCs w:val="29"/>
          <w:b w:val="1"/>
          <w:bCs w:val="1"/>
          <w:color w:val="auto"/>
        </w:rPr>
        <w:t>Board Commitees</w:t>
      </w:r>
    </w:p>
    <w:p>
      <w:pPr>
        <w:spacing w:after="0" w:line="212" w:lineRule="exact"/>
        <w:rPr>
          <w:sz w:val="20"/>
          <w:szCs w:val="20"/>
          <w:color w:val="auto"/>
        </w:rPr>
      </w:pPr>
    </w:p>
    <w:p>
      <w:pPr>
        <w:jc w:val="both"/>
        <w:spacing w:after="0" w:line="229" w:lineRule="auto"/>
        <w:rPr>
          <w:sz w:val="20"/>
          <w:szCs w:val="20"/>
          <w:color w:val="auto"/>
        </w:rPr>
      </w:pPr>
      <w:r>
        <w:rPr>
          <w:rFonts w:ascii="Calibri" w:cs="Calibri" w:eastAsia="Calibri" w:hAnsi="Calibri"/>
          <w:sz w:val="22"/>
          <w:szCs w:val="22"/>
          <w:color w:val="auto"/>
        </w:rPr>
        <w:t>Our Board has established the following standing commitees of the Board: an audit and risk commitee; a compensaton commitee; and a nominatng and corporate governance commitee.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left="2760"/>
        <w:spacing w:after="0"/>
        <w:tabs>
          <w:tab w:leader="none" w:pos="7080" w:val="left"/>
          <w:tab w:leader="none" w:pos="8300" w:val="left"/>
        </w:tabs>
        <w:rPr>
          <w:sz w:val="20"/>
          <w:szCs w:val="20"/>
          <w:color w:val="auto"/>
        </w:rPr>
      </w:pPr>
      <w:r>
        <w:rPr>
          <w:rFonts w:ascii="Calibri" w:cs="Calibri" w:eastAsia="Calibri" w:hAnsi="Calibri"/>
          <w:sz w:val="16"/>
          <w:szCs w:val="16"/>
          <w:color w:val="auto"/>
        </w:rPr>
        <w:t>Alphareta, GA | New York, NY | Belfast, United Kingdom</w:t>
      </w:r>
      <w:r>
        <w:rPr>
          <w:sz w:val="20"/>
          <w:szCs w:val="20"/>
          <w:color w:val="auto"/>
        </w:rPr>
        <w:tab/>
      </w:r>
      <w:r>
        <w:rPr>
          <w:rFonts w:ascii="Calibri" w:cs="Calibri" w:eastAsia="Calibri" w:hAnsi="Calibri"/>
          <w:sz w:val="16"/>
          <w:szCs w:val="16"/>
          <w:color w:val="auto"/>
        </w:rPr>
        <w:t>www.bakkt.com</w:t>
      </w:r>
      <w:r>
        <w:rPr>
          <w:sz w:val="20"/>
          <w:szCs w:val="20"/>
          <w:color w:val="auto"/>
        </w:rPr>
        <w:tab/>
      </w:r>
      <w:r>
        <w:rPr>
          <w:rFonts w:ascii="Calibri" w:cs="Calibri" w:eastAsia="Calibri" w:hAnsi="Calibri"/>
          <w:sz w:val="17"/>
          <w:szCs w:val="17"/>
          <w:color w:val="auto"/>
        </w:rPr>
        <w:t>18</w:t>
      </w:r>
    </w:p>
    <w:p>
      <w:pPr>
        <w:sectPr>
          <w:pgSz w:w="11900" w:h="16838" w:orient="portrait"/>
          <w:cols w:equalWidth="0" w:num="1">
            <w:col w:w="11240"/>
          </w:cols>
          <w:pgMar w:left="320" w:top="1440" w:right="339" w:bottom="1440" w:gutter="0" w:footer="0" w:header="0"/>
        </w:sectPr>
      </w:pPr>
    </w:p>
    <w:bookmarkStart w:id="24" w:name="page25"/>
    <w:bookmarkEnd w:id="24"/>
    <w:p>
      <w:pPr>
        <w:spacing w:after="0" w:line="183" w:lineRule="exact"/>
        <w:rPr>
          <w:sz w:val="20"/>
          <w:szCs w:val="20"/>
          <w:color w:val="auto"/>
        </w:rPr>
      </w:pPr>
    </w:p>
    <w:p>
      <w:pPr>
        <w:jc w:val="both"/>
        <w:spacing w:after="0" w:line="232" w:lineRule="auto"/>
        <w:rPr>
          <w:sz w:val="20"/>
          <w:szCs w:val="20"/>
          <w:color w:val="auto"/>
        </w:rPr>
      </w:pPr>
      <w:r>
        <w:rPr>
          <w:rFonts w:ascii="Calibri" w:cs="Calibri" w:eastAsia="Calibri" w:hAnsi="Calibri"/>
          <w:sz w:val="22"/>
          <w:szCs w:val="22"/>
          <w:color w:val="auto"/>
        </w:rPr>
        <w:t>Members will serve on these commitees untl their resignaton or untl as otherwise determined by the Board. The compositon and responsibilites of each of the commitees of our Board is described below. Our Board may also determine to establish one or more additonal commitees from tme to tme. For example, our Board established a special commitee to negotate and approve the terms of our recent concurrent registered direct oferings in the frst quarter of 2024.</w:t>
      </w:r>
    </w:p>
    <w:p>
      <w:pPr>
        <w:spacing w:after="0" w:line="207" w:lineRule="exact"/>
        <w:rPr>
          <w:sz w:val="20"/>
          <w:szCs w:val="20"/>
          <w:color w:val="auto"/>
        </w:rPr>
      </w:pPr>
    </w:p>
    <w:p>
      <w:pPr>
        <w:spacing w:after="0"/>
        <w:rPr>
          <w:sz w:val="20"/>
          <w:szCs w:val="20"/>
          <w:color w:val="auto"/>
        </w:rPr>
      </w:pPr>
      <w:r>
        <w:rPr>
          <w:rFonts w:ascii="Calibri" w:cs="Calibri" w:eastAsia="Calibri" w:hAnsi="Calibri"/>
          <w:sz w:val="22"/>
          <w:szCs w:val="22"/>
          <w:b w:val="1"/>
          <w:bCs w:val="1"/>
          <w:color w:val="auto"/>
        </w:rPr>
        <w:t>Audit and Risk Commitee</w:t>
      </w:r>
    </w:p>
    <w:p>
      <w:pPr>
        <w:spacing w:after="0" w:line="215" w:lineRule="exact"/>
        <w:rPr>
          <w:sz w:val="20"/>
          <w:szCs w:val="20"/>
          <w:color w:val="auto"/>
        </w:rPr>
      </w:pPr>
    </w:p>
    <w:p>
      <w:pPr>
        <w:jc w:val="both"/>
        <w:spacing w:after="0" w:line="231" w:lineRule="auto"/>
        <w:rPr>
          <w:sz w:val="20"/>
          <w:szCs w:val="20"/>
          <w:color w:val="auto"/>
        </w:rPr>
      </w:pPr>
      <w:r>
        <w:rPr>
          <w:rFonts w:ascii="Calibri" w:cs="Calibri" w:eastAsia="Calibri" w:hAnsi="Calibri"/>
          <w:sz w:val="22"/>
          <w:szCs w:val="22"/>
          <w:color w:val="auto"/>
        </w:rPr>
        <w:t>The audit and risk commitee consists of Richard Lumb, Sean Collins, De’Ana Dow and Michelle J. Goldberg, with Michelle J. Goldberg serving as the chair of the commitee. Each of the members of the audit and risk commitee satsfes the requirements for independence and fnancial literacy under the applicable rules and regulatons of the SEC and rules of the NYSE. The Board has determined that Mr. Lumb qualifes as an “audit commitee fnancial expert” as defned in Item 407 of Regulaton S-K promulgated by the SEC. The audit and risk commitee is responsible for, among other things:</w:t>
      </w:r>
    </w:p>
    <w:p>
      <w:pPr>
        <w:spacing w:after="0" w:line="128" w:lineRule="exact"/>
        <w:rPr>
          <w:sz w:val="20"/>
          <w:szCs w:val="20"/>
          <w:color w:val="auto"/>
        </w:rPr>
      </w:pPr>
    </w:p>
    <w:p>
      <w:pPr>
        <w:ind w:left="660" w:hanging="328"/>
        <w:spacing w:after="0"/>
        <w:tabs>
          <w:tab w:leader="none" w:pos="660" w:val="left"/>
        </w:tabs>
        <w:numPr>
          <w:ilvl w:val="0"/>
          <w:numId w:val="18"/>
        </w:numPr>
        <w:rPr>
          <w:rFonts w:ascii="Times New Roman" w:cs="Times New Roman" w:eastAsia="Times New Roman" w:hAnsi="Times New Roman"/>
          <w:sz w:val="22"/>
          <w:szCs w:val="22"/>
          <w:color w:val="auto"/>
        </w:rPr>
      </w:pPr>
      <w:r>
        <w:rPr>
          <w:rFonts w:ascii="Calibri" w:cs="Calibri" w:eastAsia="Calibri" w:hAnsi="Calibri"/>
          <w:sz w:val="22"/>
          <w:szCs w:val="22"/>
          <w:color w:val="auto"/>
        </w:rPr>
        <w:t>selectng a qualifed frm to serve as the independent registered public accountng frm to audit our fnancial statements;</w:t>
      </w:r>
    </w:p>
    <w:p>
      <w:pPr>
        <w:spacing w:after="0" w:line="122" w:lineRule="exact"/>
        <w:rPr>
          <w:rFonts w:ascii="Times New Roman" w:cs="Times New Roman" w:eastAsia="Times New Roman" w:hAnsi="Times New Roman"/>
          <w:sz w:val="22"/>
          <w:szCs w:val="22"/>
          <w:color w:val="auto"/>
        </w:rPr>
      </w:pPr>
    </w:p>
    <w:p>
      <w:pPr>
        <w:ind w:left="660" w:hanging="328"/>
        <w:spacing w:after="0"/>
        <w:tabs>
          <w:tab w:leader="none" w:pos="660" w:val="left"/>
        </w:tabs>
        <w:numPr>
          <w:ilvl w:val="0"/>
          <w:numId w:val="18"/>
        </w:numPr>
        <w:rPr>
          <w:rFonts w:ascii="Times New Roman" w:cs="Times New Roman" w:eastAsia="Times New Roman" w:hAnsi="Times New Roman"/>
          <w:sz w:val="22"/>
          <w:szCs w:val="22"/>
          <w:color w:val="auto"/>
        </w:rPr>
      </w:pPr>
      <w:r>
        <w:rPr>
          <w:rFonts w:ascii="Calibri" w:cs="Calibri" w:eastAsia="Calibri" w:hAnsi="Calibri"/>
          <w:sz w:val="22"/>
          <w:szCs w:val="22"/>
          <w:color w:val="auto"/>
        </w:rPr>
        <w:t>helping to ensure the independence and performance of the independent registered public accountng frm;</w:t>
      </w:r>
    </w:p>
    <w:p>
      <w:pPr>
        <w:spacing w:after="0" w:line="133" w:lineRule="exact"/>
        <w:rPr>
          <w:rFonts w:ascii="Times New Roman" w:cs="Times New Roman" w:eastAsia="Times New Roman" w:hAnsi="Times New Roman"/>
          <w:sz w:val="22"/>
          <w:szCs w:val="22"/>
          <w:color w:val="auto"/>
        </w:rPr>
      </w:pPr>
    </w:p>
    <w:p>
      <w:pPr>
        <w:ind w:left="660" w:hanging="328"/>
        <w:spacing w:after="0" w:line="241" w:lineRule="auto"/>
        <w:tabs>
          <w:tab w:leader="none" w:pos="655" w:val="left"/>
        </w:tabs>
        <w:numPr>
          <w:ilvl w:val="0"/>
          <w:numId w:val="18"/>
        </w:numPr>
        <w:rPr>
          <w:rFonts w:ascii="Times New Roman" w:cs="Times New Roman" w:eastAsia="Times New Roman" w:hAnsi="Times New Roman"/>
          <w:sz w:val="21"/>
          <w:szCs w:val="21"/>
          <w:color w:val="auto"/>
        </w:rPr>
      </w:pPr>
      <w:r>
        <w:rPr>
          <w:rFonts w:ascii="Calibri" w:cs="Calibri" w:eastAsia="Calibri" w:hAnsi="Calibri"/>
          <w:sz w:val="21"/>
          <w:szCs w:val="21"/>
          <w:color w:val="auto"/>
        </w:rPr>
        <w:t>discussing the scope and results of the audit with the independent registered public accountng frm and reviewing, with management and the independent registered public accountng frm, our interim and year-end fnancial statements;</w:t>
      </w:r>
    </w:p>
    <w:p>
      <w:pPr>
        <w:spacing w:after="0" w:line="146" w:lineRule="exact"/>
        <w:rPr>
          <w:rFonts w:ascii="Times New Roman" w:cs="Times New Roman" w:eastAsia="Times New Roman" w:hAnsi="Times New Roman"/>
          <w:sz w:val="21"/>
          <w:szCs w:val="21"/>
          <w:color w:val="auto"/>
        </w:rPr>
      </w:pPr>
    </w:p>
    <w:p>
      <w:pPr>
        <w:ind w:left="660" w:hanging="328"/>
        <w:spacing w:after="0"/>
        <w:tabs>
          <w:tab w:leader="none" w:pos="660" w:val="left"/>
        </w:tabs>
        <w:numPr>
          <w:ilvl w:val="0"/>
          <w:numId w:val="18"/>
        </w:numPr>
        <w:rPr>
          <w:rFonts w:ascii="Times New Roman" w:cs="Times New Roman" w:eastAsia="Times New Roman" w:hAnsi="Times New Roman"/>
          <w:sz w:val="21"/>
          <w:szCs w:val="21"/>
          <w:color w:val="auto"/>
        </w:rPr>
      </w:pPr>
      <w:r>
        <w:rPr>
          <w:rFonts w:ascii="Calibri" w:cs="Calibri" w:eastAsia="Calibri" w:hAnsi="Calibri"/>
          <w:sz w:val="21"/>
          <w:szCs w:val="21"/>
          <w:color w:val="auto"/>
        </w:rPr>
        <w:t>developing procedures for employees to submit concerns anonymously about questonable accountng or audit maters;</w:t>
      </w:r>
    </w:p>
    <w:p>
      <w:pPr>
        <w:spacing w:after="0" w:line="135" w:lineRule="exact"/>
        <w:rPr>
          <w:rFonts w:ascii="Times New Roman" w:cs="Times New Roman" w:eastAsia="Times New Roman" w:hAnsi="Times New Roman"/>
          <w:sz w:val="21"/>
          <w:szCs w:val="21"/>
          <w:color w:val="auto"/>
        </w:rPr>
      </w:pPr>
    </w:p>
    <w:p>
      <w:pPr>
        <w:ind w:left="660" w:hanging="328"/>
        <w:spacing w:after="0"/>
        <w:tabs>
          <w:tab w:leader="none" w:pos="660" w:val="left"/>
        </w:tabs>
        <w:numPr>
          <w:ilvl w:val="0"/>
          <w:numId w:val="18"/>
        </w:numPr>
        <w:rPr>
          <w:rFonts w:ascii="Times New Roman" w:cs="Times New Roman" w:eastAsia="Times New Roman" w:hAnsi="Times New Roman"/>
          <w:sz w:val="21"/>
          <w:szCs w:val="21"/>
          <w:color w:val="auto"/>
        </w:rPr>
      </w:pPr>
      <w:r>
        <w:rPr>
          <w:rFonts w:ascii="Calibri" w:cs="Calibri" w:eastAsia="Calibri" w:hAnsi="Calibri"/>
          <w:sz w:val="21"/>
          <w:szCs w:val="21"/>
          <w:color w:val="auto"/>
        </w:rPr>
        <w:t>reviewing our policies on and overseeing risk assessment and risk management, including enterprise risk management;</w:t>
      </w:r>
    </w:p>
    <w:p>
      <w:pPr>
        <w:spacing w:after="0" w:line="124" w:lineRule="exact"/>
        <w:rPr>
          <w:rFonts w:ascii="Times New Roman" w:cs="Times New Roman" w:eastAsia="Times New Roman" w:hAnsi="Times New Roman"/>
          <w:sz w:val="21"/>
          <w:szCs w:val="21"/>
          <w:color w:val="auto"/>
        </w:rPr>
      </w:pPr>
    </w:p>
    <w:p>
      <w:pPr>
        <w:ind w:left="660" w:hanging="328"/>
        <w:spacing w:after="0"/>
        <w:tabs>
          <w:tab w:leader="none" w:pos="660" w:val="left"/>
        </w:tabs>
        <w:numPr>
          <w:ilvl w:val="0"/>
          <w:numId w:val="18"/>
        </w:numPr>
        <w:rPr>
          <w:rFonts w:ascii="Times New Roman" w:cs="Times New Roman" w:eastAsia="Times New Roman" w:hAnsi="Times New Roman"/>
          <w:sz w:val="22"/>
          <w:szCs w:val="22"/>
          <w:color w:val="auto"/>
        </w:rPr>
      </w:pPr>
      <w:r>
        <w:rPr>
          <w:rFonts w:ascii="Calibri" w:cs="Calibri" w:eastAsia="Calibri" w:hAnsi="Calibri"/>
          <w:sz w:val="22"/>
          <w:szCs w:val="22"/>
          <w:color w:val="auto"/>
        </w:rPr>
        <w:t>reviewing related party transactons;</w:t>
      </w:r>
    </w:p>
    <w:p>
      <w:pPr>
        <w:spacing w:after="0" w:line="133" w:lineRule="exact"/>
        <w:rPr>
          <w:rFonts w:ascii="Times New Roman" w:cs="Times New Roman" w:eastAsia="Times New Roman" w:hAnsi="Times New Roman"/>
          <w:sz w:val="22"/>
          <w:szCs w:val="22"/>
          <w:color w:val="auto"/>
        </w:rPr>
      </w:pPr>
    </w:p>
    <w:p>
      <w:pPr>
        <w:ind w:left="660" w:hanging="328"/>
        <w:spacing w:after="0" w:line="229" w:lineRule="auto"/>
        <w:tabs>
          <w:tab w:leader="none" w:pos="655" w:val="left"/>
        </w:tabs>
        <w:numPr>
          <w:ilvl w:val="0"/>
          <w:numId w:val="18"/>
        </w:numPr>
        <w:rPr>
          <w:rFonts w:ascii="Times New Roman" w:cs="Times New Roman" w:eastAsia="Times New Roman" w:hAnsi="Times New Roman"/>
          <w:sz w:val="22"/>
          <w:szCs w:val="22"/>
          <w:color w:val="auto"/>
        </w:rPr>
      </w:pPr>
      <w:r>
        <w:rPr>
          <w:rFonts w:ascii="Calibri" w:cs="Calibri" w:eastAsia="Calibri" w:hAnsi="Calibri"/>
          <w:sz w:val="22"/>
          <w:szCs w:val="22"/>
          <w:color w:val="auto"/>
        </w:rPr>
        <w:t>reviewing the adequacy and efectveness of internal control policies and procedures and our disclosure controls and procedures; and</w:t>
      </w:r>
    </w:p>
    <w:p>
      <w:pPr>
        <w:spacing w:after="0" w:line="149" w:lineRule="exact"/>
        <w:rPr>
          <w:rFonts w:ascii="Times New Roman" w:cs="Times New Roman" w:eastAsia="Times New Roman" w:hAnsi="Times New Roman"/>
          <w:sz w:val="22"/>
          <w:szCs w:val="22"/>
          <w:color w:val="auto"/>
        </w:rPr>
      </w:pPr>
    </w:p>
    <w:p>
      <w:pPr>
        <w:ind w:left="660" w:hanging="328"/>
        <w:spacing w:after="0" w:line="229" w:lineRule="auto"/>
        <w:tabs>
          <w:tab w:leader="none" w:pos="655" w:val="left"/>
        </w:tabs>
        <w:numPr>
          <w:ilvl w:val="0"/>
          <w:numId w:val="18"/>
        </w:numPr>
        <w:rPr>
          <w:rFonts w:ascii="Times New Roman" w:cs="Times New Roman" w:eastAsia="Times New Roman" w:hAnsi="Times New Roman"/>
          <w:sz w:val="22"/>
          <w:szCs w:val="22"/>
          <w:color w:val="auto"/>
        </w:rPr>
      </w:pPr>
      <w:r>
        <w:rPr>
          <w:rFonts w:ascii="Calibri" w:cs="Calibri" w:eastAsia="Calibri" w:hAnsi="Calibri"/>
          <w:sz w:val="22"/>
          <w:szCs w:val="22"/>
          <w:color w:val="auto"/>
        </w:rPr>
        <w:t>approving or, as required, pre-approving, all audit and all permissible non-audit services, other than de minimis non-audit services, to be performed by the independent registered public accountng frm.</w:t>
      </w:r>
    </w:p>
    <w:p>
      <w:pPr>
        <w:spacing w:after="0" w:line="217" w:lineRule="exact"/>
        <w:rPr>
          <w:sz w:val="20"/>
          <w:szCs w:val="20"/>
          <w:color w:val="auto"/>
        </w:rPr>
      </w:pPr>
    </w:p>
    <w:p>
      <w:pPr>
        <w:jc w:val="both"/>
        <w:spacing w:after="0" w:line="232" w:lineRule="auto"/>
        <w:rPr>
          <w:sz w:val="20"/>
          <w:szCs w:val="20"/>
          <w:color w:val="auto"/>
        </w:rPr>
      </w:pPr>
      <w:r>
        <w:rPr>
          <w:rFonts w:ascii="Calibri" w:cs="Calibri" w:eastAsia="Calibri" w:hAnsi="Calibri"/>
          <w:sz w:val="22"/>
          <w:szCs w:val="22"/>
          <w:color w:val="auto"/>
        </w:rPr>
        <w:t xml:space="preserve">Our audit and risk commitee operates under a writen charter that satsfes the applicable rules and regulatons of the SEC and the listng standards of the NYSE. A copy of the charter of our audit and risk commitee is available on our website at </w:t>
      </w:r>
      <w:r>
        <w:rPr>
          <w:rFonts w:ascii="Calibri" w:cs="Calibri" w:eastAsia="Calibri" w:hAnsi="Calibri"/>
          <w:sz w:val="22"/>
          <w:szCs w:val="22"/>
          <w:u w:val="single" w:color="auto"/>
          <w:color w:val="0000FF"/>
        </w:rPr>
        <w:t>htps://investors.bakkt.com/governance/governance-documents/</w:t>
      </w:r>
      <w:r>
        <w:rPr>
          <w:rFonts w:ascii="Calibri" w:cs="Calibri" w:eastAsia="Calibri" w:hAnsi="Calibri"/>
          <w:sz w:val="22"/>
          <w:szCs w:val="22"/>
          <w:color w:val="000000"/>
        </w:rPr>
        <w:t>. During 2023, our audit and risk commitee held seven</w:t>
      </w:r>
      <w:r>
        <w:rPr>
          <w:rFonts w:ascii="Calibri" w:cs="Calibri" w:eastAsia="Calibri" w:hAnsi="Calibri"/>
          <w:sz w:val="22"/>
          <w:szCs w:val="22"/>
          <w:color w:val="0000FF"/>
        </w:rPr>
        <w:t xml:space="preserve"> </w:t>
      </w:r>
      <w:r>
        <w:rPr>
          <w:rFonts w:ascii="Calibri" w:cs="Calibri" w:eastAsia="Calibri" w:hAnsi="Calibri"/>
          <w:sz w:val="22"/>
          <w:szCs w:val="22"/>
          <w:color w:val="000000"/>
        </w:rPr>
        <w:t>meetngs.</w:t>
      </w:r>
    </w:p>
    <w:p>
      <w:pPr>
        <w:spacing w:after="0" w:line="207" w:lineRule="exact"/>
        <w:rPr>
          <w:sz w:val="20"/>
          <w:szCs w:val="20"/>
          <w:color w:val="auto"/>
        </w:rPr>
      </w:pPr>
    </w:p>
    <w:p>
      <w:pPr>
        <w:spacing w:after="0"/>
        <w:rPr>
          <w:sz w:val="20"/>
          <w:szCs w:val="20"/>
          <w:color w:val="auto"/>
        </w:rPr>
      </w:pPr>
      <w:r>
        <w:rPr>
          <w:rFonts w:ascii="Calibri" w:cs="Calibri" w:eastAsia="Calibri" w:hAnsi="Calibri"/>
          <w:sz w:val="22"/>
          <w:szCs w:val="22"/>
          <w:b w:val="1"/>
          <w:bCs w:val="1"/>
          <w:color w:val="auto"/>
        </w:rPr>
        <w:t>Compensaton Commitee</w:t>
      </w:r>
    </w:p>
    <w:p>
      <w:pPr>
        <w:spacing w:after="0" w:line="215" w:lineRule="exact"/>
        <w:rPr>
          <w:sz w:val="20"/>
          <w:szCs w:val="20"/>
          <w:color w:val="auto"/>
        </w:rPr>
      </w:pPr>
    </w:p>
    <w:p>
      <w:pPr>
        <w:jc w:val="both"/>
        <w:spacing w:after="0" w:line="229" w:lineRule="auto"/>
        <w:rPr>
          <w:sz w:val="20"/>
          <w:szCs w:val="20"/>
          <w:color w:val="auto"/>
        </w:rPr>
      </w:pPr>
      <w:r>
        <w:rPr>
          <w:rFonts w:ascii="Calibri" w:cs="Calibri" w:eastAsia="Calibri" w:hAnsi="Calibri"/>
          <w:sz w:val="22"/>
          <w:szCs w:val="22"/>
          <w:color w:val="auto"/>
        </w:rPr>
        <w:t>The compensaton commitee consists of Sean Collins and Jill Simeone, with Sean Collins serving as the chair of the commitee. Each of the members of the compensaton commitee meets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left="2760"/>
        <w:spacing w:after="0"/>
        <w:tabs>
          <w:tab w:leader="none" w:pos="7080" w:val="left"/>
          <w:tab w:leader="none" w:pos="8300" w:val="left"/>
        </w:tabs>
        <w:rPr>
          <w:sz w:val="20"/>
          <w:szCs w:val="20"/>
          <w:color w:val="auto"/>
        </w:rPr>
      </w:pPr>
      <w:r>
        <w:rPr>
          <w:rFonts w:ascii="Calibri" w:cs="Calibri" w:eastAsia="Calibri" w:hAnsi="Calibri"/>
          <w:sz w:val="16"/>
          <w:szCs w:val="16"/>
          <w:color w:val="auto"/>
        </w:rPr>
        <w:t>Alphareta, GA | New York, NY | Belfast, United Kingdom</w:t>
      </w:r>
      <w:r>
        <w:rPr>
          <w:sz w:val="20"/>
          <w:szCs w:val="20"/>
          <w:color w:val="auto"/>
        </w:rPr>
        <w:tab/>
      </w:r>
      <w:r>
        <w:rPr>
          <w:rFonts w:ascii="Calibri" w:cs="Calibri" w:eastAsia="Calibri" w:hAnsi="Calibri"/>
          <w:sz w:val="16"/>
          <w:szCs w:val="16"/>
          <w:color w:val="auto"/>
        </w:rPr>
        <w:t>www.bakkt.com</w:t>
      </w:r>
      <w:r>
        <w:rPr>
          <w:sz w:val="20"/>
          <w:szCs w:val="20"/>
          <w:color w:val="auto"/>
        </w:rPr>
        <w:tab/>
      </w:r>
      <w:r>
        <w:rPr>
          <w:rFonts w:ascii="Calibri" w:cs="Calibri" w:eastAsia="Calibri" w:hAnsi="Calibri"/>
          <w:sz w:val="17"/>
          <w:szCs w:val="17"/>
          <w:color w:val="auto"/>
        </w:rPr>
        <w:t>19</w:t>
      </w:r>
    </w:p>
    <w:p>
      <w:pPr>
        <w:sectPr>
          <w:pgSz w:w="11900" w:h="16838" w:orient="portrait"/>
          <w:cols w:equalWidth="0" w:num="1">
            <w:col w:w="11240"/>
          </w:cols>
          <w:pgMar w:left="320" w:top="1440" w:right="339" w:bottom="1440" w:gutter="0" w:footer="0" w:header="0"/>
        </w:sectPr>
      </w:pPr>
    </w:p>
    <w:bookmarkStart w:id="25" w:name="page26"/>
    <w:bookmarkEnd w:id="25"/>
    <w:p>
      <w:pPr>
        <w:spacing w:after="0" w:line="183" w:lineRule="exact"/>
        <w:rPr>
          <w:sz w:val="20"/>
          <w:szCs w:val="20"/>
          <w:color w:val="auto"/>
        </w:rPr>
      </w:pPr>
    </w:p>
    <w:p>
      <w:pPr>
        <w:ind w:right="20"/>
        <w:spacing w:after="0" w:line="229" w:lineRule="auto"/>
        <w:rPr>
          <w:sz w:val="20"/>
          <w:szCs w:val="20"/>
          <w:color w:val="auto"/>
        </w:rPr>
      </w:pPr>
      <w:r>
        <w:rPr>
          <w:rFonts w:ascii="Calibri" w:cs="Calibri" w:eastAsia="Calibri" w:hAnsi="Calibri"/>
          <w:sz w:val="22"/>
          <w:szCs w:val="22"/>
          <w:color w:val="auto"/>
        </w:rPr>
        <w:t>requirements for independence under the applicable rules and regulatons of the SEC and rules of the NYSE. The compensaton commitee is responsible for, among other things:</w:t>
      </w:r>
    </w:p>
    <w:p>
      <w:pPr>
        <w:spacing w:after="0" w:line="125" w:lineRule="exact"/>
        <w:rPr>
          <w:sz w:val="20"/>
          <w:szCs w:val="20"/>
          <w:color w:val="auto"/>
        </w:rPr>
      </w:pPr>
    </w:p>
    <w:p>
      <w:pPr>
        <w:ind w:left="660" w:hanging="328"/>
        <w:spacing w:after="0"/>
        <w:tabs>
          <w:tab w:leader="none" w:pos="660" w:val="left"/>
        </w:tabs>
        <w:numPr>
          <w:ilvl w:val="0"/>
          <w:numId w:val="19"/>
        </w:numPr>
        <w:rPr>
          <w:rFonts w:ascii="Times New Roman" w:cs="Times New Roman" w:eastAsia="Times New Roman" w:hAnsi="Times New Roman"/>
          <w:sz w:val="22"/>
          <w:szCs w:val="22"/>
          <w:color w:val="auto"/>
        </w:rPr>
      </w:pPr>
      <w:r>
        <w:rPr>
          <w:rFonts w:ascii="Calibri" w:cs="Calibri" w:eastAsia="Calibri" w:hAnsi="Calibri"/>
          <w:sz w:val="22"/>
          <w:szCs w:val="22"/>
          <w:color w:val="auto"/>
        </w:rPr>
        <w:t>reviewing, approving and determining the compensaton of our ofcers and key employees;</w:t>
      </w:r>
    </w:p>
    <w:p>
      <w:pPr>
        <w:spacing w:after="0" w:line="147" w:lineRule="exact"/>
        <w:rPr>
          <w:rFonts w:ascii="Times New Roman" w:cs="Times New Roman" w:eastAsia="Times New Roman" w:hAnsi="Times New Roman"/>
          <w:sz w:val="22"/>
          <w:szCs w:val="22"/>
          <w:color w:val="auto"/>
        </w:rPr>
      </w:pPr>
    </w:p>
    <w:p>
      <w:pPr>
        <w:ind w:left="660" w:right="20" w:hanging="328"/>
        <w:spacing w:after="0" w:line="229" w:lineRule="auto"/>
        <w:tabs>
          <w:tab w:leader="none" w:pos="655" w:val="left"/>
        </w:tabs>
        <w:numPr>
          <w:ilvl w:val="0"/>
          <w:numId w:val="19"/>
        </w:numPr>
        <w:rPr>
          <w:rFonts w:ascii="Times New Roman" w:cs="Times New Roman" w:eastAsia="Times New Roman" w:hAnsi="Times New Roman"/>
          <w:sz w:val="22"/>
          <w:szCs w:val="22"/>
          <w:color w:val="auto"/>
        </w:rPr>
      </w:pPr>
      <w:r>
        <w:rPr>
          <w:rFonts w:ascii="Calibri" w:cs="Calibri" w:eastAsia="Calibri" w:hAnsi="Calibri"/>
          <w:sz w:val="22"/>
          <w:szCs w:val="22"/>
          <w:color w:val="auto"/>
        </w:rPr>
        <w:t>reviewing, approving and determining compensaton and benefts, including equity awards, to directors for service on the Board or any commitee thereof;</w:t>
      </w:r>
    </w:p>
    <w:p>
      <w:pPr>
        <w:spacing w:after="0" w:line="124" w:lineRule="exact"/>
        <w:rPr>
          <w:rFonts w:ascii="Times New Roman" w:cs="Times New Roman" w:eastAsia="Times New Roman" w:hAnsi="Times New Roman"/>
          <w:sz w:val="22"/>
          <w:szCs w:val="22"/>
          <w:color w:val="auto"/>
        </w:rPr>
      </w:pPr>
    </w:p>
    <w:p>
      <w:pPr>
        <w:ind w:left="660" w:hanging="328"/>
        <w:spacing w:after="0"/>
        <w:tabs>
          <w:tab w:leader="none" w:pos="660" w:val="left"/>
        </w:tabs>
        <w:numPr>
          <w:ilvl w:val="0"/>
          <w:numId w:val="19"/>
        </w:numPr>
        <w:rPr>
          <w:rFonts w:ascii="Times New Roman" w:cs="Times New Roman" w:eastAsia="Times New Roman" w:hAnsi="Times New Roman"/>
          <w:sz w:val="22"/>
          <w:szCs w:val="22"/>
          <w:color w:val="auto"/>
        </w:rPr>
      </w:pPr>
      <w:r>
        <w:rPr>
          <w:rFonts w:ascii="Calibri" w:cs="Calibri" w:eastAsia="Calibri" w:hAnsi="Calibri"/>
          <w:sz w:val="22"/>
          <w:szCs w:val="22"/>
          <w:color w:val="auto"/>
        </w:rPr>
        <w:t>administering our equity-based compensaton plans;</w:t>
      </w:r>
    </w:p>
    <w:p>
      <w:pPr>
        <w:spacing w:after="0" w:line="133" w:lineRule="exact"/>
        <w:rPr>
          <w:rFonts w:ascii="Times New Roman" w:cs="Times New Roman" w:eastAsia="Times New Roman" w:hAnsi="Times New Roman"/>
          <w:sz w:val="22"/>
          <w:szCs w:val="22"/>
          <w:color w:val="auto"/>
        </w:rPr>
      </w:pPr>
    </w:p>
    <w:p>
      <w:pPr>
        <w:ind w:left="660" w:hanging="328"/>
        <w:spacing w:after="0" w:line="229" w:lineRule="auto"/>
        <w:tabs>
          <w:tab w:leader="none" w:pos="655" w:val="left"/>
        </w:tabs>
        <w:numPr>
          <w:ilvl w:val="0"/>
          <w:numId w:val="19"/>
        </w:numPr>
        <w:rPr>
          <w:rFonts w:ascii="Times New Roman" w:cs="Times New Roman" w:eastAsia="Times New Roman" w:hAnsi="Times New Roman"/>
          <w:sz w:val="22"/>
          <w:szCs w:val="22"/>
          <w:color w:val="auto"/>
        </w:rPr>
      </w:pPr>
      <w:r>
        <w:rPr>
          <w:rFonts w:ascii="Calibri" w:cs="Calibri" w:eastAsia="Calibri" w:hAnsi="Calibri"/>
          <w:sz w:val="22"/>
          <w:szCs w:val="22"/>
          <w:color w:val="auto"/>
        </w:rPr>
        <w:t>reviewing, approving and making recommendatons to the Board regarding equity-based compensaton plans and non-equity based incentve compensaton plans; and</w:t>
      </w:r>
    </w:p>
    <w:p>
      <w:pPr>
        <w:spacing w:after="0" w:line="138" w:lineRule="exact"/>
        <w:rPr>
          <w:rFonts w:ascii="Times New Roman" w:cs="Times New Roman" w:eastAsia="Times New Roman" w:hAnsi="Times New Roman"/>
          <w:sz w:val="22"/>
          <w:szCs w:val="22"/>
          <w:color w:val="auto"/>
        </w:rPr>
      </w:pPr>
    </w:p>
    <w:p>
      <w:pPr>
        <w:ind w:left="660" w:hanging="328"/>
        <w:spacing w:after="0"/>
        <w:tabs>
          <w:tab w:leader="none" w:pos="660" w:val="left"/>
        </w:tabs>
        <w:numPr>
          <w:ilvl w:val="0"/>
          <w:numId w:val="19"/>
        </w:numPr>
        <w:rPr>
          <w:rFonts w:ascii="Times New Roman" w:cs="Times New Roman" w:eastAsia="Times New Roman" w:hAnsi="Times New Roman"/>
          <w:sz w:val="22"/>
          <w:szCs w:val="22"/>
          <w:color w:val="auto"/>
        </w:rPr>
      </w:pPr>
      <w:r>
        <w:rPr>
          <w:rFonts w:ascii="Calibri" w:cs="Calibri" w:eastAsia="Calibri" w:hAnsi="Calibri"/>
          <w:sz w:val="22"/>
          <w:szCs w:val="22"/>
          <w:color w:val="auto"/>
        </w:rPr>
        <w:t>establishing and reviewing general policies relatng to compensaton and benefts of our employees.</w:t>
      </w:r>
    </w:p>
    <w:p>
      <w:pPr>
        <w:spacing w:after="0" w:line="215" w:lineRule="exact"/>
        <w:rPr>
          <w:sz w:val="20"/>
          <w:szCs w:val="20"/>
          <w:color w:val="auto"/>
        </w:rPr>
      </w:pPr>
    </w:p>
    <w:p>
      <w:pPr>
        <w:jc w:val="both"/>
        <w:spacing w:after="0" w:line="229" w:lineRule="auto"/>
        <w:rPr>
          <w:sz w:val="20"/>
          <w:szCs w:val="20"/>
          <w:color w:val="auto"/>
        </w:rPr>
      </w:pPr>
      <w:r>
        <w:rPr>
          <w:rFonts w:ascii="Calibri" w:cs="Calibri" w:eastAsia="Calibri" w:hAnsi="Calibri"/>
          <w:sz w:val="22"/>
          <w:szCs w:val="22"/>
          <w:color w:val="auto"/>
        </w:rPr>
        <w:t xml:space="preserve">Our compensaton commitee operates under a writen charter that satsfes the applicable rules and regulatons of the SEC and the listng standards of the NYSE. A copy of the charter of our compensaton commitee is available on our website at </w:t>
      </w:r>
      <w:r>
        <w:rPr>
          <w:rFonts w:ascii="Calibri" w:cs="Calibri" w:eastAsia="Calibri" w:hAnsi="Calibri"/>
          <w:sz w:val="22"/>
          <w:szCs w:val="22"/>
          <w:u w:val="single" w:color="auto"/>
          <w:color w:val="0000FF"/>
        </w:rPr>
        <w:t>htps://investors.bakkt.com/governance/governance-documents/</w:t>
      </w:r>
      <w:r>
        <w:rPr>
          <w:rFonts w:ascii="Calibri" w:cs="Calibri" w:eastAsia="Calibri" w:hAnsi="Calibri"/>
          <w:sz w:val="22"/>
          <w:szCs w:val="22"/>
          <w:color w:val="000000"/>
        </w:rPr>
        <w:t>. During 2023, our compensaton commitee held fve</w:t>
      </w:r>
      <w:r>
        <w:rPr>
          <w:rFonts w:ascii="Calibri" w:cs="Calibri" w:eastAsia="Calibri" w:hAnsi="Calibri"/>
          <w:sz w:val="22"/>
          <w:szCs w:val="22"/>
          <w:color w:val="0000FF"/>
        </w:rPr>
        <w:t xml:space="preserve"> </w:t>
      </w:r>
      <w:r>
        <w:rPr>
          <w:rFonts w:ascii="Calibri" w:cs="Calibri" w:eastAsia="Calibri" w:hAnsi="Calibri"/>
          <w:sz w:val="22"/>
          <w:szCs w:val="22"/>
          <w:color w:val="000000"/>
        </w:rPr>
        <w:t>meetngs.</w:t>
      </w:r>
    </w:p>
    <w:p>
      <w:pPr>
        <w:spacing w:after="0" w:line="204" w:lineRule="exact"/>
        <w:rPr>
          <w:sz w:val="20"/>
          <w:szCs w:val="20"/>
          <w:color w:val="auto"/>
        </w:rPr>
      </w:pPr>
    </w:p>
    <w:p>
      <w:pPr>
        <w:spacing w:after="0"/>
        <w:rPr>
          <w:sz w:val="20"/>
          <w:szCs w:val="20"/>
          <w:color w:val="auto"/>
        </w:rPr>
      </w:pPr>
      <w:r>
        <w:rPr>
          <w:rFonts w:ascii="Calibri" w:cs="Calibri" w:eastAsia="Calibri" w:hAnsi="Calibri"/>
          <w:sz w:val="22"/>
          <w:szCs w:val="22"/>
          <w:b w:val="1"/>
          <w:bCs w:val="1"/>
          <w:color w:val="auto"/>
        </w:rPr>
        <w:t>Nominatng and Corporate Governance Commitee</w:t>
      </w:r>
    </w:p>
    <w:p>
      <w:pPr>
        <w:spacing w:after="0" w:line="230" w:lineRule="exact"/>
        <w:rPr>
          <w:sz w:val="20"/>
          <w:szCs w:val="20"/>
          <w:color w:val="auto"/>
        </w:rPr>
      </w:pPr>
    </w:p>
    <w:p>
      <w:pPr>
        <w:jc w:val="both"/>
        <w:spacing w:after="0" w:line="229" w:lineRule="auto"/>
        <w:rPr>
          <w:sz w:val="20"/>
          <w:szCs w:val="20"/>
          <w:color w:val="auto"/>
        </w:rPr>
      </w:pPr>
      <w:r>
        <w:rPr>
          <w:rFonts w:ascii="Calibri" w:cs="Calibri" w:eastAsia="Calibri" w:hAnsi="Calibri"/>
          <w:sz w:val="22"/>
          <w:szCs w:val="22"/>
          <w:color w:val="auto"/>
        </w:rPr>
        <w:t>The nominatng and corporate governance commitee consists of Michelle J. Goldberg, Sean Collins and Jill Simeone, with Michelle J. Goldberg serving as the chair of the commitee. Each of the members of the nominatng and corporate governance commitee meets the requirements for independence under the applicable rules and regulatons of the SEC and rules of the NYSE. The nominatng and corporate governance commitee is responsible for, among other things:</w:t>
      </w:r>
    </w:p>
    <w:p>
      <w:pPr>
        <w:spacing w:after="0" w:line="136" w:lineRule="exact"/>
        <w:rPr>
          <w:sz w:val="20"/>
          <w:szCs w:val="20"/>
          <w:color w:val="auto"/>
        </w:rPr>
      </w:pPr>
    </w:p>
    <w:p>
      <w:pPr>
        <w:ind w:left="660" w:hanging="328"/>
        <w:spacing w:after="0" w:line="235" w:lineRule="auto"/>
        <w:tabs>
          <w:tab w:leader="none" w:pos="655" w:val="left"/>
        </w:tabs>
        <w:numPr>
          <w:ilvl w:val="0"/>
          <w:numId w:val="20"/>
        </w:numPr>
        <w:rPr>
          <w:rFonts w:ascii="Times New Roman" w:cs="Times New Roman" w:eastAsia="Times New Roman" w:hAnsi="Times New Roman"/>
          <w:sz w:val="22"/>
          <w:szCs w:val="22"/>
          <w:color w:val="auto"/>
        </w:rPr>
      </w:pPr>
      <w:r>
        <w:rPr>
          <w:rFonts w:ascii="Calibri" w:cs="Calibri" w:eastAsia="Calibri" w:hAnsi="Calibri"/>
          <w:sz w:val="22"/>
          <w:szCs w:val="22"/>
          <w:color w:val="auto"/>
        </w:rPr>
        <w:t>identfying, evaluatng and selectng, and making recommendatons to the Board regarding, nominees for electon to the Board and its commitees;</w:t>
      </w:r>
    </w:p>
    <w:p>
      <w:pPr>
        <w:spacing w:after="0" w:line="125" w:lineRule="exact"/>
        <w:rPr>
          <w:rFonts w:ascii="Times New Roman" w:cs="Times New Roman" w:eastAsia="Times New Roman" w:hAnsi="Times New Roman"/>
          <w:sz w:val="22"/>
          <w:szCs w:val="22"/>
          <w:color w:val="auto"/>
        </w:rPr>
      </w:pPr>
    </w:p>
    <w:p>
      <w:pPr>
        <w:ind w:left="660" w:hanging="328"/>
        <w:spacing w:after="0"/>
        <w:tabs>
          <w:tab w:leader="none" w:pos="660" w:val="left"/>
        </w:tabs>
        <w:numPr>
          <w:ilvl w:val="0"/>
          <w:numId w:val="20"/>
        </w:numPr>
        <w:rPr>
          <w:rFonts w:ascii="Times New Roman" w:cs="Times New Roman" w:eastAsia="Times New Roman" w:hAnsi="Times New Roman"/>
          <w:sz w:val="22"/>
          <w:szCs w:val="22"/>
          <w:color w:val="auto"/>
        </w:rPr>
      </w:pPr>
      <w:r>
        <w:rPr>
          <w:rFonts w:ascii="Calibri" w:cs="Calibri" w:eastAsia="Calibri" w:hAnsi="Calibri"/>
          <w:sz w:val="22"/>
          <w:szCs w:val="22"/>
          <w:color w:val="auto"/>
        </w:rPr>
        <w:t>evaluatng the performance of the Board and of individual directors;</w:t>
      </w:r>
    </w:p>
    <w:p>
      <w:pPr>
        <w:spacing w:after="0" w:line="120" w:lineRule="exact"/>
        <w:rPr>
          <w:rFonts w:ascii="Times New Roman" w:cs="Times New Roman" w:eastAsia="Times New Roman" w:hAnsi="Times New Roman"/>
          <w:sz w:val="22"/>
          <w:szCs w:val="22"/>
          <w:color w:val="auto"/>
        </w:rPr>
      </w:pPr>
    </w:p>
    <w:p>
      <w:pPr>
        <w:ind w:left="660" w:hanging="328"/>
        <w:spacing w:after="0"/>
        <w:tabs>
          <w:tab w:leader="none" w:pos="660" w:val="left"/>
        </w:tabs>
        <w:numPr>
          <w:ilvl w:val="0"/>
          <w:numId w:val="20"/>
        </w:numPr>
        <w:rPr>
          <w:rFonts w:ascii="Times New Roman" w:cs="Times New Roman" w:eastAsia="Times New Roman" w:hAnsi="Times New Roman"/>
          <w:sz w:val="22"/>
          <w:szCs w:val="22"/>
          <w:color w:val="auto"/>
        </w:rPr>
      </w:pPr>
      <w:r>
        <w:rPr>
          <w:rFonts w:ascii="Calibri" w:cs="Calibri" w:eastAsia="Calibri" w:hAnsi="Calibri"/>
          <w:sz w:val="22"/>
          <w:szCs w:val="22"/>
          <w:color w:val="auto"/>
        </w:rPr>
        <w:t>considering, and making recommendatons to the Board regarding, the compositon of the Board and its commitees;</w:t>
      </w:r>
    </w:p>
    <w:p>
      <w:pPr>
        <w:spacing w:after="0" w:line="124" w:lineRule="exact"/>
        <w:rPr>
          <w:rFonts w:ascii="Times New Roman" w:cs="Times New Roman" w:eastAsia="Times New Roman" w:hAnsi="Times New Roman"/>
          <w:sz w:val="22"/>
          <w:szCs w:val="22"/>
          <w:color w:val="auto"/>
        </w:rPr>
      </w:pPr>
    </w:p>
    <w:p>
      <w:pPr>
        <w:ind w:left="660" w:hanging="328"/>
        <w:spacing w:after="0"/>
        <w:tabs>
          <w:tab w:leader="none" w:pos="660" w:val="left"/>
        </w:tabs>
        <w:numPr>
          <w:ilvl w:val="0"/>
          <w:numId w:val="20"/>
        </w:numPr>
        <w:rPr>
          <w:rFonts w:ascii="Times New Roman" w:cs="Times New Roman" w:eastAsia="Times New Roman" w:hAnsi="Times New Roman"/>
          <w:sz w:val="22"/>
          <w:szCs w:val="22"/>
          <w:color w:val="auto"/>
        </w:rPr>
      </w:pPr>
      <w:r>
        <w:rPr>
          <w:rFonts w:ascii="Calibri" w:cs="Calibri" w:eastAsia="Calibri" w:hAnsi="Calibri"/>
          <w:sz w:val="22"/>
          <w:szCs w:val="22"/>
          <w:color w:val="auto"/>
        </w:rPr>
        <w:t>reviewing developments in corporate governance practces;</w:t>
      </w:r>
    </w:p>
    <w:p>
      <w:pPr>
        <w:spacing w:after="0" w:line="133" w:lineRule="exact"/>
        <w:rPr>
          <w:rFonts w:ascii="Times New Roman" w:cs="Times New Roman" w:eastAsia="Times New Roman" w:hAnsi="Times New Roman"/>
          <w:sz w:val="22"/>
          <w:szCs w:val="22"/>
          <w:color w:val="auto"/>
        </w:rPr>
      </w:pPr>
    </w:p>
    <w:p>
      <w:pPr>
        <w:ind w:left="660" w:hanging="328"/>
        <w:spacing w:after="0" w:line="235" w:lineRule="auto"/>
        <w:tabs>
          <w:tab w:leader="none" w:pos="655" w:val="left"/>
        </w:tabs>
        <w:numPr>
          <w:ilvl w:val="0"/>
          <w:numId w:val="20"/>
        </w:numPr>
        <w:rPr>
          <w:rFonts w:ascii="Times New Roman" w:cs="Times New Roman" w:eastAsia="Times New Roman" w:hAnsi="Times New Roman"/>
          <w:sz w:val="22"/>
          <w:szCs w:val="22"/>
          <w:color w:val="auto"/>
        </w:rPr>
      </w:pPr>
      <w:r>
        <w:rPr>
          <w:rFonts w:ascii="Calibri" w:cs="Calibri" w:eastAsia="Calibri" w:hAnsi="Calibri"/>
          <w:sz w:val="22"/>
          <w:szCs w:val="22"/>
          <w:color w:val="auto"/>
        </w:rPr>
        <w:t>developing, and making recommendatons to the Board regarding, corporate governance guidelines and other governance policies; and</w:t>
      </w:r>
    </w:p>
    <w:p>
      <w:pPr>
        <w:spacing w:after="0" w:line="125" w:lineRule="exact"/>
        <w:rPr>
          <w:rFonts w:ascii="Times New Roman" w:cs="Times New Roman" w:eastAsia="Times New Roman" w:hAnsi="Times New Roman"/>
          <w:sz w:val="22"/>
          <w:szCs w:val="22"/>
          <w:color w:val="auto"/>
        </w:rPr>
      </w:pPr>
    </w:p>
    <w:p>
      <w:pPr>
        <w:ind w:left="660" w:hanging="328"/>
        <w:spacing w:after="0"/>
        <w:tabs>
          <w:tab w:leader="none" w:pos="660" w:val="left"/>
        </w:tabs>
        <w:numPr>
          <w:ilvl w:val="0"/>
          <w:numId w:val="20"/>
        </w:numPr>
        <w:rPr>
          <w:rFonts w:ascii="Times New Roman" w:cs="Times New Roman" w:eastAsia="Times New Roman" w:hAnsi="Times New Roman"/>
          <w:sz w:val="22"/>
          <w:szCs w:val="22"/>
          <w:color w:val="auto"/>
        </w:rPr>
      </w:pPr>
      <w:r>
        <w:rPr>
          <w:rFonts w:ascii="Calibri" w:cs="Calibri" w:eastAsia="Calibri" w:hAnsi="Calibri"/>
          <w:sz w:val="22"/>
          <w:szCs w:val="22"/>
          <w:color w:val="auto"/>
        </w:rPr>
        <w:t>evaluatng the adequacy of the company’s corporate governance practces and reportng.</w:t>
      </w:r>
    </w:p>
    <w:p>
      <w:pPr>
        <w:spacing w:after="0" w:line="214" w:lineRule="exact"/>
        <w:rPr>
          <w:sz w:val="20"/>
          <w:szCs w:val="20"/>
          <w:color w:val="auto"/>
        </w:rPr>
      </w:pPr>
    </w:p>
    <w:p>
      <w:pPr>
        <w:jc w:val="both"/>
        <w:spacing w:after="0" w:line="229" w:lineRule="auto"/>
        <w:rPr>
          <w:sz w:val="20"/>
          <w:szCs w:val="20"/>
          <w:color w:val="auto"/>
        </w:rPr>
      </w:pPr>
      <w:r>
        <w:rPr>
          <w:rFonts w:ascii="Calibri" w:cs="Calibri" w:eastAsia="Calibri" w:hAnsi="Calibri"/>
          <w:sz w:val="22"/>
          <w:szCs w:val="22"/>
          <w:color w:val="auto"/>
        </w:rPr>
        <w:t xml:space="preserve">Our nominatng and corporate governance commitee operates under a writen charter that satsfes the applicable listng standards of the NYSE. A copy of the charter of our nominatng and corporate governance commitee is available on our website at </w:t>
      </w:r>
      <w:r>
        <w:rPr>
          <w:rFonts w:ascii="Calibri" w:cs="Calibri" w:eastAsia="Calibri" w:hAnsi="Calibri"/>
          <w:sz w:val="22"/>
          <w:szCs w:val="22"/>
          <w:u w:val="single" w:color="auto"/>
          <w:color w:val="0000FF"/>
        </w:rPr>
        <w:t>htps://investors.bakkt.com/governance/ governance-documents/</w:t>
      </w:r>
      <w:r>
        <w:rPr>
          <w:rFonts w:ascii="Calibri" w:cs="Calibri" w:eastAsia="Calibri" w:hAnsi="Calibri"/>
          <w:sz w:val="22"/>
          <w:szCs w:val="22"/>
          <w:color w:val="auto"/>
        </w:rPr>
        <w:t>. During 2023, our nominatng and corporate governance commitee held four meetngs.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ind w:left="2760"/>
        <w:spacing w:after="0"/>
        <w:tabs>
          <w:tab w:leader="none" w:pos="7080" w:val="left"/>
          <w:tab w:leader="none" w:pos="8300" w:val="left"/>
        </w:tabs>
        <w:rPr>
          <w:sz w:val="20"/>
          <w:szCs w:val="20"/>
          <w:color w:val="auto"/>
        </w:rPr>
      </w:pPr>
      <w:r>
        <w:rPr>
          <w:rFonts w:ascii="Calibri" w:cs="Calibri" w:eastAsia="Calibri" w:hAnsi="Calibri"/>
          <w:sz w:val="16"/>
          <w:szCs w:val="16"/>
          <w:color w:val="auto"/>
        </w:rPr>
        <w:t>Alphareta, GA | New York, NY | Belfast, United Kingdom</w:t>
      </w:r>
      <w:r>
        <w:rPr>
          <w:sz w:val="20"/>
          <w:szCs w:val="20"/>
          <w:color w:val="auto"/>
        </w:rPr>
        <w:tab/>
      </w:r>
      <w:r>
        <w:rPr>
          <w:rFonts w:ascii="Calibri" w:cs="Calibri" w:eastAsia="Calibri" w:hAnsi="Calibri"/>
          <w:sz w:val="16"/>
          <w:szCs w:val="16"/>
          <w:color w:val="auto"/>
        </w:rPr>
        <w:t>www.bakkt.com</w:t>
      </w:r>
      <w:r>
        <w:rPr>
          <w:sz w:val="20"/>
          <w:szCs w:val="20"/>
          <w:color w:val="auto"/>
        </w:rPr>
        <w:tab/>
      </w:r>
      <w:r>
        <w:rPr>
          <w:rFonts w:ascii="Calibri" w:cs="Calibri" w:eastAsia="Calibri" w:hAnsi="Calibri"/>
          <w:sz w:val="17"/>
          <w:szCs w:val="17"/>
          <w:color w:val="auto"/>
        </w:rPr>
        <w:t>20</w:t>
      </w:r>
    </w:p>
    <w:p>
      <w:pPr>
        <w:sectPr>
          <w:pgSz w:w="11900" w:h="16838" w:orient="portrait"/>
          <w:cols w:equalWidth="0" w:num="1">
            <w:col w:w="11240"/>
          </w:cols>
          <w:pgMar w:left="320" w:top="1440" w:right="339" w:bottom="1440" w:gutter="0" w:footer="0" w:header="0"/>
        </w:sectPr>
      </w:pPr>
    </w:p>
    <w:bookmarkStart w:id="26" w:name="page27"/>
    <w:bookmarkEnd w:id="26"/>
    <w:p>
      <w:pPr>
        <w:spacing w:after="0" w:line="144" w:lineRule="exact"/>
        <w:rPr>
          <w:sz w:val="20"/>
          <w:szCs w:val="20"/>
          <w:color w:val="auto"/>
        </w:rPr>
      </w:pPr>
    </w:p>
    <w:p>
      <w:pPr>
        <w:spacing w:after="0"/>
        <w:rPr>
          <w:sz w:val="20"/>
          <w:szCs w:val="20"/>
          <w:color w:val="auto"/>
        </w:rPr>
      </w:pPr>
      <w:r>
        <w:rPr>
          <w:rFonts w:ascii="Calibri" w:cs="Calibri" w:eastAsia="Calibri" w:hAnsi="Calibri"/>
          <w:sz w:val="29"/>
          <w:szCs w:val="29"/>
          <w:b w:val="1"/>
          <w:bCs w:val="1"/>
          <w:color w:val="auto"/>
        </w:rPr>
        <w:t>Executve Sessions of Non-Employee Directors</w:t>
      </w:r>
    </w:p>
    <w:p>
      <w:pPr>
        <w:spacing w:after="0" w:line="185" w:lineRule="exact"/>
        <w:rPr>
          <w:sz w:val="20"/>
          <w:szCs w:val="20"/>
          <w:color w:val="auto"/>
        </w:rPr>
      </w:pPr>
    </w:p>
    <w:p>
      <w:pPr>
        <w:jc w:val="both"/>
        <w:spacing w:after="0" w:line="231" w:lineRule="auto"/>
        <w:rPr>
          <w:sz w:val="20"/>
          <w:szCs w:val="20"/>
          <w:color w:val="auto"/>
        </w:rPr>
      </w:pPr>
      <w:r>
        <w:rPr>
          <w:rFonts w:ascii="Calibri" w:cs="Calibri" w:eastAsia="Calibri" w:hAnsi="Calibri"/>
          <w:sz w:val="22"/>
          <w:szCs w:val="22"/>
          <w:color w:val="auto"/>
        </w:rPr>
        <w:t>To encourage and enhance communicaton among non-employee directors, and as required under applicable NYSE rules, our corporate governance guidelines provide that the non-employee directors will meet in executve sessions without management directors or management present on a periodic basis, but no less than two tmes a year. In additon, if any of our non-employee directors are not independent directors, then our independent directors will also meet in executve session on a periodic basis, but no less than two tmes a year in executve session.</w:t>
      </w:r>
    </w:p>
    <w:p>
      <w:pPr>
        <w:spacing w:after="0" w:line="207" w:lineRule="exact"/>
        <w:rPr>
          <w:sz w:val="20"/>
          <w:szCs w:val="20"/>
          <w:color w:val="auto"/>
        </w:rPr>
      </w:pPr>
    </w:p>
    <w:p>
      <w:pPr>
        <w:spacing w:after="0"/>
        <w:rPr>
          <w:sz w:val="20"/>
          <w:szCs w:val="20"/>
          <w:color w:val="auto"/>
        </w:rPr>
      </w:pPr>
      <w:r>
        <w:rPr>
          <w:rFonts w:ascii="Calibri" w:cs="Calibri" w:eastAsia="Calibri" w:hAnsi="Calibri"/>
          <w:sz w:val="29"/>
          <w:szCs w:val="29"/>
          <w:b w:val="1"/>
          <w:bCs w:val="1"/>
          <w:color w:val="auto"/>
        </w:rPr>
        <w:t>Compensaton Commitee Interlocks and Insider Partcipaton</w:t>
      </w:r>
    </w:p>
    <w:p>
      <w:pPr>
        <w:spacing w:after="0" w:line="226" w:lineRule="exact"/>
        <w:rPr>
          <w:sz w:val="20"/>
          <w:szCs w:val="20"/>
          <w:color w:val="auto"/>
        </w:rPr>
      </w:pPr>
    </w:p>
    <w:p>
      <w:pPr>
        <w:jc w:val="both"/>
        <w:spacing w:after="0" w:line="231" w:lineRule="auto"/>
        <w:rPr>
          <w:sz w:val="20"/>
          <w:szCs w:val="20"/>
          <w:color w:val="auto"/>
        </w:rPr>
      </w:pPr>
      <w:r>
        <w:rPr>
          <w:rFonts w:ascii="Calibri" w:cs="Calibri" w:eastAsia="Calibri" w:hAnsi="Calibri"/>
          <w:sz w:val="22"/>
          <w:szCs w:val="22"/>
          <w:color w:val="auto"/>
        </w:rPr>
        <w:t>During 2023, the members of our compensaton commitee were Sean Collins, Jill Simeone, and Andrew Main. Andrew Main was appointed the Chief Executve Ofcer and President of the Company efectve as of March 26, 2024, and at such tme he stopped serving on the Compensaton Commitee. None of the members of our compensaton commitee is or has been an ofcer or employee of the company. None of our executve ofcers currently serves, or in the past fscal year has served, as a member of our Board or compensaton commitee (or other board commitee performing equivalent functons) of any entty that has one or more executve ofcers serving on our Board or compensaton commitee.</w:t>
      </w:r>
    </w:p>
    <w:p>
      <w:pPr>
        <w:spacing w:after="0" w:line="205" w:lineRule="exact"/>
        <w:rPr>
          <w:sz w:val="20"/>
          <w:szCs w:val="20"/>
          <w:color w:val="auto"/>
        </w:rPr>
      </w:pPr>
    </w:p>
    <w:p>
      <w:pPr>
        <w:spacing w:after="0"/>
        <w:rPr>
          <w:sz w:val="20"/>
          <w:szCs w:val="20"/>
          <w:color w:val="auto"/>
        </w:rPr>
      </w:pPr>
      <w:r>
        <w:rPr>
          <w:rFonts w:ascii="Calibri" w:cs="Calibri" w:eastAsia="Calibri" w:hAnsi="Calibri"/>
          <w:sz w:val="29"/>
          <w:szCs w:val="29"/>
          <w:b w:val="1"/>
          <w:bCs w:val="1"/>
          <w:color w:val="auto"/>
        </w:rPr>
        <w:t>Consideratons in Evaluatng Director Nominees</w:t>
      </w:r>
    </w:p>
    <w:p>
      <w:pPr>
        <w:spacing w:after="0" w:line="226" w:lineRule="exact"/>
        <w:rPr>
          <w:sz w:val="20"/>
          <w:szCs w:val="20"/>
          <w:color w:val="auto"/>
        </w:rPr>
      </w:pPr>
    </w:p>
    <w:p>
      <w:pPr>
        <w:jc w:val="both"/>
        <w:spacing w:after="0" w:line="230" w:lineRule="auto"/>
        <w:rPr>
          <w:sz w:val="20"/>
          <w:szCs w:val="20"/>
          <w:color w:val="auto"/>
        </w:rPr>
      </w:pPr>
      <w:r>
        <w:rPr>
          <w:rFonts w:ascii="Calibri" w:cs="Calibri" w:eastAsia="Calibri" w:hAnsi="Calibri"/>
          <w:sz w:val="22"/>
          <w:szCs w:val="22"/>
          <w:color w:val="auto"/>
        </w:rPr>
        <w:t>Our nominatng and corporate governance commitee uses a variety of methods for identfying and evaluatng potental director nominees. In its evaluaton of director candidates, including the current directors eligible for re-electon, our nominatng and corporate governance commitee will consider the current size and compositon of our Board and the needs of our Board and the respectve commitees of our Board and other director qualifcatons. While our board has not established formal qualifcatons for board members, some of the factors that our nominatng and corporate governance commitee considers in assessing director nominee qualifcatons include issues of character, professional ethics and integrity, judgment, relevant business experience and diversity, and with respect to diversity, such factors as race, ethnicity, gender, diferences in professional background, age and geography, as well as other individual qualites and atributes that contribute to the total mix of viewpoints and experience represented on our board. Although our Board does not maintain a specifc policy with respect to board diversity, our Board believes that the Board should be a diverse body, and the nominatng and corporate governance commitee considers a broad range of perspectves, backgrounds and experiences.</w:t>
      </w:r>
    </w:p>
    <w:p>
      <w:pPr>
        <w:spacing w:after="0" w:line="233" w:lineRule="exact"/>
        <w:rPr>
          <w:sz w:val="20"/>
          <w:szCs w:val="20"/>
          <w:color w:val="auto"/>
        </w:rPr>
      </w:pPr>
    </w:p>
    <w:p>
      <w:pPr>
        <w:jc w:val="both"/>
        <w:spacing w:after="0" w:line="231" w:lineRule="auto"/>
        <w:rPr>
          <w:sz w:val="20"/>
          <w:szCs w:val="20"/>
          <w:color w:val="auto"/>
        </w:rPr>
      </w:pPr>
      <w:r>
        <w:rPr>
          <w:rFonts w:ascii="Calibri" w:cs="Calibri" w:eastAsia="Calibri" w:hAnsi="Calibri"/>
          <w:sz w:val="22"/>
          <w:szCs w:val="22"/>
          <w:color w:val="auto"/>
        </w:rPr>
        <w:t>In assessing additonal directors for the Board, the nominatng and corporate governance commitee and management have prioritzed diversity of background, experience and thought. The nominatng and corporate governance commitee contnuously reviews the current board and new potental directors from perspectves of ethnicity, gender, age, industry, and skills, assessing opportunites to diversify the makeup of the Board and its commitees. We aim for the Board to refect our business commitments to diversity and inclusion. We celebrate the diversity of the people, experiences, and backgrounds that make up Bakkt, and we encourage each other to speak up and share perspectves, respectully and thoughtully. Our technology and platorm is built to integrate into numerous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2760"/>
        <w:spacing w:after="0"/>
        <w:tabs>
          <w:tab w:leader="none" w:pos="7080" w:val="left"/>
          <w:tab w:leader="none" w:pos="8300" w:val="left"/>
        </w:tabs>
        <w:rPr>
          <w:sz w:val="20"/>
          <w:szCs w:val="20"/>
          <w:color w:val="auto"/>
        </w:rPr>
      </w:pPr>
      <w:r>
        <w:rPr>
          <w:rFonts w:ascii="Calibri" w:cs="Calibri" w:eastAsia="Calibri" w:hAnsi="Calibri"/>
          <w:sz w:val="16"/>
          <w:szCs w:val="16"/>
          <w:color w:val="auto"/>
        </w:rPr>
        <w:t>Alphareta, GA | New York, NY | Belfast, United Kingdom</w:t>
      </w:r>
      <w:r>
        <w:rPr>
          <w:sz w:val="20"/>
          <w:szCs w:val="20"/>
          <w:color w:val="auto"/>
        </w:rPr>
        <w:tab/>
      </w:r>
      <w:r>
        <w:rPr>
          <w:rFonts w:ascii="Calibri" w:cs="Calibri" w:eastAsia="Calibri" w:hAnsi="Calibri"/>
          <w:sz w:val="16"/>
          <w:szCs w:val="16"/>
          <w:color w:val="auto"/>
        </w:rPr>
        <w:t>www.bakkt.com</w:t>
      </w:r>
      <w:r>
        <w:rPr>
          <w:sz w:val="20"/>
          <w:szCs w:val="20"/>
          <w:color w:val="auto"/>
        </w:rPr>
        <w:tab/>
      </w:r>
      <w:r>
        <w:rPr>
          <w:rFonts w:ascii="Calibri" w:cs="Calibri" w:eastAsia="Calibri" w:hAnsi="Calibri"/>
          <w:sz w:val="17"/>
          <w:szCs w:val="17"/>
          <w:color w:val="auto"/>
        </w:rPr>
        <w:t>21</w:t>
      </w:r>
    </w:p>
    <w:p>
      <w:pPr>
        <w:sectPr>
          <w:pgSz w:w="11900" w:h="16838" w:orient="portrait"/>
          <w:cols w:equalWidth="0" w:num="1">
            <w:col w:w="11240"/>
          </w:cols>
          <w:pgMar w:left="320" w:top="1440" w:right="339" w:bottom="1440" w:gutter="0" w:footer="0" w:header="0"/>
        </w:sectPr>
      </w:pPr>
    </w:p>
    <w:bookmarkStart w:id="27" w:name="page28"/>
    <w:bookmarkEnd w:id="27"/>
    <w:p>
      <w:pPr>
        <w:spacing w:after="0" w:line="183" w:lineRule="exact"/>
        <w:rPr>
          <w:sz w:val="20"/>
          <w:szCs w:val="20"/>
          <w:color w:val="auto"/>
        </w:rPr>
      </w:pPr>
    </w:p>
    <w:p>
      <w:pPr>
        <w:jc w:val="both"/>
        <w:spacing w:after="0" w:line="232" w:lineRule="auto"/>
        <w:rPr>
          <w:sz w:val="20"/>
          <w:szCs w:val="20"/>
          <w:color w:val="auto"/>
        </w:rPr>
      </w:pPr>
      <w:r>
        <w:rPr>
          <w:rFonts w:ascii="Calibri" w:cs="Calibri" w:eastAsia="Calibri" w:hAnsi="Calibri"/>
          <w:sz w:val="22"/>
          <w:szCs w:val="22"/>
          <w:color w:val="auto"/>
        </w:rPr>
        <w:t>diferent segments, businesses, insttutons and brands and to be used by a wide array of people, so we strive to foster and embrace diversity throughout our business in delivering these solutons. The nominatng and corporate governance commitee identfes, reviews and makes recommendatons of candidates to serve on our Board with this framework for our business in mind.</w:t>
      </w:r>
    </w:p>
    <w:p>
      <w:pPr>
        <w:spacing w:after="0" w:line="244" w:lineRule="exact"/>
        <w:rPr>
          <w:sz w:val="20"/>
          <w:szCs w:val="20"/>
          <w:color w:val="auto"/>
        </w:rPr>
      </w:pPr>
    </w:p>
    <w:p>
      <w:pPr>
        <w:jc w:val="both"/>
        <w:spacing w:after="0" w:line="232" w:lineRule="auto"/>
        <w:rPr>
          <w:sz w:val="20"/>
          <w:szCs w:val="20"/>
          <w:color w:val="auto"/>
        </w:rPr>
      </w:pPr>
      <w:r>
        <w:rPr>
          <w:rFonts w:ascii="Calibri" w:cs="Calibri" w:eastAsia="Calibri" w:hAnsi="Calibri"/>
          <w:sz w:val="22"/>
          <w:szCs w:val="22"/>
          <w:color w:val="auto"/>
        </w:rPr>
        <w:t>If our nominatng and corporate governance commitee determines that an additonal or replacement director is required, then it may take such measures as it considers appropriate in connecton with its evaluaton of a director candidate, including candidate interviews, inquiry of the person or persons making the recommendaton or nominaton, engagement of an outside search frm to gather additonal informaton, or reliance on the knowledge of the members of the commitee, board or management. The nominatng and corporate governance commitee also thoroughly reviews current diversity characteristcs, experience and skills of the Board, as well as the qualifcaton of new potental director candidates, identfying opportunites to expand the collectve knowledge base of the Board or diversity in race, ethnicity, gender, age and/or experience.</w:t>
      </w:r>
    </w:p>
    <w:p>
      <w:pPr>
        <w:spacing w:after="0" w:line="248" w:lineRule="exact"/>
        <w:rPr>
          <w:sz w:val="20"/>
          <w:szCs w:val="20"/>
          <w:color w:val="auto"/>
        </w:rPr>
      </w:pPr>
    </w:p>
    <w:p>
      <w:pPr>
        <w:jc w:val="both"/>
        <w:spacing w:after="0" w:line="232" w:lineRule="auto"/>
        <w:rPr>
          <w:sz w:val="20"/>
          <w:szCs w:val="20"/>
          <w:color w:val="auto"/>
        </w:rPr>
      </w:pPr>
      <w:r>
        <w:rPr>
          <w:rFonts w:ascii="Calibri" w:cs="Calibri" w:eastAsia="Calibri" w:hAnsi="Calibri"/>
          <w:sz w:val="22"/>
          <w:szCs w:val="22"/>
          <w:color w:val="auto"/>
        </w:rPr>
        <w:t>Afer completng its review and evaluaton of director candidates, our nominatng and corporate governance commitee recommends to our full Board the director nominees for selecton. Our nominatng and corporate governance commitee has discreton to decide which individuals to recommend for nominaton as directors and our Board has the fnal authority in determining the selecton of director candidates for nominaton to our board.</w:t>
      </w:r>
    </w:p>
    <w:p>
      <w:pPr>
        <w:spacing w:after="0" w:line="245" w:lineRule="exact"/>
        <w:rPr>
          <w:sz w:val="20"/>
          <w:szCs w:val="20"/>
          <w:color w:val="auto"/>
        </w:rPr>
      </w:pPr>
    </w:p>
    <w:p>
      <w:pPr>
        <w:spacing w:after="0"/>
        <w:rPr>
          <w:sz w:val="20"/>
          <w:szCs w:val="20"/>
          <w:color w:val="auto"/>
        </w:rPr>
      </w:pPr>
      <w:r>
        <w:rPr>
          <w:rFonts w:ascii="Calibri" w:cs="Calibri" w:eastAsia="Calibri" w:hAnsi="Calibri"/>
          <w:sz w:val="29"/>
          <w:szCs w:val="29"/>
          <w:b w:val="1"/>
          <w:bCs w:val="1"/>
          <w:color w:val="auto"/>
        </w:rPr>
        <w:t>Stockholder Recommendatons and Nominatons to our Board of Directors</w:t>
      </w:r>
    </w:p>
    <w:p>
      <w:pPr>
        <w:spacing w:after="0" w:line="253" w:lineRule="exact"/>
        <w:rPr>
          <w:sz w:val="20"/>
          <w:szCs w:val="20"/>
          <w:color w:val="auto"/>
        </w:rPr>
      </w:pPr>
    </w:p>
    <w:p>
      <w:pPr>
        <w:jc w:val="both"/>
        <w:spacing w:after="0" w:line="231" w:lineRule="auto"/>
        <w:rPr>
          <w:sz w:val="20"/>
          <w:szCs w:val="20"/>
          <w:color w:val="auto"/>
        </w:rPr>
      </w:pPr>
      <w:r>
        <w:rPr>
          <w:rFonts w:ascii="Calibri" w:cs="Calibri" w:eastAsia="Calibri" w:hAnsi="Calibri"/>
          <w:sz w:val="22"/>
          <w:szCs w:val="22"/>
          <w:color w:val="auto"/>
        </w:rPr>
        <w:t>Our nominatng and corporate governance commitee will consider recommendatons and nominatons for candidates to our Board from stockholders in the same manner as candidates recommended to the nominatng and corporate governance commitee from other sources, so long as such recommendatons and nominatons comply with our certfcate of incorporaton and bylaws, all applicable company policies and all applicable laws, rules and regulatons, including those promulgated by the SEC. Our nominatng and corporate governance commitee will evaluate such recommendatons in accordance with its charter, our bylaws and corporate governance guidelines and the director nominee criteria described above.</w:t>
      </w:r>
    </w:p>
    <w:p>
      <w:pPr>
        <w:spacing w:after="0" w:line="258" w:lineRule="exact"/>
        <w:rPr>
          <w:sz w:val="20"/>
          <w:szCs w:val="20"/>
          <w:color w:val="auto"/>
        </w:rPr>
      </w:pPr>
    </w:p>
    <w:p>
      <w:pPr>
        <w:jc w:val="both"/>
        <w:spacing w:after="0" w:line="230" w:lineRule="auto"/>
        <w:rPr>
          <w:sz w:val="20"/>
          <w:szCs w:val="20"/>
          <w:color w:val="auto"/>
        </w:rPr>
      </w:pPr>
      <w:r>
        <w:rPr>
          <w:rFonts w:ascii="Calibri" w:cs="Calibri" w:eastAsia="Calibri" w:hAnsi="Calibri"/>
          <w:sz w:val="22"/>
          <w:szCs w:val="22"/>
          <w:color w:val="auto"/>
        </w:rPr>
        <w:t>A stockholder that wants to recommend a candidate to our Board should direct the recommendaton in writng by leter to our corporate secretary at Bakkt Holdings, Inc., 10000 Avalon Boulevard, Suite 1000, Alphareta, Georgia 30009, Atenton: Corporate Secretary. Such recommendaton must include the candidate’s name, home and business contact informaton, detailed biographical data, relevant qualifcatons, a signed leter from the candidate confrming willingness to serve, informaton regarding any relatonships between the candidate and us, and evidence of the recommending stockholder’s ownership of our capital stock. Such recommendaton must also include a statement from the recommending stockholder in support of the candidate.</w:t>
      </w:r>
    </w:p>
    <w:p>
      <w:pPr>
        <w:spacing w:after="0" w:line="264" w:lineRule="exact"/>
        <w:rPr>
          <w:sz w:val="20"/>
          <w:szCs w:val="20"/>
          <w:color w:val="auto"/>
        </w:rPr>
      </w:pPr>
    </w:p>
    <w:p>
      <w:pPr>
        <w:jc w:val="both"/>
        <w:spacing w:after="0" w:line="229" w:lineRule="auto"/>
        <w:rPr>
          <w:sz w:val="20"/>
          <w:szCs w:val="20"/>
          <w:color w:val="auto"/>
        </w:rPr>
      </w:pPr>
      <w:r>
        <w:rPr>
          <w:rFonts w:ascii="Calibri" w:cs="Calibri" w:eastAsia="Calibri" w:hAnsi="Calibri"/>
          <w:sz w:val="22"/>
          <w:szCs w:val="22"/>
          <w:color w:val="auto"/>
        </w:rPr>
        <w:t>Our nominatng and corporate governance commitee has discreton to decide which individuals to recommend for nominaton as directors.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left="2760"/>
        <w:spacing w:after="0"/>
        <w:tabs>
          <w:tab w:leader="none" w:pos="7080" w:val="left"/>
          <w:tab w:leader="none" w:pos="8300" w:val="left"/>
        </w:tabs>
        <w:rPr>
          <w:sz w:val="20"/>
          <w:szCs w:val="20"/>
          <w:color w:val="auto"/>
        </w:rPr>
      </w:pPr>
      <w:r>
        <w:rPr>
          <w:rFonts w:ascii="Calibri" w:cs="Calibri" w:eastAsia="Calibri" w:hAnsi="Calibri"/>
          <w:sz w:val="16"/>
          <w:szCs w:val="16"/>
          <w:color w:val="auto"/>
        </w:rPr>
        <w:t>Alphareta, GA | New York, NY | Belfast, United Kingdom</w:t>
      </w:r>
      <w:r>
        <w:rPr>
          <w:sz w:val="20"/>
          <w:szCs w:val="20"/>
          <w:color w:val="auto"/>
        </w:rPr>
        <w:tab/>
      </w:r>
      <w:r>
        <w:rPr>
          <w:rFonts w:ascii="Calibri" w:cs="Calibri" w:eastAsia="Calibri" w:hAnsi="Calibri"/>
          <w:sz w:val="16"/>
          <w:szCs w:val="16"/>
          <w:color w:val="auto"/>
        </w:rPr>
        <w:t>www.bakkt.com</w:t>
      </w:r>
      <w:r>
        <w:rPr>
          <w:sz w:val="20"/>
          <w:szCs w:val="20"/>
          <w:color w:val="auto"/>
        </w:rPr>
        <w:tab/>
      </w:r>
      <w:r>
        <w:rPr>
          <w:rFonts w:ascii="Calibri" w:cs="Calibri" w:eastAsia="Calibri" w:hAnsi="Calibri"/>
          <w:sz w:val="17"/>
          <w:szCs w:val="17"/>
          <w:color w:val="auto"/>
        </w:rPr>
        <w:t>22</w:t>
      </w:r>
    </w:p>
    <w:p>
      <w:pPr>
        <w:sectPr>
          <w:pgSz w:w="11900" w:h="16838" w:orient="portrait"/>
          <w:cols w:equalWidth="0" w:num="1">
            <w:col w:w="11240"/>
          </w:cols>
          <w:pgMar w:left="320" w:top="1440" w:right="339" w:bottom="1440" w:gutter="0" w:footer="0" w:header="0"/>
        </w:sectPr>
      </w:pPr>
    </w:p>
    <w:bookmarkStart w:id="28" w:name="page29"/>
    <w:bookmarkEnd w:id="28"/>
    <w:p>
      <w:pPr>
        <w:spacing w:after="0" w:line="183" w:lineRule="exact"/>
        <w:rPr>
          <w:sz w:val="20"/>
          <w:szCs w:val="20"/>
          <w:color w:val="auto"/>
        </w:rPr>
      </w:pPr>
    </w:p>
    <w:p>
      <w:pPr>
        <w:jc w:val="both"/>
        <w:spacing w:after="0" w:line="231" w:lineRule="auto"/>
        <w:rPr>
          <w:sz w:val="20"/>
          <w:szCs w:val="20"/>
          <w:color w:val="auto"/>
        </w:rPr>
      </w:pPr>
      <w:r>
        <w:rPr>
          <w:rFonts w:ascii="Calibri" w:cs="Calibri" w:eastAsia="Calibri" w:hAnsi="Calibri"/>
          <w:sz w:val="22"/>
          <w:szCs w:val="22"/>
          <w:color w:val="auto"/>
        </w:rPr>
        <w:t>Under our bylaws, stockholders may also directly nominate persons for our Board. Any nominaton must comply with the requirements set forth in our bylaws and the rules and regulatons of the SEC and should be sent in writng to our corporate secretary at the address above. To be tmely for our 2025 annual meetng of stockholders, nominatons must be received by our corporate secretary observing the deadlines discussed below under “</w:t>
      </w:r>
      <w:r>
        <w:rPr>
          <w:rFonts w:ascii="Calibri" w:cs="Calibri" w:eastAsia="Calibri" w:hAnsi="Calibri"/>
          <w:sz w:val="22"/>
          <w:szCs w:val="22"/>
          <w:i w:val="1"/>
          <w:iCs w:val="1"/>
          <w:color w:val="auto"/>
        </w:rPr>
        <w:t>Other Maters—Stockholder Proposals or Director</w:t>
      </w:r>
      <w:r>
        <w:rPr>
          <w:rFonts w:ascii="Calibri" w:cs="Calibri" w:eastAsia="Calibri" w:hAnsi="Calibri"/>
          <w:sz w:val="22"/>
          <w:szCs w:val="22"/>
          <w:color w:val="auto"/>
        </w:rPr>
        <w:t xml:space="preserve"> </w:t>
      </w:r>
      <w:r>
        <w:rPr>
          <w:rFonts w:ascii="Calibri" w:cs="Calibri" w:eastAsia="Calibri" w:hAnsi="Calibri"/>
          <w:sz w:val="22"/>
          <w:szCs w:val="22"/>
          <w:i w:val="1"/>
          <w:iCs w:val="1"/>
          <w:color w:val="auto"/>
        </w:rPr>
        <w:t>Nominatons for 2025 Annual Meetng</w:t>
      </w:r>
      <w:r>
        <w:rPr>
          <w:rFonts w:ascii="Calibri" w:cs="Calibri" w:eastAsia="Calibri" w:hAnsi="Calibri"/>
          <w:sz w:val="22"/>
          <w:szCs w:val="22"/>
          <w:color w:val="auto"/>
        </w:rPr>
        <w:t>.”</w:t>
      </w:r>
    </w:p>
    <w:p>
      <w:pPr>
        <w:spacing w:after="0" w:line="207" w:lineRule="exact"/>
        <w:rPr>
          <w:sz w:val="20"/>
          <w:szCs w:val="20"/>
          <w:color w:val="auto"/>
        </w:rPr>
      </w:pPr>
    </w:p>
    <w:p>
      <w:pPr>
        <w:spacing w:after="0"/>
        <w:rPr>
          <w:sz w:val="20"/>
          <w:szCs w:val="20"/>
          <w:color w:val="auto"/>
        </w:rPr>
      </w:pPr>
      <w:r>
        <w:rPr>
          <w:rFonts w:ascii="Calibri" w:cs="Calibri" w:eastAsia="Calibri" w:hAnsi="Calibri"/>
          <w:sz w:val="29"/>
          <w:szCs w:val="29"/>
          <w:b w:val="1"/>
          <w:bCs w:val="1"/>
          <w:color w:val="auto"/>
        </w:rPr>
        <w:t>Communicatons with the Board of Directors</w:t>
      </w:r>
    </w:p>
    <w:p>
      <w:pPr>
        <w:spacing w:after="0" w:line="226" w:lineRule="exact"/>
        <w:rPr>
          <w:sz w:val="20"/>
          <w:szCs w:val="20"/>
          <w:color w:val="auto"/>
        </w:rPr>
      </w:pPr>
    </w:p>
    <w:p>
      <w:pPr>
        <w:jc w:val="both"/>
        <w:spacing w:after="0" w:line="230" w:lineRule="auto"/>
        <w:rPr>
          <w:sz w:val="20"/>
          <w:szCs w:val="20"/>
          <w:color w:val="auto"/>
        </w:rPr>
      </w:pPr>
      <w:r>
        <w:rPr>
          <w:rFonts w:ascii="Calibri" w:cs="Calibri" w:eastAsia="Calibri" w:hAnsi="Calibri"/>
          <w:sz w:val="22"/>
          <w:szCs w:val="22"/>
          <w:color w:val="auto"/>
        </w:rPr>
        <w:t>Stockholders and other interested partes wishing to communicate directly with our non-management directors may do so by writng and sending the correspondence to our General Counsel or Legal Department by mail to our principal executve ofces at Bakkt Holdings, Inc., 10000 Avalon Boulevard, Suite 1000, Alphareta, Georgia 30009. Our General Counsel or Legal Department, in consultaton with appropriate directors as necessary, will review all incoming communicatons and screen for communicatons that (1) are solicitatons for products and services, (2) relate to maters of a personal nature not relevant for our stockholders to act on or for our board to consider, and (3) maters that are of a type that are improper or irrelevant to the functoning of our board or our business, for example, mass mailings, job inquiries and business solicitatons. If appropriate, our General Counsel or Legal Department will route such communicatons to the appropriate director(s) or, if none is specifed, then to the chairperson of the Board or the lead independent director (if one is appointed). These policies and procedures do not apply to communicatons to non-management directors from our ofcers or directors who are stockholders or stockholder proposals submited pursuant to Rule 14a-8 under the Exchange Act.</w:t>
      </w:r>
    </w:p>
    <w:p>
      <w:pPr>
        <w:spacing w:after="0" w:line="221" w:lineRule="exact"/>
        <w:rPr>
          <w:sz w:val="20"/>
          <w:szCs w:val="20"/>
          <w:color w:val="auto"/>
        </w:rPr>
      </w:pPr>
    </w:p>
    <w:p>
      <w:pPr>
        <w:spacing w:after="0"/>
        <w:rPr>
          <w:sz w:val="20"/>
          <w:szCs w:val="20"/>
          <w:color w:val="auto"/>
        </w:rPr>
      </w:pPr>
      <w:r>
        <w:rPr>
          <w:rFonts w:ascii="Calibri" w:cs="Calibri" w:eastAsia="Calibri" w:hAnsi="Calibri"/>
          <w:sz w:val="29"/>
          <w:szCs w:val="29"/>
          <w:b w:val="1"/>
          <w:bCs w:val="1"/>
          <w:color w:val="auto"/>
        </w:rPr>
        <w:t>Policy Prohibitng Hedging or Pledging of Securites</w:t>
      </w:r>
    </w:p>
    <w:p>
      <w:pPr>
        <w:spacing w:after="0" w:line="212" w:lineRule="exact"/>
        <w:rPr>
          <w:sz w:val="20"/>
          <w:szCs w:val="20"/>
          <w:color w:val="auto"/>
        </w:rPr>
      </w:pPr>
    </w:p>
    <w:p>
      <w:pPr>
        <w:jc w:val="both"/>
        <w:spacing w:after="0" w:line="242" w:lineRule="auto"/>
        <w:rPr>
          <w:sz w:val="20"/>
          <w:szCs w:val="20"/>
          <w:color w:val="auto"/>
        </w:rPr>
      </w:pPr>
      <w:r>
        <w:rPr>
          <w:rFonts w:ascii="Calibri" w:cs="Calibri" w:eastAsia="Calibri" w:hAnsi="Calibri"/>
          <w:sz w:val="21"/>
          <w:szCs w:val="21"/>
          <w:color w:val="auto"/>
        </w:rPr>
        <w:t>Under our insider trading policy, our employees, including our executve ofcers, and the members of our Board, among others, are prohibited from, directly or indirectly, among other things, (1) engaging in short sales, (2) trading in publicly-traded optons, such as puts and calls, and other derivatve securites with respect to our securites (other than stock optons, restricted stock units and other compensatory awards issued to such individuals by us), (3) purchasing fnancial instruments (including prepaid variable forward contracts, equity swaps, collars and exchange funds), or otherwise engaging in transactons that hedge or ofset, or are designed to hedge or ofset, any decrease in the market value of equity securites granted to them by us as part of their compensaton or held, directly or indirectly, by them, (4) pledging any of our securites as collateral for any loans, and</w:t>
      </w:r>
    </w:p>
    <w:p>
      <w:pPr>
        <w:spacing w:after="0" w:line="3" w:lineRule="exact"/>
        <w:rPr>
          <w:sz w:val="20"/>
          <w:szCs w:val="20"/>
          <w:color w:val="auto"/>
        </w:rPr>
      </w:pPr>
    </w:p>
    <w:p>
      <w:pPr>
        <w:spacing w:after="0"/>
        <w:rPr>
          <w:sz w:val="20"/>
          <w:szCs w:val="20"/>
          <w:color w:val="auto"/>
        </w:rPr>
      </w:pPr>
      <w:r>
        <w:rPr>
          <w:rFonts w:ascii="Calibri" w:cs="Calibri" w:eastAsia="Calibri" w:hAnsi="Calibri"/>
          <w:sz w:val="22"/>
          <w:szCs w:val="22"/>
          <w:color w:val="auto"/>
        </w:rPr>
        <w:t>(5) holding our securites in a margin account.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left="2760"/>
        <w:spacing w:after="0"/>
        <w:tabs>
          <w:tab w:leader="none" w:pos="7080" w:val="left"/>
          <w:tab w:leader="none" w:pos="8300" w:val="left"/>
        </w:tabs>
        <w:rPr>
          <w:sz w:val="20"/>
          <w:szCs w:val="20"/>
          <w:color w:val="auto"/>
        </w:rPr>
      </w:pPr>
      <w:r>
        <w:rPr>
          <w:rFonts w:ascii="Calibri" w:cs="Calibri" w:eastAsia="Calibri" w:hAnsi="Calibri"/>
          <w:sz w:val="16"/>
          <w:szCs w:val="16"/>
          <w:color w:val="auto"/>
        </w:rPr>
        <w:t>Alphareta, GA | New York, NY | Belfast, United Kingdom</w:t>
      </w:r>
      <w:r>
        <w:rPr>
          <w:sz w:val="20"/>
          <w:szCs w:val="20"/>
          <w:color w:val="auto"/>
        </w:rPr>
        <w:tab/>
      </w:r>
      <w:r>
        <w:rPr>
          <w:rFonts w:ascii="Calibri" w:cs="Calibri" w:eastAsia="Calibri" w:hAnsi="Calibri"/>
          <w:sz w:val="16"/>
          <w:szCs w:val="16"/>
          <w:color w:val="auto"/>
        </w:rPr>
        <w:t>www.bakkt.com</w:t>
      </w:r>
      <w:r>
        <w:rPr>
          <w:sz w:val="20"/>
          <w:szCs w:val="20"/>
          <w:color w:val="auto"/>
        </w:rPr>
        <w:tab/>
      </w:r>
      <w:r>
        <w:rPr>
          <w:rFonts w:ascii="Calibri" w:cs="Calibri" w:eastAsia="Calibri" w:hAnsi="Calibri"/>
          <w:sz w:val="17"/>
          <w:szCs w:val="17"/>
          <w:color w:val="auto"/>
        </w:rPr>
        <w:t>23</w:t>
      </w:r>
    </w:p>
    <w:p>
      <w:pPr>
        <w:sectPr>
          <w:pgSz w:w="11900" w:h="16838" w:orient="portrait"/>
          <w:cols w:equalWidth="0" w:num="1">
            <w:col w:w="11240"/>
          </w:cols>
          <w:pgMar w:left="320" w:top="1440" w:right="339" w:bottom="1440" w:gutter="0" w:footer="0" w:header="0"/>
        </w:sectPr>
      </w:pPr>
    </w:p>
    <w:bookmarkStart w:id="29" w:name="page30"/>
    <w:bookmarkEnd w:id="29"/>
    <w:p>
      <w:pPr>
        <w:spacing w:after="0" w:line="171" w:lineRule="exact"/>
        <w:rPr>
          <w:sz w:val="20"/>
          <w:szCs w:val="20"/>
          <w:color w:val="auto"/>
        </w:rPr>
      </w:pPr>
    </w:p>
    <w:p>
      <w:pPr>
        <w:spacing w:after="0"/>
        <w:rPr>
          <w:sz w:val="20"/>
          <w:szCs w:val="20"/>
          <w:color w:val="auto"/>
        </w:rPr>
      </w:pPr>
      <w:r>
        <w:rPr>
          <w:rFonts w:ascii="Calibri" w:cs="Calibri" w:eastAsia="Calibri" w:hAnsi="Calibri"/>
          <w:sz w:val="29"/>
          <w:szCs w:val="29"/>
          <w:b w:val="1"/>
          <w:bCs w:val="1"/>
          <w:color w:val="auto"/>
        </w:rPr>
        <w:t>Corporate Governance Guidelines</w:t>
      </w:r>
    </w:p>
    <w:p>
      <w:pPr>
        <w:spacing w:after="0" w:line="226" w:lineRule="exact"/>
        <w:rPr>
          <w:sz w:val="20"/>
          <w:szCs w:val="20"/>
          <w:color w:val="auto"/>
        </w:rPr>
      </w:pPr>
    </w:p>
    <w:p>
      <w:pPr>
        <w:jc w:val="both"/>
        <w:spacing w:after="0" w:line="229" w:lineRule="auto"/>
        <w:rPr>
          <w:sz w:val="20"/>
          <w:szCs w:val="20"/>
          <w:color w:val="auto"/>
        </w:rPr>
      </w:pPr>
      <w:r>
        <w:rPr>
          <w:rFonts w:ascii="Calibri" w:cs="Calibri" w:eastAsia="Calibri" w:hAnsi="Calibri"/>
          <w:sz w:val="22"/>
          <w:szCs w:val="22"/>
          <w:color w:val="auto"/>
        </w:rPr>
        <w:t>Our Board has adopted corporate governance guidelines. These guidelines address, among other items, the qualifcatons and responsibilites of our directors and director candidates, the structure and compositon of our Board and corporate governance policies and standards applicable to us in general.</w:t>
      </w:r>
    </w:p>
    <w:p>
      <w:pPr>
        <w:spacing w:after="0" w:line="204" w:lineRule="exact"/>
        <w:rPr>
          <w:sz w:val="20"/>
          <w:szCs w:val="20"/>
          <w:color w:val="auto"/>
        </w:rPr>
      </w:pPr>
    </w:p>
    <w:p>
      <w:pPr>
        <w:spacing w:after="0"/>
        <w:rPr>
          <w:sz w:val="20"/>
          <w:szCs w:val="20"/>
          <w:color w:val="auto"/>
        </w:rPr>
      </w:pPr>
      <w:r>
        <w:rPr>
          <w:rFonts w:ascii="Calibri" w:cs="Calibri" w:eastAsia="Calibri" w:hAnsi="Calibri"/>
          <w:sz w:val="29"/>
          <w:szCs w:val="29"/>
          <w:b w:val="1"/>
          <w:bCs w:val="1"/>
          <w:color w:val="auto"/>
        </w:rPr>
        <w:t>Code of Business Conduct and Ethics</w:t>
      </w:r>
    </w:p>
    <w:p>
      <w:pPr>
        <w:spacing w:after="0" w:line="226" w:lineRule="exact"/>
        <w:rPr>
          <w:sz w:val="20"/>
          <w:szCs w:val="20"/>
          <w:color w:val="auto"/>
        </w:rPr>
      </w:pPr>
    </w:p>
    <w:p>
      <w:pPr>
        <w:jc w:val="both"/>
        <w:spacing w:after="0" w:line="231" w:lineRule="auto"/>
        <w:rPr>
          <w:sz w:val="20"/>
          <w:szCs w:val="20"/>
          <w:color w:val="auto"/>
        </w:rPr>
      </w:pPr>
      <w:r>
        <w:rPr>
          <w:rFonts w:ascii="Calibri" w:cs="Calibri" w:eastAsia="Calibri" w:hAnsi="Calibri"/>
          <w:sz w:val="22"/>
          <w:szCs w:val="22"/>
          <w:color w:val="auto"/>
        </w:rPr>
        <w:t>In additon, our Board has adopted a code of business conduct and ethics that applies to all of our employees, ofcers and directors, including our chief executve ofcer, chief fnancial ofcer and other executve and senior fnancial ofcers. The full text of our corporate governance guidelines and code of business conduct and ethics are available on our website at htps://investors.bakkt.com/governance/governance-documents/. We will post amendments to our code of business conduct and ethics or any waiver of our code of business conduct and ethics for directors and executve ofcers on the same website.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ind w:left="2760"/>
        <w:spacing w:after="0"/>
        <w:tabs>
          <w:tab w:leader="none" w:pos="7080" w:val="left"/>
          <w:tab w:leader="none" w:pos="8300" w:val="left"/>
        </w:tabs>
        <w:rPr>
          <w:sz w:val="20"/>
          <w:szCs w:val="20"/>
          <w:color w:val="auto"/>
        </w:rPr>
      </w:pPr>
      <w:r>
        <w:rPr>
          <w:rFonts w:ascii="Calibri" w:cs="Calibri" w:eastAsia="Calibri" w:hAnsi="Calibri"/>
          <w:sz w:val="16"/>
          <w:szCs w:val="16"/>
          <w:color w:val="auto"/>
        </w:rPr>
        <w:t>Alphareta, GA | New York, NY | Belfast, United Kingdom</w:t>
      </w:r>
      <w:r>
        <w:rPr>
          <w:sz w:val="20"/>
          <w:szCs w:val="20"/>
          <w:color w:val="auto"/>
        </w:rPr>
        <w:tab/>
      </w:r>
      <w:r>
        <w:rPr>
          <w:rFonts w:ascii="Calibri" w:cs="Calibri" w:eastAsia="Calibri" w:hAnsi="Calibri"/>
          <w:sz w:val="16"/>
          <w:szCs w:val="16"/>
          <w:color w:val="auto"/>
        </w:rPr>
        <w:t>www.bakkt.com</w:t>
      </w:r>
      <w:r>
        <w:rPr>
          <w:sz w:val="20"/>
          <w:szCs w:val="20"/>
          <w:color w:val="auto"/>
        </w:rPr>
        <w:tab/>
      </w:r>
      <w:r>
        <w:rPr>
          <w:rFonts w:ascii="Calibri" w:cs="Calibri" w:eastAsia="Calibri" w:hAnsi="Calibri"/>
          <w:sz w:val="17"/>
          <w:szCs w:val="17"/>
          <w:color w:val="auto"/>
        </w:rPr>
        <w:t>24</w:t>
      </w:r>
    </w:p>
    <w:p>
      <w:pPr>
        <w:sectPr>
          <w:pgSz w:w="11900" w:h="16838" w:orient="portrait"/>
          <w:cols w:equalWidth="0" w:num="1">
            <w:col w:w="11240"/>
          </w:cols>
          <w:pgMar w:left="320" w:top="1440" w:right="339" w:bottom="1440" w:gutter="0" w:footer="0" w:header="0"/>
        </w:sectPr>
      </w:pPr>
    </w:p>
    <w:bookmarkStart w:id="30" w:name="page31"/>
    <w:bookmarkEnd w:id="30"/>
    <w:p>
      <w:pPr>
        <w:spacing w:after="0" w:line="158" w:lineRule="exact"/>
        <w:rPr>
          <w:sz w:val="20"/>
          <w:szCs w:val="20"/>
          <w:color w:val="auto"/>
        </w:rPr>
      </w:pPr>
    </w:p>
    <w:p>
      <w:pPr>
        <w:spacing w:after="0"/>
        <w:rPr>
          <w:sz w:val="20"/>
          <w:szCs w:val="20"/>
          <w:color w:val="auto"/>
        </w:rPr>
      </w:pPr>
      <w:r>
        <w:rPr>
          <w:rFonts w:ascii="Calibri" w:cs="Calibri" w:eastAsia="Calibri" w:hAnsi="Calibri"/>
          <w:sz w:val="43"/>
          <w:szCs w:val="43"/>
          <w:color w:val="auto"/>
        </w:rPr>
        <w:t>Director Compensaton</w:t>
      </w:r>
    </w:p>
    <w:p>
      <w:pPr>
        <w:spacing w:after="0" w:line="217" w:lineRule="exact"/>
        <w:rPr>
          <w:sz w:val="20"/>
          <w:szCs w:val="20"/>
          <w:color w:val="auto"/>
        </w:rPr>
      </w:pPr>
    </w:p>
    <w:p>
      <w:pPr>
        <w:spacing w:after="0"/>
        <w:rPr>
          <w:sz w:val="20"/>
          <w:szCs w:val="20"/>
          <w:color w:val="auto"/>
        </w:rPr>
      </w:pPr>
      <w:r>
        <w:rPr>
          <w:rFonts w:ascii="Calibri" w:cs="Calibri" w:eastAsia="Calibri" w:hAnsi="Calibri"/>
          <w:sz w:val="29"/>
          <w:szCs w:val="29"/>
          <w:b w:val="1"/>
          <w:bCs w:val="1"/>
          <w:color w:val="auto"/>
        </w:rPr>
        <w:t>Non-Employee Director Compensaton Program</w:t>
      </w:r>
    </w:p>
    <w:p>
      <w:pPr>
        <w:spacing w:after="0" w:line="226" w:lineRule="exact"/>
        <w:rPr>
          <w:sz w:val="20"/>
          <w:szCs w:val="20"/>
          <w:color w:val="auto"/>
        </w:rPr>
      </w:pPr>
    </w:p>
    <w:p>
      <w:pPr>
        <w:jc w:val="both"/>
        <w:spacing w:after="0" w:line="232" w:lineRule="auto"/>
        <w:rPr>
          <w:sz w:val="20"/>
          <w:szCs w:val="20"/>
          <w:color w:val="auto"/>
        </w:rPr>
      </w:pPr>
      <w:r>
        <w:rPr>
          <w:rFonts w:ascii="Calibri" w:cs="Calibri" w:eastAsia="Calibri" w:hAnsi="Calibri"/>
          <w:sz w:val="22"/>
          <w:szCs w:val="22"/>
          <w:color w:val="auto"/>
        </w:rPr>
        <w:t>We have an outside director compensaton program (the “Outside Director Compensaton Program”) for our non-employee directors based on recommendatons and fndings regarding comparable market practces, which were provided by Compensaton Advisory Partners. The Outside Director Compensaton Program provides for the following cash compensaton program for our non-employee directors:</w:t>
      </w:r>
    </w:p>
    <w:p>
      <w:pPr>
        <w:spacing w:after="0" w:line="126" w:lineRule="exact"/>
        <w:rPr>
          <w:sz w:val="20"/>
          <w:szCs w:val="20"/>
          <w:color w:val="auto"/>
        </w:rPr>
      </w:pPr>
    </w:p>
    <w:p>
      <w:pPr>
        <w:ind w:left="660" w:hanging="328"/>
        <w:spacing w:after="0"/>
        <w:tabs>
          <w:tab w:leader="none" w:pos="660" w:val="left"/>
        </w:tabs>
        <w:numPr>
          <w:ilvl w:val="0"/>
          <w:numId w:val="21"/>
        </w:numPr>
        <w:rPr>
          <w:rFonts w:ascii="Times New Roman" w:cs="Times New Roman" w:eastAsia="Times New Roman" w:hAnsi="Times New Roman"/>
          <w:sz w:val="22"/>
          <w:szCs w:val="22"/>
          <w:color w:val="auto"/>
        </w:rPr>
      </w:pPr>
      <w:r>
        <w:rPr>
          <w:rFonts w:ascii="Calibri" w:cs="Calibri" w:eastAsia="Calibri" w:hAnsi="Calibri"/>
          <w:sz w:val="22"/>
          <w:szCs w:val="22"/>
          <w:color w:val="auto"/>
        </w:rPr>
        <w:t>$50,000 per year for service as a non-employee director;</w:t>
      </w:r>
    </w:p>
    <w:p>
      <w:pPr>
        <w:spacing w:after="0" w:line="122" w:lineRule="exact"/>
        <w:rPr>
          <w:rFonts w:ascii="Times New Roman" w:cs="Times New Roman" w:eastAsia="Times New Roman" w:hAnsi="Times New Roman"/>
          <w:sz w:val="22"/>
          <w:szCs w:val="22"/>
          <w:color w:val="auto"/>
        </w:rPr>
      </w:pPr>
    </w:p>
    <w:p>
      <w:pPr>
        <w:ind w:left="660" w:hanging="328"/>
        <w:spacing w:after="0"/>
        <w:tabs>
          <w:tab w:leader="none" w:pos="660" w:val="left"/>
        </w:tabs>
        <w:numPr>
          <w:ilvl w:val="0"/>
          <w:numId w:val="21"/>
        </w:numPr>
        <w:rPr>
          <w:rFonts w:ascii="Times New Roman" w:cs="Times New Roman" w:eastAsia="Times New Roman" w:hAnsi="Times New Roman"/>
          <w:sz w:val="22"/>
          <w:szCs w:val="22"/>
          <w:color w:val="auto"/>
        </w:rPr>
      </w:pPr>
      <w:r>
        <w:rPr>
          <w:rFonts w:ascii="Calibri" w:cs="Calibri" w:eastAsia="Calibri" w:hAnsi="Calibri"/>
          <w:sz w:val="22"/>
          <w:szCs w:val="22"/>
          <w:color w:val="auto"/>
        </w:rPr>
        <w:t>$100,000 per year for service as non-executve chair of the Board;</w:t>
      </w:r>
    </w:p>
    <w:p>
      <w:pPr>
        <w:spacing w:after="0" w:line="122" w:lineRule="exact"/>
        <w:rPr>
          <w:rFonts w:ascii="Times New Roman" w:cs="Times New Roman" w:eastAsia="Times New Roman" w:hAnsi="Times New Roman"/>
          <w:sz w:val="22"/>
          <w:szCs w:val="22"/>
          <w:color w:val="auto"/>
        </w:rPr>
      </w:pPr>
    </w:p>
    <w:p>
      <w:pPr>
        <w:ind w:left="660" w:hanging="328"/>
        <w:spacing w:after="0"/>
        <w:tabs>
          <w:tab w:leader="none" w:pos="660" w:val="left"/>
        </w:tabs>
        <w:numPr>
          <w:ilvl w:val="0"/>
          <w:numId w:val="21"/>
        </w:numPr>
        <w:rPr>
          <w:rFonts w:ascii="Times New Roman" w:cs="Times New Roman" w:eastAsia="Times New Roman" w:hAnsi="Times New Roman"/>
          <w:sz w:val="22"/>
          <w:szCs w:val="22"/>
          <w:color w:val="auto"/>
        </w:rPr>
      </w:pPr>
      <w:r>
        <w:rPr>
          <w:rFonts w:ascii="Calibri" w:cs="Calibri" w:eastAsia="Calibri" w:hAnsi="Calibri"/>
          <w:sz w:val="22"/>
          <w:szCs w:val="22"/>
          <w:color w:val="auto"/>
        </w:rPr>
        <w:t>$25,000 per year for service as chair of the audit and risk commitee;</w:t>
      </w:r>
    </w:p>
    <w:p>
      <w:pPr>
        <w:spacing w:after="0" w:line="120" w:lineRule="exact"/>
        <w:rPr>
          <w:rFonts w:ascii="Times New Roman" w:cs="Times New Roman" w:eastAsia="Times New Roman" w:hAnsi="Times New Roman"/>
          <w:sz w:val="22"/>
          <w:szCs w:val="22"/>
          <w:color w:val="auto"/>
        </w:rPr>
      </w:pPr>
    </w:p>
    <w:p>
      <w:pPr>
        <w:ind w:left="660" w:hanging="328"/>
        <w:spacing w:after="0"/>
        <w:tabs>
          <w:tab w:leader="none" w:pos="660" w:val="left"/>
        </w:tabs>
        <w:numPr>
          <w:ilvl w:val="0"/>
          <w:numId w:val="21"/>
        </w:numPr>
        <w:rPr>
          <w:rFonts w:ascii="Times New Roman" w:cs="Times New Roman" w:eastAsia="Times New Roman" w:hAnsi="Times New Roman"/>
          <w:sz w:val="22"/>
          <w:szCs w:val="22"/>
          <w:color w:val="auto"/>
        </w:rPr>
      </w:pPr>
      <w:r>
        <w:rPr>
          <w:rFonts w:ascii="Calibri" w:cs="Calibri" w:eastAsia="Calibri" w:hAnsi="Calibri"/>
          <w:sz w:val="22"/>
          <w:szCs w:val="22"/>
          <w:color w:val="auto"/>
        </w:rPr>
        <w:t>$10,000 per year for service as a member of the audit and risk commitee;</w:t>
      </w:r>
    </w:p>
    <w:p>
      <w:pPr>
        <w:spacing w:after="0" w:line="124" w:lineRule="exact"/>
        <w:rPr>
          <w:rFonts w:ascii="Times New Roman" w:cs="Times New Roman" w:eastAsia="Times New Roman" w:hAnsi="Times New Roman"/>
          <w:sz w:val="22"/>
          <w:szCs w:val="22"/>
          <w:color w:val="auto"/>
        </w:rPr>
      </w:pPr>
    </w:p>
    <w:p>
      <w:pPr>
        <w:ind w:left="660" w:hanging="328"/>
        <w:spacing w:after="0"/>
        <w:tabs>
          <w:tab w:leader="none" w:pos="660" w:val="left"/>
        </w:tabs>
        <w:numPr>
          <w:ilvl w:val="0"/>
          <w:numId w:val="21"/>
        </w:numPr>
        <w:rPr>
          <w:rFonts w:ascii="Times New Roman" w:cs="Times New Roman" w:eastAsia="Times New Roman" w:hAnsi="Times New Roman"/>
          <w:sz w:val="22"/>
          <w:szCs w:val="22"/>
          <w:color w:val="auto"/>
        </w:rPr>
      </w:pPr>
      <w:r>
        <w:rPr>
          <w:rFonts w:ascii="Calibri" w:cs="Calibri" w:eastAsia="Calibri" w:hAnsi="Calibri"/>
          <w:sz w:val="22"/>
          <w:szCs w:val="22"/>
          <w:color w:val="auto"/>
        </w:rPr>
        <w:t>$20,000 per year for service as chair of the compensaton commitee;</w:t>
      </w:r>
    </w:p>
    <w:p>
      <w:pPr>
        <w:spacing w:after="0" w:line="136" w:lineRule="exact"/>
        <w:rPr>
          <w:rFonts w:ascii="Times New Roman" w:cs="Times New Roman" w:eastAsia="Times New Roman" w:hAnsi="Times New Roman"/>
          <w:sz w:val="22"/>
          <w:szCs w:val="22"/>
          <w:color w:val="auto"/>
        </w:rPr>
      </w:pPr>
    </w:p>
    <w:p>
      <w:pPr>
        <w:ind w:left="660" w:hanging="328"/>
        <w:spacing w:after="0"/>
        <w:tabs>
          <w:tab w:leader="none" w:pos="660" w:val="left"/>
        </w:tabs>
        <w:numPr>
          <w:ilvl w:val="0"/>
          <w:numId w:val="21"/>
        </w:numPr>
        <w:rPr>
          <w:rFonts w:ascii="Times New Roman" w:cs="Times New Roman" w:eastAsia="Times New Roman" w:hAnsi="Times New Roman"/>
          <w:sz w:val="22"/>
          <w:szCs w:val="22"/>
          <w:color w:val="auto"/>
        </w:rPr>
      </w:pPr>
      <w:r>
        <w:rPr>
          <w:rFonts w:ascii="Calibri" w:cs="Calibri" w:eastAsia="Calibri" w:hAnsi="Calibri"/>
          <w:sz w:val="22"/>
          <w:szCs w:val="22"/>
          <w:color w:val="auto"/>
        </w:rPr>
        <w:t>$7,500 per year for service as a member of the compensaton commitee;</w:t>
      </w:r>
    </w:p>
    <w:p>
      <w:pPr>
        <w:spacing w:after="0" w:line="122" w:lineRule="exact"/>
        <w:rPr>
          <w:rFonts w:ascii="Times New Roman" w:cs="Times New Roman" w:eastAsia="Times New Roman" w:hAnsi="Times New Roman"/>
          <w:sz w:val="22"/>
          <w:szCs w:val="22"/>
          <w:color w:val="auto"/>
        </w:rPr>
      </w:pPr>
    </w:p>
    <w:p>
      <w:pPr>
        <w:ind w:left="660" w:hanging="328"/>
        <w:spacing w:after="0"/>
        <w:tabs>
          <w:tab w:leader="none" w:pos="660" w:val="left"/>
        </w:tabs>
        <w:numPr>
          <w:ilvl w:val="0"/>
          <w:numId w:val="21"/>
        </w:numPr>
        <w:rPr>
          <w:rFonts w:ascii="Times New Roman" w:cs="Times New Roman" w:eastAsia="Times New Roman" w:hAnsi="Times New Roman"/>
          <w:sz w:val="22"/>
          <w:szCs w:val="22"/>
          <w:color w:val="auto"/>
        </w:rPr>
      </w:pPr>
      <w:r>
        <w:rPr>
          <w:rFonts w:ascii="Calibri" w:cs="Calibri" w:eastAsia="Calibri" w:hAnsi="Calibri"/>
          <w:sz w:val="22"/>
          <w:szCs w:val="22"/>
          <w:color w:val="auto"/>
        </w:rPr>
        <w:t>$12,000 per year for service as chair of the nominatng and corporate governance commitee; and</w:t>
      </w:r>
    </w:p>
    <w:p>
      <w:pPr>
        <w:spacing w:after="0" w:line="120" w:lineRule="exact"/>
        <w:rPr>
          <w:rFonts w:ascii="Times New Roman" w:cs="Times New Roman" w:eastAsia="Times New Roman" w:hAnsi="Times New Roman"/>
          <w:sz w:val="22"/>
          <w:szCs w:val="22"/>
          <w:color w:val="auto"/>
        </w:rPr>
      </w:pPr>
    </w:p>
    <w:p>
      <w:pPr>
        <w:ind w:left="660" w:hanging="328"/>
        <w:spacing w:after="0"/>
        <w:tabs>
          <w:tab w:leader="none" w:pos="660" w:val="left"/>
        </w:tabs>
        <w:numPr>
          <w:ilvl w:val="0"/>
          <w:numId w:val="21"/>
        </w:numPr>
        <w:rPr>
          <w:rFonts w:ascii="Times New Roman" w:cs="Times New Roman" w:eastAsia="Times New Roman" w:hAnsi="Times New Roman"/>
          <w:sz w:val="22"/>
          <w:szCs w:val="22"/>
          <w:color w:val="auto"/>
        </w:rPr>
      </w:pPr>
      <w:r>
        <w:rPr>
          <w:rFonts w:ascii="Calibri" w:cs="Calibri" w:eastAsia="Calibri" w:hAnsi="Calibri"/>
          <w:sz w:val="22"/>
          <w:szCs w:val="22"/>
          <w:color w:val="auto"/>
        </w:rPr>
        <w:t>$5,000 per year for service as a member of the nominatng and corporate governance commitee.</w:t>
      </w:r>
    </w:p>
    <w:p>
      <w:pPr>
        <w:spacing w:after="0" w:line="216" w:lineRule="exact"/>
        <w:rPr>
          <w:sz w:val="20"/>
          <w:szCs w:val="20"/>
          <w:color w:val="auto"/>
        </w:rPr>
      </w:pPr>
    </w:p>
    <w:p>
      <w:pPr>
        <w:jc w:val="both"/>
        <w:spacing w:after="0" w:line="232" w:lineRule="auto"/>
        <w:rPr>
          <w:sz w:val="20"/>
          <w:szCs w:val="20"/>
          <w:color w:val="auto"/>
        </w:rPr>
      </w:pPr>
      <w:r>
        <w:rPr>
          <w:rFonts w:ascii="Calibri" w:cs="Calibri" w:eastAsia="Calibri" w:hAnsi="Calibri"/>
          <w:sz w:val="22"/>
          <w:szCs w:val="22"/>
          <w:color w:val="auto"/>
        </w:rPr>
        <w:t>Each non-employee director who serves as a commitee chair will receive the cash retainer fee as the chair of the commitee, but not the cash retainer fee as a member of that commitee, except that a non-employee director who serves as the non-executve chair of the Board will receive the annual cash fee for services provided in such role as well as the annual cash fee as a non-employee director.</w:t>
      </w:r>
    </w:p>
    <w:p>
      <w:pPr>
        <w:spacing w:after="0" w:line="217" w:lineRule="exact"/>
        <w:rPr>
          <w:sz w:val="20"/>
          <w:szCs w:val="20"/>
          <w:color w:val="auto"/>
        </w:rPr>
      </w:pPr>
    </w:p>
    <w:p>
      <w:pPr>
        <w:jc w:val="both"/>
        <w:spacing w:after="0" w:line="229" w:lineRule="auto"/>
        <w:rPr>
          <w:sz w:val="20"/>
          <w:szCs w:val="20"/>
          <w:color w:val="auto"/>
        </w:rPr>
      </w:pPr>
      <w:r>
        <w:rPr>
          <w:rFonts w:ascii="Calibri" w:cs="Calibri" w:eastAsia="Calibri" w:hAnsi="Calibri"/>
          <w:sz w:val="22"/>
          <w:szCs w:val="22"/>
          <w:color w:val="auto"/>
        </w:rPr>
        <w:t>The Board or the Compensaton Commitee also may approve compensaton, if any, for service on any special commitee or other ad hoc commitee formed from tme to tme. No compensaton was paid to members of the special commitee of the Board established in connecton with our recent concurrent registered direct oferings.</w:t>
      </w:r>
    </w:p>
    <w:p>
      <w:pPr>
        <w:spacing w:after="0" w:line="230" w:lineRule="exact"/>
        <w:rPr>
          <w:sz w:val="20"/>
          <w:szCs w:val="20"/>
          <w:color w:val="auto"/>
        </w:rPr>
      </w:pPr>
    </w:p>
    <w:p>
      <w:pPr>
        <w:jc w:val="both"/>
        <w:spacing w:after="0" w:line="229" w:lineRule="auto"/>
        <w:rPr>
          <w:sz w:val="20"/>
          <w:szCs w:val="20"/>
          <w:color w:val="auto"/>
        </w:rPr>
      </w:pPr>
      <w:r>
        <w:rPr>
          <w:rFonts w:ascii="Calibri" w:cs="Calibri" w:eastAsia="Calibri" w:hAnsi="Calibri"/>
          <w:sz w:val="22"/>
          <w:szCs w:val="22"/>
          <w:color w:val="auto"/>
        </w:rPr>
        <w:t>These fees to our non-employee directors are paid quarterly in arrears on a prorated basis. Under the Outside Director Compensaton Program, we also reimburse non-employee directors for reasonable travel expenses to atend meetngs of the Board and its commitees. The above-listed fees for service as chair or member of a commitee are payable in additon to the annual non-employee director retainer fee.</w:t>
      </w:r>
    </w:p>
    <w:p>
      <w:pPr>
        <w:spacing w:after="0" w:line="217" w:lineRule="exact"/>
        <w:rPr>
          <w:sz w:val="20"/>
          <w:szCs w:val="20"/>
          <w:color w:val="auto"/>
        </w:rPr>
      </w:pPr>
    </w:p>
    <w:p>
      <w:pPr>
        <w:jc w:val="both"/>
        <w:spacing w:after="0" w:line="232" w:lineRule="auto"/>
        <w:rPr>
          <w:sz w:val="20"/>
          <w:szCs w:val="20"/>
          <w:color w:val="auto"/>
        </w:rPr>
      </w:pPr>
      <w:r>
        <w:rPr>
          <w:rFonts w:ascii="Calibri" w:cs="Calibri" w:eastAsia="Calibri" w:hAnsi="Calibri"/>
          <w:sz w:val="22"/>
          <w:szCs w:val="22"/>
          <w:color w:val="auto"/>
        </w:rPr>
        <w:t>Each non-employee director will automatcally receive, on the date of each annual meetng of our stockholders, an annual award (the “Annual Equity Award”) of restricted stock units (“RSUs”) having a value of $200,000. Each non-employee director who joins the Board other than in conjuncton with an annual meetng of our stockholders is expected to receive a prorated Annual Equity Award in conjuncton with the next full Annual Equity Award granted to the other non-employee directors.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left="2760"/>
        <w:spacing w:after="0"/>
        <w:tabs>
          <w:tab w:leader="none" w:pos="7080" w:val="left"/>
          <w:tab w:leader="none" w:pos="8300" w:val="left"/>
        </w:tabs>
        <w:rPr>
          <w:sz w:val="20"/>
          <w:szCs w:val="20"/>
          <w:color w:val="auto"/>
        </w:rPr>
      </w:pPr>
      <w:r>
        <w:rPr>
          <w:rFonts w:ascii="Calibri" w:cs="Calibri" w:eastAsia="Calibri" w:hAnsi="Calibri"/>
          <w:sz w:val="16"/>
          <w:szCs w:val="16"/>
          <w:color w:val="auto"/>
        </w:rPr>
        <w:t>Alphareta, GA | New York, NY | Belfast, United Kingdom</w:t>
      </w:r>
      <w:r>
        <w:rPr>
          <w:sz w:val="20"/>
          <w:szCs w:val="20"/>
          <w:color w:val="auto"/>
        </w:rPr>
        <w:tab/>
      </w:r>
      <w:r>
        <w:rPr>
          <w:rFonts w:ascii="Calibri" w:cs="Calibri" w:eastAsia="Calibri" w:hAnsi="Calibri"/>
          <w:sz w:val="16"/>
          <w:szCs w:val="16"/>
          <w:color w:val="auto"/>
        </w:rPr>
        <w:t>www.bakkt.com</w:t>
      </w:r>
      <w:r>
        <w:rPr>
          <w:sz w:val="20"/>
          <w:szCs w:val="20"/>
          <w:color w:val="auto"/>
        </w:rPr>
        <w:tab/>
      </w:r>
      <w:r>
        <w:rPr>
          <w:rFonts w:ascii="Calibri" w:cs="Calibri" w:eastAsia="Calibri" w:hAnsi="Calibri"/>
          <w:sz w:val="17"/>
          <w:szCs w:val="17"/>
          <w:color w:val="auto"/>
        </w:rPr>
        <w:t>25</w:t>
      </w:r>
    </w:p>
    <w:p>
      <w:pPr>
        <w:sectPr>
          <w:pgSz w:w="11900" w:h="16838" w:orient="portrait"/>
          <w:cols w:equalWidth="0" w:num="1">
            <w:col w:w="11240"/>
          </w:cols>
          <w:pgMar w:left="320" w:top="1440" w:right="339" w:bottom="1440" w:gutter="0" w:footer="0" w:header="0"/>
        </w:sectPr>
      </w:pPr>
    </w:p>
    <w:bookmarkStart w:id="31" w:name="page32"/>
    <w:bookmarkEnd w:id="31"/>
    <w:p>
      <w:pPr>
        <w:spacing w:after="0" w:line="183" w:lineRule="exact"/>
        <w:rPr>
          <w:sz w:val="20"/>
          <w:szCs w:val="20"/>
          <w:color w:val="auto"/>
        </w:rPr>
      </w:pPr>
    </w:p>
    <w:p>
      <w:pPr>
        <w:jc w:val="both"/>
        <w:spacing w:after="0" w:line="243" w:lineRule="auto"/>
        <w:rPr>
          <w:sz w:val="20"/>
          <w:szCs w:val="20"/>
          <w:color w:val="auto"/>
        </w:rPr>
      </w:pPr>
      <w:r>
        <w:rPr>
          <w:rFonts w:ascii="Calibri" w:cs="Calibri" w:eastAsia="Calibri" w:hAnsi="Calibri"/>
          <w:sz w:val="21"/>
          <w:szCs w:val="21"/>
          <w:color w:val="auto"/>
        </w:rPr>
        <w:t>Each Annual Equity Award, including each prorated award, is expected to be scheduled to vest at the earlier of the one-year anniversary of the grant date and the annual meetng, subject to contnued services to us through the applicable vestng date. In the event of a change in control under the terms of the 2021 Omnibus Incentve Plan, each non-employee director’s then outstanding equity awards covering the Company’s Class A Common Stock are expected to accelerate vestng in full, provided that he or she remains a non-employee director through the date of the consummaton of such change in control. Each Annual Equity Award is expected to be granted under the 2021 Omnibus Incentve Plan and form of award agreement under such plan. We may allow non-employee directors to elect to receive all or a porton of the annual cash retainer fees in the form of restricted stock units. All compensaton payable under the Outside Director Compensaton Program is expected to be subject to any limits on the maximum amount of non-employee director compensaton as set forth in the 2021 Omnibus Incentve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2760"/>
        <w:spacing w:after="0"/>
        <w:tabs>
          <w:tab w:leader="none" w:pos="7080" w:val="left"/>
          <w:tab w:leader="none" w:pos="8300" w:val="left"/>
        </w:tabs>
        <w:rPr>
          <w:sz w:val="20"/>
          <w:szCs w:val="20"/>
          <w:color w:val="auto"/>
        </w:rPr>
      </w:pPr>
      <w:r>
        <w:rPr>
          <w:rFonts w:ascii="Calibri" w:cs="Calibri" w:eastAsia="Calibri" w:hAnsi="Calibri"/>
          <w:sz w:val="16"/>
          <w:szCs w:val="16"/>
          <w:color w:val="auto"/>
        </w:rPr>
        <w:t>Alphareta, GA | New York, NY | Belfast, United Kingdom</w:t>
      </w:r>
      <w:r>
        <w:rPr>
          <w:sz w:val="20"/>
          <w:szCs w:val="20"/>
          <w:color w:val="auto"/>
        </w:rPr>
        <w:tab/>
      </w:r>
      <w:r>
        <w:rPr>
          <w:rFonts w:ascii="Calibri" w:cs="Calibri" w:eastAsia="Calibri" w:hAnsi="Calibri"/>
          <w:sz w:val="16"/>
          <w:szCs w:val="16"/>
          <w:color w:val="auto"/>
        </w:rPr>
        <w:t>www.bakkt.com</w:t>
      </w:r>
      <w:r>
        <w:rPr>
          <w:sz w:val="20"/>
          <w:szCs w:val="20"/>
          <w:color w:val="auto"/>
        </w:rPr>
        <w:tab/>
      </w:r>
      <w:r>
        <w:rPr>
          <w:rFonts w:ascii="Calibri" w:cs="Calibri" w:eastAsia="Calibri" w:hAnsi="Calibri"/>
          <w:sz w:val="17"/>
          <w:szCs w:val="17"/>
          <w:color w:val="auto"/>
        </w:rPr>
        <w:t>26</w:t>
      </w:r>
    </w:p>
    <w:p>
      <w:pPr>
        <w:sectPr>
          <w:pgSz w:w="11900" w:h="16838" w:orient="portrait"/>
          <w:cols w:equalWidth="0" w:num="1">
            <w:col w:w="11240"/>
          </w:cols>
          <w:pgMar w:left="320" w:top="1440" w:right="339" w:bottom="1440" w:gutter="0" w:footer="0" w:header="0"/>
        </w:sectPr>
      </w:pPr>
    </w:p>
    <w:bookmarkStart w:id="32" w:name="page33"/>
    <w:bookmarkEnd w:id="32"/>
    <w:p>
      <w:pPr>
        <w:spacing w:after="0" w:line="171" w:lineRule="exact"/>
        <w:rPr>
          <w:sz w:val="20"/>
          <w:szCs w:val="20"/>
          <w:color w:val="auto"/>
        </w:rPr>
      </w:pPr>
    </w:p>
    <w:p>
      <w:pPr>
        <w:spacing w:after="0"/>
        <w:rPr>
          <w:sz w:val="20"/>
          <w:szCs w:val="20"/>
          <w:color w:val="auto"/>
        </w:rPr>
      </w:pPr>
      <w:r>
        <w:rPr>
          <w:rFonts w:ascii="Calibri" w:cs="Calibri" w:eastAsia="Calibri" w:hAnsi="Calibri"/>
          <w:sz w:val="29"/>
          <w:szCs w:val="29"/>
          <w:b w:val="1"/>
          <w:bCs w:val="1"/>
          <w:color w:val="auto"/>
        </w:rPr>
        <w:t>Director Compensaton for Fiscal 2023</w:t>
      </w:r>
    </w:p>
    <w:p>
      <w:pPr>
        <w:spacing w:after="0" w:line="226" w:lineRule="exact"/>
        <w:rPr>
          <w:sz w:val="20"/>
          <w:szCs w:val="20"/>
          <w:color w:val="auto"/>
        </w:rPr>
      </w:pPr>
    </w:p>
    <w:p>
      <w:pPr>
        <w:jc w:val="both"/>
        <w:ind w:right="20"/>
        <w:spacing w:after="0" w:line="229" w:lineRule="auto"/>
        <w:rPr>
          <w:sz w:val="20"/>
          <w:szCs w:val="20"/>
          <w:color w:val="auto"/>
        </w:rPr>
      </w:pPr>
      <w:r>
        <w:rPr>
          <w:rFonts w:ascii="Calibri" w:cs="Calibri" w:eastAsia="Calibri" w:hAnsi="Calibri"/>
          <w:sz w:val="22"/>
          <w:szCs w:val="22"/>
          <w:color w:val="auto"/>
        </w:rPr>
        <w:t>The following table sets forth informaton regarding the total compensaton awarded to, earned by or paid to our nonemployee directors for their service on our Board, for the fscal year ended December 31, 2023. Directors who are also our employees receive no additonal compensaton for their service as directors. During 2023, Dr. Michael was an employee and executve ofcer of the company and therefore, did not receive compensaton as a director. See “</w:t>
      </w:r>
      <w:r>
        <w:rPr>
          <w:rFonts w:ascii="Calibri" w:cs="Calibri" w:eastAsia="Calibri" w:hAnsi="Calibri"/>
          <w:sz w:val="22"/>
          <w:szCs w:val="22"/>
          <w:i w:val="1"/>
          <w:iCs w:val="1"/>
          <w:color w:val="auto"/>
        </w:rPr>
        <w:t>Executve Compensaton</w:t>
      </w:r>
      <w:r>
        <w:rPr>
          <w:rFonts w:ascii="Calibri" w:cs="Calibri" w:eastAsia="Calibri" w:hAnsi="Calibri"/>
          <w:sz w:val="22"/>
          <w:szCs w:val="22"/>
          <w:color w:val="auto"/>
        </w:rPr>
        <w:t>” for additonal informaton regarding Dr. Michael’s compensaton.</w:t>
      </w:r>
    </w:p>
    <w:p>
      <w:pPr>
        <w:spacing w:after="0" w:line="293" w:lineRule="exact"/>
        <w:rPr>
          <w:sz w:val="20"/>
          <w:szCs w:val="20"/>
          <w:color w:val="auto"/>
        </w:rPr>
      </w:pPr>
    </w:p>
    <w:tbl>
      <w:tblPr>
        <w:tblLayout w:type="fixed"/>
        <w:tblInd w:w="10" w:type="dxa"/>
        <w:tblCellMar>
          <w:top w:w="0" w:type="dxa"/>
          <w:left w:w="0" w:type="dxa"/>
          <w:bottom w:w="0" w:type="dxa"/>
          <w:right w:w="0" w:type="dxa"/>
        </w:tblCellMar>
      </w:tblPr>
      <w:tr>
        <w:trPr>
          <w:trHeight w:val="200"/>
        </w:trPr>
        <w:tc>
          <w:tcPr>
            <w:tcW w:w="2260" w:type="dxa"/>
            <w:vAlign w:val="bottom"/>
            <w:tcBorders>
              <w:top w:val="single" w:sz="8" w:color="auto"/>
              <w:left w:val="single" w:sz="8" w:color="auto"/>
            </w:tcBorders>
            <w:shd w:val="clear" w:color="auto" w:fill="151618"/>
          </w:tcPr>
          <w:p>
            <w:pPr>
              <w:spacing w:after="0"/>
              <w:rPr>
                <w:sz w:val="17"/>
                <w:szCs w:val="17"/>
                <w:color w:val="auto"/>
              </w:rPr>
            </w:pPr>
          </w:p>
        </w:tc>
        <w:tc>
          <w:tcPr>
            <w:tcW w:w="3380" w:type="dxa"/>
            <w:vAlign w:val="bottom"/>
            <w:tcBorders>
              <w:top w:val="single" w:sz="8" w:color="auto"/>
            </w:tcBorders>
            <w:shd w:val="clear" w:color="auto" w:fill="151618"/>
          </w:tcPr>
          <w:p>
            <w:pPr>
              <w:ind w:left="900"/>
              <w:spacing w:after="0"/>
              <w:rPr>
                <w:sz w:val="20"/>
                <w:szCs w:val="20"/>
                <w:color w:val="auto"/>
              </w:rPr>
            </w:pPr>
            <w:r>
              <w:rPr>
                <w:rFonts w:ascii="Calibri" w:cs="Calibri" w:eastAsia="Calibri" w:hAnsi="Calibri"/>
                <w:sz w:val="15"/>
                <w:szCs w:val="15"/>
                <w:b w:val="1"/>
                <w:bCs w:val="1"/>
                <w:color w:val="FFFFFF"/>
              </w:rPr>
              <w:t>Fees Paid or Earned in Cash</w:t>
            </w:r>
          </w:p>
        </w:tc>
        <w:tc>
          <w:tcPr>
            <w:tcW w:w="2700" w:type="dxa"/>
            <w:vAlign w:val="bottom"/>
            <w:tcBorders>
              <w:top w:val="single" w:sz="8" w:color="auto"/>
            </w:tcBorders>
            <w:vMerge w:val="restart"/>
            <w:shd w:val="clear" w:color="auto" w:fill="151618"/>
          </w:tcPr>
          <w:p>
            <w:pPr>
              <w:ind w:left="760"/>
              <w:spacing w:after="0"/>
              <w:rPr>
                <w:sz w:val="20"/>
                <w:szCs w:val="20"/>
                <w:color w:val="auto"/>
              </w:rPr>
            </w:pPr>
            <w:r>
              <w:rPr>
                <w:rFonts w:ascii="Calibri" w:cs="Calibri" w:eastAsia="Calibri" w:hAnsi="Calibri"/>
                <w:sz w:val="15"/>
                <w:szCs w:val="15"/>
                <w:b w:val="1"/>
                <w:bCs w:val="1"/>
                <w:color w:val="FFFFFF"/>
              </w:rPr>
              <w:t>Stock Awards</w:t>
            </w:r>
          </w:p>
        </w:tc>
        <w:tc>
          <w:tcPr>
            <w:tcW w:w="2920" w:type="dxa"/>
            <w:vAlign w:val="bottom"/>
            <w:tcBorders>
              <w:top w:val="single" w:sz="8" w:color="auto"/>
              <w:right w:val="single" w:sz="8" w:color="auto"/>
            </w:tcBorders>
            <w:vMerge w:val="restart"/>
            <w:shd w:val="clear" w:color="auto" w:fill="151618"/>
          </w:tcPr>
          <w:p>
            <w:pPr>
              <w:ind w:left="1220"/>
              <w:spacing w:after="0"/>
              <w:rPr>
                <w:sz w:val="20"/>
                <w:szCs w:val="20"/>
                <w:color w:val="auto"/>
              </w:rPr>
            </w:pPr>
            <w:r>
              <w:rPr>
                <w:rFonts w:ascii="Calibri" w:cs="Calibri" w:eastAsia="Calibri" w:hAnsi="Calibri"/>
                <w:sz w:val="15"/>
                <w:szCs w:val="15"/>
                <w:b w:val="1"/>
                <w:bCs w:val="1"/>
                <w:color w:val="FFFFFF"/>
              </w:rPr>
              <w:t>Total</w:t>
            </w:r>
          </w:p>
        </w:tc>
        <w:tc>
          <w:tcPr>
            <w:tcW w:w="0" w:type="dxa"/>
            <w:vAlign w:val="bottom"/>
          </w:tcPr>
          <w:p>
            <w:pPr>
              <w:spacing w:after="0"/>
              <w:rPr>
                <w:sz w:val="1"/>
                <w:szCs w:val="1"/>
                <w:color w:val="auto"/>
              </w:rPr>
            </w:pPr>
          </w:p>
        </w:tc>
      </w:tr>
      <w:tr>
        <w:trPr>
          <w:trHeight w:val="43"/>
        </w:trPr>
        <w:tc>
          <w:tcPr>
            <w:tcW w:w="2260" w:type="dxa"/>
            <w:vAlign w:val="bottom"/>
            <w:tcBorders>
              <w:left w:val="single" w:sz="8" w:color="auto"/>
            </w:tcBorders>
            <w:shd w:val="clear" w:color="auto" w:fill="151618"/>
          </w:tcPr>
          <w:p>
            <w:pPr>
              <w:spacing w:after="0"/>
              <w:rPr>
                <w:sz w:val="3"/>
                <w:szCs w:val="3"/>
                <w:color w:val="auto"/>
              </w:rPr>
            </w:pPr>
          </w:p>
        </w:tc>
        <w:tc>
          <w:tcPr>
            <w:tcW w:w="3380" w:type="dxa"/>
            <w:vAlign w:val="bottom"/>
            <w:shd w:val="clear" w:color="auto" w:fill="151618"/>
          </w:tcPr>
          <w:p>
            <w:pPr>
              <w:spacing w:after="0"/>
              <w:rPr>
                <w:sz w:val="3"/>
                <w:szCs w:val="3"/>
                <w:color w:val="auto"/>
              </w:rPr>
            </w:pPr>
          </w:p>
        </w:tc>
        <w:tc>
          <w:tcPr>
            <w:tcW w:w="2700" w:type="dxa"/>
            <w:vAlign w:val="bottom"/>
            <w:vMerge w:val="continue"/>
            <w:shd w:val="clear" w:color="auto" w:fill="151618"/>
          </w:tcPr>
          <w:p>
            <w:pPr>
              <w:spacing w:after="0"/>
              <w:rPr>
                <w:sz w:val="3"/>
                <w:szCs w:val="3"/>
                <w:color w:val="auto"/>
              </w:rPr>
            </w:pPr>
          </w:p>
        </w:tc>
        <w:tc>
          <w:tcPr>
            <w:tcW w:w="2920" w:type="dxa"/>
            <w:vAlign w:val="bottom"/>
            <w:tcBorders>
              <w:right w:val="single" w:sz="8" w:color="auto"/>
            </w:tcBorders>
            <w:vMerge w:val="continue"/>
            <w:shd w:val="clear" w:color="auto" w:fill="151618"/>
          </w:tcPr>
          <w:p>
            <w:pPr>
              <w:spacing w:after="0"/>
              <w:rPr>
                <w:sz w:val="3"/>
                <w:szCs w:val="3"/>
                <w:color w:val="auto"/>
              </w:rPr>
            </w:pPr>
          </w:p>
        </w:tc>
        <w:tc>
          <w:tcPr>
            <w:tcW w:w="0" w:type="dxa"/>
            <w:vAlign w:val="bottom"/>
          </w:tcPr>
          <w:p>
            <w:pPr>
              <w:spacing w:after="0"/>
              <w:rPr>
                <w:sz w:val="1"/>
                <w:szCs w:val="1"/>
                <w:color w:val="auto"/>
              </w:rPr>
            </w:pPr>
          </w:p>
        </w:tc>
      </w:tr>
      <w:tr>
        <w:trPr>
          <w:trHeight w:val="149"/>
        </w:trPr>
        <w:tc>
          <w:tcPr>
            <w:tcW w:w="2260" w:type="dxa"/>
            <w:vAlign w:val="bottom"/>
            <w:tcBorders>
              <w:left w:val="single" w:sz="8" w:color="auto"/>
            </w:tcBorders>
            <w:shd w:val="clear" w:color="auto" w:fill="151618"/>
          </w:tcPr>
          <w:p>
            <w:pPr>
              <w:ind w:left="80"/>
              <w:spacing w:after="0" w:line="149" w:lineRule="exact"/>
              <w:rPr>
                <w:sz w:val="20"/>
                <w:szCs w:val="20"/>
                <w:color w:val="auto"/>
              </w:rPr>
            </w:pPr>
            <w:r>
              <w:rPr>
                <w:rFonts w:ascii="Calibri" w:cs="Calibri" w:eastAsia="Calibri" w:hAnsi="Calibri"/>
                <w:sz w:val="15"/>
                <w:szCs w:val="15"/>
                <w:b w:val="1"/>
                <w:bCs w:val="1"/>
                <w:color w:val="FFFFFF"/>
              </w:rPr>
              <w:t>Name</w:t>
            </w:r>
          </w:p>
        </w:tc>
        <w:tc>
          <w:tcPr>
            <w:tcW w:w="3380" w:type="dxa"/>
            <w:vAlign w:val="bottom"/>
            <w:shd w:val="clear" w:color="auto" w:fill="151618"/>
          </w:tcPr>
          <w:p>
            <w:pPr>
              <w:jc w:val="center"/>
              <w:ind w:left="84"/>
              <w:spacing w:after="0" w:line="149" w:lineRule="exact"/>
              <w:rPr>
                <w:sz w:val="20"/>
                <w:szCs w:val="20"/>
                <w:color w:val="auto"/>
              </w:rPr>
            </w:pPr>
            <w:r>
              <w:rPr>
                <w:rFonts w:ascii="Calibri" w:cs="Calibri" w:eastAsia="Calibri" w:hAnsi="Calibri"/>
                <w:sz w:val="15"/>
                <w:szCs w:val="15"/>
                <w:b w:val="1"/>
                <w:bCs w:val="1"/>
                <w:color w:val="FFFFFF"/>
              </w:rPr>
              <w:t>($)</w:t>
            </w:r>
          </w:p>
        </w:tc>
        <w:tc>
          <w:tcPr>
            <w:tcW w:w="2700" w:type="dxa"/>
            <w:vAlign w:val="bottom"/>
            <w:shd w:val="clear" w:color="auto" w:fill="151618"/>
          </w:tcPr>
          <w:p>
            <w:pPr>
              <w:jc w:val="center"/>
              <w:ind w:right="225"/>
              <w:spacing w:after="0" w:line="149" w:lineRule="exact"/>
              <w:rPr>
                <w:sz w:val="20"/>
                <w:szCs w:val="20"/>
                <w:color w:val="auto"/>
              </w:rPr>
            </w:pPr>
            <w:r>
              <w:rPr>
                <w:rFonts w:ascii="Calibri" w:cs="Calibri" w:eastAsia="Calibri" w:hAnsi="Calibri"/>
                <w:sz w:val="13"/>
                <w:szCs w:val="13"/>
                <w:b w:val="1"/>
                <w:bCs w:val="1"/>
                <w:color w:val="FFFFFF"/>
              </w:rPr>
              <w:t>($)</w:t>
            </w:r>
            <w:r>
              <w:rPr>
                <w:rFonts w:ascii="Calibri" w:cs="Calibri" w:eastAsia="Calibri" w:hAnsi="Calibri"/>
                <w:sz w:val="16"/>
                <w:szCs w:val="16"/>
                <w:b w:val="1"/>
                <w:bCs w:val="1"/>
                <w:color w:val="FFFFFF"/>
                <w:vertAlign w:val="superscript"/>
              </w:rPr>
              <w:t>(1)</w:t>
            </w:r>
          </w:p>
        </w:tc>
        <w:tc>
          <w:tcPr>
            <w:tcW w:w="2920" w:type="dxa"/>
            <w:vAlign w:val="bottom"/>
            <w:tcBorders>
              <w:right w:val="single" w:sz="8" w:color="auto"/>
            </w:tcBorders>
            <w:vMerge w:val="continue"/>
            <w:shd w:val="clear" w:color="auto" w:fill="151618"/>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260" w:type="dxa"/>
            <w:vAlign w:val="bottom"/>
            <w:tcBorders>
              <w:left w:val="single" w:sz="8" w:color="auto"/>
              <w:bottom w:val="single" w:sz="8" w:color="auto"/>
            </w:tcBorders>
            <w:shd w:val="clear" w:color="auto" w:fill="151618"/>
          </w:tcPr>
          <w:p>
            <w:pPr>
              <w:spacing w:after="0"/>
              <w:rPr>
                <w:sz w:val="12"/>
                <w:szCs w:val="12"/>
                <w:color w:val="auto"/>
              </w:rPr>
            </w:pPr>
          </w:p>
        </w:tc>
        <w:tc>
          <w:tcPr>
            <w:tcW w:w="3380" w:type="dxa"/>
            <w:vAlign w:val="bottom"/>
            <w:tcBorders>
              <w:bottom w:val="single" w:sz="8" w:color="auto"/>
            </w:tcBorders>
            <w:shd w:val="clear" w:color="auto" w:fill="151618"/>
          </w:tcPr>
          <w:p>
            <w:pPr>
              <w:spacing w:after="0"/>
              <w:rPr>
                <w:sz w:val="12"/>
                <w:szCs w:val="12"/>
                <w:color w:val="auto"/>
              </w:rPr>
            </w:pPr>
          </w:p>
        </w:tc>
        <w:tc>
          <w:tcPr>
            <w:tcW w:w="2700" w:type="dxa"/>
            <w:vAlign w:val="bottom"/>
            <w:tcBorders>
              <w:bottom w:val="single" w:sz="8" w:color="auto"/>
            </w:tcBorders>
            <w:shd w:val="clear" w:color="auto" w:fill="151618"/>
          </w:tcPr>
          <w:p>
            <w:pPr>
              <w:spacing w:after="0"/>
              <w:rPr>
                <w:sz w:val="12"/>
                <w:szCs w:val="12"/>
                <w:color w:val="auto"/>
              </w:rPr>
            </w:pPr>
          </w:p>
        </w:tc>
        <w:tc>
          <w:tcPr>
            <w:tcW w:w="2920" w:type="dxa"/>
            <w:vAlign w:val="bottom"/>
            <w:tcBorders>
              <w:bottom w:val="single" w:sz="8" w:color="auto"/>
              <w:right w:val="single" w:sz="8" w:color="auto"/>
            </w:tcBorders>
            <w:shd w:val="clear" w:color="auto" w:fill="151618"/>
          </w:tcPr>
          <w:p>
            <w:pPr>
              <w:jc w:val="center"/>
              <w:ind w:right="104"/>
              <w:spacing w:after="0" w:line="149" w:lineRule="exact"/>
              <w:rPr>
                <w:sz w:val="20"/>
                <w:szCs w:val="20"/>
                <w:color w:val="auto"/>
              </w:rPr>
            </w:pPr>
            <w:r>
              <w:rPr>
                <w:rFonts w:ascii="Calibri" w:cs="Calibri" w:eastAsia="Calibri" w:hAnsi="Calibri"/>
                <w:sz w:val="15"/>
                <w:szCs w:val="15"/>
                <w:b w:val="1"/>
                <w:bCs w:val="1"/>
                <w:color w:val="FFFFFF"/>
              </w:rPr>
              <w:t>($)</w:t>
            </w:r>
          </w:p>
        </w:tc>
        <w:tc>
          <w:tcPr>
            <w:tcW w:w="0" w:type="dxa"/>
            <w:vAlign w:val="bottom"/>
          </w:tcPr>
          <w:p>
            <w:pPr>
              <w:spacing w:after="0"/>
              <w:rPr>
                <w:sz w:val="1"/>
                <w:szCs w:val="1"/>
                <w:color w:val="auto"/>
              </w:rPr>
            </w:pPr>
          </w:p>
        </w:tc>
      </w:tr>
      <w:tr>
        <w:trPr>
          <w:trHeight w:val="180"/>
        </w:trPr>
        <w:tc>
          <w:tcPr>
            <w:tcW w:w="2260" w:type="dxa"/>
            <w:vAlign w:val="bottom"/>
            <w:tcBorders>
              <w:left w:val="single" w:sz="8" w:color="auto"/>
            </w:tcBorders>
          </w:tcPr>
          <w:p>
            <w:pPr>
              <w:ind w:left="80"/>
              <w:spacing w:after="0" w:line="180" w:lineRule="exact"/>
              <w:rPr>
                <w:sz w:val="20"/>
                <w:szCs w:val="20"/>
                <w:color w:val="auto"/>
              </w:rPr>
            </w:pPr>
            <w:r>
              <w:rPr>
                <w:rFonts w:ascii="Calibri" w:cs="Calibri" w:eastAsia="Calibri" w:hAnsi="Calibri"/>
                <w:sz w:val="15"/>
                <w:szCs w:val="15"/>
                <w:color w:val="auto"/>
              </w:rPr>
              <w:t>David Clifon</w:t>
            </w:r>
          </w:p>
        </w:tc>
        <w:tc>
          <w:tcPr>
            <w:tcW w:w="3380" w:type="dxa"/>
            <w:vAlign w:val="bottom"/>
          </w:tcPr>
          <w:p>
            <w:pPr>
              <w:jc w:val="center"/>
              <w:ind w:left="84"/>
              <w:spacing w:after="0" w:line="180" w:lineRule="exact"/>
              <w:rPr>
                <w:sz w:val="20"/>
                <w:szCs w:val="20"/>
                <w:color w:val="auto"/>
              </w:rPr>
            </w:pPr>
            <w:r>
              <w:rPr>
                <w:rFonts w:ascii="Calibri" w:cs="Calibri" w:eastAsia="Calibri" w:hAnsi="Calibri"/>
                <w:sz w:val="15"/>
                <w:szCs w:val="15"/>
                <w:color w:val="auto"/>
              </w:rPr>
              <w:t>—</w:t>
            </w:r>
          </w:p>
        </w:tc>
        <w:tc>
          <w:tcPr>
            <w:tcW w:w="2700" w:type="dxa"/>
            <w:vAlign w:val="bottom"/>
          </w:tcPr>
          <w:p>
            <w:pPr>
              <w:jc w:val="center"/>
              <w:ind w:right="245"/>
              <w:spacing w:after="0" w:line="180" w:lineRule="exact"/>
              <w:rPr>
                <w:sz w:val="20"/>
                <w:szCs w:val="20"/>
                <w:color w:val="auto"/>
              </w:rPr>
            </w:pPr>
            <w:r>
              <w:rPr>
                <w:rFonts w:ascii="Calibri" w:cs="Calibri" w:eastAsia="Calibri" w:hAnsi="Calibri"/>
                <w:sz w:val="15"/>
                <w:szCs w:val="15"/>
                <w:color w:val="auto"/>
              </w:rPr>
              <w:t>—</w:t>
            </w:r>
          </w:p>
        </w:tc>
        <w:tc>
          <w:tcPr>
            <w:tcW w:w="2920" w:type="dxa"/>
            <w:vAlign w:val="bottom"/>
            <w:tcBorders>
              <w:right w:val="single" w:sz="8" w:color="auto"/>
            </w:tcBorders>
          </w:tcPr>
          <w:p>
            <w:pPr>
              <w:jc w:val="center"/>
              <w:ind w:right="104"/>
              <w:spacing w:after="0" w:line="180" w:lineRule="exact"/>
              <w:rPr>
                <w:sz w:val="20"/>
                <w:szCs w:val="20"/>
                <w:color w:val="auto"/>
              </w:rPr>
            </w:pPr>
            <w:r>
              <w:rPr>
                <w:rFonts w:ascii="Calibri" w:cs="Calibri" w:eastAsia="Calibri" w:hAnsi="Calibri"/>
                <w:sz w:val="15"/>
                <w:szCs w:val="15"/>
                <w:b w:val="1"/>
                <w:bCs w:val="1"/>
                <w:color w:val="auto"/>
              </w:rPr>
              <w:t>—</w:t>
            </w:r>
          </w:p>
        </w:tc>
        <w:tc>
          <w:tcPr>
            <w:tcW w:w="0" w:type="dxa"/>
            <w:vAlign w:val="bottom"/>
          </w:tcPr>
          <w:p>
            <w:pPr>
              <w:spacing w:after="0"/>
              <w:rPr>
                <w:sz w:val="1"/>
                <w:szCs w:val="1"/>
                <w:color w:val="auto"/>
              </w:rPr>
            </w:pPr>
          </w:p>
        </w:tc>
      </w:tr>
      <w:tr>
        <w:trPr>
          <w:trHeight w:val="57"/>
        </w:trPr>
        <w:tc>
          <w:tcPr>
            <w:tcW w:w="2260" w:type="dxa"/>
            <w:vAlign w:val="bottom"/>
            <w:tcBorders>
              <w:left w:val="single" w:sz="8" w:color="auto"/>
              <w:bottom w:val="single" w:sz="8" w:color="auto"/>
            </w:tcBorders>
          </w:tcPr>
          <w:p>
            <w:pPr>
              <w:spacing w:after="0"/>
              <w:rPr>
                <w:sz w:val="4"/>
                <w:szCs w:val="4"/>
                <w:color w:val="auto"/>
              </w:rPr>
            </w:pPr>
          </w:p>
        </w:tc>
        <w:tc>
          <w:tcPr>
            <w:tcW w:w="3380" w:type="dxa"/>
            <w:vAlign w:val="bottom"/>
            <w:tcBorders>
              <w:bottom w:val="single" w:sz="8" w:color="auto"/>
            </w:tcBorders>
          </w:tcPr>
          <w:p>
            <w:pPr>
              <w:spacing w:after="0"/>
              <w:rPr>
                <w:sz w:val="4"/>
                <w:szCs w:val="4"/>
                <w:color w:val="auto"/>
              </w:rPr>
            </w:pPr>
          </w:p>
        </w:tc>
        <w:tc>
          <w:tcPr>
            <w:tcW w:w="2700" w:type="dxa"/>
            <w:vAlign w:val="bottom"/>
            <w:tcBorders>
              <w:bottom w:val="single" w:sz="8" w:color="auto"/>
            </w:tcBorders>
          </w:tcPr>
          <w:p>
            <w:pPr>
              <w:spacing w:after="0"/>
              <w:rPr>
                <w:sz w:val="4"/>
                <w:szCs w:val="4"/>
                <w:color w:val="auto"/>
              </w:rPr>
            </w:pPr>
          </w:p>
        </w:tc>
        <w:tc>
          <w:tcPr>
            <w:tcW w:w="292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0"/>
        </w:trPr>
        <w:tc>
          <w:tcPr>
            <w:tcW w:w="2260" w:type="dxa"/>
            <w:vAlign w:val="bottom"/>
            <w:tcBorders>
              <w:left w:val="single" w:sz="8" w:color="auto"/>
              <w:bottom w:val="single" w:sz="8" w:color="auto"/>
            </w:tcBorders>
          </w:tcPr>
          <w:p>
            <w:pPr>
              <w:ind w:left="80"/>
              <w:spacing w:after="0"/>
              <w:rPr>
                <w:sz w:val="20"/>
                <w:szCs w:val="20"/>
                <w:color w:val="auto"/>
              </w:rPr>
            </w:pPr>
            <w:r>
              <w:rPr>
                <w:rFonts w:ascii="Calibri" w:cs="Calibri" w:eastAsia="Calibri" w:hAnsi="Calibri"/>
                <w:sz w:val="15"/>
                <w:szCs w:val="15"/>
                <w:color w:val="auto"/>
              </w:rPr>
              <w:t>Sean Collins</w:t>
            </w:r>
          </w:p>
        </w:tc>
        <w:tc>
          <w:tcPr>
            <w:tcW w:w="3380" w:type="dxa"/>
            <w:vAlign w:val="bottom"/>
            <w:tcBorders>
              <w:bottom w:val="single" w:sz="8" w:color="auto"/>
            </w:tcBorders>
          </w:tcPr>
          <w:p>
            <w:pPr>
              <w:jc w:val="center"/>
              <w:ind w:left="64"/>
              <w:spacing w:after="0"/>
              <w:rPr>
                <w:sz w:val="20"/>
                <w:szCs w:val="20"/>
                <w:color w:val="auto"/>
              </w:rPr>
            </w:pPr>
            <w:r>
              <w:rPr>
                <w:rFonts w:ascii="Calibri" w:cs="Calibri" w:eastAsia="Calibri" w:hAnsi="Calibri"/>
                <w:sz w:val="15"/>
                <w:szCs w:val="15"/>
                <w:color w:val="auto"/>
              </w:rPr>
              <w:t>$0</w:t>
            </w:r>
          </w:p>
        </w:tc>
        <w:tc>
          <w:tcPr>
            <w:tcW w:w="2700" w:type="dxa"/>
            <w:vAlign w:val="bottom"/>
            <w:tcBorders>
              <w:bottom w:val="single" w:sz="8" w:color="auto"/>
            </w:tcBorders>
          </w:tcPr>
          <w:p>
            <w:pPr>
              <w:jc w:val="center"/>
              <w:ind w:right="225"/>
              <w:spacing w:after="0" w:line="231" w:lineRule="exact"/>
              <w:rPr>
                <w:sz w:val="20"/>
                <w:szCs w:val="20"/>
                <w:color w:val="auto"/>
              </w:rPr>
            </w:pPr>
            <w:r>
              <w:rPr>
                <w:rFonts w:ascii="Calibri" w:cs="Calibri" w:eastAsia="Calibri" w:hAnsi="Calibri"/>
                <w:sz w:val="15"/>
                <w:szCs w:val="15"/>
                <w:color w:val="auto"/>
                <w:w w:val="95"/>
              </w:rPr>
              <w:t>$385,000</w:t>
            </w:r>
            <w:r>
              <w:rPr>
                <w:rFonts w:ascii="Calibri" w:cs="Calibri" w:eastAsia="Calibri" w:hAnsi="Calibri"/>
                <w:sz w:val="19"/>
                <w:szCs w:val="19"/>
                <w:b w:val="1"/>
                <w:bCs w:val="1"/>
                <w:color w:val="auto"/>
                <w:w w:val="95"/>
                <w:vertAlign w:val="superscript"/>
              </w:rPr>
              <w:t>(4)</w:t>
            </w:r>
          </w:p>
        </w:tc>
        <w:tc>
          <w:tcPr>
            <w:tcW w:w="2920" w:type="dxa"/>
            <w:vAlign w:val="bottom"/>
            <w:tcBorders>
              <w:bottom w:val="single" w:sz="8" w:color="auto"/>
              <w:right w:val="single" w:sz="8" w:color="auto"/>
            </w:tcBorders>
          </w:tcPr>
          <w:p>
            <w:pPr>
              <w:jc w:val="center"/>
              <w:ind w:right="104"/>
              <w:spacing w:after="0"/>
              <w:rPr>
                <w:sz w:val="20"/>
                <w:szCs w:val="20"/>
                <w:color w:val="auto"/>
              </w:rPr>
            </w:pPr>
            <w:r>
              <w:rPr>
                <w:rFonts w:ascii="Calibri" w:cs="Calibri" w:eastAsia="Calibri" w:hAnsi="Calibri"/>
                <w:sz w:val="15"/>
                <w:szCs w:val="15"/>
                <w:b w:val="1"/>
                <w:bCs w:val="1"/>
                <w:color w:val="auto"/>
              </w:rPr>
              <w:t>$385,000</w:t>
            </w:r>
          </w:p>
        </w:tc>
        <w:tc>
          <w:tcPr>
            <w:tcW w:w="0" w:type="dxa"/>
            <w:vAlign w:val="bottom"/>
          </w:tcPr>
          <w:p>
            <w:pPr>
              <w:spacing w:after="0"/>
              <w:rPr>
                <w:sz w:val="1"/>
                <w:szCs w:val="1"/>
                <w:color w:val="auto"/>
              </w:rPr>
            </w:pPr>
          </w:p>
        </w:tc>
      </w:tr>
      <w:tr>
        <w:trPr>
          <w:trHeight w:val="236"/>
        </w:trPr>
        <w:tc>
          <w:tcPr>
            <w:tcW w:w="2260" w:type="dxa"/>
            <w:vAlign w:val="bottom"/>
            <w:tcBorders>
              <w:left w:val="single" w:sz="8" w:color="auto"/>
              <w:bottom w:val="single" w:sz="8" w:color="auto"/>
            </w:tcBorders>
          </w:tcPr>
          <w:p>
            <w:pPr>
              <w:ind w:left="80"/>
              <w:spacing w:after="0" w:line="231" w:lineRule="exact"/>
              <w:rPr>
                <w:sz w:val="20"/>
                <w:szCs w:val="20"/>
                <w:color w:val="auto"/>
              </w:rPr>
            </w:pPr>
            <w:r>
              <w:rPr>
                <w:rFonts w:ascii="Calibri" w:cs="Calibri" w:eastAsia="Calibri" w:hAnsi="Calibri"/>
                <w:sz w:val="15"/>
                <w:szCs w:val="15"/>
                <w:color w:val="auto"/>
              </w:rPr>
              <w:t xml:space="preserve">De’Ana Dow </w:t>
            </w:r>
            <w:r>
              <w:rPr>
                <w:rFonts w:ascii="Calibri" w:cs="Calibri" w:eastAsia="Calibri" w:hAnsi="Calibri"/>
                <w:sz w:val="19"/>
                <w:szCs w:val="19"/>
                <w:b w:val="1"/>
                <w:bCs w:val="1"/>
                <w:color w:val="auto"/>
                <w:vertAlign w:val="superscript"/>
              </w:rPr>
              <w:t>(2)</w:t>
            </w:r>
          </w:p>
        </w:tc>
        <w:tc>
          <w:tcPr>
            <w:tcW w:w="3380" w:type="dxa"/>
            <w:vAlign w:val="bottom"/>
            <w:tcBorders>
              <w:bottom w:val="single" w:sz="8" w:color="auto"/>
            </w:tcBorders>
          </w:tcPr>
          <w:p>
            <w:pPr>
              <w:jc w:val="center"/>
              <w:ind w:left="84"/>
              <w:spacing w:after="0"/>
              <w:rPr>
                <w:sz w:val="20"/>
                <w:szCs w:val="20"/>
                <w:color w:val="auto"/>
              </w:rPr>
            </w:pPr>
            <w:r>
              <w:rPr>
                <w:rFonts w:ascii="Calibri" w:cs="Calibri" w:eastAsia="Calibri" w:hAnsi="Calibri"/>
                <w:sz w:val="15"/>
                <w:szCs w:val="15"/>
                <w:color w:val="auto"/>
              </w:rPr>
              <w:t>$127,500</w:t>
            </w:r>
          </w:p>
        </w:tc>
        <w:tc>
          <w:tcPr>
            <w:tcW w:w="2700" w:type="dxa"/>
            <w:vAlign w:val="bottom"/>
            <w:tcBorders>
              <w:bottom w:val="single" w:sz="8" w:color="auto"/>
            </w:tcBorders>
          </w:tcPr>
          <w:p>
            <w:pPr>
              <w:jc w:val="center"/>
              <w:ind w:right="245"/>
              <w:spacing w:after="0"/>
              <w:rPr>
                <w:sz w:val="20"/>
                <w:szCs w:val="20"/>
                <w:color w:val="auto"/>
              </w:rPr>
            </w:pPr>
            <w:r>
              <w:rPr>
                <w:rFonts w:ascii="Calibri" w:cs="Calibri" w:eastAsia="Calibri" w:hAnsi="Calibri"/>
                <w:sz w:val="15"/>
                <w:szCs w:val="15"/>
                <w:color w:val="auto"/>
              </w:rPr>
              <w:t>$400,002</w:t>
            </w:r>
          </w:p>
        </w:tc>
        <w:tc>
          <w:tcPr>
            <w:tcW w:w="2920" w:type="dxa"/>
            <w:vAlign w:val="bottom"/>
            <w:tcBorders>
              <w:bottom w:val="single" w:sz="8" w:color="auto"/>
              <w:right w:val="single" w:sz="8" w:color="auto"/>
            </w:tcBorders>
          </w:tcPr>
          <w:p>
            <w:pPr>
              <w:jc w:val="center"/>
              <w:ind w:right="104"/>
              <w:spacing w:after="0"/>
              <w:rPr>
                <w:sz w:val="20"/>
                <w:szCs w:val="20"/>
                <w:color w:val="auto"/>
              </w:rPr>
            </w:pPr>
            <w:r>
              <w:rPr>
                <w:rFonts w:ascii="Calibri" w:cs="Calibri" w:eastAsia="Calibri" w:hAnsi="Calibri"/>
                <w:sz w:val="15"/>
                <w:szCs w:val="15"/>
                <w:b w:val="1"/>
                <w:bCs w:val="1"/>
                <w:color w:val="auto"/>
              </w:rPr>
              <w:t>$527,500</w:t>
            </w:r>
          </w:p>
        </w:tc>
        <w:tc>
          <w:tcPr>
            <w:tcW w:w="0" w:type="dxa"/>
            <w:vAlign w:val="bottom"/>
          </w:tcPr>
          <w:p>
            <w:pPr>
              <w:spacing w:after="0"/>
              <w:rPr>
                <w:sz w:val="1"/>
                <w:szCs w:val="1"/>
                <w:color w:val="auto"/>
              </w:rPr>
            </w:pPr>
          </w:p>
        </w:tc>
      </w:tr>
      <w:tr>
        <w:trPr>
          <w:trHeight w:val="186"/>
        </w:trPr>
        <w:tc>
          <w:tcPr>
            <w:tcW w:w="2260" w:type="dxa"/>
            <w:vAlign w:val="bottom"/>
            <w:tcBorders>
              <w:left w:val="single" w:sz="8" w:color="auto"/>
            </w:tcBorders>
          </w:tcPr>
          <w:p>
            <w:pPr>
              <w:ind w:left="80"/>
              <w:spacing w:after="0"/>
              <w:rPr>
                <w:sz w:val="20"/>
                <w:szCs w:val="20"/>
                <w:color w:val="auto"/>
              </w:rPr>
            </w:pPr>
            <w:r>
              <w:rPr>
                <w:rFonts w:ascii="Calibri" w:cs="Calibri" w:eastAsia="Calibri" w:hAnsi="Calibri"/>
                <w:sz w:val="15"/>
                <w:szCs w:val="15"/>
                <w:color w:val="auto"/>
              </w:rPr>
              <w:t>Michelle J. Goldberg</w:t>
            </w:r>
          </w:p>
        </w:tc>
        <w:tc>
          <w:tcPr>
            <w:tcW w:w="3380" w:type="dxa"/>
            <w:vAlign w:val="bottom"/>
          </w:tcPr>
          <w:p>
            <w:pPr>
              <w:jc w:val="center"/>
              <w:ind w:left="84"/>
              <w:spacing w:after="0"/>
              <w:rPr>
                <w:sz w:val="20"/>
                <w:szCs w:val="20"/>
                <w:color w:val="auto"/>
              </w:rPr>
            </w:pPr>
            <w:r>
              <w:rPr>
                <w:rFonts w:ascii="Calibri" w:cs="Calibri" w:eastAsia="Calibri" w:hAnsi="Calibri"/>
                <w:sz w:val="15"/>
                <w:szCs w:val="15"/>
                <w:color w:val="auto"/>
              </w:rPr>
              <w:t>$72,000</w:t>
            </w:r>
          </w:p>
        </w:tc>
        <w:tc>
          <w:tcPr>
            <w:tcW w:w="2700" w:type="dxa"/>
            <w:vAlign w:val="bottom"/>
          </w:tcPr>
          <w:p>
            <w:pPr>
              <w:jc w:val="center"/>
              <w:ind w:right="245"/>
              <w:spacing w:after="0"/>
              <w:rPr>
                <w:sz w:val="20"/>
                <w:szCs w:val="20"/>
                <w:color w:val="auto"/>
              </w:rPr>
            </w:pPr>
            <w:r>
              <w:rPr>
                <w:rFonts w:ascii="Calibri" w:cs="Calibri" w:eastAsia="Calibri" w:hAnsi="Calibri"/>
                <w:sz w:val="15"/>
                <w:szCs w:val="15"/>
                <w:color w:val="auto"/>
              </w:rPr>
              <w:t>$200,001</w:t>
            </w:r>
          </w:p>
        </w:tc>
        <w:tc>
          <w:tcPr>
            <w:tcW w:w="2920" w:type="dxa"/>
            <w:vAlign w:val="bottom"/>
            <w:tcBorders>
              <w:right w:val="single" w:sz="8" w:color="auto"/>
            </w:tcBorders>
          </w:tcPr>
          <w:p>
            <w:pPr>
              <w:jc w:val="center"/>
              <w:ind w:right="104"/>
              <w:spacing w:after="0"/>
              <w:rPr>
                <w:sz w:val="20"/>
                <w:szCs w:val="20"/>
                <w:color w:val="auto"/>
              </w:rPr>
            </w:pPr>
            <w:r>
              <w:rPr>
                <w:rFonts w:ascii="Calibri" w:cs="Calibri" w:eastAsia="Calibri" w:hAnsi="Calibri"/>
                <w:sz w:val="15"/>
                <w:szCs w:val="15"/>
                <w:b w:val="1"/>
                <w:bCs w:val="1"/>
                <w:color w:val="auto"/>
              </w:rPr>
              <w:t>$272,001</w:t>
            </w:r>
          </w:p>
        </w:tc>
        <w:tc>
          <w:tcPr>
            <w:tcW w:w="0" w:type="dxa"/>
            <w:vAlign w:val="bottom"/>
          </w:tcPr>
          <w:p>
            <w:pPr>
              <w:spacing w:after="0"/>
              <w:rPr>
                <w:sz w:val="1"/>
                <w:szCs w:val="1"/>
                <w:color w:val="auto"/>
              </w:rPr>
            </w:pPr>
          </w:p>
        </w:tc>
      </w:tr>
      <w:tr>
        <w:trPr>
          <w:trHeight w:val="57"/>
        </w:trPr>
        <w:tc>
          <w:tcPr>
            <w:tcW w:w="2260" w:type="dxa"/>
            <w:vAlign w:val="bottom"/>
            <w:tcBorders>
              <w:left w:val="single" w:sz="8" w:color="auto"/>
              <w:bottom w:val="single" w:sz="8" w:color="auto"/>
            </w:tcBorders>
          </w:tcPr>
          <w:p>
            <w:pPr>
              <w:spacing w:after="0"/>
              <w:rPr>
                <w:sz w:val="4"/>
                <w:szCs w:val="4"/>
                <w:color w:val="auto"/>
              </w:rPr>
            </w:pPr>
          </w:p>
        </w:tc>
        <w:tc>
          <w:tcPr>
            <w:tcW w:w="3380" w:type="dxa"/>
            <w:vAlign w:val="bottom"/>
            <w:tcBorders>
              <w:bottom w:val="single" w:sz="8" w:color="auto"/>
            </w:tcBorders>
          </w:tcPr>
          <w:p>
            <w:pPr>
              <w:spacing w:after="0"/>
              <w:rPr>
                <w:sz w:val="4"/>
                <w:szCs w:val="4"/>
                <w:color w:val="auto"/>
              </w:rPr>
            </w:pPr>
          </w:p>
        </w:tc>
        <w:tc>
          <w:tcPr>
            <w:tcW w:w="2700" w:type="dxa"/>
            <w:vAlign w:val="bottom"/>
            <w:tcBorders>
              <w:bottom w:val="single" w:sz="8" w:color="auto"/>
            </w:tcBorders>
          </w:tcPr>
          <w:p>
            <w:pPr>
              <w:spacing w:after="0"/>
              <w:rPr>
                <w:sz w:val="4"/>
                <w:szCs w:val="4"/>
                <w:color w:val="auto"/>
              </w:rPr>
            </w:pPr>
          </w:p>
        </w:tc>
        <w:tc>
          <w:tcPr>
            <w:tcW w:w="292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80"/>
        </w:trPr>
        <w:tc>
          <w:tcPr>
            <w:tcW w:w="2260" w:type="dxa"/>
            <w:vAlign w:val="bottom"/>
            <w:tcBorders>
              <w:left w:val="single" w:sz="8" w:color="auto"/>
            </w:tcBorders>
          </w:tcPr>
          <w:p>
            <w:pPr>
              <w:ind w:left="80"/>
              <w:spacing w:after="0" w:line="180" w:lineRule="exact"/>
              <w:rPr>
                <w:sz w:val="20"/>
                <w:szCs w:val="20"/>
                <w:color w:val="auto"/>
              </w:rPr>
            </w:pPr>
            <w:r>
              <w:rPr>
                <w:rFonts w:ascii="Calibri" w:cs="Calibri" w:eastAsia="Calibri" w:hAnsi="Calibri"/>
                <w:sz w:val="15"/>
                <w:szCs w:val="15"/>
                <w:color w:val="auto"/>
              </w:rPr>
              <w:t>Richard Lumb</w:t>
            </w:r>
          </w:p>
        </w:tc>
        <w:tc>
          <w:tcPr>
            <w:tcW w:w="3380" w:type="dxa"/>
            <w:vAlign w:val="bottom"/>
          </w:tcPr>
          <w:p>
            <w:pPr>
              <w:jc w:val="center"/>
              <w:ind w:left="84"/>
              <w:spacing w:after="0" w:line="180" w:lineRule="exact"/>
              <w:rPr>
                <w:sz w:val="20"/>
                <w:szCs w:val="20"/>
                <w:color w:val="auto"/>
              </w:rPr>
            </w:pPr>
            <w:r>
              <w:rPr>
                <w:rFonts w:ascii="Calibri" w:cs="Calibri" w:eastAsia="Calibri" w:hAnsi="Calibri"/>
                <w:sz w:val="15"/>
                <w:szCs w:val="15"/>
                <w:color w:val="auto"/>
              </w:rPr>
              <w:t>$75,000</w:t>
            </w:r>
          </w:p>
        </w:tc>
        <w:tc>
          <w:tcPr>
            <w:tcW w:w="2700" w:type="dxa"/>
            <w:vAlign w:val="bottom"/>
          </w:tcPr>
          <w:p>
            <w:pPr>
              <w:jc w:val="center"/>
              <w:ind w:right="245"/>
              <w:spacing w:after="0" w:line="180" w:lineRule="exact"/>
              <w:rPr>
                <w:sz w:val="20"/>
                <w:szCs w:val="20"/>
                <w:color w:val="auto"/>
              </w:rPr>
            </w:pPr>
            <w:r>
              <w:rPr>
                <w:rFonts w:ascii="Calibri" w:cs="Calibri" w:eastAsia="Calibri" w:hAnsi="Calibri"/>
                <w:sz w:val="15"/>
                <w:szCs w:val="15"/>
                <w:color w:val="auto"/>
              </w:rPr>
              <w:t>$200,001</w:t>
            </w:r>
          </w:p>
        </w:tc>
        <w:tc>
          <w:tcPr>
            <w:tcW w:w="2920" w:type="dxa"/>
            <w:vAlign w:val="bottom"/>
            <w:tcBorders>
              <w:right w:val="single" w:sz="8" w:color="auto"/>
            </w:tcBorders>
          </w:tcPr>
          <w:p>
            <w:pPr>
              <w:jc w:val="center"/>
              <w:ind w:right="104"/>
              <w:spacing w:after="0" w:line="180" w:lineRule="exact"/>
              <w:rPr>
                <w:sz w:val="20"/>
                <w:szCs w:val="20"/>
                <w:color w:val="auto"/>
              </w:rPr>
            </w:pPr>
            <w:r>
              <w:rPr>
                <w:rFonts w:ascii="Calibri" w:cs="Calibri" w:eastAsia="Calibri" w:hAnsi="Calibri"/>
                <w:sz w:val="15"/>
                <w:szCs w:val="15"/>
                <w:b w:val="1"/>
                <w:bCs w:val="1"/>
                <w:color w:val="auto"/>
              </w:rPr>
              <w:t>$275,001</w:t>
            </w:r>
          </w:p>
        </w:tc>
        <w:tc>
          <w:tcPr>
            <w:tcW w:w="0" w:type="dxa"/>
            <w:vAlign w:val="bottom"/>
          </w:tcPr>
          <w:p>
            <w:pPr>
              <w:spacing w:after="0"/>
              <w:rPr>
                <w:sz w:val="1"/>
                <w:szCs w:val="1"/>
                <w:color w:val="auto"/>
              </w:rPr>
            </w:pPr>
          </w:p>
        </w:tc>
      </w:tr>
      <w:tr>
        <w:trPr>
          <w:trHeight w:val="57"/>
        </w:trPr>
        <w:tc>
          <w:tcPr>
            <w:tcW w:w="2260" w:type="dxa"/>
            <w:vAlign w:val="bottom"/>
            <w:tcBorders>
              <w:left w:val="single" w:sz="8" w:color="auto"/>
              <w:bottom w:val="single" w:sz="8" w:color="auto"/>
            </w:tcBorders>
          </w:tcPr>
          <w:p>
            <w:pPr>
              <w:spacing w:after="0"/>
              <w:rPr>
                <w:sz w:val="4"/>
                <w:szCs w:val="4"/>
                <w:color w:val="auto"/>
              </w:rPr>
            </w:pPr>
          </w:p>
        </w:tc>
        <w:tc>
          <w:tcPr>
            <w:tcW w:w="3380" w:type="dxa"/>
            <w:vAlign w:val="bottom"/>
            <w:tcBorders>
              <w:bottom w:val="single" w:sz="8" w:color="auto"/>
            </w:tcBorders>
          </w:tcPr>
          <w:p>
            <w:pPr>
              <w:spacing w:after="0"/>
              <w:rPr>
                <w:sz w:val="4"/>
                <w:szCs w:val="4"/>
                <w:color w:val="auto"/>
              </w:rPr>
            </w:pPr>
          </w:p>
        </w:tc>
        <w:tc>
          <w:tcPr>
            <w:tcW w:w="2700" w:type="dxa"/>
            <w:vAlign w:val="bottom"/>
            <w:tcBorders>
              <w:bottom w:val="single" w:sz="8" w:color="auto"/>
            </w:tcBorders>
          </w:tcPr>
          <w:p>
            <w:pPr>
              <w:spacing w:after="0"/>
              <w:rPr>
                <w:sz w:val="4"/>
                <w:szCs w:val="4"/>
                <w:color w:val="auto"/>
              </w:rPr>
            </w:pPr>
          </w:p>
        </w:tc>
        <w:tc>
          <w:tcPr>
            <w:tcW w:w="292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0"/>
        </w:trPr>
        <w:tc>
          <w:tcPr>
            <w:tcW w:w="2260" w:type="dxa"/>
            <w:vAlign w:val="bottom"/>
            <w:tcBorders>
              <w:left w:val="single" w:sz="8" w:color="auto"/>
              <w:bottom w:val="single" w:sz="8" w:color="auto"/>
            </w:tcBorders>
          </w:tcPr>
          <w:p>
            <w:pPr>
              <w:ind w:left="80"/>
              <w:spacing w:after="0" w:line="231" w:lineRule="exact"/>
              <w:rPr>
                <w:sz w:val="20"/>
                <w:szCs w:val="20"/>
                <w:color w:val="auto"/>
              </w:rPr>
            </w:pPr>
            <w:r>
              <w:rPr>
                <w:rFonts w:ascii="Calibri" w:cs="Calibri" w:eastAsia="Calibri" w:hAnsi="Calibri"/>
                <w:sz w:val="15"/>
                <w:szCs w:val="15"/>
                <w:color w:val="auto"/>
              </w:rPr>
              <w:t>Andrew A. Main</w:t>
            </w:r>
            <w:r>
              <w:rPr>
                <w:rFonts w:ascii="Calibri" w:cs="Calibri" w:eastAsia="Calibri" w:hAnsi="Calibri"/>
                <w:sz w:val="19"/>
                <w:szCs w:val="19"/>
                <w:b w:val="1"/>
                <w:bCs w:val="1"/>
                <w:color w:val="auto"/>
                <w:vertAlign w:val="superscript"/>
              </w:rPr>
              <w:t>(3)</w:t>
            </w:r>
          </w:p>
        </w:tc>
        <w:tc>
          <w:tcPr>
            <w:tcW w:w="3380" w:type="dxa"/>
            <w:vAlign w:val="bottom"/>
            <w:tcBorders>
              <w:bottom w:val="single" w:sz="8" w:color="auto"/>
            </w:tcBorders>
          </w:tcPr>
          <w:p>
            <w:pPr>
              <w:jc w:val="center"/>
              <w:ind w:left="64"/>
              <w:spacing w:after="0"/>
              <w:rPr>
                <w:sz w:val="20"/>
                <w:szCs w:val="20"/>
                <w:color w:val="auto"/>
              </w:rPr>
            </w:pPr>
            <w:r>
              <w:rPr>
                <w:rFonts w:ascii="Calibri" w:cs="Calibri" w:eastAsia="Calibri" w:hAnsi="Calibri"/>
                <w:sz w:val="15"/>
                <w:szCs w:val="15"/>
                <w:color w:val="auto"/>
              </w:rPr>
              <w:t>$0</w:t>
            </w:r>
          </w:p>
        </w:tc>
        <w:tc>
          <w:tcPr>
            <w:tcW w:w="2700" w:type="dxa"/>
            <w:vAlign w:val="bottom"/>
            <w:tcBorders>
              <w:bottom w:val="single" w:sz="8" w:color="auto"/>
            </w:tcBorders>
          </w:tcPr>
          <w:p>
            <w:pPr>
              <w:jc w:val="center"/>
              <w:ind w:right="225"/>
              <w:spacing w:after="0" w:line="231" w:lineRule="exact"/>
              <w:rPr>
                <w:sz w:val="20"/>
                <w:szCs w:val="20"/>
                <w:color w:val="auto"/>
              </w:rPr>
            </w:pPr>
            <w:r>
              <w:rPr>
                <w:rFonts w:ascii="Calibri" w:cs="Calibri" w:eastAsia="Calibri" w:hAnsi="Calibri"/>
                <w:sz w:val="15"/>
                <w:szCs w:val="15"/>
                <w:color w:val="auto"/>
                <w:w w:val="95"/>
              </w:rPr>
              <w:t>$257,501</w:t>
            </w:r>
            <w:r>
              <w:rPr>
                <w:rFonts w:ascii="Calibri" w:cs="Calibri" w:eastAsia="Calibri" w:hAnsi="Calibri"/>
                <w:sz w:val="19"/>
                <w:szCs w:val="19"/>
                <w:b w:val="1"/>
                <w:bCs w:val="1"/>
                <w:color w:val="auto"/>
                <w:w w:val="95"/>
                <w:vertAlign w:val="superscript"/>
              </w:rPr>
              <w:t>(4)</w:t>
            </w:r>
          </w:p>
        </w:tc>
        <w:tc>
          <w:tcPr>
            <w:tcW w:w="2920" w:type="dxa"/>
            <w:vAlign w:val="bottom"/>
            <w:tcBorders>
              <w:bottom w:val="single" w:sz="8" w:color="auto"/>
              <w:right w:val="single" w:sz="8" w:color="auto"/>
            </w:tcBorders>
          </w:tcPr>
          <w:p>
            <w:pPr>
              <w:jc w:val="center"/>
              <w:ind w:right="104"/>
              <w:spacing w:after="0"/>
              <w:rPr>
                <w:sz w:val="20"/>
                <w:szCs w:val="20"/>
                <w:color w:val="auto"/>
              </w:rPr>
            </w:pPr>
            <w:r>
              <w:rPr>
                <w:rFonts w:ascii="Calibri" w:cs="Calibri" w:eastAsia="Calibri" w:hAnsi="Calibri"/>
                <w:sz w:val="15"/>
                <w:szCs w:val="15"/>
                <w:b w:val="1"/>
                <w:bCs w:val="1"/>
                <w:color w:val="auto"/>
              </w:rPr>
              <w:t>$257,501</w:t>
            </w:r>
          </w:p>
        </w:tc>
        <w:tc>
          <w:tcPr>
            <w:tcW w:w="0" w:type="dxa"/>
            <w:vAlign w:val="bottom"/>
          </w:tcPr>
          <w:p>
            <w:pPr>
              <w:spacing w:after="0"/>
              <w:rPr>
                <w:sz w:val="1"/>
                <w:szCs w:val="1"/>
                <w:color w:val="auto"/>
              </w:rPr>
            </w:pPr>
          </w:p>
        </w:tc>
      </w:tr>
      <w:tr>
        <w:trPr>
          <w:trHeight w:val="186"/>
        </w:trPr>
        <w:tc>
          <w:tcPr>
            <w:tcW w:w="2260" w:type="dxa"/>
            <w:vAlign w:val="bottom"/>
            <w:tcBorders>
              <w:left w:val="single" w:sz="8" w:color="auto"/>
            </w:tcBorders>
          </w:tcPr>
          <w:p>
            <w:pPr>
              <w:ind w:left="80"/>
              <w:spacing w:after="0"/>
              <w:rPr>
                <w:sz w:val="20"/>
                <w:szCs w:val="20"/>
                <w:color w:val="auto"/>
              </w:rPr>
            </w:pPr>
            <w:r>
              <w:rPr>
                <w:rFonts w:ascii="Calibri" w:cs="Calibri" w:eastAsia="Calibri" w:hAnsi="Calibri"/>
                <w:sz w:val="15"/>
                <w:szCs w:val="15"/>
                <w:color w:val="auto"/>
              </w:rPr>
              <w:t>Jill Simeone</w:t>
            </w:r>
          </w:p>
        </w:tc>
        <w:tc>
          <w:tcPr>
            <w:tcW w:w="3380" w:type="dxa"/>
            <w:vAlign w:val="bottom"/>
          </w:tcPr>
          <w:p>
            <w:pPr>
              <w:jc w:val="center"/>
              <w:ind w:left="84"/>
              <w:spacing w:after="0"/>
              <w:rPr>
                <w:sz w:val="20"/>
                <w:szCs w:val="20"/>
                <w:color w:val="auto"/>
              </w:rPr>
            </w:pPr>
            <w:r>
              <w:rPr>
                <w:rFonts w:ascii="Calibri" w:cs="Calibri" w:eastAsia="Calibri" w:hAnsi="Calibri"/>
                <w:sz w:val="15"/>
                <w:szCs w:val="15"/>
                <w:color w:val="auto"/>
              </w:rPr>
              <w:t>$62,500</w:t>
            </w:r>
          </w:p>
        </w:tc>
        <w:tc>
          <w:tcPr>
            <w:tcW w:w="2700" w:type="dxa"/>
            <w:vAlign w:val="bottom"/>
          </w:tcPr>
          <w:p>
            <w:pPr>
              <w:jc w:val="center"/>
              <w:ind w:right="245"/>
              <w:spacing w:after="0"/>
              <w:rPr>
                <w:sz w:val="20"/>
                <w:szCs w:val="20"/>
                <w:color w:val="auto"/>
              </w:rPr>
            </w:pPr>
            <w:r>
              <w:rPr>
                <w:rFonts w:ascii="Calibri" w:cs="Calibri" w:eastAsia="Calibri" w:hAnsi="Calibri"/>
                <w:sz w:val="15"/>
                <w:szCs w:val="15"/>
                <w:color w:val="auto"/>
              </w:rPr>
              <w:t>$200,001</w:t>
            </w:r>
          </w:p>
        </w:tc>
        <w:tc>
          <w:tcPr>
            <w:tcW w:w="2920" w:type="dxa"/>
            <w:vAlign w:val="bottom"/>
            <w:tcBorders>
              <w:right w:val="single" w:sz="8" w:color="auto"/>
            </w:tcBorders>
          </w:tcPr>
          <w:p>
            <w:pPr>
              <w:jc w:val="center"/>
              <w:ind w:right="104"/>
              <w:spacing w:after="0"/>
              <w:rPr>
                <w:sz w:val="20"/>
                <w:szCs w:val="20"/>
                <w:color w:val="auto"/>
              </w:rPr>
            </w:pPr>
            <w:r>
              <w:rPr>
                <w:rFonts w:ascii="Calibri" w:cs="Calibri" w:eastAsia="Calibri" w:hAnsi="Calibri"/>
                <w:sz w:val="15"/>
                <w:szCs w:val="15"/>
                <w:b w:val="1"/>
                <w:bCs w:val="1"/>
                <w:color w:val="auto"/>
              </w:rPr>
              <w:t>$262,501</w:t>
            </w:r>
          </w:p>
        </w:tc>
        <w:tc>
          <w:tcPr>
            <w:tcW w:w="0" w:type="dxa"/>
            <w:vAlign w:val="bottom"/>
          </w:tcPr>
          <w:p>
            <w:pPr>
              <w:spacing w:after="0"/>
              <w:rPr>
                <w:sz w:val="1"/>
                <w:szCs w:val="1"/>
                <w:color w:val="auto"/>
              </w:rPr>
            </w:pPr>
          </w:p>
        </w:tc>
      </w:tr>
      <w:tr>
        <w:trPr>
          <w:trHeight w:val="56"/>
        </w:trPr>
        <w:tc>
          <w:tcPr>
            <w:tcW w:w="2260" w:type="dxa"/>
            <w:vAlign w:val="bottom"/>
            <w:tcBorders>
              <w:left w:val="single" w:sz="8" w:color="auto"/>
              <w:bottom w:val="single" w:sz="8" w:color="auto"/>
            </w:tcBorders>
          </w:tcPr>
          <w:p>
            <w:pPr>
              <w:spacing w:after="0"/>
              <w:rPr>
                <w:sz w:val="4"/>
                <w:szCs w:val="4"/>
                <w:color w:val="auto"/>
              </w:rPr>
            </w:pPr>
          </w:p>
        </w:tc>
        <w:tc>
          <w:tcPr>
            <w:tcW w:w="3380" w:type="dxa"/>
            <w:vAlign w:val="bottom"/>
            <w:tcBorders>
              <w:bottom w:val="single" w:sz="8" w:color="auto"/>
            </w:tcBorders>
          </w:tcPr>
          <w:p>
            <w:pPr>
              <w:spacing w:after="0"/>
              <w:rPr>
                <w:sz w:val="4"/>
                <w:szCs w:val="4"/>
                <w:color w:val="auto"/>
              </w:rPr>
            </w:pPr>
          </w:p>
        </w:tc>
        <w:tc>
          <w:tcPr>
            <w:tcW w:w="2700" w:type="dxa"/>
            <w:vAlign w:val="bottom"/>
            <w:tcBorders>
              <w:bottom w:val="single" w:sz="8" w:color="auto"/>
            </w:tcBorders>
          </w:tcPr>
          <w:p>
            <w:pPr>
              <w:spacing w:after="0"/>
              <w:rPr>
                <w:sz w:val="4"/>
                <w:szCs w:val="4"/>
                <w:color w:val="auto"/>
              </w:rPr>
            </w:pPr>
          </w:p>
        </w:tc>
        <w:tc>
          <w:tcPr>
            <w:tcW w:w="292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0"/>
        </w:trPr>
        <w:tc>
          <w:tcPr>
            <w:tcW w:w="2260" w:type="dxa"/>
            <w:vAlign w:val="bottom"/>
            <w:tcBorders>
              <w:left w:val="single" w:sz="8" w:color="auto"/>
              <w:bottom w:val="single" w:sz="8" w:color="auto"/>
            </w:tcBorders>
          </w:tcPr>
          <w:p>
            <w:pPr>
              <w:ind w:left="80"/>
              <w:spacing w:after="0"/>
              <w:rPr>
                <w:sz w:val="20"/>
                <w:szCs w:val="20"/>
                <w:color w:val="auto"/>
              </w:rPr>
            </w:pPr>
            <w:r>
              <w:rPr>
                <w:rFonts w:ascii="Calibri" w:cs="Calibri" w:eastAsia="Calibri" w:hAnsi="Calibri"/>
                <w:sz w:val="15"/>
                <w:szCs w:val="15"/>
                <w:color w:val="auto"/>
              </w:rPr>
              <w:t>Gordon Watson</w:t>
            </w:r>
          </w:p>
        </w:tc>
        <w:tc>
          <w:tcPr>
            <w:tcW w:w="3380" w:type="dxa"/>
            <w:vAlign w:val="bottom"/>
            <w:tcBorders>
              <w:bottom w:val="single" w:sz="8" w:color="auto"/>
            </w:tcBorders>
          </w:tcPr>
          <w:p>
            <w:pPr>
              <w:jc w:val="center"/>
              <w:ind w:left="64"/>
              <w:spacing w:after="0"/>
              <w:rPr>
                <w:sz w:val="20"/>
                <w:szCs w:val="20"/>
                <w:color w:val="auto"/>
              </w:rPr>
            </w:pPr>
            <w:r>
              <w:rPr>
                <w:rFonts w:ascii="Calibri" w:cs="Calibri" w:eastAsia="Calibri" w:hAnsi="Calibri"/>
                <w:sz w:val="15"/>
                <w:szCs w:val="15"/>
                <w:color w:val="auto"/>
              </w:rPr>
              <w:t>$ 0</w:t>
            </w:r>
          </w:p>
        </w:tc>
        <w:tc>
          <w:tcPr>
            <w:tcW w:w="2700" w:type="dxa"/>
            <w:vAlign w:val="bottom"/>
            <w:tcBorders>
              <w:bottom w:val="single" w:sz="8" w:color="auto"/>
            </w:tcBorders>
          </w:tcPr>
          <w:p>
            <w:pPr>
              <w:jc w:val="center"/>
              <w:ind w:right="225"/>
              <w:spacing w:after="0" w:line="231" w:lineRule="exact"/>
              <w:rPr>
                <w:sz w:val="20"/>
                <w:szCs w:val="20"/>
                <w:color w:val="auto"/>
              </w:rPr>
            </w:pPr>
            <w:r>
              <w:rPr>
                <w:rFonts w:ascii="Calibri" w:cs="Calibri" w:eastAsia="Calibri" w:hAnsi="Calibri"/>
                <w:sz w:val="15"/>
                <w:szCs w:val="15"/>
                <w:color w:val="auto"/>
                <w:w w:val="95"/>
              </w:rPr>
              <w:t>$250,001</w:t>
            </w:r>
            <w:r>
              <w:rPr>
                <w:rFonts w:ascii="Calibri" w:cs="Calibri" w:eastAsia="Calibri" w:hAnsi="Calibri"/>
                <w:sz w:val="19"/>
                <w:szCs w:val="19"/>
                <w:b w:val="1"/>
                <w:bCs w:val="1"/>
                <w:color w:val="auto"/>
                <w:w w:val="95"/>
                <w:vertAlign w:val="superscript"/>
              </w:rPr>
              <w:t>(4)</w:t>
            </w:r>
          </w:p>
        </w:tc>
        <w:tc>
          <w:tcPr>
            <w:tcW w:w="2920" w:type="dxa"/>
            <w:vAlign w:val="bottom"/>
            <w:tcBorders>
              <w:bottom w:val="single" w:sz="8" w:color="auto"/>
              <w:right w:val="single" w:sz="8" w:color="auto"/>
            </w:tcBorders>
          </w:tcPr>
          <w:p>
            <w:pPr>
              <w:jc w:val="center"/>
              <w:ind w:right="104"/>
              <w:spacing w:after="0"/>
              <w:rPr>
                <w:sz w:val="20"/>
                <w:szCs w:val="20"/>
                <w:color w:val="auto"/>
              </w:rPr>
            </w:pPr>
            <w:r>
              <w:rPr>
                <w:rFonts w:ascii="Calibri" w:cs="Calibri" w:eastAsia="Calibri" w:hAnsi="Calibri"/>
                <w:sz w:val="15"/>
                <w:szCs w:val="15"/>
                <w:b w:val="1"/>
                <w:bCs w:val="1"/>
                <w:color w:val="auto"/>
              </w:rPr>
              <w:t>$250,001</w:t>
            </w:r>
          </w:p>
        </w:tc>
        <w:tc>
          <w:tcPr>
            <w:tcW w:w="0" w:type="dxa"/>
            <w:vAlign w:val="bottom"/>
          </w:tcPr>
          <w:p>
            <w:pPr>
              <w:spacing w:after="0"/>
              <w:rPr>
                <w:sz w:val="1"/>
                <w:szCs w:val="1"/>
                <w:color w:val="auto"/>
              </w:rPr>
            </w:pPr>
          </w:p>
        </w:tc>
      </w:tr>
    </w:tbl>
    <w:p>
      <w:pPr>
        <w:spacing w:after="0" w:line="305" w:lineRule="exact"/>
        <w:rPr>
          <w:sz w:val="20"/>
          <w:szCs w:val="20"/>
          <w:color w:val="auto"/>
        </w:rPr>
      </w:pPr>
    </w:p>
    <w:p>
      <w:pPr>
        <w:jc w:val="both"/>
        <w:ind w:left="340" w:right="20" w:hanging="332"/>
        <w:spacing w:after="0" w:line="237" w:lineRule="auto"/>
        <w:tabs>
          <w:tab w:leader="none" w:pos="331" w:val="left"/>
        </w:tabs>
        <w:numPr>
          <w:ilvl w:val="0"/>
          <w:numId w:val="22"/>
        </w:numPr>
        <w:rPr>
          <w:rFonts w:ascii="Calibri" w:cs="Calibri" w:eastAsia="Calibri" w:hAnsi="Calibri"/>
          <w:sz w:val="16"/>
          <w:szCs w:val="16"/>
          <w:color w:val="auto"/>
        </w:rPr>
      </w:pPr>
      <w:r>
        <w:rPr>
          <w:rFonts w:ascii="Calibri" w:cs="Calibri" w:eastAsia="Calibri" w:hAnsi="Calibri"/>
          <w:sz w:val="16"/>
          <w:szCs w:val="16"/>
          <w:color w:val="auto"/>
        </w:rPr>
        <w:t>The amounts in this column represent the aggregate grant date fair value of restricted stock unit awards granted to each non-employee director, computed in accordance with FASB ASC Topic 718. See Note 11—Share-Based and Unit-Based Compensaton to our audited consolidated fnancial statements included elsewhere in our Annual Report on Form 10-K for the year ended December 31, 2023 for a discussion of the assumptons made by us in determining the grant-date fair value of our RSU awards to non-employee directors.</w:t>
      </w:r>
    </w:p>
    <w:p>
      <w:pPr>
        <w:spacing w:after="0" w:line="9" w:lineRule="exact"/>
        <w:rPr>
          <w:rFonts w:ascii="Calibri" w:cs="Calibri" w:eastAsia="Calibri" w:hAnsi="Calibri"/>
          <w:sz w:val="16"/>
          <w:szCs w:val="16"/>
          <w:color w:val="auto"/>
        </w:rPr>
      </w:pPr>
    </w:p>
    <w:p>
      <w:pPr>
        <w:ind w:left="320" w:hanging="312"/>
        <w:spacing w:after="0"/>
        <w:tabs>
          <w:tab w:leader="none" w:pos="320" w:val="left"/>
        </w:tabs>
        <w:numPr>
          <w:ilvl w:val="0"/>
          <w:numId w:val="22"/>
        </w:numPr>
        <w:rPr>
          <w:rFonts w:ascii="Calibri" w:cs="Calibri" w:eastAsia="Calibri" w:hAnsi="Calibri"/>
          <w:sz w:val="16"/>
          <w:szCs w:val="16"/>
          <w:color w:val="auto"/>
        </w:rPr>
      </w:pPr>
      <w:r>
        <w:rPr>
          <w:rFonts w:ascii="Calibri" w:cs="Calibri" w:eastAsia="Calibri" w:hAnsi="Calibri"/>
          <w:sz w:val="16"/>
          <w:szCs w:val="16"/>
          <w:color w:val="auto"/>
        </w:rPr>
        <w:t>Includes $70,000 cash compensaton and 142,858 restricted stock units award granted for Ms. Dow’s service on the board of Bakkt Trust.</w:t>
      </w:r>
    </w:p>
    <w:p>
      <w:pPr>
        <w:ind w:left="320" w:hanging="312"/>
        <w:spacing w:after="0" w:line="232" w:lineRule="auto"/>
        <w:tabs>
          <w:tab w:leader="none" w:pos="320" w:val="left"/>
        </w:tabs>
        <w:numPr>
          <w:ilvl w:val="0"/>
          <w:numId w:val="22"/>
        </w:numPr>
        <w:rPr>
          <w:rFonts w:ascii="Calibri" w:cs="Calibri" w:eastAsia="Calibri" w:hAnsi="Calibri"/>
          <w:sz w:val="16"/>
          <w:szCs w:val="16"/>
          <w:color w:val="auto"/>
        </w:rPr>
      </w:pPr>
      <w:r>
        <w:rPr>
          <w:rFonts w:ascii="Calibri" w:cs="Calibri" w:eastAsia="Calibri" w:hAnsi="Calibri"/>
          <w:sz w:val="16"/>
          <w:szCs w:val="16"/>
          <w:color w:val="auto"/>
        </w:rPr>
        <w:t>Stock awards granted to Mr. Main vested in full as a part of his transiton to the role as the Company’s Chief Executve Ofcer.</w:t>
      </w:r>
    </w:p>
    <w:p>
      <w:pPr>
        <w:spacing w:after="0" w:line="7" w:lineRule="exact"/>
        <w:rPr>
          <w:rFonts w:ascii="Calibri" w:cs="Calibri" w:eastAsia="Calibri" w:hAnsi="Calibri"/>
          <w:sz w:val="16"/>
          <w:szCs w:val="16"/>
          <w:color w:val="auto"/>
        </w:rPr>
      </w:pPr>
    </w:p>
    <w:p>
      <w:pPr>
        <w:ind w:left="320" w:hanging="312"/>
        <w:spacing w:after="0"/>
        <w:tabs>
          <w:tab w:leader="none" w:pos="320" w:val="left"/>
        </w:tabs>
        <w:numPr>
          <w:ilvl w:val="0"/>
          <w:numId w:val="22"/>
        </w:numPr>
        <w:rPr>
          <w:rFonts w:ascii="Calibri" w:cs="Calibri" w:eastAsia="Calibri" w:hAnsi="Calibri"/>
          <w:sz w:val="16"/>
          <w:szCs w:val="16"/>
          <w:color w:val="auto"/>
        </w:rPr>
      </w:pPr>
      <w:r>
        <w:rPr>
          <w:rFonts w:ascii="Calibri" w:cs="Calibri" w:eastAsia="Calibri" w:hAnsi="Calibri"/>
          <w:sz w:val="16"/>
          <w:szCs w:val="16"/>
          <w:color w:val="auto"/>
        </w:rPr>
        <w:t>This amount includes restricted stock units granted in lieu of cash retainer fees earned in 2023 at the electon of the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2760"/>
        <w:spacing w:after="0"/>
        <w:tabs>
          <w:tab w:leader="none" w:pos="7080" w:val="left"/>
          <w:tab w:leader="none" w:pos="8300" w:val="left"/>
        </w:tabs>
        <w:rPr>
          <w:sz w:val="20"/>
          <w:szCs w:val="20"/>
          <w:color w:val="auto"/>
        </w:rPr>
      </w:pPr>
      <w:r>
        <w:rPr>
          <w:rFonts w:ascii="Calibri" w:cs="Calibri" w:eastAsia="Calibri" w:hAnsi="Calibri"/>
          <w:sz w:val="16"/>
          <w:szCs w:val="16"/>
          <w:color w:val="auto"/>
        </w:rPr>
        <w:t>Alphareta, GA | New York, NY | Belfast, United Kingdom</w:t>
      </w:r>
      <w:r>
        <w:rPr>
          <w:sz w:val="20"/>
          <w:szCs w:val="20"/>
          <w:color w:val="auto"/>
        </w:rPr>
        <w:tab/>
      </w:r>
      <w:r>
        <w:rPr>
          <w:rFonts w:ascii="Calibri" w:cs="Calibri" w:eastAsia="Calibri" w:hAnsi="Calibri"/>
          <w:sz w:val="16"/>
          <w:szCs w:val="16"/>
          <w:color w:val="auto"/>
        </w:rPr>
        <w:t>www.bakkt.com</w:t>
      </w:r>
      <w:r>
        <w:rPr>
          <w:sz w:val="20"/>
          <w:szCs w:val="20"/>
          <w:color w:val="auto"/>
        </w:rPr>
        <w:tab/>
      </w:r>
      <w:r>
        <w:rPr>
          <w:rFonts w:ascii="Calibri" w:cs="Calibri" w:eastAsia="Calibri" w:hAnsi="Calibri"/>
          <w:sz w:val="17"/>
          <w:szCs w:val="17"/>
          <w:color w:val="auto"/>
        </w:rPr>
        <w:t>27</w:t>
      </w:r>
    </w:p>
    <w:p>
      <w:pPr>
        <w:sectPr>
          <w:pgSz w:w="11900" w:h="16838" w:orient="portrait"/>
          <w:cols w:equalWidth="0" w:num="1">
            <w:col w:w="11260"/>
          </w:cols>
          <w:pgMar w:left="320" w:top="1440" w:right="319" w:bottom="1440" w:gutter="0" w:footer="0" w:header="0"/>
        </w:sectPr>
      </w:pPr>
    </w:p>
    <w:bookmarkStart w:id="33" w:name="page34"/>
    <w:bookmarkEnd w:id="33"/>
    <w:p>
      <w:pPr>
        <w:spacing w:after="0"/>
        <w:rPr>
          <w:sz w:val="20"/>
          <w:szCs w:val="20"/>
          <w:color w:val="auto"/>
        </w:rPr>
      </w:pPr>
      <w:r>
        <w:rPr>
          <w:rFonts w:ascii="Calibri" w:cs="Calibri" w:eastAsia="Calibri" w:hAnsi="Calibri"/>
          <w:sz w:val="22"/>
          <w:szCs w:val="22"/>
          <w:color w:val="auto"/>
        </w:rPr>
        <w:t>The following table lists all outstanding equity awards held by non-employee directors as of December 31, 2023:</w:t>
      </w:r>
    </w:p>
    <w:p>
      <w:pPr>
        <w:spacing w:after="0" w:line="277" w:lineRule="exact"/>
        <w:rPr>
          <w:sz w:val="20"/>
          <w:szCs w:val="20"/>
          <w:color w:val="auto"/>
        </w:rPr>
      </w:pPr>
    </w:p>
    <w:tbl>
      <w:tblPr>
        <w:tblLayout w:type="fixed"/>
        <w:tblInd w:w="10" w:type="dxa"/>
        <w:tblCellMar>
          <w:top w:w="0" w:type="dxa"/>
          <w:left w:w="0" w:type="dxa"/>
          <w:bottom w:w="0" w:type="dxa"/>
          <w:right w:w="0" w:type="dxa"/>
        </w:tblCellMar>
      </w:tblPr>
      <w:tr>
        <w:trPr>
          <w:trHeight w:val="316"/>
        </w:trPr>
        <w:tc>
          <w:tcPr>
            <w:tcW w:w="3480" w:type="dxa"/>
            <w:vAlign w:val="bottom"/>
            <w:tcBorders>
              <w:top w:val="single" w:sz="8" w:color="auto"/>
              <w:left w:val="single" w:sz="8" w:color="auto"/>
              <w:bottom w:val="single" w:sz="8" w:color="151618"/>
            </w:tcBorders>
            <w:shd w:val="clear" w:color="auto" w:fill="151618"/>
          </w:tcPr>
          <w:p>
            <w:pPr>
              <w:ind w:left="80"/>
              <w:spacing w:after="0"/>
              <w:rPr>
                <w:sz w:val="20"/>
                <w:szCs w:val="20"/>
                <w:color w:val="auto"/>
              </w:rPr>
            </w:pPr>
            <w:r>
              <w:rPr>
                <w:rFonts w:ascii="Calibri" w:cs="Calibri" w:eastAsia="Calibri" w:hAnsi="Calibri"/>
                <w:sz w:val="16"/>
                <w:szCs w:val="16"/>
                <w:b w:val="1"/>
                <w:bCs w:val="1"/>
                <w:color w:val="FFFFFF"/>
              </w:rPr>
              <w:t>Name</w:t>
            </w:r>
          </w:p>
        </w:tc>
        <w:tc>
          <w:tcPr>
            <w:tcW w:w="7780" w:type="dxa"/>
            <w:vAlign w:val="bottom"/>
            <w:tcBorders>
              <w:top w:val="single" w:sz="8" w:color="auto"/>
              <w:bottom w:val="single" w:sz="8" w:color="151618"/>
              <w:right w:val="single" w:sz="8" w:color="151618"/>
            </w:tcBorders>
            <w:shd w:val="clear" w:color="auto" w:fill="151618"/>
          </w:tcPr>
          <w:p>
            <w:pPr>
              <w:ind w:left="2040"/>
              <w:spacing w:after="0"/>
              <w:rPr>
                <w:sz w:val="20"/>
                <w:szCs w:val="20"/>
                <w:color w:val="auto"/>
              </w:rPr>
            </w:pPr>
            <w:r>
              <w:rPr>
                <w:rFonts w:ascii="Calibri" w:cs="Calibri" w:eastAsia="Calibri" w:hAnsi="Calibri"/>
                <w:sz w:val="16"/>
                <w:szCs w:val="16"/>
                <w:b w:val="1"/>
                <w:bCs w:val="1"/>
                <w:color w:val="FFFFFF"/>
              </w:rPr>
              <w:t>Number of Shares Underlying Outstanding Stock Awards</w:t>
            </w:r>
            <w:r>
              <w:rPr>
                <w:rFonts w:ascii="Calibri" w:cs="Calibri" w:eastAsia="Calibri" w:hAnsi="Calibri"/>
                <w:sz w:val="21"/>
                <w:szCs w:val="21"/>
                <w:b w:val="1"/>
                <w:bCs w:val="1"/>
                <w:color w:val="FFFFFF"/>
                <w:vertAlign w:val="superscript"/>
              </w:rPr>
              <w:t>(1)</w:t>
            </w:r>
          </w:p>
        </w:tc>
      </w:tr>
      <w:tr>
        <w:trPr>
          <w:trHeight w:val="195"/>
        </w:trPr>
        <w:tc>
          <w:tcPr>
            <w:tcW w:w="3480" w:type="dxa"/>
            <w:vAlign w:val="bottom"/>
            <w:tcBorders>
              <w:top w:val="single" w:sz="8" w:color="auto"/>
              <w:left w:val="single" w:sz="8" w:color="auto"/>
            </w:tcBorders>
          </w:tcPr>
          <w:p>
            <w:pPr>
              <w:ind w:left="80"/>
              <w:spacing w:after="0"/>
              <w:rPr>
                <w:sz w:val="20"/>
                <w:szCs w:val="20"/>
                <w:color w:val="auto"/>
              </w:rPr>
            </w:pPr>
            <w:r>
              <w:rPr>
                <w:rFonts w:ascii="Calibri" w:cs="Calibri" w:eastAsia="Calibri" w:hAnsi="Calibri"/>
                <w:sz w:val="16"/>
                <w:szCs w:val="16"/>
                <w:color w:val="auto"/>
              </w:rPr>
              <w:t>David Clifon</w:t>
            </w:r>
          </w:p>
        </w:tc>
        <w:tc>
          <w:tcPr>
            <w:tcW w:w="7780" w:type="dxa"/>
            <w:vAlign w:val="bottom"/>
            <w:tcBorders>
              <w:top w:val="single" w:sz="8" w:color="auto"/>
              <w:right w:val="single" w:sz="8" w:color="auto"/>
            </w:tcBorders>
          </w:tcPr>
          <w:p>
            <w:pPr>
              <w:jc w:val="center"/>
              <w:ind w:left="119"/>
              <w:spacing w:after="0" w:line="193" w:lineRule="exact"/>
              <w:rPr>
                <w:sz w:val="20"/>
                <w:szCs w:val="20"/>
                <w:color w:val="auto"/>
              </w:rPr>
            </w:pPr>
            <w:r>
              <w:rPr>
                <w:rFonts w:ascii="Calibri" w:cs="Calibri" w:eastAsia="Calibri" w:hAnsi="Calibri"/>
                <w:sz w:val="16"/>
                <w:szCs w:val="16"/>
                <w:color w:val="auto"/>
                <w:w w:val="96"/>
              </w:rPr>
              <w:t>—</w:t>
            </w:r>
          </w:p>
        </w:tc>
      </w:tr>
      <w:tr>
        <w:trPr>
          <w:trHeight w:val="41"/>
        </w:trPr>
        <w:tc>
          <w:tcPr>
            <w:tcW w:w="3480" w:type="dxa"/>
            <w:vAlign w:val="bottom"/>
            <w:tcBorders>
              <w:left w:val="single" w:sz="8" w:color="auto"/>
              <w:bottom w:val="single" w:sz="8" w:color="auto"/>
            </w:tcBorders>
          </w:tcPr>
          <w:p>
            <w:pPr>
              <w:spacing w:after="0"/>
              <w:rPr>
                <w:sz w:val="3"/>
                <w:szCs w:val="3"/>
                <w:color w:val="auto"/>
              </w:rPr>
            </w:pPr>
          </w:p>
        </w:tc>
        <w:tc>
          <w:tcPr>
            <w:tcW w:w="7780" w:type="dxa"/>
            <w:vAlign w:val="bottom"/>
            <w:tcBorders>
              <w:bottom w:val="single" w:sz="8" w:color="auto"/>
              <w:right w:val="single" w:sz="8" w:color="auto"/>
            </w:tcBorders>
          </w:tcPr>
          <w:p>
            <w:pPr>
              <w:spacing w:after="0"/>
              <w:rPr>
                <w:sz w:val="3"/>
                <w:szCs w:val="3"/>
                <w:color w:val="auto"/>
              </w:rPr>
            </w:pPr>
          </w:p>
        </w:tc>
      </w:tr>
      <w:tr>
        <w:trPr>
          <w:trHeight w:val="196"/>
        </w:trPr>
        <w:tc>
          <w:tcPr>
            <w:tcW w:w="3480" w:type="dxa"/>
            <w:vAlign w:val="bottom"/>
            <w:tcBorders>
              <w:left w:val="single" w:sz="8" w:color="auto"/>
            </w:tcBorders>
          </w:tcPr>
          <w:p>
            <w:pPr>
              <w:ind w:left="80"/>
              <w:spacing w:after="0"/>
              <w:rPr>
                <w:sz w:val="20"/>
                <w:szCs w:val="20"/>
                <w:color w:val="auto"/>
              </w:rPr>
            </w:pPr>
            <w:r>
              <w:rPr>
                <w:rFonts w:ascii="Calibri" w:cs="Calibri" w:eastAsia="Calibri" w:hAnsi="Calibri"/>
                <w:sz w:val="16"/>
                <w:szCs w:val="16"/>
                <w:color w:val="auto"/>
              </w:rPr>
              <w:t>Sean Collins</w:t>
            </w:r>
          </w:p>
        </w:tc>
        <w:tc>
          <w:tcPr>
            <w:tcW w:w="7780" w:type="dxa"/>
            <w:vAlign w:val="bottom"/>
            <w:tcBorders>
              <w:right w:val="single" w:sz="8" w:color="auto"/>
            </w:tcBorders>
          </w:tcPr>
          <w:p>
            <w:pPr>
              <w:jc w:val="center"/>
              <w:ind w:left="119"/>
              <w:spacing w:after="0" w:line="193" w:lineRule="exact"/>
              <w:rPr>
                <w:sz w:val="20"/>
                <w:szCs w:val="20"/>
                <w:color w:val="auto"/>
              </w:rPr>
            </w:pPr>
            <w:r>
              <w:rPr>
                <w:rFonts w:ascii="Calibri" w:cs="Calibri" w:eastAsia="Calibri" w:hAnsi="Calibri"/>
                <w:sz w:val="16"/>
                <w:szCs w:val="16"/>
                <w:color w:val="auto"/>
              </w:rPr>
              <w:t>275,000</w:t>
            </w:r>
          </w:p>
        </w:tc>
      </w:tr>
      <w:tr>
        <w:trPr>
          <w:trHeight w:val="41"/>
        </w:trPr>
        <w:tc>
          <w:tcPr>
            <w:tcW w:w="3480" w:type="dxa"/>
            <w:vAlign w:val="bottom"/>
            <w:tcBorders>
              <w:left w:val="single" w:sz="8" w:color="auto"/>
              <w:bottom w:val="single" w:sz="8" w:color="auto"/>
            </w:tcBorders>
          </w:tcPr>
          <w:p>
            <w:pPr>
              <w:spacing w:after="0"/>
              <w:rPr>
                <w:sz w:val="3"/>
                <w:szCs w:val="3"/>
                <w:color w:val="auto"/>
              </w:rPr>
            </w:pPr>
          </w:p>
        </w:tc>
        <w:tc>
          <w:tcPr>
            <w:tcW w:w="7780" w:type="dxa"/>
            <w:vAlign w:val="bottom"/>
            <w:tcBorders>
              <w:bottom w:val="single" w:sz="8" w:color="auto"/>
              <w:right w:val="single" w:sz="8" w:color="auto"/>
            </w:tcBorders>
          </w:tcPr>
          <w:p>
            <w:pPr>
              <w:spacing w:after="0"/>
              <w:rPr>
                <w:sz w:val="3"/>
                <w:szCs w:val="3"/>
                <w:color w:val="auto"/>
              </w:rPr>
            </w:pPr>
          </w:p>
        </w:tc>
      </w:tr>
      <w:tr>
        <w:trPr>
          <w:trHeight w:val="237"/>
        </w:trPr>
        <w:tc>
          <w:tcPr>
            <w:tcW w:w="3480" w:type="dxa"/>
            <w:vAlign w:val="bottom"/>
            <w:tcBorders>
              <w:left w:val="single" w:sz="8" w:color="auto"/>
              <w:bottom w:val="single" w:sz="8" w:color="auto"/>
            </w:tcBorders>
          </w:tcPr>
          <w:p>
            <w:pPr>
              <w:ind w:left="80"/>
              <w:spacing w:after="0" w:line="237" w:lineRule="exact"/>
              <w:rPr>
                <w:sz w:val="20"/>
                <w:szCs w:val="20"/>
                <w:color w:val="auto"/>
              </w:rPr>
            </w:pPr>
            <w:r>
              <w:rPr>
                <w:rFonts w:ascii="Calibri" w:cs="Calibri" w:eastAsia="Calibri" w:hAnsi="Calibri"/>
                <w:sz w:val="16"/>
                <w:szCs w:val="16"/>
                <w:color w:val="auto"/>
              </w:rPr>
              <w:t>De’Ana Dow</w:t>
            </w:r>
            <w:r>
              <w:rPr>
                <w:rFonts w:ascii="Calibri" w:cs="Calibri" w:eastAsia="Calibri" w:hAnsi="Calibri"/>
                <w:sz w:val="21"/>
                <w:szCs w:val="21"/>
                <w:color w:val="auto"/>
                <w:vertAlign w:val="superscript"/>
              </w:rPr>
              <w:t>(2)</w:t>
            </w:r>
          </w:p>
        </w:tc>
        <w:tc>
          <w:tcPr>
            <w:tcW w:w="7780" w:type="dxa"/>
            <w:vAlign w:val="bottom"/>
            <w:tcBorders>
              <w:bottom w:val="single" w:sz="8" w:color="auto"/>
              <w:right w:val="single" w:sz="8" w:color="auto"/>
            </w:tcBorders>
          </w:tcPr>
          <w:p>
            <w:pPr>
              <w:jc w:val="center"/>
              <w:ind w:left="119"/>
              <w:spacing w:after="0" w:line="193" w:lineRule="exact"/>
              <w:rPr>
                <w:sz w:val="20"/>
                <w:szCs w:val="20"/>
                <w:color w:val="auto"/>
              </w:rPr>
            </w:pPr>
            <w:r>
              <w:rPr>
                <w:rFonts w:ascii="Calibri" w:cs="Calibri" w:eastAsia="Calibri" w:hAnsi="Calibri"/>
                <w:sz w:val="16"/>
                <w:szCs w:val="16"/>
                <w:color w:val="auto"/>
              </w:rPr>
              <w:t>285,716</w:t>
            </w:r>
          </w:p>
        </w:tc>
      </w:tr>
      <w:tr>
        <w:trPr>
          <w:trHeight w:val="195"/>
        </w:trPr>
        <w:tc>
          <w:tcPr>
            <w:tcW w:w="3480" w:type="dxa"/>
            <w:vAlign w:val="bottom"/>
            <w:tcBorders>
              <w:left w:val="single" w:sz="8" w:color="auto"/>
            </w:tcBorders>
          </w:tcPr>
          <w:p>
            <w:pPr>
              <w:ind w:left="80"/>
              <w:spacing w:after="0"/>
              <w:rPr>
                <w:sz w:val="20"/>
                <w:szCs w:val="20"/>
                <w:color w:val="auto"/>
              </w:rPr>
            </w:pPr>
            <w:r>
              <w:rPr>
                <w:rFonts w:ascii="Calibri" w:cs="Calibri" w:eastAsia="Calibri" w:hAnsi="Calibri"/>
                <w:sz w:val="16"/>
                <w:szCs w:val="16"/>
                <w:color w:val="auto"/>
              </w:rPr>
              <w:t>Michelle J. Goldberg</w:t>
            </w:r>
          </w:p>
        </w:tc>
        <w:tc>
          <w:tcPr>
            <w:tcW w:w="7780" w:type="dxa"/>
            <w:vAlign w:val="bottom"/>
            <w:tcBorders>
              <w:right w:val="single" w:sz="8" w:color="auto"/>
            </w:tcBorders>
          </w:tcPr>
          <w:p>
            <w:pPr>
              <w:jc w:val="center"/>
              <w:ind w:left="119"/>
              <w:spacing w:after="0" w:line="193" w:lineRule="exact"/>
              <w:rPr>
                <w:sz w:val="20"/>
                <w:szCs w:val="20"/>
                <w:color w:val="auto"/>
              </w:rPr>
            </w:pPr>
            <w:r>
              <w:rPr>
                <w:rFonts w:ascii="Calibri" w:cs="Calibri" w:eastAsia="Calibri" w:hAnsi="Calibri"/>
                <w:sz w:val="16"/>
                <w:szCs w:val="16"/>
                <w:color w:val="auto"/>
              </w:rPr>
              <w:t>142,858</w:t>
            </w:r>
          </w:p>
        </w:tc>
      </w:tr>
      <w:tr>
        <w:trPr>
          <w:trHeight w:val="41"/>
        </w:trPr>
        <w:tc>
          <w:tcPr>
            <w:tcW w:w="3480" w:type="dxa"/>
            <w:vAlign w:val="bottom"/>
            <w:tcBorders>
              <w:left w:val="single" w:sz="8" w:color="auto"/>
              <w:bottom w:val="single" w:sz="8" w:color="auto"/>
            </w:tcBorders>
          </w:tcPr>
          <w:p>
            <w:pPr>
              <w:spacing w:after="0"/>
              <w:rPr>
                <w:sz w:val="3"/>
                <w:szCs w:val="3"/>
                <w:color w:val="auto"/>
              </w:rPr>
            </w:pPr>
          </w:p>
        </w:tc>
        <w:tc>
          <w:tcPr>
            <w:tcW w:w="7780" w:type="dxa"/>
            <w:vAlign w:val="bottom"/>
            <w:tcBorders>
              <w:bottom w:val="single" w:sz="8" w:color="auto"/>
              <w:right w:val="single" w:sz="8" w:color="auto"/>
            </w:tcBorders>
          </w:tcPr>
          <w:p>
            <w:pPr>
              <w:spacing w:after="0"/>
              <w:rPr>
                <w:sz w:val="3"/>
                <w:szCs w:val="3"/>
                <w:color w:val="auto"/>
              </w:rPr>
            </w:pPr>
          </w:p>
        </w:tc>
      </w:tr>
      <w:tr>
        <w:trPr>
          <w:trHeight w:val="195"/>
        </w:trPr>
        <w:tc>
          <w:tcPr>
            <w:tcW w:w="3480" w:type="dxa"/>
            <w:vAlign w:val="bottom"/>
            <w:tcBorders>
              <w:left w:val="single" w:sz="8" w:color="auto"/>
            </w:tcBorders>
          </w:tcPr>
          <w:p>
            <w:pPr>
              <w:ind w:left="80"/>
              <w:spacing w:after="0"/>
              <w:rPr>
                <w:sz w:val="20"/>
                <w:szCs w:val="20"/>
                <w:color w:val="auto"/>
              </w:rPr>
            </w:pPr>
            <w:r>
              <w:rPr>
                <w:rFonts w:ascii="Calibri" w:cs="Calibri" w:eastAsia="Calibri" w:hAnsi="Calibri"/>
                <w:sz w:val="16"/>
                <w:szCs w:val="16"/>
                <w:color w:val="auto"/>
              </w:rPr>
              <w:t>Richard Lumb</w:t>
            </w:r>
          </w:p>
        </w:tc>
        <w:tc>
          <w:tcPr>
            <w:tcW w:w="7780" w:type="dxa"/>
            <w:vAlign w:val="bottom"/>
            <w:tcBorders>
              <w:right w:val="single" w:sz="8" w:color="auto"/>
            </w:tcBorders>
          </w:tcPr>
          <w:p>
            <w:pPr>
              <w:jc w:val="center"/>
              <w:ind w:left="119"/>
              <w:spacing w:after="0" w:line="193" w:lineRule="exact"/>
              <w:rPr>
                <w:sz w:val="20"/>
                <w:szCs w:val="20"/>
                <w:color w:val="auto"/>
              </w:rPr>
            </w:pPr>
            <w:r>
              <w:rPr>
                <w:rFonts w:ascii="Calibri" w:cs="Calibri" w:eastAsia="Calibri" w:hAnsi="Calibri"/>
                <w:sz w:val="16"/>
                <w:szCs w:val="16"/>
                <w:color w:val="auto"/>
              </w:rPr>
              <w:t>142,858</w:t>
            </w:r>
          </w:p>
        </w:tc>
      </w:tr>
      <w:tr>
        <w:trPr>
          <w:trHeight w:val="41"/>
        </w:trPr>
        <w:tc>
          <w:tcPr>
            <w:tcW w:w="3480" w:type="dxa"/>
            <w:vAlign w:val="bottom"/>
            <w:tcBorders>
              <w:left w:val="single" w:sz="8" w:color="auto"/>
              <w:bottom w:val="single" w:sz="8" w:color="auto"/>
            </w:tcBorders>
          </w:tcPr>
          <w:p>
            <w:pPr>
              <w:spacing w:after="0"/>
              <w:rPr>
                <w:sz w:val="3"/>
                <w:szCs w:val="3"/>
                <w:color w:val="auto"/>
              </w:rPr>
            </w:pPr>
          </w:p>
        </w:tc>
        <w:tc>
          <w:tcPr>
            <w:tcW w:w="7780" w:type="dxa"/>
            <w:vAlign w:val="bottom"/>
            <w:tcBorders>
              <w:bottom w:val="single" w:sz="8" w:color="auto"/>
              <w:right w:val="single" w:sz="8" w:color="auto"/>
            </w:tcBorders>
          </w:tcPr>
          <w:p>
            <w:pPr>
              <w:spacing w:after="0"/>
              <w:rPr>
                <w:sz w:val="3"/>
                <w:szCs w:val="3"/>
                <w:color w:val="auto"/>
              </w:rPr>
            </w:pPr>
          </w:p>
        </w:tc>
      </w:tr>
      <w:tr>
        <w:trPr>
          <w:trHeight w:val="196"/>
        </w:trPr>
        <w:tc>
          <w:tcPr>
            <w:tcW w:w="3480" w:type="dxa"/>
            <w:vAlign w:val="bottom"/>
            <w:tcBorders>
              <w:left w:val="single" w:sz="8" w:color="auto"/>
            </w:tcBorders>
          </w:tcPr>
          <w:p>
            <w:pPr>
              <w:ind w:left="80"/>
              <w:spacing w:after="0"/>
              <w:rPr>
                <w:sz w:val="20"/>
                <w:szCs w:val="20"/>
                <w:color w:val="auto"/>
              </w:rPr>
            </w:pPr>
            <w:r>
              <w:rPr>
                <w:rFonts w:ascii="Calibri" w:cs="Calibri" w:eastAsia="Calibri" w:hAnsi="Calibri"/>
                <w:sz w:val="16"/>
                <w:szCs w:val="16"/>
                <w:color w:val="auto"/>
              </w:rPr>
              <w:t>Andrew A. Main</w:t>
            </w:r>
          </w:p>
        </w:tc>
        <w:tc>
          <w:tcPr>
            <w:tcW w:w="7780" w:type="dxa"/>
            <w:vAlign w:val="bottom"/>
            <w:tcBorders>
              <w:right w:val="single" w:sz="8" w:color="auto"/>
            </w:tcBorders>
          </w:tcPr>
          <w:p>
            <w:pPr>
              <w:jc w:val="center"/>
              <w:ind w:left="119"/>
              <w:spacing w:after="0" w:line="193" w:lineRule="exact"/>
              <w:rPr>
                <w:sz w:val="20"/>
                <w:szCs w:val="20"/>
                <w:color w:val="auto"/>
              </w:rPr>
            </w:pPr>
            <w:r>
              <w:rPr>
                <w:rFonts w:ascii="Calibri" w:cs="Calibri" w:eastAsia="Calibri" w:hAnsi="Calibri"/>
                <w:sz w:val="16"/>
                <w:szCs w:val="16"/>
                <w:color w:val="auto"/>
              </w:rPr>
              <w:t>183,929</w:t>
            </w:r>
          </w:p>
        </w:tc>
      </w:tr>
      <w:tr>
        <w:trPr>
          <w:trHeight w:val="41"/>
        </w:trPr>
        <w:tc>
          <w:tcPr>
            <w:tcW w:w="3480" w:type="dxa"/>
            <w:vAlign w:val="bottom"/>
            <w:tcBorders>
              <w:left w:val="single" w:sz="8" w:color="auto"/>
              <w:bottom w:val="single" w:sz="8" w:color="auto"/>
            </w:tcBorders>
          </w:tcPr>
          <w:p>
            <w:pPr>
              <w:spacing w:after="0"/>
              <w:rPr>
                <w:sz w:val="3"/>
                <w:szCs w:val="3"/>
                <w:color w:val="auto"/>
              </w:rPr>
            </w:pPr>
          </w:p>
        </w:tc>
        <w:tc>
          <w:tcPr>
            <w:tcW w:w="7780" w:type="dxa"/>
            <w:vAlign w:val="bottom"/>
            <w:tcBorders>
              <w:bottom w:val="single" w:sz="8" w:color="auto"/>
              <w:right w:val="single" w:sz="8" w:color="auto"/>
            </w:tcBorders>
          </w:tcPr>
          <w:p>
            <w:pPr>
              <w:spacing w:after="0"/>
              <w:rPr>
                <w:sz w:val="3"/>
                <w:szCs w:val="3"/>
                <w:color w:val="auto"/>
              </w:rPr>
            </w:pPr>
          </w:p>
        </w:tc>
      </w:tr>
      <w:tr>
        <w:trPr>
          <w:trHeight w:val="196"/>
        </w:trPr>
        <w:tc>
          <w:tcPr>
            <w:tcW w:w="3480" w:type="dxa"/>
            <w:vAlign w:val="bottom"/>
            <w:tcBorders>
              <w:left w:val="single" w:sz="8" w:color="auto"/>
            </w:tcBorders>
          </w:tcPr>
          <w:p>
            <w:pPr>
              <w:ind w:left="80"/>
              <w:spacing w:after="0"/>
              <w:rPr>
                <w:sz w:val="20"/>
                <w:szCs w:val="20"/>
                <w:color w:val="auto"/>
              </w:rPr>
            </w:pPr>
            <w:r>
              <w:rPr>
                <w:rFonts w:ascii="Calibri" w:cs="Calibri" w:eastAsia="Calibri" w:hAnsi="Calibri"/>
                <w:sz w:val="16"/>
                <w:szCs w:val="16"/>
                <w:color w:val="auto"/>
              </w:rPr>
              <w:t>Jill Simeone</w:t>
            </w:r>
          </w:p>
        </w:tc>
        <w:tc>
          <w:tcPr>
            <w:tcW w:w="7780" w:type="dxa"/>
            <w:vAlign w:val="bottom"/>
            <w:tcBorders>
              <w:right w:val="single" w:sz="8" w:color="auto"/>
            </w:tcBorders>
          </w:tcPr>
          <w:p>
            <w:pPr>
              <w:jc w:val="center"/>
              <w:ind w:left="119"/>
              <w:spacing w:after="0" w:line="193" w:lineRule="exact"/>
              <w:rPr>
                <w:sz w:val="20"/>
                <w:szCs w:val="20"/>
                <w:color w:val="auto"/>
              </w:rPr>
            </w:pPr>
            <w:r>
              <w:rPr>
                <w:rFonts w:ascii="Calibri" w:cs="Calibri" w:eastAsia="Calibri" w:hAnsi="Calibri"/>
                <w:sz w:val="16"/>
                <w:szCs w:val="16"/>
                <w:color w:val="auto"/>
              </w:rPr>
              <w:t>142,858</w:t>
            </w:r>
          </w:p>
        </w:tc>
      </w:tr>
      <w:tr>
        <w:trPr>
          <w:trHeight w:val="41"/>
        </w:trPr>
        <w:tc>
          <w:tcPr>
            <w:tcW w:w="3480" w:type="dxa"/>
            <w:vAlign w:val="bottom"/>
            <w:tcBorders>
              <w:left w:val="single" w:sz="8" w:color="auto"/>
              <w:bottom w:val="single" w:sz="8" w:color="auto"/>
            </w:tcBorders>
          </w:tcPr>
          <w:p>
            <w:pPr>
              <w:spacing w:after="0"/>
              <w:rPr>
                <w:sz w:val="3"/>
                <w:szCs w:val="3"/>
                <w:color w:val="auto"/>
              </w:rPr>
            </w:pPr>
          </w:p>
        </w:tc>
        <w:tc>
          <w:tcPr>
            <w:tcW w:w="7780" w:type="dxa"/>
            <w:vAlign w:val="bottom"/>
            <w:tcBorders>
              <w:bottom w:val="single" w:sz="8" w:color="auto"/>
              <w:right w:val="single" w:sz="8" w:color="auto"/>
            </w:tcBorders>
          </w:tcPr>
          <w:p>
            <w:pPr>
              <w:spacing w:after="0"/>
              <w:rPr>
                <w:sz w:val="3"/>
                <w:szCs w:val="3"/>
                <w:color w:val="auto"/>
              </w:rPr>
            </w:pPr>
          </w:p>
        </w:tc>
      </w:tr>
      <w:tr>
        <w:trPr>
          <w:trHeight w:val="196"/>
        </w:trPr>
        <w:tc>
          <w:tcPr>
            <w:tcW w:w="3480" w:type="dxa"/>
            <w:vAlign w:val="bottom"/>
            <w:tcBorders>
              <w:left w:val="single" w:sz="8" w:color="auto"/>
            </w:tcBorders>
          </w:tcPr>
          <w:p>
            <w:pPr>
              <w:ind w:left="80"/>
              <w:spacing w:after="0"/>
              <w:rPr>
                <w:sz w:val="20"/>
                <w:szCs w:val="20"/>
                <w:color w:val="auto"/>
              </w:rPr>
            </w:pPr>
            <w:r>
              <w:rPr>
                <w:rFonts w:ascii="Calibri" w:cs="Calibri" w:eastAsia="Calibri" w:hAnsi="Calibri"/>
                <w:sz w:val="16"/>
                <w:szCs w:val="16"/>
                <w:color w:val="auto"/>
              </w:rPr>
              <w:t>Gordon Watson</w:t>
            </w:r>
          </w:p>
        </w:tc>
        <w:tc>
          <w:tcPr>
            <w:tcW w:w="7780" w:type="dxa"/>
            <w:vAlign w:val="bottom"/>
            <w:tcBorders>
              <w:right w:val="single" w:sz="8" w:color="auto"/>
            </w:tcBorders>
          </w:tcPr>
          <w:p>
            <w:pPr>
              <w:jc w:val="center"/>
              <w:ind w:left="119"/>
              <w:spacing w:after="0" w:line="193" w:lineRule="exact"/>
              <w:rPr>
                <w:sz w:val="20"/>
                <w:szCs w:val="20"/>
                <w:color w:val="auto"/>
              </w:rPr>
            </w:pPr>
            <w:r>
              <w:rPr>
                <w:rFonts w:ascii="Calibri" w:cs="Calibri" w:eastAsia="Calibri" w:hAnsi="Calibri"/>
                <w:sz w:val="16"/>
                <w:szCs w:val="16"/>
                <w:color w:val="auto"/>
              </w:rPr>
              <w:t>178,572</w:t>
            </w:r>
          </w:p>
        </w:tc>
      </w:tr>
      <w:tr>
        <w:trPr>
          <w:trHeight w:val="41"/>
        </w:trPr>
        <w:tc>
          <w:tcPr>
            <w:tcW w:w="3480" w:type="dxa"/>
            <w:vAlign w:val="bottom"/>
            <w:tcBorders>
              <w:left w:val="single" w:sz="8" w:color="auto"/>
              <w:bottom w:val="single" w:sz="8" w:color="auto"/>
            </w:tcBorders>
          </w:tcPr>
          <w:p>
            <w:pPr>
              <w:spacing w:after="0"/>
              <w:rPr>
                <w:sz w:val="3"/>
                <w:szCs w:val="3"/>
                <w:color w:val="auto"/>
              </w:rPr>
            </w:pPr>
          </w:p>
        </w:tc>
        <w:tc>
          <w:tcPr>
            <w:tcW w:w="7780" w:type="dxa"/>
            <w:vAlign w:val="bottom"/>
            <w:tcBorders>
              <w:bottom w:val="single" w:sz="8" w:color="auto"/>
              <w:right w:val="single" w:sz="8" w:color="auto"/>
            </w:tcBorders>
          </w:tcPr>
          <w:p>
            <w:pPr>
              <w:spacing w:after="0"/>
              <w:rPr>
                <w:sz w:val="3"/>
                <w:szCs w:val="3"/>
                <w:color w:val="auto"/>
              </w:rPr>
            </w:pPr>
          </w:p>
        </w:tc>
      </w:tr>
    </w:tbl>
    <w:p>
      <w:pPr>
        <w:spacing w:after="0" w:line="317" w:lineRule="exact"/>
        <w:rPr>
          <w:sz w:val="20"/>
          <w:szCs w:val="20"/>
          <w:color w:val="auto"/>
        </w:rPr>
      </w:pPr>
    </w:p>
    <w:p>
      <w:pPr>
        <w:ind w:left="320" w:hanging="312"/>
        <w:spacing w:after="0"/>
        <w:tabs>
          <w:tab w:leader="none" w:pos="320" w:val="left"/>
        </w:tabs>
        <w:numPr>
          <w:ilvl w:val="0"/>
          <w:numId w:val="23"/>
        </w:numPr>
        <w:rPr>
          <w:rFonts w:ascii="Calibri" w:cs="Calibri" w:eastAsia="Calibri" w:hAnsi="Calibri"/>
          <w:sz w:val="16"/>
          <w:szCs w:val="16"/>
          <w:color w:val="auto"/>
        </w:rPr>
      </w:pPr>
      <w:r>
        <w:rPr>
          <w:rFonts w:ascii="Calibri" w:cs="Calibri" w:eastAsia="Calibri" w:hAnsi="Calibri"/>
          <w:sz w:val="16"/>
          <w:szCs w:val="16"/>
          <w:color w:val="auto"/>
        </w:rPr>
        <w:t>The RSUs shall vest in full on the date of the Company’s 2023 annual meetng of stockholders.</w:t>
      </w:r>
    </w:p>
    <w:p>
      <w:pPr>
        <w:ind w:left="320" w:hanging="312"/>
        <w:spacing w:after="0" w:line="232" w:lineRule="auto"/>
        <w:tabs>
          <w:tab w:leader="none" w:pos="320" w:val="left"/>
        </w:tabs>
        <w:numPr>
          <w:ilvl w:val="0"/>
          <w:numId w:val="23"/>
        </w:numPr>
        <w:rPr>
          <w:rFonts w:ascii="Calibri" w:cs="Calibri" w:eastAsia="Calibri" w:hAnsi="Calibri"/>
          <w:sz w:val="16"/>
          <w:szCs w:val="16"/>
          <w:color w:val="auto"/>
        </w:rPr>
      </w:pPr>
      <w:r>
        <w:rPr>
          <w:rFonts w:ascii="Calibri" w:cs="Calibri" w:eastAsia="Calibri" w:hAnsi="Calibri"/>
          <w:sz w:val="16"/>
          <w:szCs w:val="16"/>
          <w:color w:val="auto"/>
        </w:rPr>
        <w:t>Includes award of 142,858 restricted stock units granted for service on the board of Bakkt Trust.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ind w:left="2760"/>
        <w:spacing w:after="0"/>
        <w:tabs>
          <w:tab w:leader="none" w:pos="7080" w:val="left"/>
          <w:tab w:leader="none" w:pos="8300" w:val="left"/>
        </w:tabs>
        <w:rPr>
          <w:sz w:val="20"/>
          <w:szCs w:val="20"/>
          <w:color w:val="auto"/>
        </w:rPr>
      </w:pPr>
      <w:r>
        <w:rPr>
          <w:rFonts w:ascii="Calibri" w:cs="Calibri" w:eastAsia="Calibri" w:hAnsi="Calibri"/>
          <w:sz w:val="16"/>
          <w:szCs w:val="16"/>
          <w:color w:val="auto"/>
        </w:rPr>
        <w:t>Alphareta, GA | New York, NY | Belfast, United Kingdom</w:t>
      </w:r>
      <w:r>
        <w:rPr>
          <w:sz w:val="20"/>
          <w:szCs w:val="20"/>
          <w:color w:val="auto"/>
        </w:rPr>
        <w:tab/>
      </w:r>
      <w:r>
        <w:rPr>
          <w:rFonts w:ascii="Calibri" w:cs="Calibri" w:eastAsia="Calibri" w:hAnsi="Calibri"/>
          <w:sz w:val="16"/>
          <w:szCs w:val="16"/>
          <w:color w:val="auto"/>
        </w:rPr>
        <w:t>www.bakkt.com</w:t>
      </w:r>
      <w:r>
        <w:rPr>
          <w:sz w:val="20"/>
          <w:szCs w:val="20"/>
          <w:color w:val="auto"/>
        </w:rPr>
        <w:tab/>
      </w:r>
      <w:r>
        <w:rPr>
          <w:rFonts w:ascii="Calibri" w:cs="Calibri" w:eastAsia="Calibri" w:hAnsi="Calibri"/>
          <w:sz w:val="17"/>
          <w:szCs w:val="17"/>
          <w:color w:val="auto"/>
        </w:rPr>
        <w:t>28</w:t>
      </w:r>
    </w:p>
    <w:p>
      <w:pPr>
        <w:sectPr>
          <w:pgSz w:w="11900" w:h="16838" w:orient="portrait"/>
          <w:cols w:equalWidth="0" w:num="1">
            <w:col w:w="11260"/>
          </w:cols>
          <w:pgMar w:left="320" w:top="1396" w:right="319" w:bottom="1440" w:gutter="0" w:footer="0" w:header="0"/>
        </w:sectPr>
      </w:pPr>
    </w:p>
    <w:bookmarkStart w:id="34" w:name="page35"/>
    <w:bookmarkEnd w:id="34"/>
    <w:p>
      <w:pPr>
        <w:spacing w:after="0" w:line="158" w:lineRule="exact"/>
        <w:rPr>
          <w:sz w:val="20"/>
          <w:szCs w:val="20"/>
          <w:color w:val="auto"/>
        </w:rPr>
      </w:pPr>
    </w:p>
    <w:p>
      <w:pPr>
        <w:spacing w:after="0"/>
        <w:rPr>
          <w:sz w:val="20"/>
          <w:szCs w:val="20"/>
          <w:color w:val="auto"/>
        </w:rPr>
      </w:pPr>
      <w:r>
        <w:rPr>
          <w:rFonts w:ascii="Calibri" w:cs="Calibri" w:eastAsia="Calibri" w:hAnsi="Calibri"/>
          <w:sz w:val="43"/>
          <w:szCs w:val="43"/>
          <w:color w:val="auto"/>
        </w:rPr>
        <w:t>Proposal No. 1: Electon of Class III Directors</w:t>
      </w:r>
    </w:p>
    <w:p>
      <w:pPr>
        <w:spacing w:after="0" w:line="230" w:lineRule="exact"/>
        <w:rPr>
          <w:sz w:val="20"/>
          <w:szCs w:val="20"/>
          <w:color w:val="auto"/>
        </w:rPr>
      </w:pPr>
    </w:p>
    <w:p>
      <w:pPr>
        <w:jc w:val="both"/>
        <w:spacing w:after="0" w:line="231" w:lineRule="auto"/>
        <w:rPr>
          <w:sz w:val="20"/>
          <w:szCs w:val="20"/>
          <w:color w:val="auto"/>
        </w:rPr>
      </w:pPr>
      <w:r>
        <w:rPr>
          <w:rFonts w:ascii="Calibri" w:cs="Calibri" w:eastAsia="Calibri" w:hAnsi="Calibri"/>
          <w:sz w:val="22"/>
          <w:szCs w:val="22"/>
          <w:color w:val="auto"/>
        </w:rPr>
        <w:t>Our Board currently consists of eight directors and is divided into three classes with staggered three-year terms. At the annual meetng, three Class III directors, Sean Collins, Richard Lumb and Andrew Main, will be nominated for electon for a three-year term to succeed the same class whose term is then expiring. Each director’s term contnues untl the expiraton of the term for which such director was elected and untl such director’s successor is elected and qualifed or untl such director’s earlier death, resignaton or removal.</w:t>
      </w:r>
    </w:p>
    <w:p>
      <w:pPr>
        <w:spacing w:after="0" w:line="209" w:lineRule="exact"/>
        <w:rPr>
          <w:sz w:val="20"/>
          <w:szCs w:val="20"/>
          <w:color w:val="auto"/>
        </w:rPr>
      </w:pPr>
    </w:p>
    <w:p>
      <w:pPr>
        <w:spacing w:after="0"/>
        <w:rPr>
          <w:sz w:val="20"/>
          <w:szCs w:val="20"/>
          <w:color w:val="auto"/>
        </w:rPr>
      </w:pPr>
      <w:r>
        <w:rPr>
          <w:rFonts w:ascii="Calibri" w:cs="Calibri" w:eastAsia="Calibri" w:hAnsi="Calibri"/>
          <w:sz w:val="22"/>
          <w:szCs w:val="22"/>
          <w:b w:val="1"/>
          <w:bCs w:val="1"/>
          <w:color w:val="auto"/>
        </w:rPr>
        <w:t>Nominees</w:t>
      </w:r>
    </w:p>
    <w:p>
      <w:pPr>
        <w:spacing w:after="0" w:line="228" w:lineRule="exact"/>
        <w:rPr>
          <w:sz w:val="20"/>
          <w:szCs w:val="20"/>
          <w:color w:val="auto"/>
        </w:rPr>
      </w:pPr>
    </w:p>
    <w:p>
      <w:pPr>
        <w:jc w:val="both"/>
        <w:spacing w:after="0" w:line="229" w:lineRule="auto"/>
        <w:rPr>
          <w:sz w:val="20"/>
          <w:szCs w:val="20"/>
          <w:color w:val="auto"/>
        </w:rPr>
      </w:pPr>
      <w:r>
        <w:rPr>
          <w:rFonts w:ascii="Calibri" w:cs="Calibri" w:eastAsia="Calibri" w:hAnsi="Calibri"/>
          <w:sz w:val="22"/>
          <w:szCs w:val="22"/>
          <w:color w:val="auto"/>
        </w:rPr>
        <w:t>Our nominatng and corporate governance commitee has recommended, and our Board has approved, Sean Collins, Richard Lumb and Andrew Main as nominees for electon as Class III directors at the annual meetng. If elected, each of Messrs. Collins, Lumb and Main will serve as a Class III director untl the 2027 annual meetng of stockholders and untl his respectve successor is elected and qualifed or untl his earlier death, resignaton or removal. For more informaton concerning the nominees, please see the secton ttled “</w:t>
      </w:r>
      <w:r>
        <w:rPr>
          <w:rFonts w:ascii="Calibri" w:cs="Calibri" w:eastAsia="Calibri" w:hAnsi="Calibri"/>
          <w:sz w:val="22"/>
          <w:szCs w:val="22"/>
          <w:i w:val="1"/>
          <w:iCs w:val="1"/>
          <w:color w:val="auto"/>
        </w:rPr>
        <w:t>Board of Directors and Corporate Governance</w:t>
      </w:r>
      <w:r>
        <w:rPr>
          <w:rFonts w:ascii="Calibri" w:cs="Calibri" w:eastAsia="Calibri" w:hAnsi="Calibri"/>
          <w:sz w:val="22"/>
          <w:szCs w:val="22"/>
          <w:color w:val="auto"/>
        </w:rPr>
        <w:t>.”</w:t>
      </w:r>
    </w:p>
    <w:p>
      <w:pPr>
        <w:spacing w:after="0" w:line="217" w:lineRule="exact"/>
        <w:rPr>
          <w:sz w:val="20"/>
          <w:szCs w:val="20"/>
          <w:color w:val="auto"/>
        </w:rPr>
      </w:pPr>
    </w:p>
    <w:p>
      <w:pPr>
        <w:jc w:val="both"/>
        <w:spacing w:after="0" w:line="233" w:lineRule="auto"/>
        <w:rPr>
          <w:sz w:val="20"/>
          <w:szCs w:val="20"/>
          <w:color w:val="auto"/>
        </w:rPr>
      </w:pPr>
      <w:r>
        <w:rPr>
          <w:rFonts w:ascii="Calibri" w:cs="Calibri" w:eastAsia="Calibri" w:hAnsi="Calibri"/>
          <w:sz w:val="22"/>
          <w:szCs w:val="22"/>
          <w:color w:val="auto"/>
        </w:rPr>
        <w:t>Messrs. Collins, Lumb and Main have each agreed to serve as a director if elected, and management has no reason to believe that he will be unavailable to serve. In the event a nominee is unable or declines to serve as a director at the tme of the annual meetng, proxies will be voted for any nominee designated by the present board of directors to fll the vacancy.</w:t>
      </w:r>
    </w:p>
    <w:p>
      <w:pPr>
        <w:spacing w:after="0" w:line="204" w:lineRule="exact"/>
        <w:rPr>
          <w:sz w:val="20"/>
          <w:szCs w:val="20"/>
          <w:color w:val="auto"/>
        </w:rPr>
      </w:pPr>
    </w:p>
    <w:p>
      <w:pPr>
        <w:spacing w:after="0"/>
        <w:rPr>
          <w:sz w:val="20"/>
          <w:szCs w:val="20"/>
          <w:color w:val="auto"/>
        </w:rPr>
      </w:pPr>
      <w:r>
        <w:rPr>
          <w:rFonts w:ascii="Calibri" w:cs="Calibri" w:eastAsia="Calibri" w:hAnsi="Calibri"/>
          <w:sz w:val="22"/>
          <w:szCs w:val="22"/>
          <w:b w:val="1"/>
          <w:bCs w:val="1"/>
          <w:color w:val="auto"/>
        </w:rPr>
        <w:t>OUR BOARD RECOMMENDS A VOTE “FOR” THE ELECTION OF EACH OF THE DIRECTOR NOMINEES NAMED ABOVE.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ind w:left="2760"/>
        <w:spacing w:after="0"/>
        <w:tabs>
          <w:tab w:leader="none" w:pos="7080" w:val="left"/>
          <w:tab w:leader="none" w:pos="8300" w:val="left"/>
        </w:tabs>
        <w:rPr>
          <w:sz w:val="20"/>
          <w:szCs w:val="20"/>
          <w:color w:val="auto"/>
        </w:rPr>
      </w:pPr>
      <w:r>
        <w:rPr>
          <w:rFonts w:ascii="Calibri" w:cs="Calibri" w:eastAsia="Calibri" w:hAnsi="Calibri"/>
          <w:sz w:val="16"/>
          <w:szCs w:val="16"/>
          <w:color w:val="auto"/>
        </w:rPr>
        <w:t>Alphareta, GA | New York, NY | Belfast, United Kingdom</w:t>
      </w:r>
      <w:r>
        <w:rPr>
          <w:sz w:val="20"/>
          <w:szCs w:val="20"/>
          <w:color w:val="auto"/>
        </w:rPr>
        <w:tab/>
      </w:r>
      <w:r>
        <w:rPr>
          <w:rFonts w:ascii="Calibri" w:cs="Calibri" w:eastAsia="Calibri" w:hAnsi="Calibri"/>
          <w:sz w:val="16"/>
          <w:szCs w:val="16"/>
          <w:color w:val="auto"/>
        </w:rPr>
        <w:t>www.bakkt.com</w:t>
      </w:r>
      <w:r>
        <w:rPr>
          <w:sz w:val="20"/>
          <w:szCs w:val="20"/>
          <w:color w:val="auto"/>
        </w:rPr>
        <w:tab/>
      </w:r>
      <w:r>
        <w:rPr>
          <w:rFonts w:ascii="Calibri" w:cs="Calibri" w:eastAsia="Calibri" w:hAnsi="Calibri"/>
          <w:sz w:val="17"/>
          <w:szCs w:val="17"/>
          <w:color w:val="auto"/>
        </w:rPr>
        <w:t>29</w:t>
      </w:r>
    </w:p>
    <w:p>
      <w:pPr>
        <w:sectPr>
          <w:pgSz w:w="11900" w:h="16838" w:orient="portrait"/>
          <w:cols w:equalWidth="0" w:num="1">
            <w:col w:w="11240"/>
          </w:cols>
          <w:pgMar w:left="320" w:top="1440" w:right="339" w:bottom="1440" w:gutter="0" w:footer="0" w:header="0"/>
        </w:sectPr>
      </w:pPr>
    </w:p>
    <w:bookmarkStart w:id="35" w:name="page36"/>
    <w:bookmarkEnd w:id="35"/>
    <w:p>
      <w:pPr>
        <w:spacing w:after="0" w:line="158" w:lineRule="exact"/>
        <w:rPr>
          <w:sz w:val="20"/>
          <w:szCs w:val="20"/>
          <w:color w:val="auto"/>
        </w:rPr>
      </w:pPr>
    </w:p>
    <w:p>
      <w:pPr>
        <w:spacing w:after="0"/>
        <w:rPr>
          <w:sz w:val="20"/>
          <w:szCs w:val="20"/>
          <w:color w:val="auto"/>
        </w:rPr>
      </w:pPr>
      <w:r>
        <w:rPr>
          <w:rFonts w:ascii="Calibri" w:cs="Calibri" w:eastAsia="Calibri" w:hAnsi="Calibri"/>
          <w:sz w:val="43"/>
          <w:szCs w:val="43"/>
          <w:color w:val="auto"/>
        </w:rPr>
        <w:t>Report of the Audit and Risk Commitee</w:t>
      </w:r>
    </w:p>
    <w:p>
      <w:pPr>
        <w:spacing w:after="0" w:line="230" w:lineRule="exact"/>
        <w:rPr>
          <w:sz w:val="20"/>
          <w:szCs w:val="20"/>
          <w:color w:val="auto"/>
        </w:rPr>
      </w:pPr>
    </w:p>
    <w:p>
      <w:pPr>
        <w:jc w:val="both"/>
        <w:spacing w:after="0" w:line="232" w:lineRule="auto"/>
        <w:rPr>
          <w:sz w:val="20"/>
          <w:szCs w:val="20"/>
          <w:color w:val="auto"/>
        </w:rPr>
      </w:pPr>
      <w:r>
        <w:rPr>
          <w:rFonts w:ascii="Calibri" w:cs="Calibri" w:eastAsia="Calibri" w:hAnsi="Calibri"/>
          <w:sz w:val="22"/>
          <w:szCs w:val="22"/>
          <w:color w:val="auto"/>
        </w:rPr>
        <w:t>The audit and risk commitee is a commitee of the Board comprised solely of independent directors as required by the NYSE listng rules and the rules and regulatons of the SEC. The audit and risk commitee operates under a writen charter adopted by the Board. This writen charter is reviewed annually for changes, as appropriate. With respect to Bakkt’s fnancial reportng process, Bakkt’s management is responsible for (1) establishing and maintaining internal controls and (2) preparing Bakkt’s fnancial statements. Bakkt’s independent registered public accountng frm is responsible for performing an independent audit of Bakkt’s fnancial statements. For the year ended December 31, 2023, that independent registered public accountng frm was Ernst &amp; Young LLP (“EY”). It is the responsibility of the audit and risk commitee to oversee these actvites. It is not the responsibility of the audit and risk commitee to prepare Bakkt’s fnancial statements. These are the fundamental responsibilites of management. In the performance of its oversight functon, the audit and risk commitee has:</w:t>
      </w:r>
    </w:p>
    <w:p>
      <w:pPr>
        <w:spacing w:after="0" w:line="124" w:lineRule="exact"/>
        <w:rPr>
          <w:sz w:val="20"/>
          <w:szCs w:val="20"/>
          <w:color w:val="auto"/>
        </w:rPr>
      </w:pPr>
    </w:p>
    <w:p>
      <w:pPr>
        <w:ind w:left="660" w:hanging="490"/>
        <w:spacing w:after="0"/>
        <w:tabs>
          <w:tab w:leader="none" w:pos="660" w:val="left"/>
        </w:tabs>
        <w:numPr>
          <w:ilvl w:val="0"/>
          <w:numId w:val="24"/>
        </w:numPr>
        <w:rPr>
          <w:rFonts w:ascii="Times New Roman" w:cs="Times New Roman" w:eastAsia="Times New Roman" w:hAnsi="Times New Roman"/>
          <w:sz w:val="22"/>
          <w:szCs w:val="22"/>
          <w:color w:val="auto"/>
        </w:rPr>
      </w:pPr>
      <w:r>
        <w:rPr>
          <w:rFonts w:ascii="Calibri" w:cs="Calibri" w:eastAsia="Calibri" w:hAnsi="Calibri"/>
          <w:sz w:val="22"/>
          <w:szCs w:val="22"/>
          <w:color w:val="auto"/>
        </w:rPr>
        <w:t>reviewed and discussed the audited fnancial statements with management and EY;</w:t>
      </w:r>
    </w:p>
    <w:p>
      <w:pPr>
        <w:spacing w:after="0" w:line="122" w:lineRule="exact"/>
        <w:rPr>
          <w:rFonts w:ascii="Times New Roman" w:cs="Times New Roman" w:eastAsia="Times New Roman" w:hAnsi="Times New Roman"/>
          <w:sz w:val="22"/>
          <w:szCs w:val="22"/>
          <w:color w:val="auto"/>
        </w:rPr>
      </w:pPr>
    </w:p>
    <w:p>
      <w:pPr>
        <w:ind w:left="660" w:hanging="490"/>
        <w:spacing w:after="0"/>
        <w:tabs>
          <w:tab w:leader="none" w:pos="660" w:val="left"/>
        </w:tabs>
        <w:numPr>
          <w:ilvl w:val="0"/>
          <w:numId w:val="24"/>
        </w:numPr>
        <w:rPr>
          <w:rFonts w:ascii="Times New Roman" w:cs="Times New Roman" w:eastAsia="Times New Roman" w:hAnsi="Times New Roman"/>
          <w:sz w:val="22"/>
          <w:szCs w:val="22"/>
          <w:color w:val="auto"/>
        </w:rPr>
      </w:pPr>
      <w:r>
        <w:rPr>
          <w:rFonts w:ascii="Calibri" w:cs="Calibri" w:eastAsia="Calibri" w:hAnsi="Calibri"/>
          <w:sz w:val="22"/>
          <w:szCs w:val="22"/>
          <w:color w:val="auto"/>
        </w:rPr>
        <w:t>discussed with EY the maters required to be discussed by the applicable requirements of the PCAOB and the SEC; and</w:t>
      </w:r>
    </w:p>
    <w:p>
      <w:pPr>
        <w:spacing w:after="0" w:line="133" w:lineRule="exact"/>
        <w:rPr>
          <w:rFonts w:ascii="Times New Roman" w:cs="Times New Roman" w:eastAsia="Times New Roman" w:hAnsi="Times New Roman"/>
          <w:sz w:val="22"/>
          <w:szCs w:val="22"/>
          <w:color w:val="auto"/>
        </w:rPr>
      </w:pPr>
    </w:p>
    <w:p>
      <w:pPr>
        <w:jc w:val="both"/>
        <w:ind w:left="660" w:hanging="490"/>
        <w:spacing w:after="0" w:line="233" w:lineRule="auto"/>
        <w:tabs>
          <w:tab w:leader="none" w:pos="655" w:val="left"/>
        </w:tabs>
        <w:numPr>
          <w:ilvl w:val="0"/>
          <w:numId w:val="24"/>
        </w:numPr>
        <w:rPr>
          <w:rFonts w:ascii="Times New Roman" w:cs="Times New Roman" w:eastAsia="Times New Roman" w:hAnsi="Times New Roman"/>
          <w:sz w:val="22"/>
          <w:szCs w:val="22"/>
          <w:color w:val="auto"/>
        </w:rPr>
      </w:pPr>
      <w:r>
        <w:rPr>
          <w:rFonts w:ascii="Calibri" w:cs="Calibri" w:eastAsia="Calibri" w:hAnsi="Calibri"/>
          <w:sz w:val="22"/>
          <w:szCs w:val="22"/>
          <w:color w:val="auto"/>
        </w:rPr>
        <w:t>received the writen disclosures from EY required by applicable requirements of the PCAOB regarding EY's communicatons with the audit and risk commitee concerning independence, and has discussed with EY their independence.</w:t>
      </w:r>
    </w:p>
    <w:p>
      <w:pPr>
        <w:spacing w:after="0" w:line="217" w:lineRule="exact"/>
        <w:rPr>
          <w:sz w:val="20"/>
          <w:szCs w:val="20"/>
          <w:color w:val="auto"/>
        </w:rPr>
      </w:pPr>
    </w:p>
    <w:p>
      <w:pPr>
        <w:jc w:val="both"/>
        <w:spacing w:after="0" w:line="229" w:lineRule="auto"/>
        <w:rPr>
          <w:sz w:val="20"/>
          <w:szCs w:val="20"/>
          <w:color w:val="auto"/>
        </w:rPr>
      </w:pPr>
      <w:r>
        <w:rPr>
          <w:rFonts w:ascii="Calibri" w:cs="Calibri" w:eastAsia="Calibri" w:hAnsi="Calibri"/>
          <w:sz w:val="22"/>
          <w:szCs w:val="22"/>
          <w:color w:val="auto"/>
        </w:rPr>
        <w:t>Based on the review and discussions noted above, the audit and risk commitee recommended to the Board that the audited fnancial statements be included in Bakkt’s Annual Report on Form 10-K for the fscal year ended December 31, 2023 for fling with the SEC.</w:t>
      </w:r>
    </w:p>
    <w:p>
      <w:pPr>
        <w:spacing w:after="0" w:line="220" w:lineRule="exact"/>
        <w:rPr>
          <w:sz w:val="20"/>
          <w:szCs w:val="20"/>
          <w:color w:val="auto"/>
        </w:rPr>
      </w:pPr>
    </w:p>
    <w:p>
      <w:pPr>
        <w:spacing w:after="0"/>
        <w:rPr>
          <w:sz w:val="20"/>
          <w:szCs w:val="20"/>
          <w:color w:val="auto"/>
        </w:rPr>
      </w:pPr>
      <w:r>
        <w:rPr>
          <w:rFonts w:ascii="Calibri" w:cs="Calibri" w:eastAsia="Calibri" w:hAnsi="Calibri"/>
          <w:sz w:val="22"/>
          <w:szCs w:val="22"/>
          <w:color w:val="auto"/>
        </w:rPr>
        <w:t>Respectully submited by the members of the audit and risk commitee of the Board:</w:t>
      </w:r>
    </w:p>
    <w:p>
      <w:pPr>
        <w:spacing w:after="0" w:line="204" w:lineRule="exact"/>
        <w:rPr>
          <w:sz w:val="20"/>
          <w:szCs w:val="20"/>
          <w:color w:val="auto"/>
        </w:rPr>
      </w:pPr>
    </w:p>
    <w:p>
      <w:pPr>
        <w:ind w:left="660"/>
        <w:spacing w:after="0"/>
        <w:rPr>
          <w:sz w:val="20"/>
          <w:szCs w:val="20"/>
          <w:color w:val="auto"/>
        </w:rPr>
      </w:pPr>
      <w:r>
        <w:rPr>
          <w:rFonts w:ascii="Calibri" w:cs="Calibri" w:eastAsia="Calibri" w:hAnsi="Calibri"/>
          <w:sz w:val="22"/>
          <w:szCs w:val="22"/>
          <w:color w:val="auto"/>
        </w:rPr>
        <w:t>Michelle J. Goldberg</w:t>
      </w:r>
    </w:p>
    <w:p>
      <w:pPr>
        <w:ind w:left="660"/>
        <w:spacing w:after="0" w:line="227" w:lineRule="auto"/>
        <w:rPr>
          <w:sz w:val="20"/>
          <w:szCs w:val="20"/>
          <w:color w:val="auto"/>
        </w:rPr>
      </w:pPr>
      <w:r>
        <w:rPr>
          <w:rFonts w:ascii="Calibri" w:cs="Calibri" w:eastAsia="Calibri" w:hAnsi="Calibri"/>
          <w:sz w:val="22"/>
          <w:szCs w:val="22"/>
          <w:color w:val="auto"/>
        </w:rPr>
        <w:t>Sean Collins</w:t>
      </w:r>
    </w:p>
    <w:p>
      <w:pPr>
        <w:ind w:left="660"/>
        <w:spacing w:after="0" w:line="231" w:lineRule="auto"/>
        <w:rPr>
          <w:sz w:val="20"/>
          <w:szCs w:val="20"/>
          <w:color w:val="auto"/>
        </w:rPr>
      </w:pPr>
      <w:r>
        <w:rPr>
          <w:rFonts w:ascii="Calibri" w:cs="Calibri" w:eastAsia="Calibri" w:hAnsi="Calibri"/>
          <w:sz w:val="22"/>
          <w:szCs w:val="22"/>
          <w:color w:val="auto"/>
        </w:rPr>
        <w:t>De’Ana Dow</w:t>
      </w:r>
    </w:p>
    <w:p>
      <w:pPr>
        <w:ind w:left="660"/>
        <w:spacing w:after="0" w:line="227" w:lineRule="auto"/>
        <w:rPr>
          <w:sz w:val="20"/>
          <w:szCs w:val="20"/>
          <w:color w:val="auto"/>
        </w:rPr>
      </w:pPr>
      <w:r>
        <w:rPr>
          <w:rFonts w:ascii="Calibri" w:cs="Calibri" w:eastAsia="Calibri" w:hAnsi="Calibri"/>
          <w:sz w:val="22"/>
          <w:szCs w:val="22"/>
          <w:color w:val="auto"/>
        </w:rPr>
        <w:t>Richard Lumb</w:t>
      </w:r>
    </w:p>
    <w:p>
      <w:pPr>
        <w:spacing w:after="0" w:line="241" w:lineRule="exact"/>
        <w:rPr>
          <w:sz w:val="20"/>
          <w:szCs w:val="20"/>
          <w:color w:val="auto"/>
        </w:rPr>
      </w:pPr>
    </w:p>
    <w:p>
      <w:pPr>
        <w:jc w:val="both"/>
        <w:spacing w:after="0" w:line="237" w:lineRule="auto"/>
        <w:rPr>
          <w:sz w:val="20"/>
          <w:szCs w:val="20"/>
          <w:color w:val="auto"/>
        </w:rPr>
      </w:pPr>
      <w:r>
        <w:rPr>
          <w:rFonts w:ascii="Calibri" w:cs="Calibri" w:eastAsia="Calibri" w:hAnsi="Calibri"/>
          <w:sz w:val="16"/>
          <w:szCs w:val="16"/>
          <w:i w:val="1"/>
          <w:iCs w:val="1"/>
          <w:color w:val="auto"/>
        </w:rPr>
        <w:t>This audit and risk commitee report shall not be deemed to be “solicitng material” or to be “fled” with the SEC or subject to Regulaton 14A promulgated by the SEC or to the liabilites of Secton 18 of the Exchange Act, and shall not be deemed incorporated by reference into any prior or subsequent fling by Bakkt under the Securites Act of 1933, as amended, or the Securites Act, or the Exchange Act, except to the extent Bakkt specifcally requests that the informaton be treated as “solicitng material” or specifcally incorporates it by reference.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left="2760"/>
        <w:spacing w:after="0"/>
        <w:tabs>
          <w:tab w:leader="none" w:pos="7080" w:val="left"/>
          <w:tab w:leader="none" w:pos="8300" w:val="left"/>
        </w:tabs>
        <w:rPr>
          <w:sz w:val="20"/>
          <w:szCs w:val="20"/>
          <w:color w:val="auto"/>
        </w:rPr>
      </w:pPr>
      <w:r>
        <w:rPr>
          <w:rFonts w:ascii="Calibri" w:cs="Calibri" w:eastAsia="Calibri" w:hAnsi="Calibri"/>
          <w:sz w:val="16"/>
          <w:szCs w:val="16"/>
          <w:color w:val="auto"/>
        </w:rPr>
        <w:t>Alphareta, GA | New York, NY | Belfast, United Kingdom</w:t>
      </w:r>
      <w:r>
        <w:rPr>
          <w:sz w:val="20"/>
          <w:szCs w:val="20"/>
          <w:color w:val="auto"/>
        </w:rPr>
        <w:tab/>
      </w:r>
      <w:r>
        <w:rPr>
          <w:rFonts w:ascii="Calibri" w:cs="Calibri" w:eastAsia="Calibri" w:hAnsi="Calibri"/>
          <w:sz w:val="16"/>
          <w:szCs w:val="16"/>
          <w:color w:val="auto"/>
        </w:rPr>
        <w:t>www.bakkt.com</w:t>
      </w:r>
      <w:r>
        <w:rPr>
          <w:sz w:val="20"/>
          <w:szCs w:val="20"/>
          <w:color w:val="auto"/>
        </w:rPr>
        <w:tab/>
      </w:r>
      <w:r>
        <w:rPr>
          <w:rFonts w:ascii="Calibri" w:cs="Calibri" w:eastAsia="Calibri" w:hAnsi="Calibri"/>
          <w:sz w:val="17"/>
          <w:szCs w:val="17"/>
          <w:color w:val="auto"/>
        </w:rPr>
        <w:t>30</w:t>
      </w:r>
    </w:p>
    <w:p>
      <w:pPr>
        <w:sectPr>
          <w:pgSz w:w="11900" w:h="16838" w:orient="portrait"/>
          <w:cols w:equalWidth="0" w:num="1">
            <w:col w:w="11240"/>
          </w:cols>
          <w:pgMar w:left="320" w:top="1440" w:right="339" w:bottom="1440" w:gutter="0" w:footer="0" w:header="0"/>
        </w:sectPr>
      </w:pPr>
    </w:p>
    <w:bookmarkStart w:id="36" w:name="page37"/>
    <w:bookmarkEnd w:id="36"/>
    <w:p>
      <w:pPr>
        <w:spacing w:after="0" w:line="158" w:lineRule="exact"/>
        <w:rPr>
          <w:sz w:val="20"/>
          <w:szCs w:val="20"/>
          <w:color w:val="auto"/>
        </w:rPr>
      </w:pPr>
    </w:p>
    <w:p>
      <w:pPr>
        <w:spacing w:after="0"/>
        <w:rPr>
          <w:sz w:val="20"/>
          <w:szCs w:val="20"/>
          <w:color w:val="auto"/>
        </w:rPr>
      </w:pPr>
      <w:r>
        <w:rPr>
          <w:rFonts w:ascii="Calibri" w:cs="Calibri" w:eastAsia="Calibri" w:hAnsi="Calibri"/>
          <w:sz w:val="43"/>
          <w:szCs w:val="43"/>
          <w:color w:val="auto"/>
        </w:rPr>
        <w:t>Independent Registered Public Accountng Firm</w:t>
      </w:r>
    </w:p>
    <w:p>
      <w:pPr>
        <w:spacing w:after="0" w:line="230" w:lineRule="exact"/>
        <w:rPr>
          <w:sz w:val="20"/>
          <w:szCs w:val="20"/>
          <w:color w:val="auto"/>
        </w:rPr>
      </w:pPr>
    </w:p>
    <w:p>
      <w:pPr>
        <w:jc w:val="both"/>
        <w:ind w:right="20"/>
        <w:spacing w:after="0" w:line="232" w:lineRule="auto"/>
        <w:rPr>
          <w:sz w:val="20"/>
          <w:szCs w:val="20"/>
          <w:color w:val="auto"/>
        </w:rPr>
      </w:pPr>
      <w:r>
        <w:rPr>
          <w:rFonts w:ascii="Calibri" w:cs="Calibri" w:eastAsia="Calibri" w:hAnsi="Calibri"/>
          <w:sz w:val="22"/>
          <w:szCs w:val="22"/>
          <w:color w:val="auto"/>
        </w:rPr>
        <w:t>Our Audit and Risk Commitee, in accordance with its charter, routnely reviews the performance and retenton of our independent registered public accountng frm. The Audit and Risk Commitee expects to request proposals for such a frm to serve as our independent registered public accountng frm for the year ending December 31, 2024. Afer reviewing these proposals, the Audit and Risk Commitee will select and appoint an independent registered public accountng frm for the year ending December 31, 2024. Because of this, we are not submitng a proposal for the ratfcaton of our independent registered public accountng frm at the annual meetng. While not required to do so, as a mater of good corporate practce, our practce has been to submit the selecton of the independent registered public accountng frm to stockholders for ratfcaton. We expect to resume this practce in 2025.</w:t>
      </w:r>
    </w:p>
    <w:p>
      <w:pPr>
        <w:spacing w:after="0" w:line="218" w:lineRule="exact"/>
        <w:rPr>
          <w:sz w:val="20"/>
          <w:szCs w:val="20"/>
          <w:color w:val="auto"/>
        </w:rPr>
      </w:pPr>
    </w:p>
    <w:p>
      <w:pPr>
        <w:jc w:val="both"/>
        <w:ind w:right="20"/>
        <w:spacing w:after="0" w:line="231" w:lineRule="auto"/>
        <w:rPr>
          <w:sz w:val="20"/>
          <w:szCs w:val="20"/>
          <w:color w:val="auto"/>
        </w:rPr>
      </w:pPr>
      <w:r>
        <w:rPr>
          <w:rFonts w:ascii="Calibri" w:cs="Calibri" w:eastAsia="Calibri" w:hAnsi="Calibri"/>
          <w:sz w:val="22"/>
          <w:szCs w:val="22"/>
          <w:color w:val="auto"/>
        </w:rPr>
        <w:t>EY served as the Company’s independent registered public accountng frm for the year ended December 31, 2023. Representatves of EY have been invited to be present at the annual meetng, and we expect that they will atend. We currently expect to complete the request for proposal process to select our independent registered public accountng frm for 2024 in the second or third quarter of 2024. If our Audit and Risk Commitee makes a selecton prior to the annual meetng, we expect that representatves from such frm will be present at the annual meetng and that they will be available to respond to appropriate questons from our stockholders.</w:t>
      </w:r>
    </w:p>
    <w:p>
      <w:pPr>
        <w:spacing w:after="0" w:line="207" w:lineRule="exact"/>
        <w:rPr>
          <w:sz w:val="20"/>
          <w:szCs w:val="20"/>
          <w:color w:val="auto"/>
        </w:rPr>
      </w:pPr>
    </w:p>
    <w:p>
      <w:pPr>
        <w:spacing w:after="0"/>
        <w:rPr>
          <w:sz w:val="20"/>
          <w:szCs w:val="20"/>
          <w:color w:val="auto"/>
        </w:rPr>
      </w:pPr>
      <w:r>
        <w:rPr>
          <w:rFonts w:ascii="Calibri" w:cs="Calibri" w:eastAsia="Calibri" w:hAnsi="Calibri"/>
          <w:sz w:val="22"/>
          <w:szCs w:val="22"/>
          <w:b w:val="1"/>
          <w:bCs w:val="1"/>
          <w:color w:val="auto"/>
        </w:rPr>
        <w:t>Fees Paid to the Independent Registered Public Accountng Firm</w:t>
      </w:r>
    </w:p>
    <w:p>
      <w:pPr>
        <w:spacing w:after="0" w:line="214" w:lineRule="exact"/>
        <w:rPr>
          <w:sz w:val="20"/>
          <w:szCs w:val="20"/>
          <w:color w:val="auto"/>
        </w:rPr>
      </w:pPr>
    </w:p>
    <w:p>
      <w:pPr>
        <w:jc w:val="both"/>
        <w:ind w:right="40"/>
        <w:spacing w:after="0" w:line="229" w:lineRule="auto"/>
        <w:rPr>
          <w:sz w:val="20"/>
          <w:szCs w:val="20"/>
          <w:color w:val="auto"/>
        </w:rPr>
      </w:pPr>
      <w:r>
        <w:rPr>
          <w:rFonts w:ascii="Calibri" w:cs="Calibri" w:eastAsia="Calibri" w:hAnsi="Calibri"/>
          <w:sz w:val="22"/>
          <w:szCs w:val="22"/>
          <w:color w:val="auto"/>
        </w:rPr>
        <w:t>The following table presents fees for professional audit services and other services rendered to us by Ernst &amp; Young LLP for our fscal years ended December 31, 2023 and 2022.</w:t>
      </w:r>
    </w:p>
    <w:p>
      <w:pPr>
        <w:spacing w:after="0" w:line="219" w:lineRule="exact"/>
        <w:rPr>
          <w:sz w:val="20"/>
          <w:szCs w:val="20"/>
          <w:color w:val="auto"/>
        </w:rPr>
      </w:pPr>
    </w:p>
    <w:p>
      <w:pPr>
        <w:spacing w:after="0"/>
        <w:rPr>
          <w:sz w:val="20"/>
          <w:szCs w:val="20"/>
          <w:color w:val="auto"/>
        </w:rPr>
      </w:pPr>
      <w:r>
        <w:rPr>
          <w:rFonts w:ascii="Calibri" w:cs="Calibri" w:eastAsia="Calibri" w:hAnsi="Calibri"/>
          <w:sz w:val="22"/>
          <w:szCs w:val="22"/>
          <w:b w:val="1"/>
          <w:bCs w:val="1"/>
          <w:color w:val="auto"/>
        </w:rPr>
        <w:t>Fees to Ernst &amp; Young LLP</w:t>
      </w:r>
    </w:p>
    <w:p>
      <w:pPr>
        <w:spacing w:after="0" w:line="277" w:lineRule="exact"/>
        <w:rPr>
          <w:sz w:val="20"/>
          <w:szCs w:val="20"/>
          <w:color w:val="auto"/>
        </w:rPr>
      </w:pPr>
    </w:p>
    <w:tbl>
      <w:tblPr>
        <w:tblLayout w:type="fixed"/>
        <w:tblInd w:w="10" w:type="dxa"/>
        <w:tblCellMar>
          <w:top w:w="0" w:type="dxa"/>
          <w:left w:w="0" w:type="dxa"/>
          <w:bottom w:w="0" w:type="dxa"/>
          <w:right w:w="0" w:type="dxa"/>
        </w:tblCellMar>
      </w:tblPr>
      <w:tr>
        <w:trPr>
          <w:trHeight w:val="243"/>
        </w:trPr>
        <w:tc>
          <w:tcPr>
            <w:tcW w:w="4520" w:type="dxa"/>
            <w:vAlign w:val="bottom"/>
            <w:tcBorders>
              <w:top w:val="single" w:sz="8" w:color="auto"/>
              <w:left w:val="single" w:sz="8" w:color="auto"/>
            </w:tcBorders>
            <w:shd w:val="clear" w:color="auto" w:fill="151618"/>
          </w:tcPr>
          <w:p>
            <w:pPr>
              <w:spacing w:after="0"/>
              <w:rPr>
                <w:sz w:val="21"/>
                <w:szCs w:val="21"/>
                <w:color w:val="auto"/>
              </w:rPr>
            </w:pPr>
          </w:p>
        </w:tc>
        <w:tc>
          <w:tcPr>
            <w:tcW w:w="3840" w:type="dxa"/>
            <w:vAlign w:val="bottom"/>
            <w:tcBorders>
              <w:top w:val="single" w:sz="8" w:color="auto"/>
            </w:tcBorders>
            <w:gridSpan w:val="3"/>
            <w:shd w:val="clear" w:color="auto" w:fill="151618"/>
          </w:tcPr>
          <w:p>
            <w:pPr>
              <w:jc w:val="right"/>
              <w:spacing w:after="0"/>
              <w:rPr>
                <w:sz w:val="20"/>
                <w:szCs w:val="20"/>
                <w:color w:val="auto"/>
              </w:rPr>
            </w:pPr>
            <w:r>
              <w:rPr>
                <w:rFonts w:ascii="Calibri" w:cs="Calibri" w:eastAsia="Calibri" w:hAnsi="Calibri"/>
                <w:sz w:val="16"/>
                <w:szCs w:val="16"/>
                <w:b w:val="1"/>
                <w:bCs w:val="1"/>
                <w:color w:val="FFFFFF"/>
              </w:rPr>
              <w:t>2023</w:t>
            </w:r>
          </w:p>
        </w:tc>
        <w:tc>
          <w:tcPr>
            <w:tcW w:w="1020" w:type="dxa"/>
            <w:vAlign w:val="bottom"/>
            <w:tcBorders>
              <w:top w:val="single" w:sz="8" w:color="auto"/>
            </w:tcBorders>
            <w:shd w:val="clear" w:color="auto" w:fill="151618"/>
          </w:tcPr>
          <w:p>
            <w:pPr>
              <w:spacing w:after="0"/>
              <w:rPr>
                <w:sz w:val="21"/>
                <w:szCs w:val="21"/>
                <w:color w:val="auto"/>
              </w:rPr>
            </w:pPr>
          </w:p>
        </w:tc>
        <w:tc>
          <w:tcPr>
            <w:tcW w:w="1880" w:type="dxa"/>
            <w:vAlign w:val="bottom"/>
            <w:tcBorders>
              <w:top w:val="single" w:sz="8" w:color="auto"/>
              <w:right w:val="single" w:sz="8" w:color="auto"/>
            </w:tcBorders>
            <w:gridSpan w:val="3"/>
            <w:shd w:val="clear" w:color="auto" w:fill="151618"/>
          </w:tcPr>
          <w:p>
            <w:pPr>
              <w:jc w:val="right"/>
              <w:ind w:right="80"/>
              <w:spacing w:after="0"/>
              <w:rPr>
                <w:sz w:val="20"/>
                <w:szCs w:val="20"/>
                <w:color w:val="auto"/>
              </w:rPr>
            </w:pPr>
            <w:r>
              <w:rPr>
                <w:rFonts w:ascii="Calibri" w:cs="Calibri" w:eastAsia="Calibri" w:hAnsi="Calibri"/>
                <w:sz w:val="16"/>
                <w:szCs w:val="16"/>
                <w:b w:val="1"/>
                <w:bCs w:val="1"/>
                <w:color w:val="FFFFFF"/>
              </w:rPr>
              <w:t>2022</w:t>
            </w:r>
          </w:p>
        </w:tc>
      </w:tr>
      <w:tr>
        <w:trPr>
          <w:trHeight w:val="68"/>
        </w:trPr>
        <w:tc>
          <w:tcPr>
            <w:tcW w:w="4520" w:type="dxa"/>
            <w:vAlign w:val="bottom"/>
            <w:tcBorders>
              <w:left w:val="single" w:sz="8" w:color="auto"/>
              <w:bottom w:val="single" w:sz="8" w:color="auto"/>
            </w:tcBorders>
            <w:shd w:val="clear" w:color="auto" w:fill="151618"/>
          </w:tcPr>
          <w:p>
            <w:pPr>
              <w:spacing w:after="0"/>
              <w:rPr>
                <w:sz w:val="5"/>
                <w:szCs w:val="5"/>
                <w:color w:val="auto"/>
              </w:rPr>
            </w:pPr>
          </w:p>
        </w:tc>
        <w:tc>
          <w:tcPr>
            <w:tcW w:w="3060" w:type="dxa"/>
            <w:vAlign w:val="bottom"/>
            <w:tcBorders>
              <w:bottom w:val="single" w:sz="8" w:color="auto"/>
            </w:tcBorders>
            <w:shd w:val="clear" w:color="auto" w:fill="151618"/>
          </w:tcPr>
          <w:p>
            <w:pPr>
              <w:spacing w:after="0"/>
              <w:rPr>
                <w:sz w:val="5"/>
                <w:szCs w:val="5"/>
                <w:color w:val="auto"/>
              </w:rPr>
            </w:pPr>
          </w:p>
        </w:tc>
        <w:tc>
          <w:tcPr>
            <w:tcW w:w="40" w:type="dxa"/>
            <w:vAlign w:val="bottom"/>
            <w:tcBorders>
              <w:bottom w:val="single" w:sz="8" w:color="auto"/>
            </w:tcBorders>
            <w:shd w:val="clear" w:color="auto" w:fill="151618"/>
          </w:tcPr>
          <w:p>
            <w:pPr>
              <w:spacing w:after="0"/>
              <w:rPr>
                <w:sz w:val="5"/>
                <w:szCs w:val="5"/>
                <w:color w:val="auto"/>
              </w:rPr>
            </w:pPr>
          </w:p>
        </w:tc>
        <w:tc>
          <w:tcPr>
            <w:tcW w:w="740" w:type="dxa"/>
            <w:vAlign w:val="bottom"/>
            <w:tcBorders>
              <w:bottom w:val="single" w:sz="8" w:color="auto"/>
            </w:tcBorders>
            <w:shd w:val="clear" w:color="auto" w:fill="151618"/>
          </w:tcPr>
          <w:p>
            <w:pPr>
              <w:spacing w:after="0"/>
              <w:rPr>
                <w:sz w:val="5"/>
                <w:szCs w:val="5"/>
                <w:color w:val="auto"/>
              </w:rPr>
            </w:pPr>
          </w:p>
        </w:tc>
        <w:tc>
          <w:tcPr>
            <w:tcW w:w="1020" w:type="dxa"/>
            <w:vAlign w:val="bottom"/>
            <w:tcBorders>
              <w:bottom w:val="single" w:sz="8" w:color="auto"/>
            </w:tcBorders>
            <w:shd w:val="clear" w:color="auto" w:fill="151618"/>
          </w:tcPr>
          <w:p>
            <w:pPr>
              <w:spacing w:after="0"/>
              <w:rPr>
                <w:sz w:val="5"/>
                <w:szCs w:val="5"/>
                <w:color w:val="auto"/>
              </w:rPr>
            </w:pPr>
          </w:p>
        </w:tc>
        <w:tc>
          <w:tcPr>
            <w:tcW w:w="1020" w:type="dxa"/>
            <w:vAlign w:val="bottom"/>
            <w:tcBorders>
              <w:bottom w:val="single" w:sz="8" w:color="auto"/>
            </w:tcBorders>
            <w:shd w:val="clear" w:color="auto" w:fill="151618"/>
          </w:tcPr>
          <w:p>
            <w:pPr>
              <w:spacing w:after="0"/>
              <w:rPr>
                <w:sz w:val="5"/>
                <w:szCs w:val="5"/>
                <w:color w:val="auto"/>
              </w:rPr>
            </w:pPr>
          </w:p>
        </w:tc>
        <w:tc>
          <w:tcPr>
            <w:tcW w:w="140" w:type="dxa"/>
            <w:vAlign w:val="bottom"/>
            <w:tcBorders>
              <w:bottom w:val="single" w:sz="8" w:color="auto"/>
            </w:tcBorders>
            <w:shd w:val="clear" w:color="auto" w:fill="151618"/>
          </w:tcPr>
          <w:p>
            <w:pPr>
              <w:spacing w:after="0"/>
              <w:rPr>
                <w:sz w:val="5"/>
                <w:szCs w:val="5"/>
                <w:color w:val="auto"/>
              </w:rPr>
            </w:pPr>
          </w:p>
        </w:tc>
        <w:tc>
          <w:tcPr>
            <w:tcW w:w="720" w:type="dxa"/>
            <w:vAlign w:val="bottom"/>
            <w:tcBorders>
              <w:bottom w:val="single" w:sz="8" w:color="auto"/>
              <w:right w:val="single" w:sz="8" w:color="auto"/>
            </w:tcBorders>
            <w:shd w:val="clear" w:color="auto" w:fill="151618"/>
          </w:tcPr>
          <w:p>
            <w:pPr>
              <w:spacing w:after="0"/>
              <w:rPr>
                <w:sz w:val="5"/>
                <w:szCs w:val="5"/>
                <w:color w:val="auto"/>
              </w:rPr>
            </w:pPr>
          </w:p>
        </w:tc>
      </w:tr>
      <w:tr>
        <w:trPr>
          <w:trHeight w:val="236"/>
        </w:trPr>
        <w:tc>
          <w:tcPr>
            <w:tcW w:w="4520" w:type="dxa"/>
            <w:vAlign w:val="bottom"/>
            <w:tcBorders>
              <w:left w:val="single" w:sz="8" w:color="auto"/>
              <w:bottom w:val="single" w:sz="8" w:color="auto"/>
            </w:tcBorders>
          </w:tcPr>
          <w:p>
            <w:pPr>
              <w:ind w:left="80"/>
              <w:spacing w:after="0" w:line="237" w:lineRule="exact"/>
              <w:rPr>
                <w:sz w:val="20"/>
                <w:szCs w:val="20"/>
                <w:color w:val="auto"/>
              </w:rPr>
            </w:pPr>
            <w:r>
              <w:rPr>
                <w:rFonts w:ascii="Calibri" w:cs="Calibri" w:eastAsia="Calibri" w:hAnsi="Calibri"/>
                <w:sz w:val="16"/>
                <w:szCs w:val="16"/>
                <w:color w:val="auto"/>
              </w:rPr>
              <w:t>Audit Fees</w:t>
            </w:r>
            <w:r>
              <w:rPr>
                <w:rFonts w:ascii="Calibri" w:cs="Calibri" w:eastAsia="Calibri" w:hAnsi="Calibri"/>
                <w:sz w:val="21"/>
                <w:szCs w:val="21"/>
                <w:color w:val="auto"/>
                <w:vertAlign w:val="superscript"/>
              </w:rPr>
              <w:t>(1)</w:t>
            </w:r>
          </w:p>
        </w:tc>
        <w:tc>
          <w:tcPr>
            <w:tcW w:w="4860" w:type="dxa"/>
            <w:vAlign w:val="bottom"/>
            <w:tcBorders>
              <w:bottom w:val="single" w:sz="8" w:color="auto"/>
            </w:tcBorders>
            <w:gridSpan w:val="4"/>
          </w:tcPr>
          <w:p>
            <w:pPr>
              <w:jc w:val="right"/>
              <w:ind w:right="1020"/>
              <w:spacing w:after="0" w:line="193" w:lineRule="exact"/>
              <w:rPr>
                <w:sz w:val="20"/>
                <w:szCs w:val="20"/>
                <w:color w:val="auto"/>
              </w:rPr>
            </w:pPr>
            <w:r>
              <w:rPr>
                <w:rFonts w:ascii="Calibri" w:cs="Calibri" w:eastAsia="Calibri" w:hAnsi="Calibri"/>
                <w:sz w:val="16"/>
                <w:szCs w:val="16"/>
                <w:color w:val="auto"/>
              </w:rPr>
              <w:t>$3,234,150</w:t>
            </w:r>
          </w:p>
        </w:tc>
        <w:tc>
          <w:tcPr>
            <w:tcW w:w="1880" w:type="dxa"/>
            <w:vAlign w:val="bottom"/>
            <w:tcBorders>
              <w:bottom w:val="single" w:sz="8" w:color="auto"/>
              <w:right w:val="single" w:sz="8" w:color="auto"/>
            </w:tcBorders>
            <w:gridSpan w:val="3"/>
          </w:tcPr>
          <w:p>
            <w:pPr>
              <w:jc w:val="right"/>
              <w:ind w:right="80"/>
              <w:spacing w:after="0"/>
              <w:rPr>
                <w:sz w:val="20"/>
                <w:szCs w:val="20"/>
                <w:color w:val="auto"/>
              </w:rPr>
            </w:pPr>
            <w:r>
              <w:rPr>
                <w:rFonts w:ascii="Calibri" w:cs="Calibri" w:eastAsia="Calibri" w:hAnsi="Calibri"/>
                <w:sz w:val="16"/>
                <w:szCs w:val="16"/>
                <w:color w:val="auto"/>
              </w:rPr>
              <w:t>$2,082,000</w:t>
            </w:r>
          </w:p>
        </w:tc>
      </w:tr>
      <w:tr>
        <w:trPr>
          <w:trHeight w:val="237"/>
        </w:trPr>
        <w:tc>
          <w:tcPr>
            <w:tcW w:w="4520" w:type="dxa"/>
            <w:vAlign w:val="bottom"/>
            <w:tcBorders>
              <w:left w:val="single" w:sz="8" w:color="auto"/>
              <w:bottom w:val="single" w:sz="8" w:color="auto"/>
            </w:tcBorders>
          </w:tcPr>
          <w:p>
            <w:pPr>
              <w:ind w:left="80"/>
              <w:spacing w:after="0" w:line="237" w:lineRule="exact"/>
              <w:rPr>
                <w:sz w:val="20"/>
                <w:szCs w:val="20"/>
                <w:color w:val="auto"/>
              </w:rPr>
            </w:pPr>
            <w:r>
              <w:rPr>
                <w:rFonts w:ascii="Calibri" w:cs="Calibri" w:eastAsia="Calibri" w:hAnsi="Calibri"/>
                <w:sz w:val="16"/>
                <w:szCs w:val="16"/>
                <w:color w:val="auto"/>
              </w:rPr>
              <w:t>Audit-Related Fees</w:t>
            </w:r>
            <w:r>
              <w:rPr>
                <w:rFonts w:ascii="Calibri" w:cs="Calibri" w:eastAsia="Calibri" w:hAnsi="Calibri"/>
                <w:sz w:val="21"/>
                <w:szCs w:val="21"/>
                <w:color w:val="auto"/>
                <w:vertAlign w:val="superscript"/>
              </w:rPr>
              <w:t>(2)</w:t>
            </w:r>
          </w:p>
        </w:tc>
        <w:tc>
          <w:tcPr>
            <w:tcW w:w="3840" w:type="dxa"/>
            <w:vAlign w:val="bottom"/>
            <w:tcBorders>
              <w:bottom w:val="single" w:sz="8" w:color="auto"/>
            </w:tcBorders>
            <w:gridSpan w:val="3"/>
          </w:tcPr>
          <w:p>
            <w:pPr>
              <w:jc w:val="right"/>
              <w:spacing w:after="0" w:line="193" w:lineRule="exact"/>
              <w:rPr>
                <w:sz w:val="20"/>
                <w:szCs w:val="20"/>
                <w:color w:val="auto"/>
              </w:rPr>
            </w:pPr>
            <w:r>
              <w:rPr>
                <w:rFonts w:ascii="Calibri" w:cs="Calibri" w:eastAsia="Calibri" w:hAnsi="Calibri"/>
                <w:sz w:val="16"/>
                <w:szCs w:val="16"/>
                <w:color w:val="auto"/>
              </w:rPr>
              <w:t>616,000</w:t>
            </w:r>
          </w:p>
        </w:tc>
        <w:tc>
          <w:tcPr>
            <w:tcW w:w="1020" w:type="dxa"/>
            <w:vAlign w:val="bottom"/>
            <w:tcBorders>
              <w:bottom w:val="single" w:sz="8" w:color="auto"/>
            </w:tcBorders>
          </w:tcPr>
          <w:p>
            <w:pPr>
              <w:spacing w:after="0"/>
              <w:rPr>
                <w:sz w:val="20"/>
                <w:szCs w:val="20"/>
                <w:color w:val="auto"/>
              </w:rPr>
            </w:pPr>
          </w:p>
        </w:tc>
        <w:tc>
          <w:tcPr>
            <w:tcW w:w="1880" w:type="dxa"/>
            <w:vAlign w:val="bottom"/>
            <w:tcBorders>
              <w:bottom w:val="single" w:sz="8" w:color="auto"/>
              <w:right w:val="single" w:sz="8" w:color="auto"/>
            </w:tcBorders>
            <w:gridSpan w:val="3"/>
          </w:tcPr>
          <w:p>
            <w:pPr>
              <w:jc w:val="right"/>
              <w:ind w:right="80"/>
              <w:spacing w:after="0" w:line="193" w:lineRule="exact"/>
              <w:rPr>
                <w:sz w:val="20"/>
                <w:szCs w:val="20"/>
                <w:color w:val="auto"/>
              </w:rPr>
            </w:pPr>
            <w:r>
              <w:rPr>
                <w:rFonts w:ascii="Calibri" w:cs="Calibri" w:eastAsia="Calibri" w:hAnsi="Calibri"/>
                <w:sz w:val="16"/>
                <w:szCs w:val="16"/>
                <w:color w:val="auto"/>
              </w:rPr>
              <w:t>416,000</w:t>
            </w:r>
          </w:p>
        </w:tc>
      </w:tr>
      <w:tr>
        <w:trPr>
          <w:trHeight w:val="195"/>
        </w:trPr>
        <w:tc>
          <w:tcPr>
            <w:tcW w:w="4520" w:type="dxa"/>
            <w:vAlign w:val="bottom"/>
            <w:tcBorders>
              <w:left w:val="single" w:sz="8" w:color="auto"/>
            </w:tcBorders>
          </w:tcPr>
          <w:p>
            <w:pPr>
              <w:ind w:left="80"/>
              <w:spacing w:after="0"/>
              <w:rPr>
                <w:sz w:val="20"/>
                <w:szCs w:val="20"/>
                <w:color w:val="auto"/>
              </w:rPr>
            </w:pPr>
            <w:r>
              <w:rPr>
                <w:rFonts w:ascii="Calibri" w:cs="Calibri" w:eastAsia="Calibri" w:hAnsi="Calibri"/>
                <w:sz w:val="16"/>
                <w:szCs w:val="16"/>
                <w:color w:val="auto"/>
              </w:rPr>
              <w:t>Tax Fees</w:t>
            </w:r>
          </w:p>
        </w:tc>
        <w:tc>
          <w:tcPr>
            <w:tcW w:w="3840" w:type="dxa"/>
            <w:vAlign w:val="bottom"/>
            <w:gridSpan w:val="3"/>
          </w:tcPr>
          <w:p>
            <w:pPr>
              <w:jc w:val="right"/>
              <w:spacing w:after="0" w:line="193" w:lineRule="exact"/>
              <w:rPr>
                <w:sz w:val="20"/>
                <w:szCs w:val="20"/>
                <w:color w:val="auto"/>
              </w:rPr>
            </w:pPr>
            <w:r>
              <w:rPr>
                <w:rFonts w:ascii="Calibri" w:cs="Calibri" w:eastAsia="Calibri" w:hAnsi="Calibri"/>
                <w:sz w:val="16"/>
                <w:szCs w:val="16"/>
                <w:color w:val="auto"/>
              </w:rPr>
              <w:t>0</w:t>
            </w:r>
          </w:p>
        </w:tc>
        <w:tc>
          <w:tcPr>
            <w:tcW w:w="1020" w:type="dxa"/>
            <w:vAlign w:val="bottom"/>
          </w:tcPr>
          <w:p>
            <w:pPr>
              <w:spacing w:after="0"/>
              <w:rPr>
                <w:sz w:val="17"/>
                <w:szCs w:val="17"/>
                <w:color w:val="auto"/>
              </w:rPr>
            </w:pPr>
          </w:p>
        </w:tc>
        <w:tc>
          <w:tcPr>
            <w:tcW w:w="1880" w:type="dxa"/>
            <w:vAlign w:val="bottom"/>
            <w:tcBorders>
              <w:right w:val="single" w:sz="8" w:color="auto"/>
            </w:tcBorders>
            <w:gridSpan w:val="3"/>
          </w:tcPr>
          <w:p>
            <w:pPr>
              <w:jc w:val="right"/>
              <w:ind w:right="80"/>
              <w:spacing w:after="0" w:line="193" w:lineRule="exact"/>
              <w:rPr>
                <w:sz w:val="20"/>
                <w:szCs w:val="20"/>
                <w:color w:val="auto"/>
              </w:rPr>
            </w:pPr>
            <w:r>
              <w:rPr>
                <w:rFonts w:ascii="Calibri" w:cs="Calibri" w:eastAsia="Calibri" w:hAnsi="Calibri"/>
                <w:sz w:val="16"/>
                <w:szCs w:val="16"/>
                <w:color w:val="auto"/>
              </w:rPr>
              <w:t>0</w:t>
            </w:r>
          </w:p>
        </w:tc>
      </w:tr>
      <w:tr>
        <w:trPr>
          <w:trHeight w:val="41"/>
        </w:trPr>
        <w:tc>
          <w:tcPr>
            <w:tcW w:w="4520" w:type="dxa"/>
            <w:vAlign w:val="bottom"/>
            <w:tcBorders>
              <w:left w:val="single" w:sz="8" w:color="auto"/>
              <w:bottom w:val="single" w:sz="8" w:color="auto"/>
            </w:tcBorders>
          </w:tcPr>
          <w:p>
            <w:pPr>
              <w:spacing w:after="0"/>
              <w:rPr>
                <w:sz w:val="3"/>
                <w:szCs w:val="3"/>
                <w:color w:val="auto"/>
              </w:rPr>
            </w:pPr>
          </w:p>
        </w:tc>
        <w:tc>
          <w:tcPr>
            <w:tcW w:w="306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720" w:type="dxa"/>
            <w:vAlign w:val="bottom"/>
            <w:tcBorders>
              <w:bottom w:val="single" w:sz="8" w:color="auto"/>
              <w:right w:val="single" w:sz="8" w:color="auto"/>
            </w:tcBorders>
          </w:tcPr>
          <w:p>
            <w:pPr>
              <w:spacing w:after="0"/>
              <w:rPr>
                <w:sz w:val="3"/>
                <w:szCs w:val="3"/>
                <w:color w:val="auto"/>
              </w:rPr>
            </w:pPr>
          </w:p>
        </w:tc>
      </w:tr>
      <w:tr>
        <w:trPr>
          <w:trHeight w:val="155"/>
        </w:trPr>
        <w:tc>
          <w:tcPr>
            <w:tcW w:w="4520" w:type="dxa"/>
            <w:vAlign w:val="bottom"/>
            <w:tcBorders>
              <w:left w:val="single" w:sz="8" w:color="auto"/>
            </w:tcBorders>
          </w:tcPr>
          <w:p>
            <w:pPr>
              <w:ind w:left="80"/>
              <w:spacing w:after="0" w:line="142" w:lineRule="exact"/>
              <w:rPr>
                <w:sz w:val="20"/>
                <w:szCs w:val="20"/>
                <w:color w:val="auto"/>
              </w:rPr>
            </w:pPr>
            <w:r>
              <w:rPr>
                <w:rFonts w:ascii="Calibri" w:cs="Calibri" w:eastAsia="Calibri" w:hAnsi="Calibri"/>
                <w:sz w:val="15"/>
                <w:szCs w:val="15"/>
                <w:color w:val="auto"/>
              </w:rPr>
              <w:t>All Other Fees</w:t>
            </w:r>
          </w:p>
        </w:tc>
        <w:tc>
          <w:tcPr>
            <w:tcW w:w="3840" w:type="dxa"/>
            <w:vAlign w:val="bottom"/>
            <w:gridSpan w:val="3"/>
          </w:tcPr>
          <w:p>
            <w:pPr>
              <w:jc w:val="right"/>
              <w:spacing w:after="0" w:line="142" w:lineRule="exact"/>
              <w:rPr>
                <w:sz w:val="20"/>
                <w:szCs w:val="20"/>
                <w:color w:val="auto"/>
              </w:rPr>
            </w:pPr>
            <w:r>
              <w:rPr>
                <w:rFonts w:ascii="Calibri" w:cs="Calibri" w:eastAsia="Calibri" w:hAnsi="Calibri"/>
                <w:sz w:val="15"/>
                <w:szCs w:val="15"/>
                <w:color w:val="auto"/>
              </w:rPr>
              <w:t>0</w:t>
            </w:r>
          </w:p>
        </w:tc>
        <w:tc>
          <w:tcPr>
            <w:tcW w:w="1020" w:type="dxa"/>
            <w:vAlign w:val="bottom"/>
          </w:tcPr>
          <w:p>
            <w:pPr>
              <w:spacing w:after="0"/>
              <w:rPr>
                <w:sz w:val="13"/>
                <w:szCs w:val="13"/>
                <w:color w:val="auto"/>
              </w:rPr>
            </w:pPr>
          </w:p>
        </w:tc>
        <w:tc>
          <w:tcPr>
            <w:tcW w:w="1880" w:type="dxa"/>
            <w:vAlign w:val="bottom"/>
            <w:tcBorders>
              <w:right w:val="single" w:sz="8" w:color="auto"/>
            </w:tcBorders>
            <w:gridSpan w:val="3"/>
          </w:tcPr>
          <w:p>
            <w:pPr>
              <w:jc w:val="right"/>
              <w:ind w:right="80"/>
              <w:spacing w:after="0" w:line="142" w:lineRule="exact"/>
              <w:rPr>
                <w:sz w:val="20"/>
                <w:szCs w:val="20"/>
                <w:color w:val="auto"/>
              </w:rPr>
            </w:pPr>
            <w:r>
              <w:rPr>
                <w:rFonts w:ascii="Calibri" w:cs="Calibri" w:eastAsia="Calibri" w:hAnsi="Calibri"/>
                <w:sz w:val="15"/>
                <w:szCs w:val="15"/>
                <w:color w:val="auto"/>
              </w:rPr>
              <w:t>0</w:t>
            </w:r>
          </w:p>
        </w:tc>
      </w:tr>
      <w:tr>
        <w:trPr>
          <w:trHeight w:val="61"/>
        </w:trPr>
        <w:tc>
          <w:tcPr>
            <w:tcW w:w="4520" w:type="dxa"/>
            <w:vAlign w:val="bottom"/>
            <w:tcBorders>
              <w:left w:val="single" w:sz="8" w:color="auto"/>
              <w:bottom w:val="single" w:sz="8" w:color="auto"/>
            </w:tcBorders>
          </w:tcPr>
          <w:p>
            <w:pPr>
              <w:spacing w:after="0"/>
              <w:rPr>
                <w:sz w:val="5"/>
                <w:szCs w:val="5"/>
                <w:color w:val="auto"/>
              </w:rPr>
            </w:pPr>
          </w:p>
        </w:tc>
        <w:tc>
          <w:tcPr>
            <w:tcW w:w="306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740" w:type="dxa"/>
            <w:vAlign w:val="bottom"/>
            <w:tcBorders>
              <w:top w:val="single" w:sz="8" w:color="auto"/>
              <w:bottom w:val="single" w:sz="8" w:color="auto"/>
            </w:tcBorders>
          </w:tcPr>
          <w:p>
            <w:pPr>
              <w:spacing w:after="0"/>
              <w:rPr>
                <w:sz w:val="5"/>
                <w:szCs w:val="5"/>
                <w:color w:val="auto"/>
              </w:rPr>
            </w:pPr>
          </w:p>
        </w:tc>
        <w:tc>
          <w:tcPr>
            <w:tcW w:w="1020" w:type="dxa"/>
            <w:vAlign w:val="bottom"/>
            <w:tcBorders>
              <w:bottom w:val="single" w:sz="8" w:color="auto"/>
            </w:tcBorders>
          </w:tcPr>
          <w:p>
            <w:pPr>
              <w:spacing w:after="0"/>
              <w:rPr>
                <w:sz w:val="5"/>
                <w:szCs w:val="5"/>
                <w:color w:val="auto"/>
              </w:rPr>
            </w:pPr>
          </w:p>
        </w:tc>
        <w:tc>
          <w:tcPr>
            <w:tcW w:w="102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720" w:type="dxa"/>
            <w:vAlign w:val="bottom"/>
            <w:tcBorders>
              <w:top w:val="single" w:sz="8" w:color="auto"/>
              <w:bottom w:val="single" w:sz="8" w:color="auto"/>
              <w:right w:val="single" w:sz="8" w:color="auto"/>
            </w:tcBorders>
          </w:tcPr>
          <w:p>
            <w:pPr>
              <w:spacing w:after="0"/>
              <w:rPr>
                <w:sz w:val="5"/>
                <w:szCs w:val="5"/>
                <w:color w:val="auto"/>
              </w:rPr>
            </w:pPr>
          </w:p>
        </w:tc>
      </w:tr>
      <w:tr>
        <w:trPr>
          <w:trHeight w:val="169"/>
        </w:trPr>
        <w:tc>
          <w:tcPr>
            <w:tcW w:w="4520" w:type="dxa"/>
            <w:vAlign w:val="bottom"/>
            <w:tcBorders>
              <w:left w:val="single" w:sz="8" w:color="auto"/>
            </w:tcBorders>
          </w:tcPr>
          <w:p>
            <w:pPr>
              <w:ind w:left="80"/>
              <w:spacing w:after="0" w:line="169" w:lineRule="exact"/>
              <w:rPr>
                <w:sz w:val="20"/>
                <w:szCs w:val="20"/>
                <w:color w:val="auto"/>
              </w:rPr>
            </w:pPr>
            <w:r>
              <w:rPr>
                <w:rFonts w:ascii="Calibri" w:cs="Calibri" w:eastAsia="Calibri" w:hAnsi="Calibri"/>
                <w:sz w:val="16"/>
                <w:szCs w:val="16"/>
                <w:b w:val="1"/>
                <w:bCs w:val="1"/>
                <w:color w:val="auto"/>
              </w:rPr>
              <w:t>Total Fees</w:t>
            </w:r>
          </w:p>
        </w:tc>
        <w:tc>
          <w:tcPr>
            <w:tcW w:w="4860" w:type="dxa"/>
            <w:vAlign w:val="bottom"/>
            <w:gridSpan w:val="4"/>
          </w:tcPr>
          <w:p>
            <w:pPr>
              <w:jc w:val="right"/>
              <w:ind w:right="1020"/>
              <w:spacing w:after="0" w:line="169" w:lineRule="exact"/>
              <w:rPr>
                <w:sz w:val="20"/>
                <w:szCs w:val="20"/>
                <w:color w:val="auto"/>
              </w:rPr>
            </w:pPr>
            <w:r>
              <w:rPr>
                <w:rFonts w:ascii="Calibri" w:cs="Calibri" w:eastAsia="Calibri" w:hAnsi="Calibri"/>
                <w:sz w:val="16"/>
                <w:szCs w:val="16"/>
                <w:b w:val="1"/>
                <w:bCs w:val="1"/>
                <w:color w:val="auto"/>
              </w:rPr>
              <w:t>$ 3,850,150</w:t>
            </w:r>
          </w:p>
        </w:tc>
        <w:tc>
          <w:tcPr>
            <w:tcW w:w="1880" w:type="dxa"/>
            <w:vAlign w:val="bottom"/>
            <w:tcBorders>
              <w:right w:val="single" w:sz="8" w:color="auto"/>
            </w:tcBorders>
            <w:gridSpan w:val="3"/>
          </w:tcPr>
          <w:p>
            <w:pPr>
              <w:jc w:val="right"/>
              <w:ind w:right="80"/>
              <w:spacing w:after="0" w:line="169" w:lineRule="exact"/>
              <w:rPr>
                <w:sz w:val="20"/>
                <w:szCs w:val="20"/>
                <w:color w:val="auto"/>
              </w:rPr>
            </w:pPr>
            <w:r>
              <w:rPr>
                <w:rFonts w:ascii="Calibri" w:cs="Calibri" w:eastAsia="Calibri" w:hAnsi="Calibri"/>
                <w:sz w:val="16"/>
                <w:szCs w:val="16"/>
                <w:b w:val="1"/>
                <w:bCs w:val="1"/>
                <w:color w:val="auto"/>
              </w:rPr>
              <w:t>$ 2,498,000</w:t>
            </w:r>
          </w:p>
        </w:tc>
      </w:tr>
      <w:tr>
        <w:trPr>
          <w:trHeight w:val="48"/>
        </w:trPr>
        <w:tc>
          <w:tcPr>
            <w:tcW w:w="4520" w:type="dxa"/>
            <w:vAlign w:val="bottom"/>
            <w:tcBorders>
              <w:left w:val="single" w:sz="8" w:color="auto"/>
              <w:bottom w:val="single" w:sz="8" w:color="auto"/>
            </w:tcBorders>
          </w:tcPr>
          <w:p>
            <w:pPr>
              <w:spacing w:after="0"/>
              <w:rPr>
                <w:sz w:val="4"/>
                <w:szCs w:val="4"/>
                <w:color w:val="auto"/>
              </w:rPr>
            </w:pPr>
          </w:p>
        </w:tc>
        <w:tc>
          <w:tcPr>
            <w:tcW w:w="3060" w:type="dxa"/>
            <w:vAlign w:val="bottom"/>
            <w:tcBorders>
              <w:bottom w:val="single" w:sz="8" w:color="auto"/>
            </w:tcBorders>
          </w:tcPr>
          <w:p>
            <w:pPr>
              <w:spacing w:after="0"/>
              <w:rPr>
                <w:sz w:val="4"/>
                <w:szCs w:val="4"/>
                <w:color w:val="auto"/>
              </w:rPr>
            </w:pPr>
          </w:p>
        </w:tc>
        <w:tc>
          <w:tcPr>
            <w:tcW w:w="40" w:type="dxa"/>
            <w:vAlign w:val="bottom"/>
            <w:tcBorders>
              <w:top w:val="single" w:sz="8" w:color="auto"/>
              <w:bottom w:val="single" w:sz="8" w:color="auto"/>
            </w:tcBorders>
          </w:tcPr>
          <w:p>
            <w:pPr>
              <w:spacing w:after="0"/>
              <w:rPr>
                <w:sz w:val="4"/>
                <w:szCs w:val="4"/>
                <w:color w:val="auto"/>
              </w:rPr>
            </w:pPr>
          </w:p>
        </w:tc>
        <w:tc>
          <w:tcPr>
            <w:tcW w:w="740" w:type="dxa"/>
            <w:vAlign w:val="bottom"/>
            <w:tcBorders>
              <w:top w:val="single" w:sz="8" w:color="auto"/>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140" w:type="dxa"/>
            <w:vAlign w:val="bottom"/>
            <w:tcBorders>
              <w:top w:val="single" w:sz="8" w:color="auto"/>
              <w:bottom w:val="single" w:sz="8" w:color="auto"/>
            </w:tcBorders>
          </w:tcPr>
          <w:p>
            <w:pPr>
              <w:spacing w:after="0"/>
              <w:rPr>
                <w:sz w:val="4"/>
                <w:szCs w:val="4"/>
                <w:color w:val="auto"/>
              </w:rPr>
            </w:pPr>
          </w:p>
        </w:tc>
        <w:tc>
          <w:tcPr>
            <w:tcW w:w="720" w:type="dxa"/>
            <w:vAlign w:val="bottom"/>
            <w:tcBorders>
              <w:top w:val="single" w:sz="8" w:color="auto"/>
              <w:bottom w:val="single" w:sz="8" w:color="auto"/>
              <w:right w:val="single" w:sz="8" w:color="auto"/>
            </w:tcBorders>
          </w:tcPr>
          <w:p>
            <w:pPr>
              <w:spacing w:after="0"/>
              <w:rPr>
                <w:sz w:val="4"/>
                <w:szCs w:val="4"/>
                <w:color w:val="auto"/>
              </w:rPr>
            </w:pPr>
          </w:p>
        </w:tc>
      </w:tr>
    </w:tbl>
    <w:p>
      <w:pPr>
        <w:spacing w:after="0" w:line="305" w:lineRule="exact"/>
        <w:rPr>
          <w:sz w:val="20"/>
          <w:szCs w:val="20"/>
          <w:color w:val="auto"/>
        </w:rPr>
      </w:pPr>
    </w:p>
    <w:p>
      <w:pPr>
        <w:jc w:val="both"/>
        <w:ind w:left="340" w:right="20" w:hanging="332"/>
        <w:spacing w:after="0" w:line="239" w:lineRule="auto"/>
        <w:tabs>
          <w:tab w:leader="none" w:pos="331" w:val="left"/>
        </w:tabs>
        <w:numPr>
          <w:ilvl w:val="0"/>
          <w:numId w:val="25"/>
        </w:numPr>
        <w:rPr>
          <w:rFonts w:ascii="Calibri" w:cs="Calibri" w:eastAsia="Calibri" w:hAnsi="Calibri"/>
          <w:sz w:val="16"/>
          <w:szCs w:val="16"/>
          <w:color w:val="auto"/>
        </w:rPr>
      </w:pPr>
      <w:r>
        <w:rPr>
          <w:rFonts w:ascii="Calibri" w:cs="Calibri" w:eastAsia="Calibri" w:hAnsi="Calibri"/>
          <w:sz w:val="16"/>
          <w:szCs w:val="16"/>
          <w:color w:val="auto"/>
        </w:rPr>
        <w:t>“Audit Fees” for the fscal years ended December 31, 2023 and 2022 consist of fees billed for professional services rendered in connecton with the audits of our annual fnancial statements, reviews of our quarterly fnancial statements, and services that are provided in connecton with statutory or regulatory flings. This category also includes fees for audit services incurred in connecton with our business combinatons, including related registraton statements as applicable.</w:t>
      </w:r>
    </w:p>
    <w:p>
      <w:pPr>
        <w:spacing w:after="0" w:line="8" w:lineRule="exact"/>
        <w:rPr>
          <w:rFonts w:ascii="Calibri" w:cs="Calibri" w:eastAsia="Calibri" w:hAnsi="Calibri"/>
          <w:sz w:val="16"/>
          <w:szCs w:val="16"/>
          <w:color w:val="auto"/>
        </w:rPr>
      </w:pPr>
    </w:p>
    <w:p>
      <w:pPr>
        <w:ind w:left="320" w:hanging="312"/>
        <w:spacing w:after="0"/>
        <w:tabs>
          <w:tab w:leader="none" w:pos="320" w:val="left"/>
        </w:tabs>
        <w:numPr>
          <w:ilvl w:val="0"/>
          <w:numId w:val="25"/>
        </w:numPr>
        <w:rPr>
          <w:rFonts w:ascii="Calibri" w:cs="Calibri" w:eastAsia="Calibri" w:hAnsi="Calibri"/>
          <w:sz w:val="16"/>
          <w:szCs w:val="16"/>
          <w:color w:val="auto"/>
        </w:rPr>
      </w:pPr>
      <w:r>
        <w:rPr>
          <w:rFonts w:ascii="Calibri" w:cs="Calibri" w:eastAsia="Calibri" w:hAnsi="Calibri"/>
          <w:sz w:val="16"/>
          <w:szCs w:val="16"/>
          <w:color w:val="auto"/>
        </w:rPr>
        <w:t>“Audit-Related Fees” for the fscal year ended December 31, 2022, consists of atestaton and diligence services and related reports.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2760"/>
        <w:spacing w:after="0"/>
        <w:tabs>
          <w:tab w:leader="none" w:pos="7080" w:val="left"/>
          <w:tab w:leader="none" w:pos="8300" w:val="left"/>
        </w:tabs>
        <w:rPr>
          <w:sz w:val="20"/>
          <w:szCs w:val="20"/>
          <w:color w:val="auto"/>
        </w:rPr>
      </w:pPr>
      <w:r>
        <w:rPr>
          <w:rFonts w:ascii="Calibri" w:cs="Calibri" w:eastAsia="Calibri" w:hAnsi="Calibri"/>
          <w:sz w:val="16"/>
          <w:szCs w:val="16"/>
          <w:color w:val="auto"/>
        </w:rPr>
        <w:t>Alphareta, GA | New York, NY | Belfast, United Kingdom</w:t>
      </w:r>
      <w:r>
        <w:rPr>
          <w:sz w:val="20"/>
          <w:szCs w:val="20"/>
          <w:color w:val="auto"/>
        </w:rPr>
        <w:tab/>
      </w:r>
      <w:r>
        <w:rPr>
          <w:rFonts w:ascii="Calibri" w:cs="Calibri" w:eastAsia="Calibri" w:hAnsi="Calibri"/>
          <w:sz w:val="16"/>
          <w:szCs w:val="16"/>
          <w:color w:val="auto"/>
        </w:rPr>
        <w:t>www.bakkt.com</w:t>
      </w:r>
      <w:r>
        <w:rPr>
          <w:sz w:val="20"/>
          <w:szCs w:val="20"/>
          <w:color w:val="auto"/>
        </w:rPr>
        <w:tab/>
      </w:r>
      <w:r>
        <w:rPr>
          <w:rFonts w:ascii="Calibri" w:cs="Calibri" w:eastAsia="Calibri" w:hAnsi="Calibri"/>
          <w:sz w:val="17"/>
          <w:szCs w:val="17"/>
          <w:color w:val="auto"/>
        </w:rPr>
        <w:t>31</w:t>
      </w:r>
    </w:p>
    <w:p>
      <w:pPr>
        <w:sectPr>
          <w:pgSz w:w="11900" w:h="16838" w:orient="portrait"/>
          <w:cols w:equalWidth="0" w:num="1">
            <w:col w:w="11260"/>
          </w:cols>
          <w:pgMar w:left="320" w:top="1440" w:right="319" w:bottom="1440" w:gutter="0" w:footer="0" w:header="0"/>
        </w:sectPr>
      </w:pPr>
    </w:p>
    <w:bookmarkStart w:id="37" w:name="page38"/>
    <w:bookmarkEnd w:id="37"/>
    <w:p>
      <w:pPr>
        <w:spacing w:after="0" w:line="173" w:lineRule="exact"/>
        <w:rPr>
          <w:sz w:val="20"/>
          <w:szCs w:val="20"/>
          <w:color w:val="auto"/>
        </w:rPr>
      </w:pPr>
    </w:p>
    <w:p>
      <w:pPr>
        <w:spacing w:after="0"/>
        <w:rPr>
          <w:sz w:val="20"/>
          <w:szCs w:val="20"/>
          <w:color w:val="auto"/>
        </w:rPr>
      </w:pPr>
      <w:r>
        <w:rPr>
          <w:rFonts w:ascii="Calibri" w:cs="Calibri" w:eastAsia="Calibri" w:hAnsi="Calibri"/>
          <w:sz w:val="22"/>
          <w:szCs w:val="22"/>
          <w:b w:val="1"/>
          <w:bCs w:val="1"/>
          <w:color w:val="auto"/>
        </w:rPr>
        <w:t>Auditor Independence</w:t>
      </w:r>
    </w:p>
    <w:p>
      <w:pPr>
        <w:spacing w:after="0" w:line="215" w:lineRule="exact"/>
        <w:rPr>
          <w:sz w:val="20"/>
          <w:szCs w:val="20"/>
          <w:color w:val="auto"/>
        </w:rPr>
      </w:pPr>
    </w:p>
    <w:p>
      <w:pPr>
        <w:jc w:val="both"/>
        <w:spacing w:after="0" w:line="229" w:lineRule="auto"/>
        <w:rPr>
          <w:sz w:val="20"/>
          <w:szCs w:val="20"/>
          <w:color w:val="auto"/>
        </w:rPr>
      </w:pPr>
      <w:r>
        <w:rPr>
          <w:rFonts w:ascii="Calibri" w:cs="Calibri" w:eastAsia="Calibri" w:hAnsi="Calibri"/>
          <w:sz w:val="22"/>
          <w:szCs w:val="22"/>
          <w:color w:val="auto"/>
        </w:rPr>
        <w:t>In 2023, there were no other professional services provided by EY, other than those listed above, that would have required our audit and risk commitee to consider their compatbility with maintaining the independence of EY.</w:t>
      </w:r>
    </w:p>
    <w:p>
      <w:pPr>
        <w:spacing w:after="0" w:line="230" w:lineRule="exact"/>
        <w:rPr>
          <w:sz w:val="20"/>
          <w:szCs w:val="20"/>
          <w:color w:val="auto"/>
        </w:rPr>
      </w:pPr>
    </w:p>
    <w:p>
      <w:pPr>
        <w:ind w:right="420"/>
        <w:spacing w:after="0" w:line="229" w:lineRule="auto"/>
        <w:rPr>
          <w:sz w:val="20"/>
          <w:szCs w:val="20"/>
          <w:color w:val="auto"/>
        </w:rPr>
      </w:pPr>
      <w:r>
        <w:rPr>
          <w:rFonts w:ascii="Calibri" w:cs="Calibri" w:eastAsia="Calibri" w:hAnsi="Calibri"/>
          <w:sz w:val="22"/>
          <w:szCs w:val="22"/>
          <w:b w:val="1"/>
          <w:bCs w:val="1"/>
          <w:color w:val="auto"/>
        </w:rPr>
        <w:t>Audit and Risk commitee Policy on Pre-Approval of Audit and Permissible Non-Audit Services of Independent Registered Public Accountng Firm</w:t>
      </w:r>
    </w:p>
    <w:p>
      <w:pPr>
        <w:spacing w:after="0" w:line="217" w:lineRule="exact"/>
        <w:rPr>
          <w:sz w:val="20"/>
          <w:szCs w:val="20"/>
          <w:color w:val="auto"/>
        </w:rPr>
      </w:pPr>
    </w:p>
    <w:p>
      <w:pPr>
        <w:jc w:val="both"/>
        <w:spacing w:after="0" w:line="231" w:lineRule="auto"/>
        <w:rPr>
          <w:sz w:val="20"/>
          <w:szCs w:val="20"/>
          <w:color w:val="auto"/>
        </w:rPr>
      </w:pPr>
      <w:r>
        <w:rPr>
          <w:rFonts w:ascii="Calibri" w:cs="Calibri" w:eastAsia="Calibri" w:hAnsi="Calibri"/>
          <w:sz w:val="22"/>
          <w:szCs w:val="22"/>
          <w:color w:val="auto"/>
        </w:rPr>
        <w:t>Our audit and risk commitee has a policy governing our use of the services of our independent registered public accountng frm. Under this policy, our audit and risk commitee is required to preapprove all services performed by our independent registered public accountng frm in order to ensure that the provision of such services does not impair such accountng frm’s independence. All services provided by EY for our fscal year ended December 31, 2023 were preapproved by our audit and risk commitee.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ind w:left="2760"/>
        <w:spacing w:after="0"/>
        <w:tabs>
          <w:tab w:leader="none" w:pos="7080" w:val="left"/>
          <w:tab w:leader="none" w:pos="8300" w:val="left"/>
        </w:tabs>
        <w:rPr>
          <w:sz w:val="20"/>
          <w:szCs w:val="20"/>
          <w:color w:val="auto"/>
        </w:rPr>
      </w:pPr>
      <w:r>
        <w:rPr>
          <w:rFonts w:ascii="Calibri" w:cs="Calibri" w:eastAsia="Calibri" w:hAnsi="Calibri"/>
          <w:sz w:val="16"/>
          <w:szCs w:val="16"/>
          <w:color w:val="auto"/>
        </w:rPr>
        <w:t>Alphareta, GA | New York, NY | Belfast, United Kingdom</w:t>
      </w:r>
      <w:r>
        <w:rPr>
          <w:sz w:val="20"/>
          <w:szCs w:val="20"/>
          <w:color w:val="auto"/>
        </w:rPr>
        <w:tab/>
      </w:r>
      <w:r>
        <w:rPr>
          <w:rFonts w:ascii="Calibri" w:cs="Calibri" w:eastAsia="Calibri" w:hAnsi="Calibri"/>
          <w:sz w:val="16"/>
          <w:szCs w:val="16"/>
          <w:color w:val="auto"/>
        </w:rPr>
        <w:t>www.bakkt.com</w:t>
      </w:r>
      <w:r>
        <w:rPr>
          <w:sz w:val="20"/>
          <w:szCs w:val="20"/>
          <w:color w:val="auto"/>
        </w:rPr>
        <w:tab/>
      </w:r>
      <w:r>
        <w:rPr>
          <w:rFonts w:ascii="Calibri" w:cs="Calibri" w:eastAsia="Calibri" w:hAnsi="Calibri"/>
          <w:sz w:val="17"/>
          <w:szCs w:val="17"/>
          <w:color w:val="auto"/>
        </w:rPr>
        <w:t>32</w:t>
      </w:r>
    </w:p>
    <w:p>
      <w:pPr>
        <w:sectPr>
          <w:pgSz w:w="11900" w:h="16838" w:orient="portrait"/>
          <w:cols w:equalWidth="0" w:num="1">
            <w:col w:w="11240"/>
          </w:cols>
          <w:pgMar w:left="320" w:top="1440" w:right="339" w:bottom="1440" w:gutter="0" w:footer="0" w:header="0"/>
        </w:sectPr>
      </w:pPr>
    </w:p>
    <w:bookmarkStart w:id="38" w:name="page39"/>
    <w:bookmarkEnd w:id="38"/>
    <w:p>
      <w:pPr>
        <w:spacing w:after="0" w:line="167" w:lineRule="exact"/>
        <w:rPr>
          <w:sz w:val="20"/>
          <w:szCs w:val="20"/>
          <w:color w:val="auto"/>
        </w:rPr>
      </w:pPr>
    </w:p>
    <w:p>
      <w:pPr>
        <w:ind w:right="320"/>
        <w:spacing w:after="0" w:line="237" w:lineRule="auto"/>
        <w:rPr>
          <w:sz w:val="20"/>
          <w:szCs w:val="20"/>
          <w:color w:val="auto"/>
        </w:rPr>
      </w:pPr>
      <w:r>
        <w:rPr>
          <w:rFonts w:ascii="Calibri" w:cs="Calibri" w:eastAsia="Calibri" w:hAnsi="Calibri"/>
          <w:sz w:val="43"/>
          <w:szCs w:val="43"/>
          <w:color w:val="auto"/>
        </w:rPr>
        <w:t>Proposal No. 3: Approval of Amendment to 2021 Omnibus Incentve Plan to Increase the Number of Authorized Shares of Class A Common Stock Issuable Thereunder</w:t>
      </w:r>
    </w:p>
    <w:p>
      <w:pPr>
        <w:spacing w:after="0" w:line="218" w:lineRule="exact"/>
        <w:rPr>
          <w:sz w:val="20"/>
          <w:szCs w:val="20"/>
          <w:color w:val="auto"/>
        </w:rPr>
      </w:pPr>
    </w:p>
    <w:p>
      <w:pPr>
        <w:spacing w:after="0"/>
        <w:rPr>
          <w:sz w:val="20"/>
          <w:szCs w:val="20"/>
          <w:color w:val="auto"/>
        </w:rPr>
      </w:pPr>
      <w:r>
        <w:rPr>
          <w:rFonts w:ascii="Calibri" w:cs="Calibri" w:eastAsia="Calibri" w:hAnsi="Calibri"/>
          <w:sz w:val="29"/>
          <w:szCs w:val="29"/>
          <w:b w:val="1"/>
          <w:bCs w:val="1"/>
          <w:color w:val="auto"/>
        </w:rPr>
        <w:t>Background</w:t>
      </w:r>
    </w:p>
    <w:p>
      <w:pPr>
        <w:spacing w:after="0" w:line="239" w:lineRule="exact"/>
        <w:rPr>
          <w:sz w:val="20"/>
          <w:szCs w:val="20"/>
          <w:color w:val="auto"/>
        </w:rPr>
      </w:pPr>
    </w:p>
    <w:p>
      <w:pPr>
        <w:jc w:val="both"/>
        <w:spacing w:after="0" w:line="260" w:lineRule="auto"/>
        <w:rPr>
          <w:sz w:val="20"/>
          <w:szCs w:val="20"/>
          <w:color w:val="auto"/>
        </w:rPr>
      </w:pPr>
      <w:r>
        <w:rPr>
          <w:rFonts w:ascii="Calibri" w:cs="Calibri" w:eastAsia="Calibri" w:hAnsi="Calibri"/>
          <w:sz w:val="21"/>
          <w:szCs w:val="21"/>
          <w:color w:val="auto"/>
        </w:rPr>
        <w:t>On April 15, 2024, the Board approved an amendment (the “Amendment”) to the 2021 Omnibus Incentve Plan, as amended, to increase the number of authorized shares of Class A Common Stock issuable thereunder (the “2021 Omnibus Incentve Plan Amendment”), subject to stockholder approval, and accordingly, the Board directed that the 2021 Omnibus Incentve Plan Amendment be submited to the Company’s stockholders for approval at the annual meetng. The 2021 Omnibus Incentve Plan Amendment would increase by 23,465,639 shares (which number will be correspondingly adjusted to the extent the Proposed Reverse Stock Split is efected prior to the annual meetng) the number of authorized shares of Company common stock available for issuance under the 2021 Omnibus Incentve Plan from 52,407,412 shares to 75,873,051 shares (which number will be correspondingly adjusted to the extent the Proposed Reverse Stock Split is efected prior to the annual meetng).</w:t>
      </w:r>
    </w:p>
    <w:p>
      <w:pPr>
        <w:spacing w:after="0" w:line="222" w:lineRule="exact"/>
        <w:rPr>
          <w:sz w:val="20"/>
          <w:szCs w:val="20"/>
          <w:color w:val="auto"/>
        </w:rPr>
      </w:pPr>
    </w:p>
    <w:p>
      <w:pPr>
        <w:jc w:val="both"/>
        <w:spacing w:after="0" w:line="261" w:lineRule="auto"/>
        <w:rPr>
          <w:sz w:val="20"/>
          <w:szCs w:val="20"/>
          <w:color w:val="auto"/>
        </w:rPr>
      </w:pPr>
      <w:r>
        <w:rPr>
          <w:rFonts w:ascii="Calibri" w:cs="Calibri" w:eastAsia="Calibri" w:hAnsi="Calibri"/>
          <w:sz w:val="21"/>
          <w:szCs w:val="21"/>
          <w:color w:val="auto"/>
        </w:rPr>
        <w:t>We believe the Company must ofer a compettve equity incentve program if it is to successfully atract and retain the best possible candidates for positons of substantal responsibility within the Company. The 2021 Omnibus Incentve Plan is an important factor in atractng, retaining and rewarding high caliber employees who are essental to the Company’s success and in providing incentve to these individuals to promote the success of the Company. The purposes of the 2021 Omnibus Incentve Plan are to atract, retain and motvate ofcers and key employees (including prospectve employees), directors, consultants and others who may perform services for the Company to compensate them for their contributons to the long-term growth and profts of the Company and to encourage them to acquire a proprietary interest in the success of the Company.</w:t>
      </w:r>
    </w:p>
    <w:p>
      <w:pPr>
        <w:spacing w:after="0" w:line="209" w:lineRule="exact"/>
        <w:rPr>
          <w:sz w:val="20"/>
          <w:szCs w:val="20"/>
          <w:color w:val="auto"/>
        </w:rPr>
      </w:pPr>
    </w:p>
    <w:p>
      <w:pPr>
        <w:jc w:val="both"/>
        <w:spacing w:after="0" w:line="247" w:lineRule="auto"/>
        <w:rPr>
          <w:sz w:val="20"/>
          <w:szCs w:val="20"/>
          <w:color w:val="auto"/>
        </w:rPr>
      </w:pPr>
      <w:r>
        <w:rPr>
          <w:rFonts w:ascii="Calibri" w:cs="Calibri" w:eastAsia="Calibri" w:hAnsi="Calibri"/>
          <w:sz w:val="22"/>
          <w:szCs w:val="22"/>
          <w:color w:val="auto"/>
        </w:rPr>
        <w:t>Following the decrease in our share price, grant of 2023 annual awards and the grants made in connecton with the transiton of Mr. Main into the role of Chief Executve Ofcer and President, the remaining pool of incentve equity may be insufcient for 2024 annual grants or any interim grants if needed for new hires or other special circumstances. We are therefore seeking stockholder approval of a pool of 23,465,639 additonal shares (which number will be correspondingly adjusted to the extent the Proposed Reverse Stock Split is efected prior to the annual meetng) pursuant to the 2021 Omnibus Plan Amendment, which we antcipate will be sufcient for equity grants over the next two years. No other changes are being made to the 2021 Omnibus Incentve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2760"/>
        <w:spacing w:after="0"/>
        <w:tabs>
          <w:tab w:leader="none" w:pos="7080" w:val="left"/>
          <w:tab w:leader="none" w:pos="8300" w:val="left"/>
        </w:tabs>
        <w:rPr>
          <w:sz w:val="20"/>
          <w:szCs w:val="20"/>
          <w:color w:val="auto"/>
        </w:rPr>
      </w:pPr>
      <w:r>
        <w:rPr>
          <w:rFonts w:ascii="Calibri" w:cs="Calibri" w:eastAsia="Calibri" w:hAnsi="Calibri"/>
          <w:sz w:val="16"/>
          <w:szCs w:val="16"/>
          <w:color w:val="auto"/>
        </w:rPr>
        <w:t>Alphareta, GA | New York, NY | Belfast, United Kingdom</w:t>
      </w:r>
      <w:r>
        <w:rPr>
          <w:sz w:val="20"/>
          <w:szCs w:val="20"/>
          <w:color w:val="auto"/>
        </w:rPr>
        <w:tab/>
      </w:r>
      <w:r>
        <w:rPr>
          <w:rFonts w:ascii="Calibri" w:cs="Calibri" w:eastAsia="Calibri" w:hAnsi="Calibri"/>
          <w:sz w:val="16"/>
          <w:szCs w:val="16"/>
          <w:color w:val="auto"/>
        </w:rPr>
        <w:t>www.bakkt.com</w:t>
      </w:r>
      <w:r>
        <w:rPr>
          <w:sz w:val="20"/>
          <w:szCs w:val="20"/>
          <w:color w:val="auto"/>
        </w:rPr>
        <w:tab/>
      </w:r>
      <w:r>
        <w:rPr>
          <w:rFonts w:ascii="Calibri" w:cs="Calibri" w:eastAsia="Calibri" w:hAnsi="Calibri"/>
          <w:sz w:val="17"/>
          <w:szCs w:val="17"/>
          <w:color w:val="auto"/>
        </w:rPr>
        <w:t>33</w:t>
      </w:r>
    </w:p>
    <w:p>
      <w:pPr>
        <w:sectPr>
          <w:pgSz w:w="11900" w:h="16838" w:orient="portrait"/>
          <w:cols w:equalWidth="0" w:num="1">
            <w:col w:w="11240"/>
          </w:cols>
          <w:pgMar w:left="320" w:top="1440" w:right="339" w:bottom="1440" w:gutter="0" w:footer="0" w:header="0"/>
        </w:sectPr>
      </w:pPr>
    </w:p>
    <w:bookmarkStart w:id="39" w:name="page40"/>
    <w:bookmarkEnd w:id="39"/>
    <w:p>
      <w:pPr>
        <w:spacing w:after="0" w:line="197" w:lineRule="exact"/>
        <w:rPr>
          <w:sz w:val="20"/>
          <w:szCs w:val="20"/>
          <w:color w:val="auto"/>
        </w:rPr>
      </w:pPr>
    </w:p>
    <w:p>
      <w:pPr>
        <w:jc w:val="both"/>
        <w:spacing w:after="0" w:line="241" w:lineRule="auto"/>
        <w:rPr>
          <w:sz w:val="20"/>
          <w:szCs w:val="20"/>
          <w:color w:val="auto"/>
        </w:rPr>
      </w:pPr>
      <w:r>
        <w:rPr>
          <w:rFonts w:ascii="Calibri" w:cs="Calibri" w:eastAsia="Calibri" w:hAnsi="Calibri"/>
          <w:sz w:val="22"/>
          <w:szCs w:val="22"/>
          <w:color w:val="auto"/>
        </w:rPr>
        <w:t>Stockholder approval of the 2021 Omnibus Incentve Plan Amendment is being sought in order to (i) meet NYSE listng requirements and (ii) allow for incentve stock optons to meet the requirements of the Internal Revenue Code of 1986, as amended.</w:t>
      </w:r>
    </w:p>
    <w:p>
      <w:pPr>
        <w:spacing w:after="0" w:line="244" w:lineRule="exact"/>
        <w:rPr>
          <w:sz w:val="20"/>
          <w:szCs w:val="20"/>
          <w:color w:val="auto"/>
        </w:rPr>
      </w:pPr>
    </w:p>
    <w:p>
      <w:pPr>
        <w:jc w:val="both"/>
        <w:spacing w:after="0" w:line="247" w:lineRule="auto"/>
        <w:rPr>
          <w:sz w:val="20"/>
          <w:szCs w:val="20"/>
          <w:color w:val="auto"/>
        </w:rPr>
      </w:pPr>
      <w:r>
        <w:rPr>
          <w:rFonts w:ascii="Calibri" w:cs="Calibri" w:eastAsia="Calibri" w:hAnsi="Calibri"/>
          <w:sz w:val="22"/>
          <w:szCs w:val="22"/>
          <w:color w:val="auto"/>
        </w:rPr>
        <w:t>The amended 2021 Omnibus Incentve Plan will enable the Company to contnue its compensaton program that is intended to atract, retain, incentvize and reward talented and qualifed employees and align them with achieving Bakkt’s goals and increasing stockholder value. If the 2021 Omnibus Incentve Plan Amendment is not approved by our stockholders at the annual meetng, we will contnue to be able to grant awards under the 2021 Omnibus Incentve Plan, but, as of March 31, 2024, only 11,912,638 shares (which number will be correspondingly adjusted to the extent the Proposed Reverse Stock Split is efected prior to the annual meetng) will be available for grant under the 2021 Omnibus Incentve Plan, subject to adjustment in accordance with the terms of the plan.</w:t>
      </w:r>
    </w:p>
    <w:p>
      <w:pPr>
        <w:spacing w:after="0" w:line="225" w:lineRule="exact"/>
        <w:rPr>
          <w:sz w:val="20"/>
          <w:szCs w:val="20"/>
          <w:color w:val="auto"/>
        </w:rPr>
      </w:pPr>
    </w:p>
    <w:p>
      <w:pPr>
        <w:jc w:val="both"/>
        <w:spacing w:after="0" w:line="248" w:lineRule="auto"/>
        <w:rPr>
          <w:sz w:val="20"/>
          <w:szCs w:val="20"/>
          <w:color w:val="auto"/>
        </w:rPr>
      </w:pPr>
      <w:r>
        <w:rPr>
          <w:rFonts w:ascii="Calibri" w:cs="Calibri" w:eastAsia="Calibri" w:hAnsi="Calibri"/>
          <w:sz w:val="22"/>
          <w:szCs w:val="22"/>
          <w:color w:val="auto"/>
        </w:rPr>
        <w:t>As of March 31, 2024, the total awards issued and outstanding or reserved for issuance under the 2021 Plan is 27,455,842, all representng full value awards, and the total number of available shares under the 2021 Omnibus Incentve Plan is 11,912,638. As of March 31, 2024, we have 146,426,349 shares of our Class A Common Stock and 179,883,479 shares of Class V Common Stock outstanding. Please note that we have called the Special Meetng to be held on April 23, 2024 to consider, among other things, the Proposed Reverse Stock Split, which, if efected, would result in a reverse stock split of our outstanding common stock at a rato equal to 1-for-25 and, contemporaneously with the Proposed Reverse Stock Split, a reducton in the number of authorized shares of common stock by a rato corresponding to that efected in the Proposed Reverse Stock Split. This proposal relatng to the approval of an amendment to the 2021 Omnibus Incentve Plan to increase the number of authorized shares of Class A Common Stock issuable thereunder to 75,873,051 shares does not refect the potental impact of the Proposed Reverse Stock Split. If we efect the Potental Reverse Stock Split prior to the annual meetng, this proposal will be automatcally adjusted such that we will be instead seeking the approval of an amendment to the 2021 Omnibus Incentve Plan to increase the number of authorized shares of Class A Common Stock thereunder by 938,626 shares, which, if approved, would result in the total number of shares of Class A Common Stock issuable under the 2021 Omnibus Plan following such potental increase being 3,034,922 shares. Unless otherwise noted, share counts, prices per share and related informaton presented herein does not give efect to the Proposed Reverse Stock Split.</w:t>
      </w:r>
    </w:p>
    <w:p>
      <w:pPr>
        <w:spacing w:after="0" w:line="212" w:lineRule="exact"/>
        <w:rPr>
          <w:sz w:val="20"/>
          <w:szCs w:val="20"/>
          <w:color w:val="auto"/>
        </w:rPr>
      </w:pPr>
    </w:p>
    <w:p>
      <w:pPr>
        <w:spacing w:after="0"/>
        <w:rPr>
          <w:sz w:val="20"/>
          <w:szCs w:val="20"/>
          <w:color w:val="auto"/>
        </w:rPr>
      </w:pPr>
      <w:r>
        <w:rPr>
          <w:rFonts w:ascii="Calibri" w:cs="Calibri" w:eastAsia="Calibri" w:hAnsi="Calibri"/>
          <w:sz w:val="29"/>
          <w:szCs w:val="29"/>
          <w:b w:val="1"/>
          <w:bCs w:val="1"/>
          <w:color w:val="auto"/>
        </w:rPr>
        <w:t>Descripton of the 2021 Omnibus Incentve Plan</w:t>
      </w:r>
    </w:p>
    <w:p>
      <w:pPr>
        <w:spacing w:after="0" w:line="212" w:lineRule="exact"/>
        <w:rPr>
          <w:sz w:val="20"/>
          <w:szCs w:val="20"/>
          <w:color w:val="auto"/>
        </w:rPr>
      </w:pPr>
    </w:p>
    <w:p>
      <w:pPr>
        <w:jc w:val="both"/>
        <w:spacing w:after="0" w:line="232" w:lineRule="auto"/>
        <w:rPr>
          <w:sz w:val="20"/>
          <w:szCs w:val="20"/>
          <w:color w:val="auto"/>
        </w:rPr>
      </w:pPr>
      <w:r>
        <w:rPr>
          <w:rFonts w:ascii="Calibri" w:cs="Calibri" w:eastAsia="Calibri" w:hAnsi="Calibri"/>
          <w:sz w:val="22"/>
          <w:szCs w:val="22"/>
          <w:color w:val="auto"/>
        </w:rPr>
        <w:t>The following is a brief descripton of the material features of the 2021 Omnibus Incentve Plan, including the proposed 2021 Omnibus Incentve Plan Amendment. This descripton is qualifed in its entrety by reference to the full text of the Amendment to the 2021 Omnibus Incentve Plan and the 2021 Omnibus Incentve Plan. The proposed Amendment to the 2021 Omnibus Incentve Plan is atached to this proxy statement as Annex A.</w:t>
      </w:r>
    </w:p>
    <w:p>
      <w:pPr>
        <w:spacing w:after="0" w:line="217" w:lineRule="exact"/>
        <w:rPr>
          <w:sz w:val="20"/>
          <w:szCs w:val="20"/>
          <w:color w:val="auto"/>
        </w:rPr>
      </w:pPr>
    </w:p>
    <w:p>
      <w:pPr>
        <w:jc w:val="both"/>
        <w:spacing w:after="0" w:line="229" w:lineRule="auto"/>
        <w:rPr>
          <w:sz w:val="20"/>
          <w:szCs w:val="20"/>
          <w:color w:val="auto"/>
        </w:rPr>
      </w:pPr>
      <w:r>
        <w:rPr>
          <w:rFonts w:ascii="Calibri" w:cs="Calibri" w:eastAsia="Calibri" w:hAnsi="Calibri"/>
          <w:sz w:val="22"/>
          <w:szCs w:val="22"/>
          <w:b w:val="1"/>
          <w:bCs w:val="1"/>
          <w:color w:val="auto"/>
        </w:rPr>
        <w:t>Adjustments</w:t>
      </w:r>
      <w:r>
        <w:rPr>
          <w:rFonts w:ascii="Calibri" w:cs="Calibri" w:eastAsia="Calibri" w:hAnsi="Calibri"/>
          <w:sz w:val="22"/>
          <w:szCs w:val="22"/>
          <w:color w:val="auto"/>
        </w:rPr>
        <w:t>. In the event of a recapitalizaton, stock split, reverse stock split, stock dividend, spinof, split up, combinaton,</w:t>
      </w:r>
      <w:r>
        <w:rPr>
          <w:rFonts w:ascii="Calibri" w:cs="Calibri" w:eastAsia="Calibri" w:hAnsi="Calibri"/>
          <w:sz w:val="22"/>
          <w:szCs w:val="22"/>
          <w:b w:val="1"/>
          <w:bCs w:val="1"/>
          <w:color w:val="auto"/>
        </w:rPr>
        <w:t xml:space="preserve"> </w:t>
      </w:r>
      <w:r>
        <w:rPr>
          <w:rFonts w:ascii="Calibri" w:cs="Calibri" w:eastAsia="Calibri" w:hAnsi="Calibri"/>
          <w:sz w:val="22"/>
          <w:szCs w:val="22"/>
          <w:color w:val="auto"/>
        </w:rPr>
        <w:t>reclassifcaton or exchange of shares, merger, consolidaton, rights ofering,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left="2760"/>
        <w:spacing w:after="0"/>
        <w:tabs>
          <w:tab w:leader="none" w:pos="7080" w:val="left"/>
          <w:tab w:leader="none" w:pos="8300" w:val="left"/>
        </w:tabs>
        <w:rPr>
          <w:sz w:val="20"/>
          <w:szCs w:val="20"/>
          <w:color w:val="auto"/>
        </w:rPr>
      </w:pPr>
      <w:r>
        <w:rPr>
          <w:rFonts w:ascii="Calibri" w:cs="Calibri" w:eastAsia="Calibri" w:hAnsi="Calibri"/>
          <w:sz w:val="16"/>
          <w:szCs w:val="16"/>
          <w:color w:val="auto"/>
        </w:rPr>
        <w:t>Alphareta, GA | New York, NY | Belfast, United Kingdom</w:t>
      </w:r>
      <w:r>
        <w:rPr>
          <w:sz w:val="20"/>
          <w:szCs w:val="20"/>
          <w:color w:val="auto"/>
        </w:rPr>
        <w:tab/>
      </w:r>
      <w:r>
        <w:rPr>
          <w:rFonts w:ascii="Calibri" w:cs="Calibri" w:eastAsia="Calibri" w:hAnsi="Calibri"/>
          <w:sz w:val="16"/>
          <w:szCs w:val="16"/>
          <w:color w:val="auto"/>
        </w:rPr>
        <w:t>www.bakkt.com</w:t>
      </w:r>
      <w:r>
        <w:rPr>
          <w:sz w:val="20"/>
          <w:szCs w:val="20"/>
          <w:color w:val="auto"/>
        </w:rPr>
        <w:tab/>
      </w:r>
      <w:r>
        <w:rPr>
          <w:rFonts w:ascii="Calibri" w:cs="Calibri" w:eastAsia="Calibri" w:hAnsi="Calibri"/>
          <w:sz w:val="17"/>
          <w:szCs w:val="17"/>
          <w:color w:val="auto"/>
        </w:rPr>
        <w:t>34</w:t>
      </w:r>
    </w:p>
    <w:p>
      <w:pPr>
        <w:sectPr>
          <w:pgSz w:w="11900" w:h="16838" w:orient="portrait"/>
          <w:cols w:equalWidth="0" w:num="1">
            <w:col w:w="11240"/>
          </w:cols>
          <w:pgMar w:left="320" w:top="1440" w:right="339" w:bottom="1440" w:gutter="0" w:footer="0" w:header="0"/>
        </w:sectPr>
      </w:pPr>
    </w:p>
    <w:bookmarkStart w:id="40" w:name="page41"/>
    <w:bookmarkEnd w:id="40"/>
    <w:p>
      <w:pPr>
        <w:spacing w:after="0" w:line="184" w:lineRule="exact"/>
        <w:rPr>
          <w:sz w:val="20"/>
          <w:szCs w:val="20"/>
          <w:color w:val="auto"/>
        </w:rPr>
      </w:pPr>
    </w:p>
    <w:p>
      <w:pPr>
        <w:jc w:val="both"/>
        <w:spacing w:after="0" w:line="231" w:lineRule="auto"/>
        <w:rPr>
          <w:sz w:val="20"/>
          <w:szCs w:val="20"/>
          <w:color w:val="auto"/>
        </w:rPr>
      </w:pPr>
      <w:r>
        <w:rPr>
          <w:rFonts w:ascii="Calibri" w:cs="Calibri" w:eastAsia="Calibri" w:hAnsi="Calibri"/>
          <w:sz w:val="22"/>
          <w:szCs w:val="22"/>
          <w:color w:val="auto"/>
        </w:rPr>
        <w:t>separaton, reorganizaton or liquidaton or any other change in the corporate structure or shares, including any extraordinary dividend or extraordinary distributon that results in any increase or decrease in the number of issued shares, the Commitee (as defned below) has the authority to make appropriate adjustments to the aggregate number of shares and class of shares as to which awards may be granted, the limitatons as to grants to non-employee directors, the number of shares covered by each outstanding award and the opton price for each related outstanding opton and stock appreciaton right.</w:t>
      </w:r>
    </w:p>
    <w:p>
      <w:pPr>
        <w:spacing w:after="0" w:line="220" w:lineRule="exact"/>
        <w:rPr>
          <w:sz w:val="20"/>
          <w:szCs w:val="20"/>
          <w:color w:val="auto"/>
        </w:rPr>
      </w:pPr>
    </w:p>
    <w:p>
      <w:pPr>
        <w:jc w:val="both"/>
        <w:spacing w:after="0" w:line="231" w:lineRule="auto"/>
        <w:rPr>
          <w:sz w:val="20"/>
          <w:szCs w:val="20"/>
          <w:color w:val="auto"/>
        </w:rPr>
      </w:pPr>
      <w:r>
        <w:rPr>
          <w:rFonts w:ascii="Calibri" w:cs="Calibri" w:eastAsia="Calibri" w:hAnsi="Calibri"/>
          <w:sz w:val="22"/>
          <w:szCs w:val="22"/>
          <w:b w:val="1"/>
          <w:bCs w:val="1"/>
          <w:color w:val="auto"/>
        </w:rPr>
        <w:t xml:space="preserve">Administraton. </w:t>
      </w:r>
      <w:r>
        <w:rPr>
          <w:rFonts w:ascii="Calibri" w:cs="Calibri" w:eastAsia="Calibri" w:hAnsi="Calibri"/>
          <w:sz w:val="22"/>
          <w:szCs w:val="22"/>
          <w:color w:val="auto"/>
        </w:rPr>
        <w:t>The Compensaton Commitee of the Company’s Board of Directors (the “Commitee”) administers the 2021</w:t>
      </w:r>
      <w:r>
        <w:rPr>
          <w:rFonts w:ascii="Calibri" w:cs="Calibri" w:eastAsia="Calibri" w:hAnsi="Calibri"/>
          <w:sz w:val="22"/>
          <w:szCs w:val="22"/>
          <w:b w:val="1"/>
          <w:bCs w:val="1"/>
          <w:color w:val="auto"/>
        </w:rPr>
        <w:t xml:space="preserve"> </w:t>
      </w:r>
      <w:r>
        <w:rPr>
          <w:rFonts w:ascii="Calibri" w:cs="Calibri" w:eastAsia="Calibri" w:hAnsi="Calibri"/>
          <w:sz w:val="22"/>
          <w:szCs w:val="22"/>
          <w:color w:val="auto"/>
        </w:rPr>
        <w:t>Omnibus Incentve Plan provided that such Commitee consist of at least two members of the Company Board, each of whom qualifes as a non-employee director under Rule 16b-3 of the Exchange Act, and as an independent director under the rules of the stock exchange for so long as the Company is a publicly traded corporaton. Subject to the provisions of the 2021 Omnibus Incentve Plan, the Commitee has the power to administer the 2021 Omnibus Incentve Plan, including but not limited to, the authority to (a) construe, interpret and implement the 2021 Omnibus Incentve Plan and each award, (b) make all determinatons necessary or advisable in administering the 2021 Omnibus Incentve Plan, I direct the Company to grant awards pursuant to the 2021 Omnibus Incentve Plan, (d) determine the grantees to whom and the tmes at which awards will be granted, (e) determine the price at which optons are granted, (f) determine the type of opton to be awarded and the number of shares subject to such opton, (g) determine the number of shares granted pursuant to each award and (h) approve the form and terms and conditons of the award documents and of each award. The Commitee’s interpretaton and constructon of any provisions of the 2021 Omnibus Incentve Plan or any award are fnal, binding and conclusive.</w:t>
      </w:r>
    </w:p>
    <w:p>
      <w:pPr>
        <w:spacing w:after="0" w:line="219" w:lineRule="exact"/>
        <w:rPr>
          <w:sz w:val="20"/>
          <w:szCs w:val="20"/>
          <w:color w:val="auto"/>
        </w:rPr>
      </w:pPr>
    </w:p>
    <w:p>
      <w:pPr>
        <w:jc w:val="both"/>
        <w:spacing w:after="0" w:line="231" w:lineRule="auto"/>
        <w:rPr>
          <w:sz w:val="20"/>
          <w:szCs w:val="20"/>
          <w:color w:val="auto"/>
        </w:rPr>
      </w:pPr>
      <w:r>
        <w:rPr>
          <w:rFonts w:ascii="Calibri" w:cs="Calibri" w:eastAsia="Calibri" w:hAnsi="Calibri"/>
          <w:sz w:val="22"/>
          <w:szCs w:val="22"/>
          <w:b w:val="1"/>
          <w:bCs w:val="1"/>
          <w:color w:val="auto"/>
        </w:rPr>
        <w:t>Eligibility</w:t>
      </w:r>
      <w:r>
        <w:rPr>
          <w:rFonts w:ascii="Calibri" w:cs="Calibri" w:eastAsia="Calibri" w:hAnsi="Calibri"/>
          <w:sz w:val="22"/>
          <w:szCs w:val="22"/>
          <w:color w:val="auto"/>
        </w:rPr>
        <w:t>. Awards may be granted to employees, non-employee directors, consultants and advisors of the Company and any</w:t>
      </w:r>
      <w:r>
        <w:rPr>
          <w:rFonts w:ascii="Calibri" w:cs="Calibri" w:eastAsia="Calibri" w:hAnsi="Calibri"/>
          <w:sz w:val="22"/>
          <w:szCs w:val="22"/>
          <w:b w:val="1"/>
          <w:bCs w:val="1"/>
          <w:color w:val="auto"/>
        </w:rPr>
        <w:t xml:space="preserve"> </w:t>
      </w:r>
      <w:r>
        <w:rPr>
          <w:rFonts w:ascii="Calibri" w:cs="Calibri" w:eastAsia="Calibri" w:hAnsi="Calibri"/>
          <w:sz w:val="22"/>
          <w:szCs w:val="22"/>
          <w:color w:val="auto"/>
        </w:rPr>
        <w:t>parent or subsidiary corporaton of the Company. Incentve stock optons may be granted only to employees who, as of the tme of grant, are employees of the Company or any parent or subsidiary corporaton of the Company. As of March 31, 2024, the Company and its subsidiaries have approximately 766 employees (including all of the Company’s ofcers), seven non-employee directors and 119 consultants and other service providers who may be eligible for awards.</w:t>
      </w:r>
    </w:p>
    <w:p>
      <w:pPr>
        <w:spacing w:after="0" w:line="220" w:lineRule="exact"/>
        <w:rPr>
          <w:sz w:val="20"/>
          <w:szCs w:val="20"/>
          <w:color w:val="auto"/>
        </w:rPr>
      </w:pPr>
    </w:p>
    <w:p>
      <w:pPr>
        <w:jc w:val="both"/>
        <w:spacing w:after="0" w:line="233" w:lineRule="auto"/>
        <w:rPr>
          <w:sz w:val="20"/>
          <w:szCs w:val="20"/>
          <w:color w:val="auto"/>
        </w:rPr>
      </w:pPr>
      <w:r>
        <w:rPr>
          <w:rFonts w:ascii="Calibri" w:cs="Calibri" w:eastAsia="Calibri" w:hAnsi="Calibri"/>
          <w:sz w:val="22"/>
          <w:szCs w:val="22"/>
          <w:b w:val="1"/>
          <w:bCs w:val="1"/>
          <w:color w:val="auto"/>
        </w:rPr>
        <w:t>Type of Awards</w:t>
      </w:r>
      <w:r>
        <w:rPr>
          <w:rFonts w:ascii="Calibri" w:cs="Calibri" w:eastAsia="Calibri" w:hAnsi="Calibri"/>
          <w:sz w:val="22"/>
          <w:szCs w:val="22"/>
          <w:color w:val="auto"/>
        </w:rPr>
        <w:t>. The Commitee is authorized to grant awards payable in either shares or cash, including optons to purchase</w:t>
      </w:r>
      <w:r>
        <w:rPr>
          <w:rFonts w:ascii="Calibri" w:cs="Calibri" w:eastAsia="Calibri" w:hAnsi="Calibri"/>
          <w:sz w:val="22"/>
          <w:szCs w:val="22"/>
          <w:b w:val="1"/>
          <w:bCs w:val="1"/>
          <w:color w:val="auto"/>
        </w:rPr>
        <w:t xml:space="preserve"> </w:t>
      </w:r>
      <w:r>
        <w:rPr>
          <w:rFonts w:ascii="Calibri" w:cs="Calibri" w:eastAsia="Calibri" w:hAnsi="Calibri"/>
          <w:sz w:val="22"/>
          <w:szCs w:val="22"/>
          <w:color w:val="auto"/>
        </w:rPr>
        <w:t>shares, restricted shares, SARs, restricted stock units, and dividend equivalents, which may be subject to one or more performance goals.</w:t>
      </w:r>
    </w:p>
    <w:p>
      <w:pPr>
        <w:spacing w:after="0" w:line="217" w:lineRule="exact"/>
        <w:rPr>
          <w:sz w:val="20"/>
          <w:szCs w:val="20"/>
          <w:color w:val="auto"/>
        </w:rPr>
      </w:pPr>
    </w:p>
    <w:p>
      <w:pPr>
        <w:jc w:val="both"/>
        <w:spacing w:after="0" w:line="229" w:lineRule="auto"/>
        <w:rPr>
          <w:sz w:val="20"/>
          <w:szCs w:val="20"/>
          <w:color w:val="auto"/>
        </w:rPr>
      </w:pPr>
      <w:r>
        <w:rPr>
          <w:rFonts w:ascii="Calibri" w:cs="Calibri" w:eastAsia="Calibri" w:hAnsi="Calibri"/>
          <w:sz w:val="22"/>
          <w:szCs w:val="22"/>
          <w:b w:val="1"/>
          <w:bCs w:val="1"/>
          <w:color w:val="auto"/>
        </w:rPr>
        <w:t>Terms and Conditons of Awards</w:t>
      </w:r>
      <w:r>
        <w:rPr>
          <w:rFonts w:ascii="Calibri" w:cs="Calibri" w:eastAsia="Calibri" w:hAnsi="Calibri"/>
          <w:sz w:val="22"/>
          <w:szCs w:val="22"/>
          <w:color w:val="auto"/>
        </w:rPr>
        <w:t>. The Commitee will determine the size of each award to be granted, and all other terms and</w:t>
      </w:r>
      <w:r>
        <w:rPr>
          <w:rFonts w:ascii="Calibri" w:cs="Calibri" w:eastAsia="Calibri" w:hAnsi="Calibri"/>
          <w:sz w:val="22"/>
          <w:szCs w:val="22"/>
          <w:b w:val="1"/>
          <w:bCs w:val="1"/>
          <w:color w:val="auto"/>
        </w:rPr>
        <w:t xml:space="preserve"> </w:t>
      </w:r>
      <w:r>
        <w:rPr>
          <w:rFonts w:ascii="Calibri" w:cs="Calibri" w:eastAsia="Calibri" w:hAnsi="Calibri"/>
          <w:sz w:val="22"/>
          <w:szCs w:val="22"/>
          <w:color w:val="auto"/>
        </w:rPr>
        <w:t>conditons of each award (including when such awards will be granted, the efect of a terminaton of employment or service of such awards, the vestng and/or lapse of restrictons on awards upon the atainment of performance goals and/or contnued service). However, awards granted under the 2021 Omnibus Incentve Plan are subject to the following conditons:</w:t>
      </w:r>
    </w:p>
    <w:p>
      <w:pPr>
        <w:spacing w:after="0" w:line="136" w:lineRule="exact"/>
        <w:rPr>
          <w:sz w:val="20"/>
          <w:szCs w:val="20"/>
          <w:color w:val="auto"/>
        </w:rPr>
      </w:pPr>
    </w:p>
    <w:p>
      <w:pPr>
        <w:jc w:val="both"/>
        <w:ind w:left="520" w:hanging="318"/>
        <w:spacing w:after="0" w:line="233" w:lineRule="auto"/>
        <w:tabs>
          <w:tab w:leader="none" w:pos="515" w:val="left"/>
        </w:tabs>
        <w:numPr>
          <w:ilvl w:val="0"/>
          <w:numId w:val="26"/>
        </w:numPr>
        <w:rPr>
          <w:rFonts w:ascii="Times New Roman" w:cs="Times New Roman" w:eastAsia="Times New Roman" w:hAnsi="Times New Roman"/>
          <w:sz w:val="22"/>
          <w:szCs w:val="22"/>
          <w:color w:val="auto"/>
        </w:rPr>
      </w:pPr>
      <w:r>
        <w:rPr>
          <w:rFonts w:ascii="Calibri" w:cs="Calibri" w:eastAsia="Calibri" w:hAnsi="Calibri"/>
          <w:sz w:val="22"/>
          <w:szCs w:val="22"/>
          <w:color w:val="auto"/>
        </w:rPr>
        <w:t>No stock optons or SARs will be exercisable afer the expiraton of ten (10) years (or in the case of incentve stock optons granted to any holder of at least 10% of the total combined votng power of all classes of stock of the Company or any subsidiary or parent of the Company, fve (5) years) from the date of grant;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left="2760"/>
        <w:spacing w:after="0"/>
        <w:tabs>
          <w:tab w:leader="none" w:pos="7080" w:val="left"/>
          <w:tab w:leader="none" w:pos="8300" w:val="left"/>
        </w:tabs>
        <w:rPr>
          <w:sz w:val="20"/>
          <w:szCs w:val="20"/>
          <w:color w:val="auto"/>
        </w:rPr>
      </w:pPr>
      <w:r>
        <w:rPr>
          <w:rFonts w:ascii="Calibri" w:cs="Calibri" w:eastAsia="Calibri" w:hAnsi="Calibri"/>
          <w:sz w:val="16"/>
          <w:szCs w:val="16"/>
          <w:color w:val="auto"/>
        </w:rPr>
        <w:t>Alphareta, GA | New York, NY | Belfast, United Kingdom</w:t>
      </w:r>
      <w:r>
        <w:rPr>
          <w:sz w:val="20"/>
          <w:szCs w:val="20"/>
          <w:color w:val="auto"/>
        </w:rPr>
        <w:tab/>
      </w:r>
      <w:r>
        <w:rPr>
          <w:rFonts w:ascii="Calibri" w:cs="Calibri" w:eastAsia="Calibri" w:hAnsi="Calibri"/>
          <w:sz w:val="16"/>
          <w:szCs w:val="16"/>
          <w:color w:val="auto"/>
        </w:rPr>
        <w:t>www.bakkt.com</w:t>
      </w:r>
      <w:r>
        <w:rPr>
          <w:sz w:val="20"/>
          <w:szCs w:val="20"/>
          <w:color w:val="auto"/>
        </w:rPr>
        <w:tab/>
      </w:r>
      <w:r>
        <w:rPr>
          <w:rFonts w:ascii="Calibri" w:cs="Calibri" w:eastAsia="Calibri" w:hAnsi="Calibri"/>
          <w:sz w:val="17"/>
          <w:szCs w:val="17"/>
          <w:color w:val="auto"/>
        </w:rPr>
        <w:t>35</w:t>
      </w:r>
    </w:p>
    <w:p>
      <w:pPr>
        <w:sectPr>
          <w:pgSz w:w="11900" w:h="16838" w:orient="portrait"/>
          <w:cols w:equalWidth="0" w:num="1">
            <w:col w:w="11240"/>
          </w:cols>
          <w:pgMar w:left="320" w:top="1440" w:right="339" w:bottom="1440" w:gutter="0" w:footer="0" w:header="0"/>
        </w:sectPr>
      </w:pPr>
    </w:p>
    <w:bookmarkStart w:id="41" w:name="page42"/>
    <w:bookmarkEnd w:id="41"/>
    <w:p>
      <w:pPr>
        <w:spacing w:after="0" w:line="103" w:lineRule="exact"/>
        <w:rPr>
          <w:sz w:val="20"/>
          <w:szCs w:val="20"/>
          <w:color w:val="auto"/>
        </w:rPr>
      </w:pPr>
    </w:p>
    <w:p>
      <w:pPr>
        <w:jc w:val="both"/>
        <w:ind w:left="520" w:hanging="318"/>
        <w:spacing w:after="0" w:line="232" w:lineRule="auto"/>
        <w:tabs>
          <w:tab w:leader="none" w:pos="515" w:val="left"/>
        </w:tabs>
        <w:numPr>
          <w:ilvl w:val="0"/>
          <w:numId w:val="27"/>
        </w:numPr>
        <w:rPr>
          <w:rFonts w:ascii="Times New Roman" w:cs="Times New Roman" w:eastAsia="Times New Roman" w:hAnsi="Times New Roman"/>
          <w:sz w:val="22"/>
          <w:szCs w:val="22"/>
          <w:color w:val="auto"/>
        </w:rPr>
      </w:pPr>
      <w:r>
        <w:rPr>
          <w:rFonts w:ascii="Calibri" w:cs="Calibri" w:eastAsia="Calibri" w:hAnsi="Calibri"/>
          <w:sz w:val="22"/>
          <w:szCs w:val="22"/>
          <w:color w:val="auto"/>
        </w:rPr>
        <w:t>The exercise price per share for each stock opton or SAR may not have an exercise price less than 100% (or in the case of incentve stock optons granted to any holder of at least 10% of the total combined votng power of all classes of stock of the Company or any subsidiary or parent of the Company, 110%) of the fair market value of the shares on the date of grant;</w:t>
      </w:r>
    </w:p>
    <w:p>
      <w:pPr>
        <w:spacing w:after="0" w:line="136" w:lineRule="exact"/>
        <w:rPr>
          <w:rFonts w:ascii="Times New Roman" w:cs="Times New Roman" w:eastAsia="Times New Roman" w:hAnsi="Times New Roman"/>
          <w:sz w:val="22"/>
          <w:szCs w:val="22"/>
          <w:color w:val="auto"/>
        </w:rPr>
      </w:pPr>
    </w:p>
    <w:p>
      <w:pPr>
        <w:ind w:left="520" w:hanging="318"/>
        <w:spacing w:after="0" w:line="229" w:lineRule="auto"/>
        <w:tabs>
          <w:tab w:leader="none" w:pos="515" w:val="left"/>
        </w:tabs>
        <w:numPr>
          <w:ilvl w:val="0"/>
          <w:numId w:val="27"/>
        </w:numPr>
        <w:rPr>
          <w:rFonts w:ascii="Times New Roman" w:cs="Times New Roman" w:eastAsia="Times New Roman" w:hAnsi="Times New Roman"/>
          <w:sz w:val="22"/>
          <w:szCs w:val="22"/>
          <w:color w:val="auto"/>
        </w:rPr>
      </w:pPr>
      <w:r>
        <w:rPr>
          <w:rFonts w:ascii="Calibri" w:cs="Calibri" w:eastAsia="Calibri" w:hAnsi="Calibri"/>
          <w:sz w:val="22"/>
          <w:szCs w:val="22"/>
          <w:color w:val="auto"/>
        </w:rPr>
        <w:t>dividend and dividend equivalents will not be paid with respect to unvested shares or stock units, but may accrue on such awards and only be paid to the extent the awards vest;</w:t>
      </w:r>
    </w:p>
    <w:p>
      <w:pPr>
        <w:spacing w:after="0" w:line="135" w:lineRule="exact"/>
        <w:rPr>
          <w:rFonts w:ascii="Times New Roman" w:cs="Times New Roman" w:eastAsia="Times New Roman" w:hAnsi="Times New Roman"/>
          <w:sz w:val="22"/>
          <w:szCs w:val="22"/>
          <w:color w:val="auto"/>
        </w:rPr>
      </w:pPr>
    </w:p>
    <w:p>
      <w:pPr>
        <w:jc w:val="both"/>
        <w:ind w:left="520" w:hanging="318"/>
        <w:spacing w:after="0" w:line="231" w:lineRule="auto"/>
        <w:tabs>
          <w:tab w:leader="none" w:pos="515" w:val="left"/>
        </w:tabs>
        <w:numPr>
          <w:ilvl w:val="0"/>
          <w:numId w:val="27"/>
        </w:numPr>
        <w:rPr>
          <w:rFonts w:ascii="Times New Roman" w:cs="Times New Roman" w:eastAsia="Times New Roman" w:hAnsi="Times New Roman"/>
          <w:sz w:val="22"/>
          <w:szCs w:val="22"/>
          <w:color w:val="auto"/>
        </w:rPr>
      </w:pPr>
      <w:r>
        <w:rPr>
          <w:rFonts w:ascii="Calibri" w:cs="Calibri" w:eastAsia="Calibri" w:hAnsi="Calibri"/>
          <w:sz w:val="22"/>
          <w:szCs w:val="22"/>
          <w:color w:val="auto"/>
        </w:rPr>
        <w:t>awards granted under the 2021 Omnibus Incentve Plan (excluding awards assumed, converted or substtuted in connecton with the Company’s acquisiton of another company) will include vestng schedules under which no porton of the award may vest in less than one year from the date of grant; provided, that awards granted to non-employee directors will be deemed to satsfy this minimum vestng requirement if they vest on the earlier of the frst anniversary of the date of grant or the next annual meetng of stockholders following the date of grant, and up to 5% of the shares reserved for issuance under the 2021 Omnibus Incentve Plan may be granted under awards that are not subject to this minimum vestng requirement; and</w:t>
      </w:r>
    </w:p>
    <w:p>
      <w:pPr>
        <w:spacing w:after="0" w:line="122" w:lineRule="exact"/>
        <w:rPr>
          <w:rFonts w:ascii="Times New Roman" w:cs="Times New Roman" w:eastAsia="Times New Roman" w:hAnsi="Times New Roman"/>
          <w:sz w:val="22"/>
          <w:szCs w:val="22"/>
          <w:color w:val="auto"/>
        </w:rPr>
      </w:pPr>
    </w:p>
    <w:p>
      <w:pPr>
        <w:ind w:left="520" w:hanging="318"/>
        <w:spacing w:after="0"/>
        <w:tabs>
          <w:tab w:leader="none" w:pos="520" w:val="left"/>
        </w:tabs>
        <w:numPr>
          <w:ilvl w:val="0"/>
          <w:numId w:val="27"/>
        </w:numPr>
        <w:rPr>
          <w:rFonts w:ascii="Times New Roman" w:cs="Times New Roman" w:eastAsia="Times New Roman" w:hAnsi="Times New Roman"/>
          <w:sz w:val="22"/>
          <w:szCs w:val="22"/>
          <w:color w:val="auto"/>
        </w:rPr>
      </w:pPr>
      <w:r>
        <w:rPr>
          <w:rFonts w:ascii="Calibri" w:cs="Calibri" w:eastAsia="Calibri" w:hAnsi="Calibri"/>
          <w:sz w:val="22"/>
          <w:szCs w:val="22"/>
          <w:color w:val="auto"/>
        </w:rPr>
        <w:t>the Commitee has the authority to accelerate any awards in accordance with the 2021 Omnibus Incentve Plan.</w:t>
      </w:r>
    </w:p>
    <w:p>
      <w:pPr>
        <w:spacing w:after="0" w:line="165" w:lineRule="exact"/>
        <w:rPr>
          <w:sz w:val="20"/>
          <w:szCs w:val="20"/>
          <w:color w:val="auto"/>
        </w:rPr>
      </w:pPr>
    </w:p>
    <w:p>
      <w:pPr>
        <w:spacing w:after="0"/>
        <w:rPr>
          <w:sz w:val="20"/>
          <w:szCs w:val="20"/>
          <w:color w:val="auto"/>
        </w:rPr>
      </w:pPr>
      <w:r>
        <w:rPr>
          <w:rFonts w:ascii="Calibri" w:cs="Calibri" w:eastAsia="Calibri" w:hAnsi="Calibri"/>
          <w:sz w:val="22"/>
          <w:szCs w:val="22"/>
          <w:color w:val="auto"/>
        </w:rPr>
        <w:t>The types of awards that may be granted under the 2021 Omnibus Incentve Plan include the following:</w:t>
      </w:r>
    </w:p>
    <w:p>
      <w:pPr>
        <w:spacing w:after="0" w:line="161" w:lineRule="exact"/>
        <w:rPr>
          <w:sz w:val="20"/>
          <w:szCs w:val="20"/>
          <w:color w:val="auto"/>
        </w:rPr>
      </w:pPr>
    </w:p>
    <w:p>
      <w:pPr>
        <w:jc w:val="both"/>
        <w:spacing w:after="0" w:line="231" w:lineRule="auto"/>
        <w:rPr>
          <w:sz w:val="20"/>
          <w:szCs w:val="20"/>
          <w:color w:val="auto"/>
        </w:rPr>
      </w:pPr>
      <w:r>
        <w:rPr>
          <w:rFonts w:ascii="Calibri" w:cs="Calibri" w:eastAsia="Calibri" w:hAnsi="Calibri"/>
          <w:sz w:val="22"/>
          <w:szCs w:val="22"/>
          <w:b w:val="1"/>
          <w:bCs w:val="1"/>
          <w:i w:val="1"/>
          <w:iCs w:val="1"/>
          <w:color w:val="auto"/>
        </w:rPr>
        <w:t xml:space="preserve">Stock Optons. </w:t>
      </w:r>
      <w:r>
        <w:rPr>
          <w:rFonts w:ascii="Calibri" w:cs="Calibri" w:eastAsia="Calibri" w:hAnsi="Calibri"/>
          <w:sz w:val="22"/>
          <w:szCs w:val="22"/>
          <w:color w:val="auto"/>
        </w:rPr>
        <w:t>Stock optons in the form of nonstatutory stock optons or incentve stock optons may be granted under the</w:t>
      </w:r>
      <w:r>
        <w:rPr>
          <w:rFonts w:ascii="Calibri" w:cs="Calibri" w:eastAsia="Calibri" w:hAnsi="Calibri"/>
          <w:sz w:val="22"/>
          <w:szCs w:val="22"/>
          <w:b w:val="1"/>
          <w:bCs w:val="1"/>
          <w:i w:val="1"/>
          <w:iCs w:val="1"/>
          <w:color w:val="auto"/>
        </w:rPr>
        <w:t xml:space="preserve"> </w:t>
      </w:r>
      <w:r>
        <w:rPr>
          <w:rFonts w:ascii="Calibri" w:cs="Calibri" w:eastAsia="Calibri" w:hAnsi="Calibri"/>
          <w:sz w:val="22"/>
          <w:szCs w:val="22"/>
          <w:color w:val="auto"/>
        </w:rPr>
        <w:t>2021 Omnibus Incentve Plan. The Commitee determines the number of shares subject to each opton. The Commitee determines the exercise price of optons granted under the 2021 Omnibus Incentve Plan; provided that the exercise price must at least be equal to the fair market value of the Company’s Shares on the date of grant. The term of a stock opton may not exceed ten years, except that with respect to any partcipant who owns more than 10% of the votng power of all classes of the Company’s outstanding stock, the term of an incentve stock opton must not exceed fve years and the exercise price must equal at least 110% of the fair market value on the grant date. The grantee may pay the exercise price of an opton (a) by personal check, (b) shares of the same class as those to be granted by exercise of the stock opton, (c) any other form of consideraton approved by the Company and permited by applicable law, or (d) any combinaton of the foregoing. An opton may not be exercised later than the expiraton of its term. Subject to the provisions of the 2021 Omnibus Incentve Plan, the Commitee determines the other terms of optons.</w:t>
      </w:r>
    </w:p>
    <w:p>
      <w:pPr>
        <w:spacing w:after="0" w:line="167" w:lineRule="exact"/>
        <w:rPr>
          <w:sz w:val="20"/>
          <w:szCs w:val="20"/>
          <w:color w:val="auto"/>
        </w:rPr>
      </w:pPr>
    </w:p>
    <w:p>
      <w:pPr>
        <w:jc w:val="both"/>
        <w:spacing w:after="0" w:line="231" w:lineRule="auto"/>
        <w:rPr>
          <w:sz w:val="20"/>
          <w:szCs w:val="20"/>
          <w:color w:val="auto"/>
        </w:rPr>
      </w:pPr>
      <w:r>
        <w:rPr>
          <w:rFonts w:ascii="Calibri" w:cs="Calibri" w:eastAsia="Calibri" w:hAnsi="Calibri"/>
          <w:sz w:val="22"/>
          <w:szCs w:val="22"/>
          <w:b w:val="1"/>
          <w:bCs w:val="1"/>
          <w:i w:val="1"/>
          <w:iCs w:val="1"/>
          <w:color w:val="auto"/>
        </w:rPr>
        <w:t xml:space="preserve">Stock Appreciaton Rights. </w:t>
      </w:r>
      <w:r>
        <w:rPr>
          <w:rFonts w:ascii="Calibri" w:cs="Calibri" w:eastAsia="Calibri" w:hAnsi="Calibri"/>
          <w:sz w:val="22"/>
          <w:szCs w:val="22"/>
          <w:color w:val="auto"/>
        </w:rPr>
        <w:t>Stock appreciaton rights may be granted under the 2021 Omnibus Incentve Plan. Stock appreciaton</w:t>
      </w:r>
      <w:r>
        <w:rPr>
          <w:rFonts w:ascii="Calibri" w:cs="Calibri" w:eastAsia="Calibri" w:hAnsi="Calibri"/>
          <w:sz w:val="22"/>
          <w:szCs w:val="22"/>
          <w:b w:val="1"/>
          <w:bCs w:val="1"/>
          <w:i w:val="1"/>
          <w:iCs w:val="1"/>
          <w:color w:val="auto"/>
        </w:rPr>
        <w:t xml:space="preserve"> </w:t>
      </w:r>
      <w:r>
        <w:rPr>
          <w:rFonts w:ascii="Calibri" w:cs="Calibri" w:eastAsia="Calibri" w:hAnsi="Calibri"/>
          <w:sz w:val="22"/>
          <w:szCs w:val="22"/>
          <w:color w:val="auto"/>
        </w:rPr>
        <w:t>rights allow the recipient to receive the appreciaton in the fair market value of the Company’s Shares between the exercise date and the date of grant. Stock appreciaton rights may not have a term exceeding ten years. The grant price for a stock appreciaton right may not be less than 100% of the fair market value per share on the date of grant. Subject to the provisions of the 2021 Omnibus Incentve Plan, the Commitee determines the other terms of stock appreciaton rights, including when such rights become exercisable.</w:t>
      </w:r>
    </w:p>
    <w:p>
      <w:pPr>
        <w:spacing w:after="0" w:line="218" w:lineRule="exact"/>
        <w:rPr>
          <w:sz w:val="20"/>
          <w:szCs w:val="20"/>
          <w:color w:val="auto"/>
        </w:rPr>
      </w:pPr>
    </w:p>
    <w:p>
      <w:pPr>
        <w:jc w:val="both"/>
        <w:spacing w:after="0" w:line="229" w:lineRule="auto"/>
        <w:rPr>
          <w:sz w:val="20"/>
          <w:szCs w:val="20"/>
          <w:color w:val="auto"/>
        </w:rPr>
      </w:pPr>
      <w:r>
        <w:rPr>
          <w:rFonts w:ascii="Calibri" w:cs="Calibri" w:eastAsia="Calibri" w:hAnsi="Calibri"/>
          <w:sz w:val="22"/>
          <w:szCs w:val="22"/>
          <w:b w:val="1"/>
          <w:bCs w:val="1"/>
          <w:i w:val="1"/>
          <w:iCs w:val="1"/>
          <w:color w:val="auto"/>
        </w:rPr>
        <w:t xml:space="preserve">Restricted Stock Awards. </w:t>
      </w:r>
      <w:r>
        <w:rPr>
          <w:rFonts w:ascii="Calibri" w:cs="Calibri" w:eastAsia="Calibri" w:hAnsi="Calibri"/>
          <w:sz w:val="22"/>
          <w:szCs w:val="22"/>
          <w:color w:val="auto"/>
        </w:rPr>
        <w:t>Restricted stock may be granted under the 2021 Omnibus Incentve Plan. Restricted stock awards are</w:t>
      </w:r>
      <w:r>
        <w:rPr>
          <w:rFonts w:ascii="Calibri" w:cs="Calibri" w:eastAsia="Calibri" w:hAnsi="Calibri"/>
          <w:sz w:val="22"/>
          <w:szCs w:val="22"/>
          <w:b w:val="1"/>
          <w:bCs w:val="1"/>
          <w:i w:val="1"/>
          <w:iCs w:val="1"/>
          <w:color w:val="auto"/>
        </w:rPr>
        <w:t xml:space="preserve"> </w:t>
      </w:r>
      <w:r>
        <w:rPr>
          <w:rFonts w:ascii="Calibri" w:cs="Calibri" w:eastAsia="Calibri" w:hAnsi="Calibri"/>
          <w:sz w:val="22"/>
          <w:szCs w:val="22"/>
          <w:color w:val="auto"/>
        </w:rPr>
        <w:t>grants of shares of common stock that vest in accordance with terms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left="2760"/>
        <w:spacing w:after="0"/>
        <w:tabs>
          <w:tab w:leader="none" w:pos="7080" w:val="left"/>
          <w:tab w:leader="none" w:pos="8300" w:val="left"/>
        </w:tabs>
        <w:rPr>
          <w:sz w:val="20"/>
          <w:szCs w:val="20"/>
          <w:color w:val="auto"/>
        </w:rPr>
      </w:pPr>
      <w:r>
        <w:rPr>
          <w:rFonts w:ascii="Calibri" w:cs="Calibri" w:eastAsia="Calibri" w:hAnsi="Calibri"/>
          <w:sz w:val="16"/>
          <w:szCs w:val="16"/>
          <w:color w:val="auto"/>
        </w:rPr>
        <w:t>Alphareta, GA | New York, NY | Belfast, United Kingdom</w:t>
      </w:r>
      <w:r>
        <w:rPr>
          <w:sz w:val="20"/>
          <w:szCs w:val="20"/>
          <w:color w:val="auto"/>
        </w:rPr>
        <w:tab/>
      </w:r>
      <w:r>
        <w:rPr>
          <w:rFonts w:ascii="Calibri" w:cs="Calibri" w:eastAsia="Calibri" w:hAnsi="Calibri"/>
          <w:sz w:val="16"/>
          <w:szCs w:val="16"/>
          <w:color w:val="auto"/>
        </w:rPr>
        <w:t>www.bakkt.com</w:t>
      </w:r>
      <w:r>
        <w:rPr>
          <w:sz w:val="20"/>
          <w:szCs w:val="20"/>
          <w:color w:val="auto"/>
        </w:rPr>
        <w:tab/>
      </w:r>
      <w:r>
        <w:rPr>
          <w:rFonts w:ascii="Calibri" w:cs="Calibri" w:eastAsia="Calibri" w:hAnsi="Calibri"/>
          <w:sz w:val="17"/>
          <w:szCs w:val="17"/>
          <w:color w:val="auto"/>
        </w:rPr>
        <w:t>36</w:t>
      </w:r>
    </w:p>
    <w:p>
      <w:pPr>
        <w:sectPr>
          <w:pgSz w:w="11900" w:h="16838" w:orient="portrait"/>
          <w:cols w:equalWidth="0" w:num="1">
            <w:col w:w="11240"/>
          </w:cols>
          <w:pgMar w:left="320" w:top="1440" w:right="339" w:bottom="1440" w:gutter="0" w:footer="0" w:header="0"/>
        </w:sectPr>
      </w:pPr>
    </w:p>
    <w:bookmarkStart w:id="42" w:name="page43"/>
    <w:bookmarkEnd w:id="42"/>
    <w:p>
      <w:pPr>
        <w:spacing w:after="0" w:line="184" w:lineRule="exact"/>
        <w:rPr>
          <w:sz w:val="20"/>
          <w:szCs w:val="20"/>
          <w:color w:val="auto"/>
        </w:rPr>
      </w:pPr>
    </w:p>
    <w:p>
      <w:pPr>
        <w:jc w:val="both"/>
        <w:spacing w:after="0" w:line="231" w:lineRule="auto"/>
        <w:rPr>
          <w:sz w:val="20"/>
          <w:szCs w:val="20"/>
          <w:color w:val="auto"/>
        </w:rPr>
      </w:pPr>
      <w:r>
        <w:rPr>
          <w:rFonts w:ascii="Calibri" w:cs="Calibri" w:eastAsia="Calibri" w:hAnsi="Calibri"/>
          <w:sz w:val="22"/>
          <w:szCs w:val="22"/>
          <w:color w:val="auto"/>
        </w:rPr>
        <w:t>conditons established by the Commitee. The Commitee will determine the number of shares of restricted stock granted to any employee, director, consultant or advisor and, subject to the provisions of the 2021 Omnibus Incentve Plan, will determine the terms and conditons of such awards. The Commitee may impose whatever conditons to vestng it determines to be appropriate. The Commitee, in its sole discreton, may accelerate the tme at which any restrictons will lapse or be removed. Recipients of restricted stock awards generally will have votng rights with respect to such shares upon grant unless the Commitee provides otherwise. Unless the Commitee determines otherwise, during the restricted period, all dividends or other distributons paid upon any restricted stock awards will be retained by the Company for the account of the recipient. Such dividends or other distributons will revert to the Company if for any reason the restricted stock award upon which such dividends or other distributons were paid reverts to the Company. Upon the expiraton of the restricted period, all such dividends or other distributons made on such restricted share and retained by the Company will be paid, without interest, to the recipient.</w:t>
      </w:r>
    </w:p>
    <w:p>
      <w:pPr>
        <w:spacing w:after="0" w:line="221" w:lineRule="exact"/>
        <w:rPr>
          <w:sz w:val="20"/>
          <w:szCs w:val="20"/>
          <w:color w:val="auto"/>
        </w:rPr>
      </w:pPr>
    </w:p>
    <w:p>
      <w:pPr>
        <w:jc w:val="both"/>
        <w:spacing w:after="0" w:line="231" w:lineRule="auto"/>
        <w:rPr>
          <w:sz w:val="20"/>
          <w:szCs w:val="20"/>
          <w:color w:val="auto"/>
        </w:rPr>
      </w:pPr>
      <w:r>
        <w:rPr>
          <w:rFonts w:ascii="Calibri" w:cs="Calibri" w:eastAsia="Calibri" w:hAnsi="Calibri"/>
          <w:sz w:val="22"/>
          <w:szCs w:val="22"/>
          <w:b w:val="1"/>
          <w:bCs w:val="1"/>
          <w:i w:val="1"/>
          <w:iCs w:val="1"/>
          <w:color w:val="auto"/>
        </w:rPr>
        <w:t xml:space="preserve">Restricted Stock Units. </w:t>
      </w:r>
      <w:r>
        <w:rPr>
          <w:rFonts w:ascii="Calibri" w:cs="Calibri" w:eastAsia="Calibri" w:hAnsi="Calibri"/>
          <w:sz w:val="22"/>
          <w:szCs w:val="22"/>
          <w:color w:val="auto"/>
        </w:rPr>
        <w:t>Restricted stock units may be granted under the 2021 Omnibus Incentve Plan. Restricted stock units are</w:t>
      </w:r>
      <w:r>
        <w:rPr>
          <w:rFonts w:ascii="Calibri" w:cs="Calibri" w:eastAsia="Calibri" w:hAnsi="Calibri"/>
          <w:sz w:val="22"/>
          <w:szCs w:val="22"/>
          <w:b w:val="1"/>
          <w:bCs w:val="1"/>
          <w:i w:val="1"/>
          <w:iCs w:val="1"/>
          <w:color w:val="auto"/>
        </w:rPr>
        <w:t xml:space="preserve"> </w:t>
      </w:r>
      <w:r>
        <w:rPr>
          <w:rFonts w:ascii="Calibri" w:cs="Calibri" w:eastAsia="Calibri" w:hAnsi="Calibri"/>
          <w:sz w:val="22"/>
          <w:szCs w:val="22"/>
          <w:color w:val="auto"/>
        </w:rPr>
        <w:t>bookkeeping entries representng an amount equal to the fair market value of one share of common stock. Subject to the provisions of the 2021 Omnibus Incentve Plan, the Commitee determines the terms and conditons of restricted stock units, including the vestng criteria and the form and tming of payment. A holder of restricted stock units will have only the rights of a general unsecured creditor of the Company, untl the delivery of shares, cash or other securites or property. On the delivery date, the holder of each restricted stock unit not previously forfeited or terminated will receive one share, cash or other securites or property equal in value to one share or a combinaton thereof, as specifed by the Commitee.</w:t>
      </w:r>
    </w:p>
    <w:p>
      <w:pPr>
        <w:spacing w:after="0" w:line="216" w:lineRule="exact"/>
        <w:rPr>
          <w:sz w:val="20"/>
          <w:szCs w:val="20"/>
          <w:color w:val="auto"/>
        </w:rPr>
      </w:pPr>
    </w:p>
    <w:p>
      <w:pPr>
        <w:jc w:val="both"/>
        <w:spacing w:after="0" w:line="231" w:lineRule="auto"/>
        <w:rPr>
          <w:sz w:val="20"/>
          <w:szCs w:val="20"/>
          <w:color w:val="auto"/>
        </w:rPr>
      </w:pPr>
      <w:r>
        <w:rPr>
          <w:rFonts w:ascii="Calibri" w:cs="Calibri" w:eastAsia="Calibri" w:hAnsi="Calibri"/>
          <w:sz w:val="22"/>
          <w:szCs w:val="22"/>
          <w:b w:val="1"/>
          <w:bCs w:val="1"/>
          <w:i w:val="1"/>
          <w:iCs w:val="1"/>
          <w:color w:val="auto"/>
        </w:rPr>
        <w:t>Dividend Equivalent Rights</w:t>
      </w:r>
      <w:r>
        <w:rPr>
          <w:rFonts w:ascii="Calibri" w:cs="Calibri" w:eastAsia="Calibri" w:hAnsi="Calibri"/>
          <w:sz w:val="22"/>
          <w:szCs w:val="22"/>
          <w:b w:val="1"/>
          <w:bCs w:val="1"/>
          <w:color w:val="auto"/>
        </w:rPr>
        <w:t>.</w:t>
      </w:r>
      <w:r>
        <w:rPr>
          <w:rFonts w:ascii="Calibri" w:cs="Calibri" w:eastAsia="Calibri" w:hAnsi="Calibri"/>
          <w:sz w:val="22"/>
          <w:szCs w:val="22"/>
          <w:b w:val="1"/>
          <w:bCs w:val="1"/>
          <w:i w:val="1"/>
          <w:iCs w:val="1"/>
          <w:color w:val="auto"/>
        </w:rPr>
        <w:t xml:space="preserve"> </w:t>
      </w:r>
      <w:r>
        <w:rPr>
          <w:rFonts w:ascii="Calibri" w:cs="Calibri" w:eastAsia="Calibri" w:hAnsi="Calibri"/>
          <w:sz w:val="22"/>
          <w:szCs w:val="22"/>
          <w:color w:val="auto"/>
        </w:rPr>
        <w:t>Dividend equivalent rights may be granted under the 2021 Omnibus Incentve Plan. Dividend</w:t>
      </w:r>
      <w:r>
        <w:rPr>
          <w:rFonts w:ascii="Calibri" w:cs="Calibri" w:eastAsia="Calibri" w:hAnsi="Calibri"/>
          <w:sz w:val="22"/>
          <w:szCs w:val="22"/>
          <w:b w:val="1"/>
          <w:bCs w:val="1"/>
          <w:i w:val="1"/>
          <w:iCs w:val="1"/>
          <w:color w:val="auto"/>
        </w:rPr>
        <w:t xml:space="preserve"> </w:t>
      </w:r>
      <w:r>
        <w:rPr>
          <w:rFonts w:ascii="Calibri" w:cs="Calibri" w:eastAsia="Calibri" w:hAnsi="Calibri"/>
          <w:sz w:val="22"/>
          <w:szCs w:val="22"/>
          <w:color w:val="auto"/>
        </w:rPr>
        <w:t>equivalent rights are enttlements to receive credits based on cash distributons that would have been paid on the shares of common stock subject to an equity-based award granted to an individual as though such shares had been issued to and held by the grantee. Subject to the terms of the 2021 Omnibus Incentve Plan, the Commitee determines the terms and conditons of dividend equivalent rights.</w:t>
      </w:r>
    </w:p>
    <w:p>
      <w:pPr>
        <w:spacing w:after="0" w:line="220" w:lineRule="exact"/>
        <w:rPr>
          <w:sz w:val="20"/>
          <w:szCs w:val="20"/>
          <w:color w:val="auto"/>
        </w:rPr>
      </w:pPr>
    </w:p>
    <w:p>
      <w:pPr>
        <w:jc w:val="both"/>
        <w:spacing w:after="0" w:line="233" w:lineRule="auto"/>
        <w:rPr>
          <w:sz w:val="20"/>
          <w:szCs w:val="20"/>
          <w:color w:val="auto"/>
        </w:rPr>
      </w:pPr>
      <w:r>
        <w:rPr>
          <w:rFonts w:ascii="Calibri" w:cs="Calibri" w:eastAsia="Calibri" w:hAnsi="Calibri"/>
          <w:sz w:val="22"/>
          <w:szCs w:val="22"/>
          <w:b w:val="1"/>
          <w:bCs w:val="1"/>
          <w:i w:val="1"/>
          <w:iCs w:val="1"/>
          <w:color w:val="auto"/>
        </w:rPr>
        <w:t>Other Stock-Based or Cash-Based Awards</w:t>
      </w:r>
      <w:r>
        <w:rPr>
          <w:rFonts w:ascii="Calibri" w:cs="Calibri" w:eastAsia="Calibri" w:hAnsi="Calibri"/>
          <w:sz w:val="22"/>
          <w:szCs w:val="22"/>
          <w:b w:val="1"/>
          <w:bCs w:val="1"/>
          <w:color w:val="auto"/>
        </w:rPr>
        <w:t>.</w:t>
      </w:r>
      <w:r>
        <w:rPr>
          <w:rFonts w:ascii="Calibri" w:cs="Calibri" w:eastAsia="Calibri" w:hAnsi="Calibri"/>
          <w:sz w:val="22"/>
          <w:szCs w:val="22"/>
          <w:b w:val="1"/>
          <w:bCs w:val="1"/>
          <w:i w:val="1"/>
          <w:iCs w:val="1"/>
          <w:color w:val="auto"/>
        </w:rPr>
        <w:t xml:space="preserve"> </w:t>
      </w:r>
      <w:r>
        <w:rPr>
          <w:rFonts w:ascii="Calibri" w:cs="Calibri" w:eastAsia="Calibri" w:hAnsi="Calibri"/>
          <w:sz w:val="22"/>
          <w:szCs w:val="22"/>
          <w:color w:val="auto"/>
        </w:rPr>
        <w:t>Other types of stock-based, stock-related or cash-based awards (including the grant</w:t>
      </w:r>
      <w:r>
        <w:rPr>
          <w:rFonts w:ascii="Calibri" w:cs="Calibri" w:eastAsia="Calibri" w:hAnsi="Calibri"/>
          <w:sz w:val="22"/>
          <w:szCs w:val="22"/>
          <w:b w:val="1"/>
          <w:bCs w:val="1"/>
          <w:i w:val="1"/>
          <w:iCs w:val="1"/>
          <w:color w:val="auto"/>
        </w:rPr>
        <w:t xml:space="preserve"> </w:t>
      </w:r>
      <w:r>
        <w:rPr>
          <w:rFonts w:ascii="Calibri" w:cs="Calibri" w:eastAsia="Calibri" w:hAnsi="Calibri"/>
          <w:sz w:val="22"/>
          <w:szCs w:val="22"/>
          <w:color w:val="auto"/>
        </w:rPr>
        <w:t>or ofer for sale of unrestricted shares of 2021 Omnibus Incentve Plan, performance share awards, or performance units setled in cash) in amounts and under terms and conditons determined by the Commitee.</w:t>
      </w:r>
    </w:p>
    <w:p>
      <w:pPr>
        <w:spacing w:after="0" w:line="217" w:lineRule="exact"/>
        <w:rPr>
          <w:sz w:val="20"/>
          <w:szCs w:val="20"/>
          <w:color w:val="auto"/>
        </w:rPr>
      </w:pPr>
    </w:p>
    <w:p>
      <w:pPr>
        <w:jc w:val="both"/>
        <w:spacing w:after="0" w:line="230" w:lineRule="auto"/>
        <w:rPr>
          <w:sz w:val="20"/>
          <w:szCs w:val="20"/>
          <w:color w:val="auto"/>
        </w:rPr>
      </w:pPr>
      <w:r>
        <w:rPr>
          <w:rFonts w:ascii="Calibri" w:cs="Calibri" w:eastAsia="Calibri" w:hAnsi="Calibri"/>
          <w:sz w:val="22"/>
          <w:szCs w:val="22"/>
          <w:b w:val="1"/>
          <w:bCs w:val="1"/>
          <w:i w:val="1"/>
          <w:iCs w:val="1"/>
          <w:color w:val="auto"/>
        </w:rPr>
        <w:t>Performance-Based Awards</w:t>
      </w:r>
      <w:r>
        <w:rPr>
          <w:rFonts w:ascii="Calibri" w:cs="Calibri" w:eastAsia="Calibri" w:hAnsi="Calibri"/>
          <w:sz w:val="22"/>
          <w:szCs w:val="22"/>
          <w:color w:val="auto"/>
        </w:rPr>
        <w:t>. The Commitee may grant performance-based awards (“PSUs”), the grant, exercise, and/or</w:t>
      </w:r>
      <w:r>
        <w:rPr>
          <w:rFonts w:ascii="Calibri" w:cs="Calibri" w:eastAsia="Calibri" w:hAnsi="Calibri"/>
          <w:sz w:val="22"/>
          <w:szCs w:val="22"/>
          <w:b w:val="1"/>
          <w:bCs w:val="1"/>
          <w:i w:val="1"/>
          <w:iCs w:val="1"/>
          <w:color w:val="auto"/>
        </w:rPr>
        <w:t xml:space="preserve"> </w:t>
      </w:r>
      <w:r>
        <w:rPr>
          <w:rFonts w:ascii="Calibri" w:cs="Calibri" w:eastAsia="Calibri" w:hAnsi="Calibri"/>
          <w:sz w:val="22"/>
          <w:szCs w:val="22"/>
          <w:color w:val="auto"/>
        </w:rPr>
        <w:t>setlement of which will be based upon the achievement of performance goals. Performance-based awards may be paid in cash, shares or other awards. The performance goals may consist of one or more business criteria and a targeted level or levels of performance with respect to each such criteria, as specifed by the Commitee. The Commitee will set the performance goals applicable to the performance-based awards, determine the extent to which such performance goals are achieved, and determine the amount, if any, that is payable pursuant to each performance-based award. In establishing performance goals for performance-based awards, the Commitee may use various business criteria, which may include, but is not limited to: earnings, earnings per share,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2760"/>
        <w:spacing w:after="0"/>
        <w:tabs>
          <w:tab w:leader="none" w:pos="7080" w:val="left"/>
          <w:tab w:leader="none" w:pos="8300" w:val="left"/>
        </w:tabs>
        <w:rPr>
          <w:sz w:val="20"/>
          <w:szCs w:val="20"/>
          <w:color w:val="auto"/>
        </w:rPr>
      </w:pPr>
      <w:r>
        <w:rPr>
          <w:rFonts w:ascii="Calibri" w:cs="Calibri" w:eastAsia="Calibri" w:hAnsi="Calibri"/>
          <w:sz w:val="16"/>
          <w:szCs w:val="16"/>
          <w:color w:val="auto"/>
        </w:rPr>
        <w:t>Alphareta, GA | New York, NY | Belfast, United Kingdom</w:t>
      </w:r>
      <w:r>
        <w:rPr>
          <w:sz w:val="20"/>
          <w:szCs w:val="20"/>
          <w:color w:val="auto"/>
        </w:rPr>
        <w:tab/>
      </w:r>
      <w:r>
        <w:rPr>
          <w:rFonts w:ascii="Calibri" w:cs="Calibri" w:eastAsia="Calibri" w:hAnsi="Calibri"/>
          <w:sz w:val="16"/>
          <w:szCs w:val="16"/>
          <w:color w:val="auto"/>
        </w:rPr>
        <w:t>www.bakkt.com</w:t>
      </w:r>
      <w:r>
        <w:rPr>
          <w:sz w:val="20"/>
          <w:szCs w:val="20"/>
          <w:color w:val="auto"/>
        </w:rPr>
        <w:tab/>
      </w:r>
      <w:r>
        <w:rPr>
          <w:rFonts w:ascii="Calibri" w:cs="Calibri" w:eastAsia="Calibri" w:hAnsi="Calibri"/>
          <w:sz w:val="17"/>
          <w:szCs w:val="17"/>
          <w:color w:val="auto"/>
        </w:rPr>
        <w:t>37</w:t>
      </w:r>
    </w:p>
    <w:p>
      <w:pPr>
        <w:sectPr>
          <w:pgSz w:w="11900" w:h="16838" w:orient="portrait"/>
          <w:cols w:equalWidth="0" w:num="1">
            <w:col w:w="11240"/>
          </w:cols>
          <w:pgMar w:left="320" w:top="1440" w:right="339" w:bottom="1440" w:gutter="0" w:footer="0" w:header="0"/>
        </w:sectPr>
      </w:pPr>
    </w:p>
    <w:bookmarkStart w:id="43" w:name="page44"/>
    <w:bookmarkEnd w:id="43"/>
    <w:p>
      <w:pPr>
        <w:spacing w:after="0" w:line="184" w:lineRule="exact"/>
        <w:rPr>
          <w:sz w:val="20"/>
          <w:szCs w:val="20"/>
          <w:color w:val="auto"/>
        </w:rPr>
      </w:pPr>
    </w:p>
    <w:p>
      <w:pPr>
        <w:jc w:val="both"/>
        <w:spacing w:after="0" w:line="231" w:lineRule="auto"/>
        <w:rPr>
          <w:sz w:val="20"/>
          <w:szCs w:val="20"/>
          <w:color w:val="auto"/>
        </w:rPr>
      </w:pPr>
      <w:r>
        <w:rPr>
          <w:rFonts w:ascii="Calibri" w:cs="Calibri" w:eastAsia="Calibri" w:hAnsi="Calibri"/>
          <w:sz w:val="22"/>
          <w:szCs w:val="22"/>
          <w:color w:val="auto"/>
        </w:rPr>
        <w:t>earnings before interest, taxes, depreciaton and amortzaton, revenue or net revenue measures, gross proft or operatng proft measures (including before or afer taxes and including proft growth and proft-related return ratos), cost management, dividend payout ratos, market share measures, economic value added, cash fow, return measures (including return on capital, invested capital, total capital, tangible capital, expenses, tangible expenses, equity, revenue, investment, assets, or net assets or total stockholder return or similar measures), increase in the fair market value of common stock, or changes (or the absence of changes) in the per share or aggregate fair market value of common stock.</w:t>
      </w:r>
    </w:p>
    <w:p>
      <w:pPr>
        <w:spacing w:after="0" w:line="218" w:lineRule="exact"/>
        <w:rPr>
          <w:sz w:val="20"/>
          <w:szCs w:val="20"/>
          <w:color w:val="auto"/>
        </w:rPr>
      </w:pPr>
    </w:p>
    <w:p>
      <w:pPr>
        <w:jc w:val="both"/>
        <w:spacing w:after="0" w:line="231" w:lineRule="auto"/>
        <w:rPr>
          <w:sz w:val="20"/>
          <w:szCs w:val="20"/>
          <w:color w:val="auto"/>
        </w:rPr>
      </w:pPr>
      <w:r>
        <w:rPr>
          <w:rFonts w:ascii="Calibri" w:cs="Calibri" w:eastAsia="Calibri" w:hAnsi="Calibri"/>
          <w:sz w:val="22"/>
          <w:szCs w:val="22"/>
          <w:b w:val="1"/>
          <w:bCs w:val="1"/>
          <w:i w:val="1"/>
          <w:iCs w:val="1"/>
          <w:color w:val="auto"/>
        </w:rPr>
        <w:t>Aggregate Limitaton on Awards</w:t>
      </w:r>
      <w:r>
        <w:rPr>
          <w:rFonts w:ascii="Calibri" w:cs="Calibri" w:eastAsia="Calibri" w:hAnsi="Calibri"/>
          <w:sz w:val="22"/>
          <w:szCs w:val="22"/>
          <w:i w:val="1"/>
          <w:iCs w:val="1"/>
          <w:color w:val="auto"/>
        </w:rPr>
        <w:t>.</w:t>
      </w:r>
      <w:r>
        <w:rPr>
          <w:rFonts w:ascii="Calibri" w:cs="Calibri" w:eastAsia="Calibri" w:hAnsi="Calibri"/>
          <w:sz w:val="22"/>
          <w:szCs w:val="22"/>
          <w:b w:val="1"/>
          <w:bCs w:val="1"/>
          <w:i w:val="1"/>
          <w:iCs w:val="1"/>
          <w:color w:val="auto"/>
        </w:rPr>
        <w:t xml:space="preserve"> </w:t>
      </w:r>
      <w:r>
        <w:rPr>
          <w:rFonts w:ascii="Calibri" w:cs="Calibri" w:eastAsia="Calibri" w:hAnsi="Calibri"/>
          <w:sz w:val="22"/>
          <w:szCs w:val="22"/>
          <w:color w:val="auto"/>
        </w:rPr>
        <w:t>If the Amendment is approved, subject to adjustments as described in the 2021 Omnibus</w:t>
      </w:r>
      <w:r>
        <w:rPr>
          <w:rFonts w:ascii="Calibri" w:cs="Calibri" w:eastAsia="Calibri" w:hAnsi="Calibri"/>
          <w:sz w:val="22"/>
          <w:szCs w:val="22"/>
          <w:b w:val="1"/>
          <w:bCs w:val="1"/>
          <w:i w:val="1"/>
          <w:iCs w:val="1"/>
          <w:color w:val="auto"/>
        </w:rPr>
        <w:t xml:space="preserve"> </w:t>
      </w:r>
      <w:r>
        <w:rPr>
          <w:rFonts w:ascii="Calibri" w:cs="Calibri" w:eastAsia="Calibri" w:hAnsi="Calibri"/>
          <w:sz w:val="22"/>
          <w:szCs w:val="22"/>
          <w:color w:val="auto"/>
        </w:rPr>
        <w:t>Incentve Plan, the aggregate number of shares that may be issued under the 2021 Omnibus Incentve Plan shall not exceed 75,873,051 shares (25,816,946 originally issued under the 2021 Omnibus Incentve Plan, the additonal 26,590,466 shares added in June 2023 per an amendment to the 2021 Omnibus Incentve Plan previously approved by the Company’s stockholders, and the additonal 23,465,639 shares per this Amendment) (which numbers do not give efect to the Proposed Reverse Stock Split). All of the authorized shares may be granted as incentve stock optons.</w:t>
      </w:r>
    </w:p>
    <w:p>
      <w:pPr>
        <w:spacing w:after="0" w:line="218" w:lineRule="exact"/>
        <w:rPr>
          <w:sz w:val="20"/>
          <w:szCs w:val="20"/>
          <w:color w:val="auto"/>
        </w:rPr>
      </w:pPr>
    </w:p>
    <w:p>
      <w:pPr>
        <w:jc w:val="both"/>
        <w:spacing w:after="0" w:line="229" w:lineRule="auto"/>
        <w:rPr>
          <w:sz w:val="20"/>
          <w:szCs w:val="20"/>
          <w:color w:val="auto"/>
        </w:rPr>
      </w:pPr>
      <w:r>
        <w:rPr>
          <w:rFonts w:ascii="Calibri" w:cs="Calibri" w:eastAsia="Calibri" w:hAnsi="Calibri"/>
          <w:sz w:val="22"/>
          <w:szCs w:val="22"/>
          <w:color w:val="auto"/>
        </w:rPr>
        <w:t>The 2021 Omnibus Incentve Plan has the following rules for countng shares against the 2021 Omnibus Incentve Plan’s share reserve:</w:t>
      </w:r>
    </w:p>
    <w:p>
      <w:pPr>
        <w:spacing w:after="0" w:line="149" w:lineRule="exact"/>
        <w:rPr>
          <w:sz w:val="20"/>
          <w:szCs w:val="20"/>
          <w:color w:val="auto"/>
        </w:rPr>
      </w:pPr>
    </w:p>
    <w:p>
      <w:pPr>
        <w:ind w:left="660" w:right="20" w:hanging="328"/>
        <w:spacing w:after="0" w:line="229" w:lineRule="auto"/>
        <w:tabs>
          <w:tab w:leader="none" w:pos="655" w:val="left"/>
        </w:tabs>
        <w:numPr>
          <w:ilvl w:val="0"/>
          <w:numId w:val="28"/>
        </w:numPr>
        <w:rPr>
          <w:rFonts w:ascii="Times New Roman" w:cs="Times New Roman" w:eastAsia="Times New Roman" w:hAnsi="Times New Roman"/>
          <w:sz w:val="22"/>
          <w:szCs w:val="22"/>
          <w:color w:val="auto"/>
        </w:rPr>
      </w:pPr>
      <w:r>
        <w:rPr>
          <w:rFonts w:ascii="Calibri" w:cs="Calibri" w:eastAsia="Calibri" w:hAnsi="Calibri"/>
          <w:sz w:val="22"/>
          <w:szCs w:val="22"/>
          <w:color w:val="auto"/>
        </w:rPr>
        <w:t>If SARs are granted, the full number of shares subject to the SARs will be considered issued under the 2021 Omnibus Incentve Plan and will reduce the aggregate share limit on a 1:1 rato.</w:t>
      </w:r>
    </w:p>
    <w:p>
      <w:pPr>
        <w:spacing w:after="0" w:line="135" w:lineRule="exact"/>
        <w:rPr>
          <w:rFonts w:ascii="Times New Roman" w:cs="Times New Roman" w:eastAsia="Times New Roman" w:hAnsi="Times New Roman"/>
          <w:sz w:val="22"/>
          <w:szCs w:val="22"/>
          <w:color w:val="auto"/>
        </w:rPr>
      </w:pPr>
    </w:p>
    <w:p>
      <w:pPr>
        <w:jc w:val="both"/>
        <w:ind w:left="660" w:hanging="328"/>
        <w:spacing w:after="0" w:line="229" w:lineRule="auto"/>
        <w:tabs>
          <w:tab w:leader="none" w:pos="655" w:val="left"/>
        </w:tabs>
        <w:numPr>
          <w:ilvl w:val="0"/>
          <w:numId w:val="28"/>
        </w:numPr>
        <w:rPr>
          <w:rFonts w:ascii="Times New Roman" w:cs="Times New Roman" w:eastAsia="Times New Roman" w:hAnsi="Times New Roman"/>
          <w:sz w:val="22"/>
          <w:szCs w:val="22"/>
          <w:color w:val="auto"/>
        </w:rPr>
      </w:pPr>
      <w:r>
        <w:rPr>
          <w:rFonts w:ascii="Calibri" w:cs="Calibri" w:eastAsia="Calibri" w:hAnsi="Calibri"/>
          <w:sz w:val="22"/>
          <w:szCs w:val="22"/>
          <w:color w:val="auto"/>
        </w:rPr>
        <w:t>Shares subject to an award that is forfeited (including any restricted shares repurchased by the Company at the same price paid by the partcipant so that shares are returned to the Company), expires, terminates or is setled for cash, will again be available for grants under the 2021 Omnibus Incentve Plan.</w:t>
      </w:r>
    </w:p>
    <w:p>
      <w:pPr>
        <w:spacing w:after="0" w:line="149" w:lineRule="exact"/>
        <w:rPr>
          <w:rFonts w:ascii="Times New Roman" w:cs="Times New Roman" w:eastAsia="Times New Roman" w:hAnsi="Times New Roman"/>
          <w:sz w:val="22"/>
          <w:szCs w:val="22"/>
          <w:color w:val="auto"/>
        </w:rPr>
      </w:pPr>
    </w:p>
    <w:p>
      <w:pPr>
        <w:jc w:val="both"/>
        <w:ind w:left="660" w:hanging="328"/>
        <w:spacing w:after="0" w:line="229" w:lineRule="auto"/>
        <w:tabs>
          <w:tab w:leader="none" w:pos="655" w:val="left"/>
        </w:tabs>
        <w:numPr>
          <w:ilvl w:val="0"/>
          <w:numId w:val="28"/>
        </w:numPr>
        <w:rPr>
          <w:rFonts w:ascii="Times New Roman" w:cs="Times New Roman" w:eastAsia="Times New Roman" w:hAnsi="Times New Roman"/>
          <w:sz w:val="22"/>
          <w:szCs w:val="22"/>
          <w:color w:val="auto"/>
        </w:rPr>
      </w:pPr>
      <w:r>
        <w:rPr>
          <w:rFonts w:ascii="Calibri" w:cs="Calibri" w:eastAsia="Calibri" w:hAnsi="Calibri"/>
          <w:sz w:val="22"/>
          <w:szCs w:val="22"/>
          <w:color w:val="auto"/>
        </w:rPr>
        <w:t>Shares tendered by a partcipant, repurchased by the Company using proceeds from the exercise of stock optons or withheld by the Company in payment of the exercise price of a stock opton or to satsfy any tax withholding obligaton for an award will not be available for re-issuance under the 2021 Omnibus Incentve Plan and will reduce the aggregate share limit on a 1:1 rato.</w:t>
      </w:r>
    </w:p>
    <w:p>
      <w:pPr>
        <w:spacing w:after="0" w:line="136" w:lineRule="exact"/>
        <w:rPr>
          <w:rFonts w:ascii="Times New Roman" w:cs="Times New Roman" w:eastAsia="Times New Roman" w:hAnsi="Times New Roman"/>
          <w:sz w:val="22"/>
          <w:szCs w:val="22"/>
          <w:color w:val="auto"/>
        </w:rPr>
      </w:pPr>
    </w:p>
    <w:p>
      <w:pPr>
        <w:ind w:left="660" w:right="20" w:hanging="328"/>
        <w:spacing w:after="0" w:line="235" w:lineRule="auto"/>
        <w:tabs>
          <w:tab w:leader="none" w:pos="655" w:val="left"/>
        </w:tabs>
        <w:numPr>
          <w:ilvl w:val="0"/>
          <w:numId w:val="28"/>
        </w:numPr>
        <w:rPr>
          <w:rFonts w:ascii="Times New Roman" w:cs="Times New Roman" w:eastAsia="Times New Roman" w:hAnsi="Times New Roman"/>
          <w:sz w:val="22"/>
          <w:szCs w:val="22"/>
          <w:color w:val="auto"/>
        </w:rPr>
      </w:pPr>
      <w:r>
        <w:rPr>
          <w:rFonts w:ascii="Calibri" w:cs="Calibri" w:eastAsia="Calibri" w:hAnsi="Calibri"/>
          <w:sz w:val="22"/>
          <w:szCs w:val="22"/>
          <w:color w:val="auto"/>
        </w:rPr>
        <w:t>The payment of dividend equivalent rights in cash in conjuncton with any outstanding awards will not be counted against the aggregate share limit.</w:t>
      </w:r>
    </w:p>
    <w:p>
      <w:pPr>
        <w:spacing w:after="0" w:line="217" w:lineRule="exact"/>
        <w:rPr>
          <w:sz w:val="20"/>
          <w:szCs w:val="20"/>
          <w:color w:val="auto"/>
        </w:rPr>
      </w:pPr>
    </w:p>
    <w:p>
      <w:pPr>
        <w:jc w:val="both"/>
        <w:spacing w:after="0" w:line="231" w:lineRule="auto"/>
        <w:rPr>
          <w:sz w:val="20"/>
          <w:szCs w:val="20"/>
          <w:color w:val="auto"/>
        </w:rPr>
      </w:pPr>
      <w:r>
        <w:rPr>
          <w:rFonts w:ascii="Calibri" w:cs="Calibri" w:eastAsia="Calibri" w:hAnsi="Calibri"/>
          <w:sz w:val="22"/>
          <w:szCs w:val="22"/>
          <w:color w:val="auto"/>
        </w:rPr>
        <w:t>Shares delivered under the 2021 Omnibus Incentve Plan may be either authorized but unissued shares or shares previously issued and reacquired by the Company. Shares subject to awards that are assumed, converted or substtuted under the 2021 Omnibus Incentve Plan as a result of the Company’s acquisiton of another company will not count against the number of shares that may be granted under the 2021 Omnibus Incentve Plan. If the Company assumes a stockholder approved equity plan from an acquired company, any shares of common stock available under the assumed plan (afer appropriate adjustments, as required to refect the transacton) may be issued pursuant to awards under the 2021 Omnibus Incentve Plan and will not reduce the 2021 Omnibus Incentve Plan’s aggregate share limit.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2760"/>
        <w:spacing w:after="0"/>
        <w:tabs>
          <w:tab w:leader="none" w:pos="7080" w:val="left"/>
          <w:tab w:leader="none" w:pos="8300" w:val="left"/>
        </w:tabs>
        <w:rPr>
          <w:sz w:val="20"/>
          <w:szCs w:val="20"/>
          <w:color w:val="auto"/>
        </w:rPr>
      </w:pPr>
      <w:r>
        <w:rPr>
          <w:rFonts w:ascii="Calibri" w:cs="Calibri" w:eastAsia="Calibri" w:hAnsi="Calibri"/>
          <w:sz w:val="16"/>
          <w:szCs w:val="16"/>
          <w:color w:val="auto"/>
        </w:rPr>
        <w:t>Alphareta, GA | New York, NY | Belfast, United Kingdom</w:t>
      </w:r>
      <w:r>
        <w:rPr>
          <w:sz w:val="20"/>
          <w:szCs w:val="20"/>
          <w:color w:val="auto"/>
        </w:rPr>
        <w:tab/>
      </w:r>
      <w:r>
        <w:rPr>
          <w:rFonts w:ascii="Calibri" w:cs="Calibri" w:eastAsia="Calibri" w:hAnsi="Calibri"/>
          <w:sz w:val="16"/>
          <w:szCs w:val="16"/>
          <w:color w:val="auto"/>
        </w:rPr>
        <w:t>www.bakkt.com</w:t>
      </w:r>
      <w:r>
        <w:rPr>
          <w:sz w:val="20"/>
          <w:szCs w:val="20"/>
          <w:color w:val="auto"/>
        </w:rPr>
        <w:tab/>
      </w:r>
      <w:r>
        <w:rPr>
          <w:rFonts w:ascii="Calibri" w:cs="Calibri" w:eastAsia="Calibri" w:hAnsi="Calibri"/>
          <w:sz w:val="17"/>
          <w:szCs w:val="17"/>
          <w:color w:val="auto"/>
        </w:rPr>
        <w:t>38</w:t>
      </w:r>
    </w:p>
    <w:p>
      <w:pPr>
        <w:sectPr>
          <w:pgSz w:w="11900" w:h="16838" w:orient="portrait"/>
          <w:cols w:equalWidth="0" w:num="1">
            <w:col w:w="11240"/>
          </w:cols>
          <w:pgMar w:left="320" w:top="1440" w:right="339" w:bottom="1440" w:gutter="0" w:footer="0" w:header="0"/>
        </w:sectPr>
      </w:pPr>
    </w:p>
    <w:bookmarkStart w:id="44" w:name="page45"/>
    <w:bookmarkEnd w:id="44"/>
    <w:p>
      <w:pPr>
        <w:spacing w:after="0" w:line="184" w:lineRule="exact"/>
        <w:rPr>
          <w:sz w:val="20"/>
          <w:szCs w:val="20"/>
          <w:color w:val="auto"/>
        </w:rPr>
      </w:pPr>
    </w:p>
    <w:p>
      <w:pPr>
        <w:jc w:val="both"/>
        <w:spacing w:after="0" w:line="231" w:lineRule="auto"/>
        <w:rPr>
          <w:sz w:val="20"/>
          <w:szCs w:val="20"/>
          <w:color w:val="auto"/>
        </w:rPr>
      </w:pPr>
      <w:r>
        <w:rPr>
          <w:rFonts w:ascii="Calibri" w:cs="Calibri" w:eastAsia="Calibri" w:hAnsi="Calibri"/>
          <w:sz w:val="22"/>
          <w:szCs w:val="22"/>
          <w:b w:val="1"/>
          <w:bCs w:val="1"/>
          <w:color w:val="auto"/>
        </w:rPr>
        <w:t>Grants to Non-Employee Directors</w:t>
      </w:r>
      <w:r>
        <w:rPr>
          <w:rFonts w:ascii="Calibri" w:cs="Calibri" w:eastAsia="Calibri" w:hAnsi="Calibri"/>
          <w:sz w:val="22"/>
          <w:szCs w:val="22"/>
          <w:color w:val="auto"/>
        </w:rPr>
        <w:t>. Grants made to non-employee directors may be in any form other than incentve stock</w:t>
      </w:r>
      <w:r>
        <w:rPr>
          <w:rFonts w:ascii="Calibri" w:cs="Calibri" w:eastAsia="Calibri" w:hAnsi="Calibri"/>
          <w:sz w:val="22"/>
          <w:szCs w:val="22"/>
          <w:b w:val="1"/>
          <w:bCs w:val="1"/>
          <w:color w:val="auto"/>
        </w:rPr>
        <w:t xml:space="preserve"> </w:t>
      </w:r>
      <w:r>
        <w:rPr>
          <w:rFonts w:ascii="Calibri" w:cs="Calibri" w:eastAsia="Calibri" w:hAnsi="Calibri"/>
          <w:sz w:val="22"/>
          <w:szCs w:val="22"/>
          <w:color w:val="auto"/>
        </w:rPr>
        <w:t>optons. The 2021 Omnibus Incentve Plan provides that in any calendar year no non-employee director may be granted equity awards (including equity awards under the 2021 Omnibus Incentve Plan) (the value of which will be based on their grant date fair value) and be provided any other compensaton (including without limitaton any cash retainers and fees) that in the aggregate exceed $750,000, provided that in the calendar year of the individual’s inital service as a non-employee director, such amount is increased to $1,000,000. Equity awards or other compensaton for service as an employee, a consultant other than a non-employee director or as a member of the board of managers of the Bakkt Trust will not count toward this limit.</w:t>
      </w:r>
    </w:p>
    <w:p>
      <w:pPr>
        <w:spacing w:after="0" w:line="216" w:lineRule="exact"/>
        <w:rPr>
          <w:sz w:val="20"/>
          <w:szCs w:val="20"/>
          <w:color w:val="auto"/>
        </w:rPr>
      </w:pPr>
    </w:p>
    <w:p>
      <w:pPr>
        <w:jc w:val="both"/>
        <w:spacing w:after="0" w:line="232" w:lineRule="auto"/>
        <w:rPr>
          <w:sz w:val="20"/>
          <w:szCs w:val="20"/>
          <w:color w:val="auto"/>
        </w:rPr>
      </w:pPr>
      <w:r>
        <w:rPr>
          <w:rFonts w:ascii="Calibri" w:cs="Calibri" w:eastAsia="Calibri" w:hAnsi="Calibri"/>
          <w:sz w:val="22"/>
          <w:szCs w:val="22"/>
          <w:b w:val="1"/>
          <w:bCs w:val="1"/>
          <w:color w:val="auto"/>
        </w:rPr>
        <w:t>Efect of Change in Control</w:t>
      </w:r>
      <w:r>
        <w:rPr>
          <w:rFonts w:ascii="Calibri" w:cs="Calibri" w:eastAsia="Calibri" w:hAnsi="Calibri"/>
          <w:sz w:val="22"/>
          <w:szCs w:val="22"/>
          <w:color w:val="auto"/>
        </w:rPr>
        <w:t>. The 2021 Omnibus Incentve Plan provides that in the event of a change in control, as defned under</w:t>
      </w:r>
      <w:r>
        <w:rPr>
          <w:rFonts w:ascii="Calibri" w:cs="Calibri" w:eastAsia="Calibri" w:hAnsi="Calibri"/>
          <w:sz w:val="22"/>
          <w:szCs w:val="22"/>
          <w:b w:val="1"/>
          <w:bCs w:val="1"/>
          <w:color w:val="auto"/>
        </w:rPr>
        <w:t xml:space="preserve"> </w:t>
      </w:r>
      <w:r>
        <w:rPr>
          <w:rFonts w:ascii="Calibri" w:cs="Calibri" w:eastAsia="Calibri" w:hAnsi="Calibri"/>
          <w:sz w:val="22"/>
          <w:szCs w:val="22"/>
          <w:color w:val="auto"/>
        </w:rPr>
        <w:t>the 2021 Omnibus Incentve Plan, each outstanding award will be treated as the Commitee determines, including acceleratng the expiraton or terminaton date or the date of exercisability of an award, setling any award by means of a cash payment, or removing any restrictons from or imposing any additonal restrictons on any outstanding awards. Notwithstanding the foregoing, and unless otherwise determined by the Commitee (or unless otherwise provided in the applicable award agreement), in the event that a partcipant is terminated by the Company other than for Cause (as defned in the 2021 Omnibus Incentve Plan) or by the partcipant for Good Reason (as defned in the 2021 Omnibus Incentve Plan), in either case, on or within two years following a change in control, then each of the partcipant’s outstanding awards granted prior to the change in control will become fully-vested, any restrictons thereon lapse and any risk of forfeiture thereon lapse, in each case, as to all of the shares of common stock subject to the award. In the event of a change in control, any outstanding awards subject to performance goals will be deemed earned at the greater of the target level and the actual performance level through the change in control date and will cease to be subject to any further performance conditons, but will contnue to be subject to tme-based vestng following the change in control in accordance with the original vestng period.</w:t>
      </w:r>
    </w:p>
    <w:p>
      <w:pPr>
        <w:spacing w:after="0" w:line="206" w:lineRule="exact"/>
        <w:rPr>
          <w:sz w:val="20"/>
          <w:szCs w:val="20"/>
          <w:color w:val="auto"/>
        </w:rPr>
      </w:pPr>
    </w:p>
    <w:p>
      <w:pPr>
        <w:spacing w:after="0"/>
        <w:rPr>
          <w:sz w:val="20"/>
          <w:szCs w:val="20"/>
          <w:color w:val="auto"/>
        </w:rPr>
      </w:pPr>
      <w:r>
        <w:rPr>
          <w:rFonts w:ascii="Calibri" w:cs="Calibri" w:eastAsia="Calibri" w:hAnsi="Calibri"/>
          <w:sz w:val="22"/>
          <w:szCs w:val="22"/>
          <w:color w:val="auto"/>
        </w:rPr>
        <w:t>Under the 2021 Omnibus Incentve Plan, “change in control” means:</w:t>
      </w:r>
    </w:p>
    <w:p>
      <w:pPr>
        <w:spacing w:after="0" w:line="121" w:lineRule="exact"/>
        <w:rPr>
          <w:sz w:val="20"/>
          <w:szCs w:val="20"/>
          <w:color w:val="auto"/>
        </w:rPr>
      </w:pPr>
    </w:p>
    <w:p>
      <w:pPr>
        <w:ind w:left="660" w:hanging="328"/>
        <w:spacing w:after="0"/>
        <w:tabs>
          <w:tab w:leader="none" w:pos="660" w:val="left"/>
        </w:tabs>
        <w:numPr>
          <w:ilvl w:val="0"/>
          <w:numId w:val="29"/>
        </w:numPr>
        <w:rPr>
          <w:rFonts w:ascii="Times New Roman" w:cs="Times New Roman" w:eastAsia="Times New Roman" w:hAnsi="Times New Roman"/>
          <w:sz w:val="22"/>
          <w:szCs w:val="22"/>
          <w:color w:val="auto"/>
        </w:rPr>
      </w:pPr>
      <w:r>
        <w:rPr>
          <w:rFonts w:ascii="Calibri" w:cs="Calibri" w:eastAsia="Calibri" w:hAnsi="Calibri"/>
          <w:sz w:val="22"/>
          <w:szCs w:val="22"/>
          <w:color w:val="auto"/>
        </w:rPr>
        <w:t>Any person is or becomes the benefcial owner of more than 30% of the Company’s votng securites;</w:t>
      </w:r>
    </w:p>
    <w:p>
      <w:pPr>
        <w:spacing w:after="0" w:line="135" w:lineRule="exact"/>
        <w:rPr>
          <w:rFonts w:ascii="Times New Roman" w:cs="Times New Roman" w:eastAsia="Times New Roman" w:hAnsi="Times New Roman"/>
          <w:sz w:val="22"/>
          <w:szCs w:val="22"/>
          <w:color w:val="auto"/>
        </w:rPr>
      </w:pPr>
    </w:p>
    <w:p>
      <w:pPr>
        <w:jc w:val="both"/>
        <w:ind w:left="660" w:hanging="328"/>
        <w:spacing w:after="0" w:line="230" w:lineRule="auto"/>
        <w:tabs>
          <w:tab w:leader="none" w:pos="655" w:val="left"/>
        </w:tabs>
        <w:numPr>
          <w:ilvl w:val="0"/>
          <w:numId w:val="29"/>
        </w:numPr>
        <w:rPr>
          <w:rFonts w:ascii="Times New Roman" w:cs="Times New Roman" w:eastAsia="Times New Roman" w:hAnsi="Times New Roman"/>
          <w:sz w:val="22"/>
          <w:szCs w:val="22"/>
          <w:color w:val="auto"/>
        </w:rPr>
      </w:pPr>
      <w:r>
        <w:rPr>
          <w:rFonts w:ascii="Calibri" w:cs="Calibri" w:eastAsia="Calibri" w:hAnsi="Calibri"/>
          <w:sz w:val="22"/>
          <w:szCs w:val="22"/>
          <w:color w:val="auto"/>
        </w:rPr>
        <w:t>During any period of not more than thirty-six (36) months, individuals who consttute the Board as of the beginning of the period (referred to as the incumbent directors) cease to consttute at least a majority of the Board, provided that any person becoming a director subsequent to the beginning of the period, whose electon or nominaton for electon was approved by a vote of at least two-thirds of the incumbent directors then on the Board will be considered an incumbent director. However no individual initally elected or nominated as a director of the Company as a result of an actual or publicly threatened electon contest or as a result of any other actual or publicly threatened solicitaton of proxies will be considered to be an incumbent director.</w:t>
      </w:r>
    </w:p>
    <w:p>
      <w:pPr>
        <w:spacing w:after="0" w:line="142" w:lineRule="exact"/>
        <w:rPr>
          <w:rFonts w:ascii="Times New Roman" w:cs="Times New Roman" w:eastAsia="Times New Roman" w:hAnsi="Times New Roman"/>
          <w:sz w:val="22"/>
          <w:szCs w:val="22"/>
          <w:color w:val="auto"/>
        </w:rPr>
      </w:pPr>
    </w:p>
    <w:p>
      <w:pPr>
        <w:ind w:left="660" w:hanging="328"/>
        <w:spacing w:after="0" w:line="235" w:lineRule="auto"/>
        <w:tabs>
          <w:tab w:leader="none" w:pos="655" w:val="left"/>
        </w:tabs>
        <w:numPr>
          <w:ilvl w:val="0"/>
          <w:numId w:val="29"/>
        </w:numPr>
        <w:rPr>
          <w:rFonts w:ascii="Times New Roman" w:cs="Times New Roman" w:eastAsia="Times New Roman" w:hAnsi="Times New Roman"/>
          <w:sz w:val="22"/>
          <w:szCs w:val="22"/>
          <w:color w:val="auto"/>
        </w:rPr>
      </w:pPr>
      <w:r>
        <w:rPr>
          <w:rFonts w:ascii="Calibri" w:cs="Calibri" w:eastAsia="Calibri" w:hAnsi="Calibri"/>
          <w:sz w:val="22"/>
          <w:szCs w:val="22"/>
          <w:color w:val="auto"/>
        </w:rPr>
        <w:t>Any dissoluton or liquidaton of the Company or any sale or the dispositon of 50% or more of the assets or business of the Company;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left="2760"/>
        <w:spacing w:after="0"/>
        <w:tabs>
          <w:tab w:leader="none" w:pos="7080" w:val="left"/>
          <w:tab w:leader="none" w:pos="8300" w:val="left"/>
        </w:tabs>
        <w:rPr>
          <w:sz w:val="20"/>
          <w:szCs w:val="20"/>
          <w:color w:val="auto"/>
        </w:rPr>
      </w:pPr>
      <w:r>
        <w:rPr>
          <w:rFonts w:ascii="Calibri" w:cs="Calibri" w:eastAsia="Calibri" w:hAnsi="Calibri"/>
          <w:sz w:val="16"/>
          <w:szCs w:val="16"/>
          <w:color w:val="auto"/>
        </w:rPr>
        <w:t>Alphareta, GA | New York, NY | Belfast, United Kingdom</w:t>
      </w:r>
      <w:r>
        <w:rPr>
          <w:sz w:val="20"/>
          <w:szCs w:val="20"/>
          <w:color w:val="auto"/>
        </w:rPr>
        <w:tab/>
      </w:r>
      <w:r>
        <w:rPr>
          <w:rFonts w:ascii="Calibri" w:cs="Calibri" w:eastAsia="Calibri" w:hAnsi="Calibri"/>
          <w:sz w:val="16"/>
          <w:szCs w:val="16"/>
          <w:color w:val="auto"/>
        </w:rPr>
        <w:t>www.bakkt.com</w:t>
      </w:r>
      <w:r>
        <w:rPr>
          <w:sz w:val="20"/>
          <w:szCs w:val="20"/>
          <w:color w:val="auto"/>
        </w:rPr>
        <w:tab/>
      </w:r>
      <w:r>
        <w:rPr>
          <w:rFonts w:ascii="Calibri" w:cs="Calibri" w:eastAsia="Calibri" w:hAnsi="Calibri"/>
          <w:sz w:val="17"/>
          <w:szCs w:val="17"/>
          <w:color w:val="auto"/>
        </w:rPr>
        <w:t>39</w:t>
      </w:r>
    </w:p>
    <w:p>
      <w:pPr>
        <w:sectPr>
          <w:pgSz w:w="11900" w:h="16838" w:orient="portrait"/>
          <w:cols w:equalWidth="0" w:num="1">
            <w:col w:w="11240"/>
          </w:cols>
          <w:pgMar w:left="320" w:top="1440" w:right="339" w:bottom="1440" w:gutter="0" w:footer="0" w:header="0"/>
        </w:sectPr>
      </w:pPr>
    </w:p>
    <w:bookmarkStart w:id="45" w:name="page46"/>
    <w:bookmarkEnd w:id="45"/>
    <w:p>
      <w:pPr>
        <w:spacing w:after="0" w:line="103" w:lineRule="exact"/>
        <w:rPr>
          <w:sz w:val="20"/>
          <w:szCs w:val="20"/>
          <w:color w:val="auto"/>
        </w:rPr>
      </w:pPr>
    </w:p>
    <w:p>
      <w:pPr>
        <w:jc w:val="both"/>
        <w:ind w:left="660" w:hanging="328"/>
        <w:spacing w:after="0" w:line="231" w:lineRule="auto"/>
        <w:tabs>
          <w:tab w:leader="none" w:pos="655" w:val="left"/>
        </w:tabs>
        <w:numPr>
          <w:ilvl w:val="0"/>
          <w:numId w:val="30"/>
        </w:numPr>
        <w:rPr>
          <w:rFonts w:ascii="Times New Roman" w:cs="Times New Roman" w:eastAsia="Times New Roman" w:hAnsi="Times New Roman"/>
          <w:sz w:val="22"/>
          <w:szCs w:val="22"/>
          <w:color w:val="auto"/>
        </w:rPr>
      </w:pPr>
      <w:r>
        <w:rPr>
          <w:rFonts w:ascii="Calibri" w:cs="Calibri" w:eastAsia="Calibri" w:hAnsi="Calibri"/>
          <w:sz w:val="22"/>
          <w:szCs w:val="22"/>
          <w:color w:val="auto"/>
        </w:rPr>
        <w:t>Consummaton of any reorganizaton, merger, consolidaton or share exchange or similar form of corporate transacton involving the Company unless the benefcial owners of the Company’s votng securites before the transacton own more than 60% of the votng power of the surviving company or ultmate parent that has benefcial ownership of at least 95% of the surviving company, in each case, if the benefcial owners own such votng securites in substantally the same proportons as their ownership immediately before the transacton.</w:t>
      </w:r>
    </w:p>
    <w:p>
      <w:pPr>
        <w:spacing w:after="0" w:line="220" w:lineRule="exact"/>
        <w:rPr>
          <w:sz w:val="20"/>
          <w:szCs w:val="20"/>
          <w:color w:val="auto"/>
        </w:rPr>
      </w:pPr>
    </w:p>
    <w:p>
      <w:pPr>
        <w:jc w:val="both"/>
        <w:spacing w:after="0" w:line="232" w:lineRule="auto"/>
        <w:rPr>
          <w:sz w:val="20"/>
          <w:szCs w:val="20"/>
          <w:color w:val="auto"/>
        </w:rPr>
      </w:pPr>
      <w:r>
        <w:rPr>
          <w:rFonts w:ascii="Calibri" w:cs="Calibri" w:eastAsia="Calibri" w:hAnsi="Calibri"/>
          <w:sz w:val="22"/>
          <w:szCs w:val="22"/>
          <w:color w:val="auto"/>
        </w:rPr>
        <w:t>The consummaton of any reorganizaton, merger, consolidaton, share exchange or similar form of corporate transacton involving the Company shall not consttute a “change in control” if the direct or indirect benefcial ownership of the surviving corporaton or ultmate parent held by ICE is equivalent or greater than the direct or indirect benefcial ownership of the Company held by ICE prior to such corporate transacton.</w:t>
      </w:r>
    </w:p>
    <w:p>
      <w:pPr>
        <w:spacing w:after="0" w:line="217" w:lineRule="exact"/>
        <w:rPr>
          <w:sz w:val="20"/>
          <w:szCs w:val="20"/>
          <w:color w:val="auto"/>
        </w:rPr>
      </w:pPr>
    </w:p>
    <w:p>
      <w:pPr>
        <w:jc w:val="both"/>
        <w:spacing w:after="0" w:line="230" w:lineRule="auto"/>
        <w:rPr>
          <w:sz w:val="20"/>
          <w:szCs w:val="20"/>
          <w:color w:val="auto"/>
        </w:rPr>
      </w:pPr>
      <w:r>
        <w:rPr>
          <w:rFonts w:ascii="Calibri" w:cs="Calibri" w:eastAsia="Calibri" w:hAnsi="Calibri"/>
          <w:sz w:val="22"/>
          <w:szCs w:val="22"/>
          <w:b w:val="1"/>
          <w:bCs w:val="1"/>
          <w:color w:val="auto"/>
        </w:rPr>
        <w:t>Restrictons on Repricing</w:t>
      </w:r>
      <w:r>
        <w:rPr>
          <w:rFonts w:ascii="Calibri" w:cs="Calibri" w:eastAsia="Calibri" w:hAnsi="Calibri"/>
          <w:sz w:val="22"/>
          <w:szCs w:val="22"/>
          <w:color w:val="auto"/>
        </w:rPr>
        <w:t>. Without obtaining stockholder approval, we may not reduce the exercise price of stock optons or</w:t>
      </w:r>
      <w:r>
        <w:rPr>
          <w:rFonts w:ascii="Calibri" w:cs="Calibri" w:eastAsia="Calibri" w:hAnsi="Calibri"/>
          <w:sz w:val="22"/>
          <w:szCs w:val="22"/>
          <w:b w:val="1"/>
          <w:bCs w:val="1"/>
          <w:color w:val="auto"/>
        </w:rPr>
        <w:t xml:space="preserve"> </w:t>
      </w:r>
      <w:r>
        <w:rPr>
          <w:rFonts w:ascii="Calibri" w:cs="Calibri" w:eastAsia="Calibri" w:hAnsi="Calibri"/>
          <w:sz w:val="22"/>
          <w:szCs w:val="22"/>
          <w:color w:val="auto"/>
        </w:rPr>
        <w:t>SARs, including through amendment, cancellaton in exchange for the grant of a substtute award, repurchase for cash or other consideraton, or any other acton that would be treated as a “repricing” of such stock optons or such SARs. However, such stockholder approval is not required in connecton with a corporate transacton involving the Company or other actons with respect to our securites, such as a recapitalizaton, stock split, reverse stock split, stock dividend, spinof, split up, combinaton, reclassifcaton or exchange of shares, merger, consolidaton, rights ofering, separaton, reorganizaton or liquidaton or other change in the corporate structure or shares. No stock optons or SARs will be granted under the 2021 Omnibus Incentve Plan with automatc reload features.</w:t>
      </w:r>
    </w:p>
    <w:p>
      <w:pPr>
        <w:spacing w:after="0" w:line="223" w:lineRule="exact"/>
        <w:rPr>
          <w:sz w:val="20"/>
          <w:szCs w:val="20"/>
          <w:color w:val="auto"/>
        </w:rPr>
      </w:pPr>
    </w:p>
    <w:p>
      <w:pPr>
        <w:jc w:val="both"/>
        <w:spacing w:after="0" w:line="231" w:lineRule="auto"/>
        <w:rPr>
          <w:sz w:val="20"/>
          <w:szCs w:val="20"/>
          <w:color w:val="auto"/>
        </w:rPr>
      </w:pPr>
      <w:r>
        <w:rPr>
          <w:rFonts w:ascii="Calibri" w:cs="Calibri" w:eastAsia="Calibri" w:hAnsi="Calibri"/>
          <w:sz w:val="22"/>
          <w:szCs w:val="22"/>
          <w:b w:val="1"/>
          <w:bCs w:val="1"/>
          <w:color w:val="auto"/>
        </w:rPr>
        <w:t>Transferability</w:t>
      </w:r>
      <w:r>
        <w:rPr>
          <w:rFonts w:ascii="Calibri" w:cs="Calibri" w:eastAsia="Calibri" w:hAnsi="Calibri"/>
          <w:sz w:val="22"/>
          <w:szCs w:val="22"/>
          <w:color w:val="auto"/>
        </w:rPr>
        <w:t>. Unless otherwise determined by the Commitee in its sole discreton, no award (or any rights and obligatons</w:t>
      </w:r>
      <w:r>
        <w:rPr>
          <w:rFonts w:ascii="Calibri" w:cs="Calibri" w:eastAsia="Calibri" w:hAnsi="Calibri"/>
          <w:sz w:val="22"/>
          <w:szCs w:val="22"/>
          <w:b w:val="1"/>
          <w:bCs w:val="1"/>
          <w:color w:val="auto"/>
        </w:rPr>
        <w:t xml:space="preserve"> </w:t>
      </w:r>
      <w:r>
        <w:rPr>
          <w:rFonts w:ascii="Calibri" w:cs="Calibri" w:eastAsia="Calibri" w:hAnsi="Calibri"/>
          <w:sz w:val="22"/>
          <w:szCs w:val="22"/>
          <w:color w:val="auto"/>
        </w:rPr>
        <w:t>thereunder) granted to any person under the 2021 Omnibus Incentve Plan may be sold, exchanged, transferred, assigned, pledged, hypothecated or otherwise disposed of or hedged, in any manner (including through the use of any cash-setled instrument), whether voluntarily or involuntarily and whether by operaton of law or otherwise, other than by will or by the laws of descent and distributon, and all such awards (and any rights thereunder) will be exercisable during the life of the recipient only by the recipient or the recipient’s legal representatve.</w:t>
      </w:r>
    </w:p>
    <w:p>
      <w:pPr>
        <w:spacing w:after="0" w:line="218" w:lineRule="exact"/>
        <w:rPr>
          <w:sz w:val="20"/>
          <w:szCs w:val="20"/>
          <w:color w:val="auto"/>
        </w:rPr>
      </w:pPr>
    </w:p>
    <w:p>
      <w:pPr>
        <w:jc w:val="both"/>
        <w:spacing w:after="0" w:line="235" w:lineRule="auto"/>
        <w:rPr>
          <w:sz w:val="20"/>
          <w:szCs w:val="20"/>
          <w:color w:val="auto"/>
        </w:rPr>
      </w:pPr>
      <w:r>
        <w:rPr>
          <w:rFonts w:ascii="Calibri" w:cs="Calibri" w:eastAsia="Calibri" w:hAnsi="Calibri"/>
          <w:sz w:val="22"/>
          <w:szCs w:val="22"/>
          <w:b w:val="1"/>
          <w:bCs w:val="1"/>
          <w:color w:val="auto"/>
        </w:rPr>
        <w:t>Clawback Policy</w:t>
      </w:r>
      <w:r>
        <w:rPr>
          <w:rFonts w:ascii="Calibri" w:cs="Calibri" w:eastAsia="Calibri" w:hAnsi="Calibri"/>
          <w:sz w:val="22"/>
          <w:szCs w:val="22"/>
          <w:color w:val="auto"/>
        </w:rPr>
        <w:t>. All awards made under the 2021 Omnibus Incentve Plan shall be subject to any clawback or recapture policy</w:t>
      </w:r>
      <w:r>
        <w:rPr>
          <w:rFonts w:ascii="Calibri" w:cs="Calibri" w:eastAsia="Calibri" w:hAnsi="Calibri"/>
          <w:sz w:val="22"/>
          <w:szCs w:val="22"/>
          <w:b w:val="1"/>
          <w:bCs w:val="1"/>
          <w:color w:val="auto"/>
        </w:rPr>
        <w:t xml:space="preserve"> </w:t>
      </w:r>
      <w:r>
        <w:rPr>
          <w:rFonts w:ascii="Calibri" w:cs="Calibri" w:eastAsia="Calibri" w:hAnsi="Calibri"/>
          <w:sz w:val="22"/>
          <w:szCs w:val="22"/>
          <w:color w:val="auto"/>
        </w:rPr>
        <w:t>that the Company may adopt from tme to tme, including our clawback policy adopted in September 2023.</w:t>
      </w:r>
    </w:p>
    <w:p>
      <w:pPr>
        <w:spacing w:after="0" w:line="217" w:lineRule="exact"/>
        <w:rPr>
          <w:sz w:val="20"/>
          <w:szCs w:val="20"/>
          <w:color w:val="auto"/>
        </w:rPr>
      </w:pPr>
    </w:p>
    <w:p>
      <w:pPr>
        <w:jc w:val="both"/>
        <w:spacing w:after="0" w:line="231" w:lineRule="auto"/>
        <w:rPr>
          <w:sz w:val="20"/>
          <w:szCs w:val="20"/>
          <w:color w:val="auto"/>
        </w:rPr>
      </w:pPr>
      <w:r>
        <w:rPr>
          <w:rFonts w:ascii="Calibri" w:cs="Calibri" w:eastAsia="Calibri" w:hAnsi="Calibri"/>
          <w:sz w:val="22"/>
          <w:szCs w:val="22"/>
          <w:b w:val="1"/>
          <w:bCs w:val="1"/>
          <w:color w:val="auto"/>
        </w:rPr>
        <w:t>Amendment, Terminaton</w:t>
      </w:r>
      <w:r>
        <w:rPr>
          <w:rFonts w:ascii="Calibri" w:cs="Calibri" w:eastAsia="Calibri" w:hAnsi="Calibri"/>
          <w:sz w:val="22"/>
          <w:szCs w:val="22"/>
          <w:color w:val="auto"/>
        </w:rPr>
        <w:t>. The Company Board has the authority to amend the 2021 Omnibus Incentve Plan from tme to</w:t>
      </w:r>
      <w:r>
        <w:rPr>
          <w:rFonts w:ascii="Calibri" w:cs="Calibri" w:eastAsia="Calibri" w:hAnsi="Calibri"/>
          <w:sz w:val="22"/>
          <w:szCs w:val="22"/>
          <w:b w:val="1"/>
          <w:bCs w:val="1"/>
          <w:color w:val="auto"/>
        </w:rPr>
        <w:t xml:space="preserve"> </w:t>
      </w:r>
      <w:r>
        <w:rPr>
          <w:rFonts w:ascii="Calibri" w:cs="Calibri" w:eastAsia="Calibri" w:hAnsi="Calibri"/>
          <w:sz w:val="22"/>
          <w:szCs w:val="22"/>
          <w:color w:val="auto"/>
        </w:rPr>
        <w:t>tme; provided that such amendment does not materially adversely impair the rights of the recipient of any award without the recipient’s consent. Stockholder approval also is required to the extent necessary to comply with any applicable laws, regulatons or rules of a securites exchange or self-regulatory agency. The Company Board has also reserved the right to terminate the 2021 Omnibus Incentve Plan at any tme, and the 2021 Omnibus Incentve Plan will automatcally terminate in 2031.</w:t>
      </w:r>
    </w:p>
    <w:p>
      <w:pPr>
        <w:spacing w:after="0" w:line="207" w:lineRule="exact"/>
        <w:rPr>
          <w:sz w:val="20"/>
          <w:szCs w:val="20"/>
          <w:color w:val="auto"/>
        </w:rPr>
      </w:pPr>
    </w:p>
    <w:p>
      <w:pPr>
        <w:spacing w:after="0"/>
        <w:rPr>
          <w:sz w:val="20"/>
          <w:szCs w:val="20"/>
          <w:color w:val="auto"/>
        </w:rPr>
      </w:pPr>
      <w:r>
        <w:rPr>
          <w:rFonts w:ascii="Calibri" w:cs="Calibri" w:eastAsia="Calibri" w:hAnsi="Calibri"/>
          <w:sz w:val="22"/>
          <w:szCs w:val="22"/>
          <w:b w:val="1"/>
          <w:bCs w:val="1"/>
          <w:color w:val="auto"/>
        </w:rPr>
        <w:t>Summary of U.S. Federal Income Tax Consequences of the 2021 Omnibus Incentve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2760"/>
        <w:spacing w:after="0"/>
        <w:tabs>
          <w:tab w:leader="none" w:pos="7080" w:val="left"/>
          <w:tab w:leader="none" w:pos="8300" w:val="left"/>
        </w:tabs>
        <w:rPr>
          <w:sz w:val="20"/>
          <w:szCs w:val="20"/>
          <w:color w:val="auto"/>
        </w:rPr>
      </w:pPr>
      <w:r>
        <w:rPr>
          <w:rFonts w:ascii="Calibri" w:cs="Calibri" w:eastAsia="Calibri" w:hAnsi="Calibri"/>
          <w:sz w:val="16"/>
          <w:szCs w:val="16"/>
          <w:color w:val="auto"/>
        </w:rPr>
        <w:t>Alphareta, GA | New York, NY | Belfast, United Kingdom</w:t>
      </w:r>
      <w:r>
        <w:rPr>
          <w:sz w:val="20"/>
          <w:szCs w:val="20"/>
          <w:color w:val="auto"/>
        </w:rPr>
        <w:tab/>
      </w:r>
      <w:r>
        <w:rPr>
          <w:rFonts w:ascii="Calibri" w:cs="Calibri" w:eastAsia="Calibri" w:hAnsi="Calibri"/>
          <w:sz w:val="16"/>
          <w:szCs w:val="16"/>
          <w:color w:val="auto"/>
        </w:rPr>
        <w:t>www.bakkt.com</w:t>
      </w:r>
      <w:r>
        <w:rPr>
          <w:sz w:val="20"/>
          <w:szCs w:val="20"/>
          <w:color w:val="auto"/>
        </w:rPr>
        <w:tab/>
      </w:r>
      <w:r>
        <w:rPr>
          <w:rFonts w:ascii="Calibri" w:cs="Calibri" w:eastAsia="Calibri" w:hAnsi="Calibri"/>
          <w:sz w:val="17"/>
          <w:szCs w:val="17"/>
          <w:color w:val="auto"/>
        </w:rPr>
        <w:t>40</w:t>
      </w:r>
    </w:p>
    <w:p>
      <w:pPr>
        <w:sectPr>
          <w:pgSz w:w="11900" w:h="16838" w:orient="portrait"/>
          <w:cols w:equalWidth="0" w:num="1">
            <w:col w:w="11240"/>
          </w:cols>
          <w:pgMar w:left="320" w:top="1440" w:right="339" w:bottom="1440" w:gutter="0" w:footer="0" w:header="0"/>
        </w:sectPr>
      </w:pPr>
    </w:p>
    <w:bookmarkStart w:id="46" w:name="page47"/>
    <w:bookmarkEnd w:id="46"/>
    <w:p>
      <w:pPr>
        <w:spacing w:after="0" w:line="184" w:lineRule="exact"/>
        <w:rPr>
          <w:sz w:val="20"/>
          <w:szCs w:val="20"/>
          <w:color w:val="auto"/>
        </w:rPr>
      </w:pPr>
    </w:p>
    <w:p>
      <w:pPr>
        <w:jc w:val="both"/>
        <w:spacing w:after="0" w:line="231" w:lineRule="auto"/>
        <w:rPr>
          <w:sz w:val="20"/>
          <w:szCs w:val="20"/>
          <w:color w:val="auto"/>
        </w:rPr>
      </w:pPr>
      <w:r>
        <w:rPr>
          <w:rFonts w:ascii="Calibri" w:cs="Calibri" w:eastAsia="Calibri" w:hAnsi="Calibri"/>
          <w:sz w:val="22"/>
          <w:szCs w:val="22"/>
          <w:color w:val="auto"/>
        </w:rPr>
        <w:t>The following summary is intended only as a general guide to the material U.S. federal income tax consequences of partcipaton in the 2021 Omnibus Incentve Plan. The summary is based on existng U.S. laws and regulatons, and there can be no assurance that those laws and regulatons will not change in the future. The summary does not purport to be complete and does not discuss the tax consequences upon a partcipant’s death, or the provisions of the income tax laws of any municipality, state or foreign country in which the partcipant may reside. As a result, tax consequences for any partcular partcipant may vary based on individual circumstances.</w:t>
      </w:r>
    </w:p>
    <w:p>
      <w:pPr>
        <w:spacing w:after="0" w:line="218" w:lineRule="exact"/>
        <w:rPr>
          <w:sz w:val="20"/>
          <w:szCs w:val="20"/>
          <w:color w:val="auto"/>
        </w:rPr>
      </w:pPr>
    </w:p>
    <w:p>
      <w:pPr>
        <w:jc w:val="both"/>
        <w:spacing w:after="0" w:line="231" w:lineRule="auto"/>
        <w:rPr>
          <w:sz w:val="20"/>
          <w:szCs w:val="20"/>
          <w:color w:val="auto"/>
        </w:rPr>
      </w:pPr>
      <w:r>
        <w:rPr>
          <w:rFonts w:ascii="Calibri" w:cs="Calibri" w:eastAsia="Calibri" w:hAnsi="Calibri"/>
          <w:sz w:val="22"/>
          <w:szCs w:val="22"/>
          <w:b w:val="1"/>
          <w:bCs w:val="1"/>
          <w:i w:val="1"/>
          <w:iCs w:val="1"/>
          <w:color w:val="auto"/>
        </w:rPr>
        <w:t xml:space="preserve">Incentve Stock Optons. </w:t>
      </w:r>
      <w:r>
        <w:rPr>
          <w:rFonts w:ascii="Calibri" w:cs="Calibri" w:eastAsia="Calibri" w:hAnsi="Calibri"/>
          <w:sz w:val="22"/>
          <w:szCs w:val="22"/>
          <w:color w:val="auto"/>
        </w:rPr>
        <w:t>An optonee recognizes no taxable income for regular income tax purposes as a result of the grant or</w:t>
      </w:r>
      <w:r>
        <w:rPr>
          <w:rFonts w:ascii="Calibri" w:cs="Calibri" w:eastAsia="Calibri" w:hAnsi="Calibri"/>
          <w:sz w:val="22"/>
          <w:szCs w:val="22"/>
          <w:b w:val="1"/>
          <w:bCs w:val="1"/>
          <w:i w:val="1"/>
          <w:iCs w:val="1"/>
          <w:color w:val="auto"/>
        </w:rPr>
        <w:t xml:space="preserve"> </w:t>
      </w:r>
      <w:r>
        <w:rPr>
          <w:rFonts w:ascii="Calibri" w:cs="Calibri" w:eastAsia="Calibri" w:hAnsi="Calibri"/>
          <w:sz w:val="22"/>
          <w:szCs w:val="22"/>
          <w:color w:val="auto"/>
        </w:rPr>
        <w:t>exercise of an incentve stock opton qualifying under Secton 422 of the Code. Optonees who neither dispose of their shares within two years following the date the opton was granted nor within one year following the exercise of the opton normally will recognize a capital gain or loss equal to the diference, if any, between the sale price and the purchase price of the shares. If an optonee satsfes such holding periods upon a sale of the shares, the Company will not be enttled to any deducton for federal income tax purposes. If an optonee disposes of shares within two years afer the date of grant or within one year afer the date of exercise (a “disqualifying dispositon”), the diference between the fair market value of the shares on the exercise date and the opton exercise price (not to exceed the gain realized on the sale if the dispositon is a transacton with respect to which a loss, if sustained, would be recognized) will be taxed as ordinary income at the tme of dispositon. Any gain in excess of that amount will be a capital gain. If a loss is recognized, there will be no ordinary income, and such loss will be a capital loss. Any ordinary income recognized by the optonee upon the disqualifying dispositon of the shares generally should be deductble by the Company for federal income tax purposes, except to the extent such deducton is limited by applicable provisions of the Code.</w:t>
      </w:r>
    </w:p>
    <w:p>
      <w:pPr>
        <w:spacing w:after="0" w:line="231" w:lineRule="exact"/>
        <w:rPr>
          <w:sz w:val="20"/>
          <w:szCs w:val="20"/>
          <w:color w:val="auto"/>
        </w:rPr>
      </w:pPr>
    </w:p>
    <w:p>
      <w:pPr>
        <w:jc w:val="both"/>
        <w:spacing w:after="0" w:line="231" w:lineRule="auto"/>
        <w:rPr>
          <w:sz w:val="20"/>
          <w:szCs w:val="20"/>
          <w:color w:val="auto"/>
        </w:rPr>
      </w:pPr>
      <w:r>
        <w:rPr>
          <w:rFonts w:ascii="Calibri" w:cs="Calibri" w:eastAsia="Calibri" w:hAnsi="Calibri"/>
          <w:sz w:val="22"/>
          <w:szCs w:val="22"/>
          <w:color w:val="auto"/>
        </w:rPr>
        <w:t>The diference between the opton exercise price and the fair market value of the shares on the exercise date is treated as an adjustment in computng the optonee’s alternatve minimum taxable income and may be subject to an alternatve minimum tax which is paid if such tax exceeds the regular tax for the year. General rules may apply with respect to certain subsequent sales of the shares in a disqualifying dispositon, certain basis adjustments for purposes of computng the alternatve minimum taxable income on a subsequent sale of the shares and certain tax credits which may arise with respect to optonees subject to the alternatve minimum tax.</w:t>
      </w:r>
    </w:p>
    <w:p>
      <w:pPr>
        <w:spacing w:after="0" w:line="218" w:lineRule="exact"/>
        <w:rPr>
          <w:sz w:val="20"/>
          <w:szCs w:val="20"/>
          <w:color w:val="auto"/>
        </w:rPr>
      </w:pPr>
    </w:p>
    <w:p>
      <w:pPr>
        <w:jc w:val="both"/>
        <w:spacing w:after="0" w:line="230" w:lineRule="auto"/>
        <w:rPr>
          <w:sz w:val="20"/>
          <w:szCs w:val="20"/>
          <w:color w:val="auto"/>
        </w:rPr>
      </w:pPr>
      <w:r>
        <w:rPr>
          <w:rFonts w:ascii="Calibri" w:cs="Calibri" w:eastAsia="Calibri" w:hAnsi="Calibri"/>
          <w:sz w:val="22"/>
          <w:szCs w:val="22"/>
          <w:b w:val="1"/>
          <w:bCs w:val="1"/>
          <w:i w:val="1"/>
          <w:iCs w:val="1"/>
          <w:color w:val="auto"/>
        </w:rPr>
        <w:t xml:space="preserve">Nonstatutory Stock Optons. </w:t>
      </w:r>
      <w:r>
        <w:rPr>
          <w:rFonts w:ascii="Calibri" w:cs="Calibri" w:eastAsia="Calibri" w:hAnsi="Calibri"/>
          <w:sz w:val="22"/>
          <w:szCs w:val="22"/>
          <w:color w:val="auto"/>
        </w:rPr>
        <w:t>Optons not designated or qualifying as incentve stock optons will be nonstatutory stock optons</w:t>
      </w:r>
      <w:r>
        <w:rPr>
          <w:rFonts w:ascii="Calibri" w:cs="Calibri" w:eastAsia="Calibri" w:hAnsi="Calibri"/>
          <w:sz w:val="22"/>
          <w:szCs w:val="22"/>
          <w:b w:val="1"/>
          <w:bCs w:val="1"/>
          <w:i w:val="1"/>
          <w:iCs w:val="1"/>
          <w:color w:val="auto"/>
        </w:rPr>
        <w:t xml:space="preserve"> </w:t>
      </w:r>
      <w:r>
        <w:rPr>
          <w:rFonts w:ascii="Calibri" w:cs="Calibri" w:eastAsia="Calibri" w:hAnsi="Calibri"/>
          <w:sz w:val="22"/>
          <w:szCs w:val="22"/>
          <w:color w:val="auto"/>
        </w:rPr>
        <w:t>having no special U.S. tax status. An optonee generally recognizes no taxable income as the result of the grant of such an opton. Upon exercise of a nonstatutory stock opton, the optonee normally recognizes ordinary income equal to the amount that the fair market value of the shares on such date exceeds the exercise price, and such amount should be deductble by the Company for federal income tax purposes. If the optonee is an employee, such ordinary income generally is subject to withholding of income and employment taxes. Upon the sale of stock acquired by the exercise of a nonstatutory stock opton, any gain or loss, based on the diference between the sale price and the fair market value on the exercise date, will be taxed as capital gain or loss. No tax deducton is available to the Company with respect to the grant of a nonstatutory stock opton or the sale of the stock acquired pursuant to such grant.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left="2760"/>
        <w:spacing w:after="0"/>
        <w:tabs>
          <w:tab w:leader="none" w:pos="7080" w:val="left"/>
          <w:tab w:leader="none" w:pos="8300" w:val="left"/>
        </w:tabs>
        <w:rPr>
          <w:sz w:val="20"/>
          <w:szCs w:val="20"/>
          <w:color w:val="auto"/>
        </w:rPr>
      </w:pPr>
      <w:r>
        <w:rPr>
          <w:rFonts w:ascii="Calibri" w:cs="Calibri" w:eastAsia="Calibri" w:hAnsi="Calibri"/>
          <w:sz w:val="16"/>
          <w:szCs w:val="16"/>
          <w:color w:val="auto"/>
        </w:rPr>
        <w:t>Alphareta, GA | New York, NY | Belfast, United Kingdom</w:t>
      </w:r>
      <w:r>
        <w:rPr>
          <w:sz w:val="20"/>
          <w:szCs w:val="20"/>
          <w:color w:val="auto"/>
        </w:rPr>
        <w:tab/>
      </w:r>
      <w:r>
        <w:rPr>
          <w:rFonts w:ascii="Calibri" w:cs="Calibri" w:eastAsia="Calibri" w:hAnsi="Calibri"/>
          <w:sz w:val="16"/>
          <w:szCs w:val="16"/>
          <w:color w:val="auto"/>
        </w:rPr>
        <w:t>www.bakkt.com</w:t>
      </w:r>
      <w:r>
        <w:rPr>
          <w:sz w:val="20"/>
          <w:szCs w:val="20"/>
          <w:color w:val="auto"/>
        </w:rPr>
        <w:tab/>
      </w:r>
      <w:r>
        <w:rPr>
          <w:rFonts w:ascii="Calibri" w:cs="Calibri" w:eastAsia="Calibri" w:hAnsi="Calibri"/>
          <w:sz w:val="17"/>
          <w:szCs w:val="17"/>
          <w:color w:val="auto"/>
        </w:rPr>
        <w:t>41</w:t>
      </w:r>
    </w:p>
    <w:p>
      <w:pPr>
        <w:sectPr>
          <w:pgSz w:w="11900" w:h="16838" w:orient="portrait"/>
          <w:cols w:equalWidth="0" w:num="1">
            <w:col w:w="11240"/>
          </w:cols>
          <w:pgMar w:left="320" w:top="1440" w:right="339" w:bottom="1440" w:gutter="0" w:footer="0" w:header="0"/>
        </w:sectPr>
      </w:pPr>
    </w:p>
    <w:bookmarkStart w:id="47" w:name="page48"/>
    <w:bookmarkEnd w:id="47"/>
    <w:p>
      <w:pPr>
        <w:spacing w:after="0" w:line="184" w:lineRule="exact"/>
        <w:rPr>
          <w:sz w:val="20"/>
          <w:szCs w:val="20"/>
          <w:color w:val="auto"/>
        </w:rPr>
      </w:pPr>
    </w:p>
    <w:p>
      <w:pPr>
        <w:jc w:val="both"/>
        <w:spacing w:after="0" w:line="232" w:lineRule="auto"/>
        <w:rPr>
          <w:sz w:val="20"/>
          <w:szCs w:val="20"/>
          <w:color w:val="auto"/>
        </w:rPr>
      </w:pPr>
      <w:r>
        <w:rPr>
          <w:rFonts w:ascii="Calibri" w:cs="Calibri" w:eastAsia="Calibri" w:hAnsi="Calibri"/>
          <w:sz w:val="22"/>
          <w:szCs w:val="22"/>
          <w:b w:val="1"/>
          <w:bCs w:val="1"/>
          <w:i w:val="1"/>
          <w:iCs w:val="1"/>
          <w:color w:val="auto"/>
        </w:rPr>
        <w:t xml:space="preserve">Stock Appreciaton Rights. </w:t>
      </w:r>
      <w:r>
        <w:rPr>
          <w:rFonts w:ascii="Calibri" w:cs="Calibri" w:eastAsia="Calibri" w:hAnsi="Calibri"/>
          <w:sz w:val="22"/>
          <w:szCs w:val="22"/>
          <w:color w:val="auto"/>
        </w:rPr>
        <w:t>In general, no taxable income is reportable when a stock appreciaton right is granted to a</w:t>
      </w:r>
      <w:r>
        <w:rPr>
          <w:rFonts w:ascii="Calibri" w:cs="Calibri" w:eastAsia="Calibri" w:hAnsi="Calibri"/>
          <w:sz w:val="22"/>
          <w:szCs w:val="22"/>
          <w:b w:val="1"/>
          <w:bCs w:val="1"/>
          <w:i w:val="1"/>
          <w:iCs w:val="1"/>
          <w:color w:val="auto"/>
        </w:rPr>
        <w:t xml:space="preserve"> </w:t>
      </w:r>
      <w:r>
        <w:rPr>
          <w:rFonts w:ascii="Calibri" w:cs="Calibri" w:eastAsia="Calibri" w:hAnsi="Calibri"/>
          <w:sz w:val="22"/>
          <w:szCs w:val="22"/>
          <w:color w:val="auto"/>
        </w:rPr>
        <w:t>partcipant. Upon exercise, the partcipant generally will recognize ordinary income in an amount equal to the fair market value of any shares of common stock or cash received. Any additonal gain or loss recognized upon any later dispositon of the shares, if any, would be capital gain or loss.</w:t>
      </w:r>
    </w:p>
    <w:p>
      <w:pPr>
        <w:spacing w:after="0" w:line="271" w:lineRule="exact"/>
        <w:rPr>
          <w:sz w:val="20"/>
          <w:szCs w:val="20"/>
          <w:color w:val="auto"/>
        </w:rPr>
      </w:pPr>
    </w:p>
    <w:p>
      <w:pPr>
        <w:jc w:val="both"/>
        <w:spacing w:after="0" w:line="230" w:lineRule="auto"/>
        <w:rPr>
          <w:sz w:val="20"/>
          <w:szCs w:val="20"/>
          <w:color w:val="auto"/>
        </w:rPr>
      </w:pPr>
      <w:r>
        <w:rPr>
          <w:rFonts w:ascii="Calibri" w:cs="Calibri" w:eastAsia="Calibri" w:hAnsi="Calibri"/>
          <w:sz w:val="22"/>
          <w:szCs w:val="22"/>
          <w:b w:val="1"/>
          <w:bCs w:val="1"/>
          <w:i w:val="1"/>
          <w:iCs w:val="1"/>
          <w:color w:val="auto"/>
        </w:rPr>
        <w:t xml:space="preserve">Restricted Stock Awards. </w:t>
      </w:r>
      <w:r>
        <w:rPr>
          <w:rFonts w:ascii="Calibri" w:cs="Calibri" w:eastAsia="Calibri" w:hAnsi="Calibri"/>
          <w:sz w:val="22"/>
          <w:szCs w:val="22"/>
          <w:color w:val="auto"/>
        </w:rPr>
        <w:t>A partcipant acquiring restricted stock generally will recognize ordinary income equal to the fair</w:t>
      </w:r>
      <w:r>
        <w:rPr>
          <w:rFonts w:ascii="Calibri" w:cs="Calibri" w:eastAsia="Calibri" w:hAnsi="Calibri"/>
          <w:sz w:val="22"/>
          <w:szCs w:val="22"/>
          <w:b w:val="1"/>
          <w:bCs w:val="1"/>
          <w:i w:val="1"/>
          <w:iCs w:val="1"/>
          <w:color w:val="auto"/>
        </w:rPr>
        <w:t xml:space="preserve"> </w:t>
      </w:r>
      <w:r>
        <w:rPr>
          <w:rFonts w:ascii="Calibri" w:cs="Calibri" w:eastAsia="Calibri" w:hAnsi="Calibri"/>
          <w:sz w:val="22"/>
          <w:szCs w:val="22"/>
          <w:color w:val="auto"/>
        </w:rPr>
        <w:t>market value of the shares on the vestng date. If the partcipant is an employee, such ordinary income generally is subject to withholding of income and employment taxes. The partcipant may elect, pursuant to Secton 83(b) of the Internal Revenue Code (the “Code”), to accelerate the ordinary income tax event to the date of acquisiton by fling an electon with the Internal Revenue Service no later than 30 days afer the date the shares are acquired. Upon the sale of shares acquired pursuant to a restricted stock award, any gain or loss, based on the diference between the sale price and the fair market value on the date the ordinary income tax event occurs, will be taxed as capital gain or loss.</w:t>
      </w:r>
    </w:p>
    <w:p>
      <w:pPr>
        <w:spacing w:after="0" w:line="277" w:lineRule="exact"/>
        <w:rPr>
          <w:sz w:val="20"/>
          <w:szCs w:val="20"/>
          <w:color w:val="auto"/>
        </w:rPr>
      </w:pPr>
    </w:p>
    <w:p>
      <w:pPr>
        <w:jc w:val="both"/>
        <w:spacing w:after="0" w:line="231" w:lineRule="auto"/>
        <w:rPr>
          <w:sz w:val="20"/>
          <w:szCs w:val="20"/>
          <w:color w:val="auto"/>
        </w:rPr>
      </w:pPr>
      <w:r>
        <w:rPr>
          <w:rFonts w:ascii="Calibri" w:cs="Calibri" w:eastAsia="Calibri" w:hAnsi="Calibri"/>
          <w:sz w:val="22"/>
          <w:szCs w:val="22"/>
          <w:b w:val="1"/>
          <w:bCs w:val="1"/>
          <w:i w:val="1"/>
          <w:iCs w:val="1"/>
          <w:color w:val="auto"/>
        </w:rPr>
        <w:t>Secton 409A</w:t>
      </w:r>
      <w:r>
        <w:rPr>
          <w:rFonts w:ascii="Calibri" w:cs="Calibri" w:eastAsia="Calibri" w:hAnsi="Calibri"/>
          <w:sz w:val="22"/>
          <w:szCs w:val="22"/>
          <w:i w:val="1"/>
          <w:iCs w:val="1"/>
          <w:color w:val="auto"/>
        </w:rPr>
        <w:t>.</w:t>
      </w:r>
      <w:r>
        <w:rPr>
          <w:rFonts w:ascii="Calibri" w:cs="Calibri" w:eastAsia="Calibri" w:hAnsi="Calibri"/>
          <w:sz w:val="22"/>
          <w:szCs w:val="22"/>
          <w:b w:val="1"/>
          <w:bCs w:val="1"/>
          <w:i w:val="1"/>
          <w:iCs w:val="1"/>
          <w:color w:val="auto"/>
        </w:rPr>
        <w:t xml:space="preserve"> </w:t>
      </w:r>
      <w:r>
        <w:rPr>
          <w:rFonts w:ascii="Calibri" w:cs="Calibri" w:eastAsia="Calibri" w:hAnsi="Calibri"/>
          <w:sz w:val="22"/>
          <w:szCs w:val="22"/>
          <w:color w:val="auto"/>
        </w:rPr>
        <w:t>Secton 409A of the Code provides certain requirements for non-qualifed deferred compensaton arrangements</w:t>
      </w:r>
      <w:r>
        <w:rPr>
          <w:rFonts w:ascii="Calibri" w:cs="Calibri" w:eastAsia="Calibri" w:hAnsi="Calibri"/>
          <w:sz w:val="22"/>
          <w:szCs w:val="22"/>
          <w:b w:val="1"/>
          <w:bCs w:val="1"/>
          <w:i w:val="1"/>
          <w:iCs w:val="1"/>
          <w:color w:val="auto"/>
        </w:rPr>
        <w:t xml:space="preserve"> </w:t>
      </w:r>
      <w:r>
        <w:rPr>
          <w:rFonts w:ascii="Calibri" w:cs="Calibri" w:eastAsia="Calibri" w:hAnsi="Calibri"/>
          <w:sz w:val="22"/>
          <w:szCs w:val="22"/>
          <w:color w:val="auto"/>
        </w:rPr>
        <w:t>with respect to an individual’s deferral and distributon electons and permissible distributon events. If an award is subject to and fails to satsfy the requirements of Secton 409A of the Code, the recipient of that award may recognize ordinary income on the amounts deferred under the award, to the extent vested, which may be prior to when the compensaton is actually or constructvely received. Also, if an award that is subject to Secton 409A fails to comply with Secton 409A’s provisions, Secton 409A imposes an additonal 20% federal income tax on compensaton recognized as ordinary income, as well as interest on such deferred compensaton. Certain states have enacted laws similar to Secton 409A which impose additonal taxes, interest and penaltes on non-qualifed deferred compensaton arrangements. The Company will also have withholding and reportng requirements with respect to such amounts.</w:t>
      </w:r>
    </w:p>
    <w:p>
      <w:pPr>
        <w:spacing w:after="0" w:line="279" w:lineRule="exact"/>
        <w:rPr>
          <w:sz w:val="20"/>
          <w:szCs w:val="20"/>
          <w:color w:val="auto"/>
        </w:rPr>
      </w:pPr>
    </w:p>
    <w:p>
      <w:pPr>
        <w:jc w:val="both"/>
        <w:spacing w:after="0" w:line="231" w:lineRule="auto"/>
        <w:rPr>
          <w:sz w:val="20"/>
          <w:szCs w:val="20"/>
          <w:color w:val="auto"/>
        </w:rPr>
      </w:pPr>
      <w:r>
        <w:rPr>
          <w:rFonts w:ascii="Calibri" w:cs="Calibri" w:eastAsia="Calibri" w:hAnsi="Calibri"/>
          <w:sz w:val="22"/>
          <w:szCs w:val="22"/>
          <w:b w:val="1"/>
          <w:bCs w:val="1"/>
          <w:i w:val="1"/>
          <w:iCs w:val="1"/>
          <w:color w:val="auto"/>
        </w:rPr>
        <w:t xml:space="preserve">Tax Efect for the Company. </w:t>
      </w:r>
      <w:r>
        <w:rPr>
          <w:rFonts w:ascii="Calibri" w:cs="Calibri" w:eastAsia="Calibri" w:hAnsi="Calibri"/>
          <w:sz w:val="22"/>
          <w:szCs w:val="22"/>
          <w:color w:val="auto"/>
        </w:rPr>
        <w:t>The Company generally will be enttled to a tax deducton in connecton with an award under the</w:t>
      </w:r>
      <w:r>
        <w:rPr>
          <w:rFonts w:ascii="Calibri" w:cs="Calibri" w:eastAsia="Calibri" w:hAnsi="Calibri"/>
          <w:sz w:val="22"/>
          <w:szCs w:val="22"/>
          <w:b w:val="1"/>
          <w:bCs w:val="1"/>
          <w:i w:val="1"/>
          <w:iCs w:val="1"/>
          <w:color w:val="auto"/>
        </w:rPr>
        <w:t xml:space="preserve"> </w:t>
      </w:r>
      <w:r>
        <w:rPr>
          <w:rFonts w:ascii="Calibri" w:cs="Calibri" w:eastAsia="Calibri" w:hAnsi="Calibri"/>
          <w:sz w:val="22"/>
          <w:szCs w:val="22"/>
          <w:color w:val="auto"/>
        </w:rPr>
        <w:t>2021 Omnibus Incentve Plan in an amount equal to the ordinary income realized by a partcipant and at the tme the partcipant recognizes such income (for example, the exercise of a nonstatutory stock opton). General rules limit the deductbility of compensaton paid to the Company’s chief executve ofcer and other “covered employees” as determined under Secton 162(m) and applicable guidance.</w:t>
      </w:r>
    </w:p>
    <w:p>
      <w:pPr>
        <w:spacing w:after="0" w:line="274" w:lineRule="exact"/>
        <w:rPr>
          <w:sz w:val="20"/>
          <w:szCs w:val="20"/>
          <w:color w:val="auto"/>
        </w:rPr>
      </w:pPr>
    </w:p>
    <w:p>
      <w:pPr>
        <w:jc w:val="both"/>
        <w:spacing w:after="0" w:line="229" w:lineRule="auto"/>
        <w:rPr>
          <w:sz w:val="20"/>
          <w:szCs w:val="20"/>
          <w:color w:val="auto"/>
        </w:rPr>
      </w:pPr>
      <w:r>
        <w:rPr>
          <w:rFonts w:ascii="Calibri" w:cs="Calibri" w:eastAsia="Calibri" w:hAnsi="Calibri"/>
          <w:sz w:val="22"/>
          <w:szCs w:val="22"/>
          <w:b w:val="1"/>
          <w:bCs w:val="1"/>
          <w:i w:val="1"/>
          <w:iCs w:val="1"/>
          <w:color w:val="auto"/>
        </w:rPr>
        <w:t xml:space="preserve">Result of Proposed Reverse Stock Split. </w:t>
      </w:r>
      <w:r>
        <w:rPr>
          <w:rFonts w:ascii="Calibri" w:cs="Calibri" w:eastAsia="Calibri" w:hAnsi="Calibri"/>
          <w:sz w:val="22"/>
          <w:szCs w:val="22"/>
          <w:color w:val="auto"/>
        </w:rPr>
        <w:t>Assuming the Proposed Reverse Stock Split is approved by the Company’s stockholders</w:t>
      </w:r>
      <w:r>
        <w:rPr>
          <w:rFonts w:ascii="Calibri" w:cs="Calibri" w:eastAsia="Calibri" w:hAnsi="Calibri"/>
          <w:sz w:val="22"/>
          <w:szCs w:val="22"/>
          <w:b w:val="1"/>
          <w:bCs w:val="1"/>
          <w:i w:val="1"/>
          <w:iCs w:val="1"/>
          <w:color w:val="auto"/>
        </w:rPr>
        <w:t xml:space="preserve"> </w:t>
      </w:r>
      <w:r>
        <w:rPr>
          <w:rFonts w:ascii="Calibri" w:cs="Calibri" w:eastAsia="Calibri" w:hAnsi="Calibri"/>
          <w:sz w:val="22"/>
          <w:szCs w:val="22"/>
          <w:color w:val="auto"/>
        </w:rPr>
        <w:t>and efected, the shares available under the Plan prior to the Amendment will be 895,733, and the Amendment would increase the 2021 Omnibus Incentve Plan by 938,626 shares.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ind w:left="2760"/>
        <w:spacing w:after="0"/>
        <w:tabs>
          <w:tab w:leader="none" w:pos="7080" w:val="left"/>
          <w:tab w:leader="none" w:pos="8300" w:val="left"/>
        </w:tabs>
        <w:rPr>
          <w:sz w:val="20"/>
          <w:szCs w:val="20"/>
          <w:color w:val="auto"/>
        </w:rPr>
      </w:pPr>
      <w:r>
        <w:rPr>
          <w:rFonts w:ascii="Calibri" w:cs="Calibri" w:eastAsia="Calibri" w:hAnsi="Calibri"/>
          <w:sz w:val="16"/>
          <w:szCs w:val="16"/>
          <w:color w:val="auto"/>
        </w:rPr>
        <w:t>Alphareta, GA | New York, NY | Belfast, United Kingdom</w:t>
      </w:r>
      <w:r>
        <w:rPr>
          <w:sz w:val="20"/>
          <w:szCs w:val="20"/>
          <w:color w:val="auto"/>
        </w:rPr>
        <w:tab/>
      </w:r>
      <w:r>
        <w:rPr>
          <w:rFonts w:ascii="Calibri" w:cs="Calibri" w:eastAsia="Calibri" w:hAnsi="Calibri"/>
          <w:sz w:val="16"/>
          <w:szCs w:val="16"/>
          <w:color w:val="auto"/>
        </w:rPr>
        <w:t>www.bakkt.com</w:t>
      </w:r>
      <w:r>
        <w:rPr>
          <w:sz w:val="20"/>
          <w:szCs w:val="20"/>
          <w:color w:val="auto"/>
        </w:rPr>
        <w:tab/>
      </w:r>
      <w:r>
        <w:rPr>
          <w:rFonts w:ascii="Calibri" w:cs="Calibri" w:eastAsia="Calibri" w:hAnsi="Calibri"/>
          <w:sz w:val="17"/>
          <w:szCs w:val="17"/>
          <w:color w:val="auto"/>
        </w:rPr>
        <w:t>42</w:t>
      </w:r>
    </w:p>
    <w:p>
      <w:pPr>
        <w:sectPr>
          <w:pgSz w:w="11900" w:h="16838" w:orient="portrait"/>
          <w:cols w:equalWidth="0" w:num="1">
            <w:col w:w="11240"/>
          </w:cols>
          <w:pgMar w:left="320" w:top="1440" w:right="339" w:bottom="1440" w:gutter="0" w:footer="0" w:header="0"/>
        </w:sectPr>
      </w:pPr>
    </w:p>
    <w:bookmarkStart w:id="48" w:name="page49"/>
    <w:bookmarkEnd w:id="48"/>
    <w:p>
      <w:pPr>
        <w:spacing w:after="0" w:line="171" w:lineRule="exact"/>
        <w:rPr>
          <w:sz w:val="20"/>
          <w:szCs w:val="20"/>
          <w:color w:val="auto"/>
        </w:rPr>
      </w:pPr>
    </w:p>
    <w:p>
      <w:pPr>
        <w:spacing w:after="0"/>
        <w:rPr>
          <w:sz w:val="20"/>
          <w:szCs w:val="20"/>
          <w:color w:val="auto"/>
        </w:rPr>
      </w:pPr>
      <w:r>
        <w:rPr>
          <w:rFonts w:ascii="Calibri" w:cs="Calibri" w:eastAsia="Calibri" w:hAnsi="Calibri"/>
          <w:sz w:val="29"/>
          <w:szCs w:val="29"/>
          <w:b w:val="1"/>
          <w:bCs w:val="1"/>
          <w:color w:val="auto"/>
        </w:rPr>
        <w:t>New Plan Benefts under the 2021 Omnibus Incentve Plan</w:t>
      </w:r>
    </w:p>
    <w:p>
      <w:pPr>
        <w:spacing w:after="0" w:line="226" w:lineRule="exact"/>
        <w:rPr>
          <w:sz w:val="20"/>
          <w:szCs w:val="20"/>
          <w:color w:val="auto"/>
        </w:rPr>
      </w:pPr>
    </w:p>
    <w:p>
      <w:pPr>
        <w:jc w:val="both"/>
        <w:spacing w:after="0" w:line="229" w:lineRule="auto"/>
        <w:rPr>
          <w:sz w:val="20"/>
          <w:szCs w:val="20"/>
          <w:color w:val="auto"/>
        </w:rPr>
      </w:pPr>
      <w:r>
        <w:rPr>
          <w:rFonts w:ascii="Calibri" w:cs="Calibri" w:eastAsia="Calibri" w:hAnsi="Calibri"/>
          <w:sz w:val="22"/>
          <w:szCs w:val="22"/>
          <w:color w:val="auto"/>
        </w:rPr>
        <w:t>Future benefts under the 2021 Omnibus Incentve Plan generally will be granted at the discreton of the Commitee and are therefore not currently determinable. The table below shows, as to each of the Company’s NEOs, all executve ofcers as a group, all non-employee directors as a group, and all employees as a group (other than executve ofcers), the awards granted between January 1 and December 31, 2023.</w:t>
      </w:r>
    </w:p>
    <w:p>
      <w:pPr>
        <w:spacing w:after="0" w:line="280" w:lineRule="exact"/>
        <w:rPr>
          <w:sz w:val="20"/>
          <w:szCs w:val="20"/>
          <w:color w:val="auto"/>
        </w:rPr>
      </w:pPr>
    </w:p>
    <w:tbl>
      <w:tblPr>
        <w:tblLayout w:type="fixed"/>
        <w:tblInd w:w="10" w:type="dxa"/>
        <w:tblCellMar>
          <w:top w:w="0" w:type="dxa"/>
          <w:left w:w="0" w:type="dxa"/>
          <w:bottom w:w="0" w:type="dxa"/>
          <w:right w:w="0" w:type="dxa"/>
        </w:tblCellMar>
      </w:tblPr>
      <w:tr>
        <w:trPr>
          <w:trHeight w:val="270"/>
        </w:trPr>
        <w:tc>
          <w:tcPr>
            <w:tcW w:w="2620" w:type="dxa"/>
            <w:vAlign w:val="bottom"/>
            <w:tcBorders>
              <w:top w:val="single" w:sz="8" w:color="auto"/>
              <w:left w:val="single" w:sz="8" w:color="auto"/>
              <w:bottom w:val="single" w:sz="8" w:color="auto"/>
              <w:right w:val="single" w:sz="8" w:color="151618"/>
            </w:tcBorders>
            <w:shd w:val="clear" w:color="auto" w:fill="151618"/>
          </w:tcPr>
          <w:p>
            <w:pPr>
              <w:ind w:left="80"/>
              <w:spacing w:after="0"/>
              <w:rPr>
                <w:sz w:val="20"/>
                <w:szCs w:val="20"/>
                <w:color w:val="auto"/>
              </w:rPr>
            </w:pPr>
            <w:r>
              <w:rPr>
                <w:rFonts w:ascii="Calibri" w:cs="Calibri" w:eastAsia="Calibri" w:hAnsi="Calibri"/>
                <w:sz w:val="16"/>
                <w:szCs w:val="16"/>
                <w:b w:val="1"/>
                <w:bCs w:val="1"/>
                <w:color w:val="FFFFFF"/>
              </w:rPr>
              <w:t>Name</w:t>
            </w:r>
          </w:p>
        </w:tc>
        <w:tc>
          <w:tcPr>
            <w:tcW w:w="4200" w:type="dxa"/>
            <w:vAlign w:val="bottom"/>
            <w:tcBorders>
              <w:top w:val="single" w:sz="8" w:color="auto"/>
              <w:bottom w:val="single" w:sz="8" w:color="auto"/>
              <w:right w:val="single" w:sz="8" w:color="151618"/>
            </w:tcBorders>
            <w:shd w:val="clear" w:color="auto" w:fill="151618"/>
          </w:tcPr>
          <w:p>
            <w:pPr>
              <w:ind w:left="940"/>
              <w:spacing w:after="0"/>
              <w:rPr>
                <w:sz w:val="20"/>
                <w:szCs w:val="20"/>
                <w:color w:val="auto"/>
              </w:rPr>
            </w:pPr>
            <w:r>
              <w:rPr>
                <w:rFonts w:ascii="Calibri" w:cs="Calibri" w:eastAsia="Calibri" w:hAnsi="Calibri"/>
                <w:sz w:val="16"/>
                <w:szCs w:val="16"/>
                <w:b w:val="1"/>
                <w:bCs w:val="1"/>
                <w:color w:val="FFFFFF"/>
              </w:rPr>
              <w:t>Dollar Value of Stock Awards ($)</w:t>
            </w:r>
            <w:r>
              <w:rPr>
                <w:rFonts w:ascii="Calibri" w:cs="Calibri" w:eastAsia="Calibri" w:hAnsi="Calibri"/>
                <w:sz w:val="21"/>
                <w:szCs w:val="21"/>
                <w:b w:val="1"/>
                <w:bCs w:val="1"/>
                <w:color w:val="FFFFFF"/>
                <w:vertAlign w:val="superscript"/>
              </w:rPr>
              <w:t>(1)</w:t>
            </w:r>
          </w:p>
        </w:tc>
        <w:tc>
          <w:tcPr>
            <w:tcW w:w="3840" w:type="dxa"/>
            <w:vAlign w:val="bottom"/>
            <w:tcBorders>
              <w:top w:val="single" w:sz="8" w:color="auto"/>
              <w:bottom w:val="single" w:sz="8" w:color="auto"/>
              <w:right w:val="single" w:sz="8" w:color="auto"/>
            </w:tcBorders>
            <w:shd w:val="clear" w:color="auto" w:fill="151618"/>
          </w:tcPr>
          <w:p>
            <w:pPr>
              <w:ind w:left="800"/>
              <w:spacing w:after="0"/>
              <w:rPr>
                <w:sz w:val="20"/>
                <w:szCs w:val="20"/>
                <w:color w:val="auto"/>
              </w:rPr>
            </w:pPr>
            <w:r>
              <w:rPr>
                <w:rFonts w:ascii="Calibri" w:cs="Calibri" w:eastAsia="Calibri" w:hAnsi="Calibri"/>
                <w:sz w:val="16"/>
                <w:szCs w:val="16"/>
                <w:b w:val="1"/>
                <w:bCs w:val="1"/>
                <w:color w:val="FFFFFF"/>
              </w:rPr>
              <w:t>Stock Plan Number of Units (#)</w:t>
            </w:r>
            <w:r>
              <w:rPr>
                <w:rFonts w:ascii="Calibri" w:cs="Calibri" w:eastAsia="Calibri" w:hAnsi="Calibri"/>
                <w:sz w:val="21"/>
                <w:szCs w:val="21"/>
                <w:b w:val="1"/>
                <w:bCs w:val="1"/>
                <w:color w:val="FFFFFF"/>
                <w:vertAlign w:val="superscript"/>
              </w:rPr>
              <w:t>(2)</w:t>
            </w:r>
          </w:p>
        </w:tc>
        <w:tc>
          <w:tcPr>
            <w:tcW w:w="0" w:type="dxa"/>
            <w:vAlign w:val="bottom"/>
          </w:tcPr>
          <w:p>
            <w:pPr>
              <w:spacing w:after="0"/>
              <w:rPr>
                <w:sz w:val="1"/>
                <w:szCs w:val="1"/>
                <w:color w:val="auto"/>
              </w:rPr>
            </w:pPr>
          </w:p>
        </w:tc>
      </w:tr>
      <w:tr>
        <w:trPr>
          <w:trHeight w:val="291"/>
        </w:trPr>
        <w:tc>
          <w:tcPr>
            <w:tcW w:w="2620" w:type="dxa"/>
            <w:vAlign w:val="bottom"/>
            <w:tcBorders>
              <w:left w:val="single" w:sz="8" w:color="auto"/>
              <w:bottom w:val="single" w:sz="8" w:color="auto"/>
              <w:right w:val="single" w:sz="8" w:color="auto"/>
            </w:tcBorders>
          </w:tcPr>
          <w:p>
            <w:pPr>
              <w:ind w:left="80"/>
              <w:spacing w:after="0"/>
              <w:rPr>
                <w:sz w:val="20"/>
                <w:szCs w:val="20"/>
                <w:color w:val="auto"/>
              </w:rPr>
            </w:pPr>
            <w:r>
              <w:rPr>
                <w:rFonts w:ascii="Calibri" w:cs="Calibri" w:eastAsia="Calibri" w:hAnsi="Calibri"/>
                <w:sz w:val="16"/>
                <w:szCs w:val="16"/>
                <w:b w:val="1"/>
                <w:bCs w:val="1"/>
                <w:color w:val="auto"/>
              </w:rPr>
              <w:t>Gavin Michael</w:t>
            </w:r>
            <w:r>
              <w:rPr>
                <w:rFonts w:ascii="Calibri" w:cs="Calibri" w:eastAsia="Calibri" w:hAnsi="Calibri"/>
                <w:sz w:val="21"/>
                <w:szCs w:val="21"/>
                <w:b w:val="1"/>
                <w:bCs w:val="1"/>
                <w:color w:val="auto"/>
                <w:vertAlign w:val="superscript"/>
              </w:rPr>
              <w:t>(3)</w:t>
            </w:r>
          </w:p>
        </w:tc>
        <w:tc>
          <w:tcPr>
            <w:tcW w:w="4200" w:type="dxa"/>
            <w:vAlign w:val="bottom"/>
            <w:tcBorders>
              <w:bottom w:val="single" w:sz="8" w:color="auto"/>
              <w:right w:val="single" w:sz="8" w:color="auto"/>
            </w:tcBorders>
          </w:tcPr>
          <w:p>
            <w:pPr>
              <w:jc w:val="center"/>
              <w:spacing w:after="0" w:line="193" w:lineRule="exact"/>
              <w:rPr>
                <w:sz w:val="20"/>
                <w:szCs w:val="20"/>
                <w:color w:val="auto"/>
              </w:rPr>
            </w:pPr>
            <w:r>
              <w:rPr>
                <w:rFonts w:ascii="Calibri" w:cs="Calibri" w:eastAsia="Calibri" w:hAnsi="Calibri"/>
                <w:sz w:val="16"/>
                <w:szCs w:val="16"/>
                <w:color w:val="auto"/>
              </w:rPr>
              <w:t>1,277,669</w:t>
            </w:r>
          </w:p>
        </w:tc>
        <w:tc>
          <w:tcPr>
            <w:tcW w:w="3840" w:type="dxa"/>
            <w:vAlign w:val="bottom"/>
            <w:tcBorders>
              <w:bottom w:val="single" w:sz="8" w:color="auto"/>
              <w:right w:val="single" w:sz="8" w:color="auto"/>
            </w:tcBorders>
          </w:tcPr>
          <w:p>
            <w:pPr>
              <w:jc w:val="center"/>
              <w:spacing w:after="0" w:line="193" w:lineRule="exact"/>
              <w:rPr>
                <w:sz w:val="20"/>
                <w:szCs w:val="20"/>
                <w:color w:val="auto"/>
              </w:rPr>
            </w:pPr>
            <w:r>
              <w:rPr>
                <w:rFonts w:ascii="Calibri" w:cs="Calibri" w:eastAsia="Calibri" w:hAnsi="Calibri"/>
                <w:sz w:val="16"/>
                <w:szCs w:val="16"/>
                <w:b w:val="1"/>
                <w:bCs w:val="1"/>
                <w:color w:val="auto"/>
                <w:w w:val="98"/>
              </w:rPr>
              <w:t>863,290</w:t>
            </w:r>
          </w:p>
        </w:tc>
        <w:tc>
          <w:tcPr>
            <w:tcW w:w="0" w:type="dxa"/>
            <w:vAlign w:val="bottom"/>
          </w:tcPr>
          <w:p>
            <w:pPr>
              <w:spacing w:after="0"/>
              <w:rPr>
                <w:sz w:val="1"/>
                <w:szCs w:val="1"/>
                <w:color w:val="auto"/>
              </w:rPr>
            </w:pPr>
          </w:p>
        </w:tc>
      </w:tr>
      <w:tr>
        <w:trPr>
          <w:trHeight w:val="187"/>
        </w:trPr>
        <w:tc>
          <w:tcPr>
            <w:tcW w:w="2620" w:type="dxa"/>
            <w:vAlign w:val="bottom"/>
            <w:tcBorders>
              <w:left w:val="single" w:sz="8" w:color="auto"/>
              <w:right w:val="single" w:sz="8" w:color="auto"/>
            </w:tcBorders>
            <w:vMerge w:val="restart"/>
          </w:tcPr>
          <w:p>
            <w:pPr>
              <w:ind w:left="80"/>
              <w:spacing w:after="0"/>
              <w:rPr>
                <w:sz w:val="20"/>
                <w:szCs w:val="20"/>
                <w:color w:val="auto"/>
              </w:rPr>
            </w:pPr>
            <w:r>
              <w:rPr>
                <w:rFonts w:ascii="Calibri" w:cs="Calibri" w:eastAsia="Calibri" w:hAnsi="Calibri"/>
                <w:sz w:val="16"/>
                <w:szCs w:val="16"/>
                <w:b w:val="1"/>
                <w:bCs w:val="1"/>
                <w:color w:val="auto"/>
              </w:rPr>
              <w:t>Karen Alexander</w:t>
            </w:r>
          </w:p>
        </w:tc>
        <w:tc>
          <w:tcPr>
            <w:tcW w:w="4200" w:type="dxa"/>
            <w:vAlign w:val="bottom"/>
            <w:tcBorders>
              <w:right w:val="single" w:sz="8" w:color="auto"/>
            </w:tcBorders>
          </w:tcPr>
          <w:p>
            <w:pPr>
              <w:jc w:val="center"/>
              <w:spacing w:after="0" w:line="187" w:lineRule="exact"/>
              <w:rPr>
                <w:sz w:val="20"/>
                <w:szCs w:val="20"/>
                <w:color w:val="auto"/>
              </w:rPr>
            </w:pPr>
            <w:r>
              <w:rPr>
                <w:rFonts w:ascii="Calibri" w:cs="Calibri" w:eastAsia="Calibri" w:hAnsi="Calibri"/>
                <w:sz w:val="16"/>
                <w:szCs w:val="16"/>
                <w:color w:val="auto"/>
              </w:rPr>
              <w:t>352,224</w:t>
            </w:r>
          </w:p>
        </w:tc>
        <w:tc>
          <w:tcPr>
            <w:tcW w:w="3840" w:type="dxa"/>
            <w:vAlign w:val="bottom"/>
            <w:tcBorders>
              <w:right w:val="single" w:sz="8" w:color="auto"/>
            </w:tcBorders>
          </w:tcPr>
          <w:p>
            <w:pPr>
              <w:jc w:val="center"/>
              <w:spacing w:after="0" w:line="187" w:lineRule="exact"/>
              <w:rPr>
                <w:sz w:val="20"/>
                <w:szCs w:val="20"/>
                <w:color w:val="auto"/>
              </w:rPr>
            </w:pPr>
            <w:r>
              <w:rPr>
                <w:rFonts w:ascii="Calibri" w:cs="Calibri" w:eastAsia="Calibri" w:hAnsi="Calibri"/>
                <w:sz w:val="16"/>
                <w:szCs w:val="16"/>
                <w:b w:val="1"/>
                <w:bCs w:val="1"/>
                <w:color w:val="auto"/>
                <w:w w:val="98"/>
              </w:rPr>
              <w:t>237,989</w:t>
            </w:r>
          </w:p>
        </w:tc>
        <w:tc>
          <w:tcPr>
            <w:tcW w:w="0" w:type="dxa"/>
            <w:vAlign w:val="bottom"/>
          </w:tcPr>
          <w:p>
            <w:pPr>
              <w:spacing w:after="0"/>
              <w:rPr>
                <w:sz w:val="1"/>
                <w:szCs w:val="1"/>
                <w:color w:val="auto"/>
              </w:rPr>
            </w:pPr>
          </w:p>
        </w:tc>
      </w:tr>
      <w:tr>
        <w:trPr>
          <w:trHeight w:val="63"/>
        </w:trPr>
        <w:tc>
          <w:tcPr>
            <w:tcW w:w="2620" w:type="dxa"/>
            <w:vAlign w:val="bottom"/>
            <w:tcBorders>
              <w:left w:val="single" w:sz="8" w:color="auto"/>
              <w:right w:val="single" w:sz="8" w:color="auto"/>
            </w:tcBorders>
            <w:vMerge w:val="continue"/>
          </w:tcPr>
          <w:p>
            <w:pPr>
              <w:spacing w:after="0"/>
              <w:rPr>
                <w:sz w:val="5"/>
                <w:szCs w:val="5"/>
                <w:color w:val="auto"/>
              </w:rPr>
            </w:pPr>
          </w:p>
        </w:tc>
        <w:tc>
          <w:tcPr>
            <w:tcW w:w="4200" w:type="dxa"/>
            <w:vAlign w:val="bottom"/>
            <w:tcBorders>
              <w:right w:val="single" w:sz="8" w:color="auto"/>
            </w:tcBorders>
          </w:tcPr>
          <w:p>
            <w:pPr>
              <w:spacing w:after="0"/>
              <w:rPr>
                <w:sz w:val="5"/>
                <w:szCs w:val="5"/>
                <w:color w:val="auto"/>
              </w:rPr>
            </w:pPr>
          </w:p>
        </w:tc>
        <w:tc>
          <w:tcPr>
            <w:tcW w:w="384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620" w:type="dxa"/>
            <w:vAlign w:val="bottom"/>
            <w:tcBorders>
              <w:left w:val="single" w:sz="8" w:color="auto"/>
              <w:bottom w:val="single" w:sz="8" w:color="auto"/>
              <w:right w:val="single" w:sz="8" w:color="auto"/>
            </w:tcBorders>
          </w:tcPr>
          <w:p>
            <w:pPr>
              <w:spacing w:after="0"/>
              <w:rPr>
                <w:sz w:val="3"/>
                <w:szCs w:val="3"/>
                <w:color w:val="auto"/>
              </w:rPr>
            </w:pPr>
          </w:p>
        </w:tc>
        <w:tc>
          <w:tcPr>
            <w:tcW w:w="4200" w:type="dxa"/>
            <w:vAlign w:val="bottom"/>
            <w:tcBorders>
              <w:bottom w:val="single" w:sz="8" w:color="auto"/>
              <w:right w:val="single" w:sz="8" w:color="auto"/>
            </w:tcBorders>
          </w:tcPr>
          <w:p>
            <w:pPr>
              <w:spacing w:after="0"/>
              <w:rPr>
                <w:sz w:val="3"/>
                <w:szCs w:val="3"/>
                <w:color w:val="auto"/>
              </w:rPr>
            </w:pPr>
          </w:p>
        </w:tc>
        <w:tc>
          <w:tcPr>
            <w:tcW w:w="384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7"/>
        </w:trPr>
        <w:tc>
          <w:tcPr>
            <w:tcW w:w="2620" w:type="dxa"/>
            <w:vAlign w:val="bottom"/>
            <w:tcBorders>
              <w:left w:val="single" w:sz="8" w:color="auto"/>
              <w:right w:val="single" w:sz="8" w:color="auto"/>
            </w:tcBorders>
            <w:vMerge w:val="restart"/>
          </w:tcPr>
          <w:p>
            <w:pPr>
              <w:ind w:left="80"/>
              <w:spacing w:after="0"/>
              <w:rPr>
                <w:sz w:val="20"/>
                <w:szCs w:val="20"/>
                <w:color w:val="auto"/>
              </w:rPr>
            </w:pPr>
            <w:r>
              <w:rPr>
                <w:rFonts w:ascii="Calibri" w:cs="Calibri" w:eastAsia="Calibri" w:hAnsi="Calibri"/>
                <w:sz w:val="16"/>
                <w:szCs w:val="16"/>
                <w:b w:val="1"/>
                <w:bCs w:val="1"/>
                <w:color w:val="auto"/>
              </w:rPr>
              <w:t>Marc D’Annunzio</w:t>
            </w:r>
          </w:p>
        </w:tc>
        <w:tc>
          <w:tcPr>
            <w:tcW w:w="4200" w:type="dxa"/>
            <w:vAlign w:val="bottom"/>
            <w:tcBorders>
              <w:right w:val="single" w:sz="8" w:color="auto"/>
            </w:tcBorders>
          </w:tcPr>
          <w:p>
            <w:pPr>
              <w:jc w:val="center"/>
              <w:spacing w:after="0" w:line="187" w:lineRule="exact"/>
              <w:rPr>
                <w:sz w:val="20"/>
                <w:szCs w:val="20"/>
                <w:color w:val="auto"/>
              </w:rPr>
            </w:pPr>
            <w:r>
              <w:rPr>
                <w:rFonts w:ascii="Calibri" w:cs="Calibri" w:eastAsia="Calibri" w:hAnsi="Calibri"/>
                <w:sz w:val="16"/>
                <w:szCs w:val="16"/>
                <w:color w:val="auto"/>
              </w:rPr>
              <w:t>352,224</w:t>
            </w:r>
          </w:p>
        </w:tc>
        <w:tc>
          <w:tcPr>
            <w:tcW w:w="3840" w:type="dxa"/>
            <w:vAlign w:val="bottom"/>
            <w:tcBorders>
              <w:right w:val="single" w:sz="8" w:color="auto"/>
            </w:tcBorders>
          </w:tcPr>
          <w:p>
            <w:pPr>
              <w:jc w:val="center"/>
              <w:spacing w:after="0" w:line="187" w:lineRule="exact"/>
              <w:rPr>
                <w:sz w:val="20"/>
                <w:szCs w:val="20"/>
                <w:color w:val="auto"/>
              </w:rPr>
            </w:pPr>
            <w:r>
              <w:rPr>
                <w:rFonts w:ascii="Calibri" w:cs="Calibri" w:eastAsia="Calibri" w:hAnsi="Calibri"/>
                <w:sz w:val="16"/>
                <w:szCs w:val="16"/>
                <w:b w:val="1"/>
                <w:bCs w:val="1"/>
                <w:color w:val="auto"/>
                <w:w w:val="98"/>
              </w:rPr>
              <w:t>237,989</w:t>
            </w:r>
          </w:p>
        </w:tc>
        <w:tc>
          <w:tcPr>
            <w:tcW w:w="0" w:type="dxa"/>
            <w:vAlign w:val="bottom"/>
          </w:tcPr>
          <w:p>
            <w:pPr>
              <w:spacing w:after="0"/>
              <w:rPr>
                <w:sz w:val="1"/>
                <w:szCs w:val="1"/>
                <w:color w:val="auto"/>
              </w:rPr>
            </w:pPr>
          </w:p>
        </w:tc>
      </w:tr>
      <w:tr>
        <w:trPr>
          <w:trHeight w:val="63"/>
        </w:trPr>
        <w:tc>
          <w:tcPr>
            <w:tcW w:w="2620" w:type="dxa"/>
            <w:vAlign w:val="bottom"/>
            <w:tcBorders>
              <w:left w:val="single" w:sz="8" w:color="auto"/>
              <w:right w:val="single" w:sz="8" w:color="auto"/>
            </w:tcBorders>
            <w:vMerge w:val="continue"/>
          </w:tcPr>
          <w:p>
            <w:pPr>
              <w:spacing w:after="0"/>
              <w:rPr>
                <w:sz w:val="5"/>
                <w:szCs w:val="5"/>
                <w:color w:val="auto"/>
              </w:rPr>
            </w:pPr>
          </w:p>
        </w:tc>
        <w:tc>
          <w:tcPr>
            <w:tcW w:w="4200" w:type="dxa"/>
            <w:vAlign w:val="bottom"/>
            <w:tcBorders>
              <w:right w:val="single" w:sz="8" w:color="auto"/>
            </w:tcBorders>
          </w:tcPr>
          <w:p>
            <w:pPr>
              <w:spacing w:after="0"/>
              <w:rPr>
                <w:sz w:val="5"/>
                <w:szCs w:val="5"/>
                <w:color w:val="auto"/>
              </w:rPr>
            </w:pPr>
          </w:p>
        </w:tc>
        <w:tc>
          <w:tcPr>
            <w:tcW w:w="384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620" w:type="dxa"/>
            <w:vAlign w:val="bottom"/>
            <w:tcBorders>
              <w:left w:val="single" w:sz="8" w:color="auto"/>
              <w:bottom w:val="single" w:sz="8" w:color="auto"/>
              <w:right w:val="single" w:sz="8" w:color="auto"/>
            </w:tcBorders>
          </w:tcPr>
          <w:p>
            <w:pPr>
              <w:spacing w:after="0"/>
              <w:rPr>
                <w:sz w:val="3"/>
                <w:szCs w:val="3"/>
                <w:color w:val="auto"/>
              </w:rPr>
            </w:pPr>
          </w:p>
        </w:tc>
        <w:tc>
          <w:tcPr>
            <w:tcW w:w="4200" w:type="dxa"/>
            <w:vAlign w:val="bottom"/>
            <w:tcBorders>
              <w:bottom w:val="single" w:sz="8" w:color="auto"/>
              <w:right w:val="single" w:sz="8" w:color="auto"/>
            </w:tcBorders>
          </w:tcPr>
          <w:p>
            <w:pPr>
              <w:spacing w:after="0"/>
              <w:rPr>
                <w:sz w:val="3"/>
                <w:szCs w:val="3"/>
                <w:color w:val="auto"/>
              </w:rPr>
            </w:pPr>
          </w:p>
        </w:tc>
        <w:tc>
          <w:tcPr>
            <w:tcW w:w="384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7"/>
        </w:trPr>
        <w:tc>
          <w:tcPr>
            <w:tcW w:w="2620" w:type="dxa"/>
            <w:vAlign w:val="bottom"/>
            <w:tcBorders>
              <w:left w:val="single" w:sz="8" w:color="auto"/>
              <w:right w:val="single" w:sz="8" w:color="auto"/>
            </w:tcBorders>
            <w:vMerge w:val="restart"/>
          </w:tcPr>
          <w:p>
            <w:pPr>
              <w:ind w:left="80"/>
              <w:spacing w:after="0"/>
              <w:rPr>
                <w:sz w:val="20"/>
                <w:szCs w:val="20"/>
                <w:color w:val="auto"/>
              </w:rPr>
            </w:pPr>
            <w:r>
              <w:rPr>
                <w:rFonts w:ascii="Calibri" w:cs="Calibri" w:eastAsia="Calibri" w:hAnsi="Calibri"/>
                <w:sz w:val="16"/>
                <w:szCs w:val="16"/>
                <w:b w:val="1"/>
                <w:bCs w:val="1"/>
                <w:color w:val="auto"/>
              </w:rPr>
              <w:t>Executve Ofcers as a group (3</w:t>
            </w:r>
          </w:p>
        </w:tc>
        <w:tc>
          <w:tcPr>
            <w:tcW w:w="4200" w:type="dxa"/>
            <w:vAlign w:val="bottom"/>
            <w:tcBorders>
              <w:right w:val="single" w:sz="8" w:color="auto"/>
            </w:tcBorders>
          </w:tcPr>
          <w:p>
            <w:pPr>
              <w:jc w:val="center"/>
              <w:spacing w:after="0" w:line="187" w:lineRule="exact"/>
              <w:rPr>
                <w:sz w:val="20"/>
                <w:szCs w:val="20"/>
                <w:color w:val="auto"/>
              </w:rPr>
            </w:pPr>
            <w:r>
              <w:rPr>
                <w:rFonts w:ascii="Calibri" w:cs="Calibri" w:eastAsia="Calibri" w:hAnsi="Calibri"/>
                <w:sz w:val="16"/>
                <w:szCs w:val="16"/>
                <w:color w:val="auto"/>
              </w:rPr>
              <w:t>1,982,117</w:t>
            </w:r>
          </w:p>
        </w:tc>
        <w:tc>
          <w:tcPr>
            <w:tcW w:w="3840" w:type="dxa"/>
            <w:vAlign w:val="bottom"/>
            <w:tcBorders>
              <w:right w:val="single" w:sz="8" w:color="auto"/>
            </w:tcBorders>
          </w:tcPr>
          <w:p>
            <w:pPr>
              <w:jc w:val="center"/>
              <w:spacing w:after="0" w:line="187" w:lineRule="exact"/>
              <w:rPr>
                <w:sz w:val="20"/>
                <w:szCs w:val="20"/>
                <w:color w:val="auto"/>
              </w:rPr>
            </w:pPr>
            <w:r>
              <w:rPr>
                <w:rFonts w:ascii="Calibri" w:cs="Calibri" w:eastAsia="Calibri" w:hAnsi="Calibri"/>
                <w:sz w:val="16"/>
                <w:szCs w:val="16"/>
                <w:b w:val="1"/>
                <w:bCs w:val="1"/>
                <w:color w:val="auto"/>
              </w:rPr>
              <w:t>1,339,268</w:t>
            </w:r>
          </w:p>
        </w:tc>
        <w:tc>
          <w:tcPr>
            <w:tcW w:w="0" w:type="dxa"/>
            <w:vAlign w:val="bottom"/>
          </w:tcPr>
          <w:p>
            <w:pPr>
              <w:spacing w:after="0"/>
              <w:rPr>
                <w:sz w:val="1"/>
                <w:szCs w:val="1"/>
                <w:color w:val="auto"/>
              </w:rPr>
            </w:pPr>
          </w:p>
        </w:tc>
      </w:tr>
      <w:tr>
        <w:trPr>
          <w:trHeight w:val="63"/>
        </w:trPr>
        <w:tc>
          <w:tcPr>
            <w:tcW w:w="2620" w:type="dxa"/>
            <w:vAlign w:val="bottom"/>
            <w:tcBorders>
              <w:left w:val="single" w:sz="8" w:color="auto"/>
              <w:right w:val="single" w:sz="8" w:color="auto"/>
            </w:tcBorders>
            <w:vMerge w:val="continue"/>
          </w:tcPr>
          <w:p>
            <w:pPr>
              <w:spacing w:after="0"/>
              <w:rPr>
                <w:sz w:val="5"/>
                <w:szCs w:val="5"/>
                <w:color w:val="auto"/>
              </w:rPr>
            </w:pPr>
          </w:p>
        </w:tc>
        <w:tc>
          <w:tcPr>
            <w:tcW w:w="4200" w:type="dxa"/>
            <w:vAlign w:val="bottom"/>
            <w:tcBorders>
              <w:right w:val="single" w:sz="8" w:color="auto"/>
            </w:tcBorders>
          </w:tcPr>
          <w:p>
            <w:pPr>
              <w:spacing w:after="0"/>
              <w:rPr>
                <w:sz w:val="5"/>
                <w:szCs w:val="5"/>
                <w:color w:val="auto"/>
              </w:rPr>
            </w:pPr>
          </w:p>
        </w:tc>
        <w:tc>
          <w:tcPr>
            <w:tcW w:w="384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03"/>
        </w:trPr>
        <w:tc>
          <w:tcPr>
            <w:tcW w:w="2620" w:type="dxa"/>
            <w:vAlign w:val="bottom"/>
            <w:tcBorders>
              <w:left w:val="single" w:sz="8" w:color="auto"/>
              <w:right w:val="single" w:sz="8" w:color="auto"/>
            </w:tcBorders>
          </w:tcPr>
          <w:p>
            <w:pPr>
              <w:ind w:left="80"/>
              <w:spacing w:after="0"/>
              <w:rPr>
                <w:sz w:val="20"/>
                <w:szCs w:val="20"/>
                <w:color w:val="auto"/>
              </w:rPr>
            </w:pPr>
            <w:r>
              <w:rPr>
                <w:rFonts w:ascii="Calibri" w:cs="Calibri" w:eastAsia="Calibri" w:hAnsi="Calibri"/>
                <w:sz w:val="16"/>
                <w:szCs w:val="16"/>
                <w:b w:val="1"/>
                <w:bCs w:val="1"/>
                <w:color w:val="auto"/>
              </w:rPr>
              <w:t>persons)</w:t>
            </w:r>
          </w:p>
        </w:tc>
        <w:tc>
          <w:tcPr>
            <w:tcW w:w="4200" w:type="dxa"/>
            <w:vAlign w:val="bottom"/>
            <w:tcBorders>
              <w:right w:val="single" w:sz="8" w:color="auto"/>
            </w:tcBorders>
          </w:tcPr>
          <w:p>
            <w:pPr>
              <w:spacing w:after="0"/>
              <w:rPr>
                <w:sz w:val="17"/>
                <w:szCs w:val="17"/>
                <w:color w:val="auto"/>
              </w:rPr>
            </w:pPr>
          </w:p>
        </w:tc>
        <w:tc>
          <w:tcPr>
            <w:tcW w:w="384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41"/>
        </w:trPr>
        <w:tc>
          <w:tcPr>
            <w:tcW w:w="2620" w:type="dxa"/>
            <w:vAlign w:val="bottom"/>
            <w:tcBorders>
              <w:left w:val="single" w:sz="8" w:color="auto"/>
              <w:bottom w:val="single" w:sz="8" w:color="auto"/>
              <w:right w:val="single" w:sz="8" w:color="auto"/>
            </w:tcBorders>
          </w:tcPr>
          <w:p>
            <w:pPr>
              <w:spacing w:after="0"/>
              <w:rPr>
                <w:sz w:val="3"/>
                <w:szCs w:val="3"/>
                <w:color w:val="auto"/>
              </w:rPr>
            </w:pPr>
          </w:p>
        </w:tc>
        <w:tc>
          <w:tcPr>
            <w:tcW w:w="4200" w:type="dxa"/>
            <w:vAlign w:val="bottom"/>
            <w:tcBorders>
              <w:bottom w:val="single" w:sz="8" w:color="auto"/>
              <w:right w:val="single" w:sz="8" w:color="auto"/>
            </w:tcBorders>
          </w:tcPr>
          <w:p>
            <w:pPr>
              <w:spacing w:after="0"/>
              <w:rPr>
                <w:sz w:val="3"/>
                <w:szCs w:val="3"/>
                <w:color w:val="auto"/>
              </w:rPr>
            </w:pPr>
          </w:p>
        </w:tc>
        <w:tc>
          <w:tcPr>
            <w:tcW w:w="384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7"/>
        </w:trPr>
        <w:tc>
          <w:tcPr>
            <w:tcW w:w="2620" w:type="dxa"/>
            <w:vAlign w:val="bottom"/>
            <w:tcBorders>
              <w:left w:val="single" w:sz="8" w:color="auto"/>
              <w:right w:val="single" w:sz="8" w:color="auto"/>
            </w:tcBorders>
            <w:vMerge w:val="restart"/>
          </w:tcPr>
          <w:p>
            <w:pPr>
              <w:ind w:left="80"/>
              <w:spacing w:after="0"/>
              <w:rPr>
                <w:sz w:val="20"/>
                <w:szCs w:val="20"/>
                <w:color w:val="auto"/>
              </w:rPr>
            </w:pPr>
            <w:r>
              <w:rPr>
                <w:rFonts w:ascii="Calibri" w:cs="Calibri" w:eastAsia="Calibri" w:hAnsi="Calibri"/>
                <w:sz w:val="16"/>
                <w:szCs w:val="16"/>
                <w:b w:val="1"/>
                <w:bCs w:val="1"/>
                <w:color w:val="auto"/>
              </w:rPr>
              <w:t>Non-employee directors as a</w:t>
            </w:r>
          </w:p>
        </w:tc>
        <w:tc>
          <w:tcPr>
            <w:tcW w:w="4200" w:type="dxa"/>
            <w:vAlign w:val="bottom"/>
            <w:tcBorders>
              <w:right w:val="single" w:sz="8" w:color="auto"/>
            </w:tcBorders>
          </w:tcPr>
          <w:p>
            <w:pPr>
              <w:jc w:val="center"/>
              <w:spacing w:after="0" w:line="187" w:lineRule="exact"/>
              <w:rPr>
                <w:sz w:val="20"/>
                <w:szCs w:val="20"/>
                <w:color w:val="auto"/>
              </w:rPr>
            </w:pPr>
            <w:r>
              <w:rPr>
                <w:rFonts w:ascii="Calibri" w:cs="Calibri" w:eastAsia="Calibri" w:hAnsi="Calibri"/>
                <w:sz w:val="16"/>
                <w:szCs w:val="16"/>
                <w:color w:val="auto"/>
              </w:rPr>
              <w:t>1,892,507</w:t>
            </w:r>
          </w:p>
        </w:tc>
        <w:tc>
          <w:tcPr>
            <w:tcW w:w="3840" w:type="dxa"/>
            <w:vAlign w:val="bottom"/>
            <w:tcBorders>
              <w:right w:val="single" w:sz="8" w:color="auto"/>
            </w:tcBorders>
          </w:tcPr>
          <w:p>
            <w:pPr>
              <w:jc w:val="center"/>
              <w:spacing w:after="0" w:line="187" w:lineRule="exact"/>
              <w:rPr>
                <w:sz w:val="20"/>
                <w:szCs w:val="20"/>
                <w:color w:val="auto"/>
              </w:rPr>
            </w:pPr>
            <w:r>
              <w:rPr>
                <w:rFonts w:ascii="Calibri" w:cs="Calibri" w:eastAsia="Calibri" w:hAnsi="Calibri"/>
                <w:sz w:val="16"/>
                <w:szCs w:val="16"/>
                <w:b w:val="1"/>
                <w:bCs w:val="1"/>
                <w:color w:val="auto"/>
              </w:rPr>
              <w:t>1,351,791</w:t>
            </w:r>
          </w:p>
        </w:tc>
        <w:tc>
          <w:tcPr>
            <w:tcW w:w="0" w:type="dxa"/>
            <w:vAlign w:val="bottom"/>
          </w:tcPr>
          <w:p>
            <w:pPr>
              <w:spacing w:after="0"/>
              <w:rPr>
                <w:sz w:val="1"/>
                <w:szCs w:val="1"/>
                <w:color w:val="auto"/>
              </w:rPr>
            </w:pPr>
          </w:p>
        </w:tc>
      </w:tr>
      <w:tr>
        <w:trPr>
          <w:trHeight w:val="63"/>
        </w:trPr>
        <w:tc>
          <w:tcPr>
            <w:tcW w:w="2620" w:type="dxa"/>
            <w:vAlign w:val="bottom"/>
            <w:tcBorders>
              <w:left w:val="single" w:sz="8" w:color="auto"/>
              <w:right w:val="single" w:sz="8" w:color="auto"/>
            </w:tcBorders>
            <w:vMerge w:val="continue"/>
          </w:tcPr>
          <w:p>
            <w:pPr>
              <w:spacing w:after="0"/>
              <w:rPr>
                <w:sz w:val="5"/>
                <w:szCs w:val="5"/>
                <w:color w:val="auto"/>
              </w:rPr>
            </w:pPr>
          </w:p>
        </w:tc>
        <w:tc>
          <w:tcPr>
            <w:tcW w:w="4200" w:type="dxa"/>
            <w:vAlign w:val="bottom"/>
            <w:tcBorders>
              <w:right w:val="single" w:sz="8" w:color="auto"/>
            </w:tcBorders>
          </w:tcPr>
          <w:p>
            <w:pPr>
              <w:spacing w:after="0"/>
              <w:rPr>
                <w:sz w:val="5"/>
                <w:szCs w:val="5"/>
                <w:color w:val="auto"/>
              </w:rPr>
            </w:pPr>
          </w:p>
        </w:tc>
        <w:tc>
          <w:tcPr>
            <w:tcW w:w="384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43"/>
        </w:trPr>
        <w:tc>
          <w:tcPr>
            <w:tcW w:w="2620" w:type="dxa"/>
            <w:vAlign w:val="bottom"/>
            <w:tcBorders>
              <w:left w:val="single" w:sz="8" w:color="auto"/>
              <w:bottom w:val="single" w:sz="8" w:color="auto"/>
              <w:right w:val="single" w:sz="8" w:color="auto"/>
            </w:tcBorders>
          </w:tcPr>
          <w:p>
            <w:pPr>
              <w:ind w:left="80"/>
              <w:spacing w:after="0" w:line="243" w:lineRule="exact"/>
              <w:rPr>
                <w:sz w:val="20"/>
                <w:szCs w:val="20"/>
                <w:color w:val="auto"/>
              </w:rPr>
            </w:pPr>
            <w:r>
              <w:rPr>
                <w:rFonts w:ascii="Calibri" w:cs="Calibri" w:eastAsia="Calibri" w:hAnsi="Calibri"/>
                <w:sz w:val="16"/>
                <w:szCs w:val="16"/>
                <w:b w:val="1"/>
                <w:bCs w:val="1"/>
                <w:color w:val="auto"/>
              </w:rPr>
              <w:t>group (8 persons)</w:t>
            </w:r>
            <w:r>
              <w:rPr>
                <w:rFonts w:ascii="Calibri" w:cs="Calibri" w:eastAsia="Calibri" w:hAnsi="Calibri"/>
                <w:sz w:val="21"/>
                <w:szCs w:val="21"/>
                <w:b w:val="1"/>
                <w:bCs w:val="1"/>
                <w:color w:val="auto"/>
                <w:vertAlign w:val="superscript"/>
              </w:rPr>
              <w:t>(4)(5)</w:t>
            </w:r>
          </w:p>
        </w:tc>
        <w:tc>
          <w:tcPr>
            <w:tcW w:w="4200" w:type="dxa"/>
            <w:vAlign w:val="bottom"/>
            <w:tcBorders>
              <w:bottom w:val="single" w:sz="8" w:color="auto"/>
              <w:right w:val="single" w:sz="8" w:color="auto"/>
            </w:tcBorders>
          </w:tcPr>
          <w:p>
            <w:pPr>
              <w:spacing w:after="0"/>
              <w:rPr>
                <w:sz w:val="21"/>
                <w:szCs w:val="21"/>
                <w:color w:val="auto"/>
              </w:rPr>
            </w:pPr>
          </w:p>
        </w:tc>
        <w:tc>
          <w:tcPr>
            <w:tcW w:w="384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87"/>
        </w:trPr>
        <w:tc>
          <w:tcPr>
            <w:tcW w:w="2620" w:type="dxa"/>
            <w:vAlign w:val="bottom"/>
            <w:tcBorders>
              <w:left w:val="single" w:sz="8" w:color="auto"/>
              <w:right w:val="single" w:sz="8" w:color="auto"/>
            </w:tcBorders>
            <w:vMerge w:val="restart"/>
          </w:tcPr>
          <w:p>
            <w:pPr>
              <w:ind w:left="80"/>
              <w:spacing w:after="0"/>
              <w:rPr>
                <w:sz w:val="20"/>
                <w:szCs w:val="20"/>
                <w:color w:val="auto"/>
              </w:rPr>
            </w:pPr>
            <w:r>
              <w:rPr>
                <w:rFonts w:ascii="Calibri" w:cs="Calibri" w:eastAsia="Calibri" w:hAnsi="Calibri"/>
                <w:sz w:val="16"/>
                <w:szCs w:val="16"/>
                <w:b w:val="1"/>
                <w:bCs w:val="1"/>
                <w:color w:val="auto"/>
              </w:rPr>
              <w:t>All employees as a group, other</w:t>
            </w:r>
          </w:p>
        </w:tc>
        <w:tc>
          <w:tcPr>
            <w:tcW w:w="4200" w:type="dxa"/>
            <w:vAlign w:val="bottom"/>
            <w:tcBorders>
              <w:right w:val="single" w:sz="8" w:color="auto"/>
            </w:tcBorders>
          </w:tcPr>
          <w:p>
            <w:pPr>
              <w:jc w:val="center"/>
              <w:spacing w:after="0" w:line="187" w:lineRule="exact"/>
              <w:rPr>
                <w:sz w:val="20"/>
                <w:szCs w:val="20"/>
                <w:color w:val="auto"/>
              </w:rPr>
            </w:pPr>
            <w:r>
              <w:rPr>
                <w:rFonts w:ascii="Calibri" w:cs="Calibri" w:eastAsia="Calibri" w:hAnsi="Calibri"/>
                <w:sz w:val="16"/>
                <w:szCs w:val="16"/>
                <w:color w:val="auto"/>
              </w:rPr>
              <w:t>7,696,589</w:t>
            </w:r>
          </w:p>
        </w:tc>
        <w:tc>
          <w:tcPr>
            <w:tcW w:w="3840" w:type="dxa"/>
            <w:vAlign w:val="bottom"/>
            <w:tcBorders>
              <w:right w:val="single" w:sz="8" w:color="auto"/>
            </w:tcBorders>
          </w:tcPr>
          <w:p>
            <w:pPr>
              <w:jc w:val="center"/>
              <w:spacing w:after="0" w:line="187" w:lineRule="exact"/>
              <w:rPr>
                <w:sz w:val="20"/>
                <w:szCs w:val="20"/>
                <w:color w:val="auto"/>
              </w:rPr>
            </w:pPr>
            <w:r>
              <w:rPr>
                <w:rFonts w:ascii="Calibri" w:cs="Calibri" w:eastAsia="Calibri" w:hAnsi="Calibri"/>
                <w:sz w:val="16"/>
                <w:szCs w:val="16"/>
                <w:b w:val="1"/>
                <w:bCs w:val="1"/>
                <w:color w:val="auto"/>
              </w:rPr>
              <w:t>5,033,500</w:t>
            </w:r>
          </w:p>
        </w:tc>
        <w:tc>
          <w:tcPr>
            <w:tcW w:w="0" w:type="dxa"/>
            <w:vAlign w:val="bottom"/>
          </w:tcPr>
          <w:p>
            <w:pPr>
              <w:spacing w:after="0"/>
              <w:rPr>
                <w:sz w:val="1"/>
                <w:szCs w:val="1"/>
                <w:color w:val="auto"/>
              </w:rPr>
            </w:pPr>
          </w:p>
        </w:tc>
      </w:tr>
      <w:tr>
        <w:trPr>
          <w:trHeight w:val="63"/>
        </w:trPr>
        <w:tc>
          <w:tcPr>
            <w:tcW w:w="2620" w:type="dxa"/>
            <w:vAlign w:val="bottom"/>
            <w:tcBorders>
              <w:left w:val="single" w:sz="8" w:color="auto"/>
              <w:right w:val="single" w:sz="8" w:color="auto"/>
            </w:tcBorders>
            <w:vMerge w:val="continue"/>
          </w:tcPr>
          <w:p>
            <w:pPr>
              <w:spacing w:after="0"/>
              <w:rPr>
                <w:sz w:val="5"/>
                <w:szCs w:val="5"/>
                <w:color w:val="auto"/>
              </w:rPr>
            </w:pPr>
          </w:p>
        </w:tc>
        <w:tc>
          <w:tcPr>
            <w:tcW w:w="4200" w:type="dxa"/>
            <w:vAlign w:val="bottom"/>
            <w:tcBorders>
              <w:right w:val="single" w:sz="8" w:color="auto"/>
            </w:tcBorders>
          </w:tcPr>
          <w:p>
            <w:pPr>
              <w:spacing w:after="0"/>
              <w:rPr>
                <w:sz w:val="5"/>
                <w:szCs w:val="5"/>
                <w:color w:val="auto"/>
              </w:rPr>
            </w:pPr>
          </w:p>
        </w:tc>
        <w:tc>
          <w:tcPr>
            <w:tcW w:w="384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98"/>
        </w:trPr>
        <w:tc>
          <w:tcPr>
            <w:tcW w:w="2620" w:type="dxa"/>
            <w:vAlign w:val="bottom"/>
            <w:tcBorders>
              <w:left w:val="single" w:sz="8" w:color="auto"/>
              <w:right w:val="single" w:sz="8" w:color="auto"/>
            </w:tcBorders>
          </w:tcPr>
          <w:p>
            <w:pPr>
              <w:ind w:left="80"/>
              <w:spacing w:after="0"/>
              <w:rPr>
                <w:sz w:val="20"/>
                <w:szCs w:val="20"/>
                <w:color w:val="auto"/>
              </w:rPr>
            </w:pPr>
            <w:r>
              <w:rPr>
                <w:rFonts w:ascii="Calibri" w:cs="Calibri" w:eastAsia="Calibri" w:hAnsi="Calibri"/>
                <w:sz w:val="16"/>
                <w:szCs w:val="16"/>
                <w:b w:val="1"/>
                <w:bCs w:val="1"/>
                <w:color w:val="auto"/>
              </w:rPr>
              <w:t>than executve ofcers (277</w:t>
            </w:r>
          </w:p>
        </w:tc>
        <w:tc>
          <w:tcPr>
            <w:tcW w:w="4200" w:type="dxa"/>
            <w:vAlign w:val="bottom"/>
            <w:tcBorders>
              <w:right w:val="single" w:sz="8" w:color="auto"/>
            </w:tcBorders>
          </w:tcPr>
          <w:p>
            <w:pPr>
              <w:spacing w:after="0"/>
              <w:rPr>
                <w:sz w:val="17"/>
                <w:szCs w:val="17"/>
                <w:color w:val="auto"/>
              </w:rPr>
            </w:pPr>
          </w:p>
        </w:tc>
        <w:tc>
          <w:tcPr>
            <w:tcW w:w="384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2620" w:type="dxa"/>
            <w:vAlign w:val="bottom"/>
            <w:tcBorders>
              <w:left w:val="single" w:sz="8" w:color="auto"/>
              <w:right w:val="single" w:sz="8" w:color="auto"/>
            </w:tcBorders>
          </w:tcPr>
          <w:p>
            <w:pPr>
              <w:ind w:left="80"/>
              <w:spacing w:after="0" w:line="193" w:lineRule="exact"/>
              <w:rPr>
                <w:sz w:val="20"/>
                <w:szCs w:val="20"/>
                <w:color w:val="auto"/>
              </w:rPr>
            </w:pPr>
            <w:r>
              <w:rPr>
                <w:rFonts w:ascii="Calibri" w:cs="Calibri" w:eastAsia="Calibri" w:hAnsi="Calibri"/>
                <w:sz w:val="16"/>
                <w:szCs w:val="16"/>
                <w:b w:val="1"/>
                <w:bCs w:val="1"/>
                <w:color w:val="auto"/>
              </w:rPr>
              <w:t>persons)</w:t>
            </w:r>
          </w:p>
        </w:tc>
        <w:tc>
          <w:tcPr>
            <w:tcW w:w="4200" w:type="dxa"/>
            <w:vAlign w:val="bottom"/>
            <w:tcBorders>
              <w:right w:val="single" w:sz="8" w:color="auto"/>
            </w:tcBorders>
          </w:tcPr>
          <w:p>
            <w:pPr>
              <w:spacing w:after="0"/>
              <w:rPr>
                <w:sz w:val="16"/>
                <w:szCs w:val="16"/>
                <w:color w:val="auto"/>
              </w:rPr>
            </w:pPr>
          </w:p>
        </w:tc>
        <w:tc>
          <w:tcPr>
            <w:tcW w:w="38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41"/>
        </w:trPr>
        <w:tc>
          <w:tcPr>
            <w:tcW w:w="2620" w:type="dxa"/>
            <w:vAlign w:val="bottom"/>
            <w:tcBorders>
              <w:left w:val="single" w:sz="8" w:color="auto"/>
              <w:bottom w:val="single" w:sz="8" w:color="auto"/>
              <w:right w:val="single" w:sz="8" w:color="auto"/>
            </w:tcBorders>
          </w:tcPr>
          <w:p>
            <w:pPr>
              <w:spacing w:after="0"/>
              <w:rPr>
                <w:sz w:val="3"/>
                <w:szCs w:val="3"/>
                <w:color w:val="auto"/>
              </w:rPr>
            </w:pPr>
          </w:p>
        </w:tc>
        <w:tc>
          <w:tcPr>
            <w:tcW w:w="4200" w:type="dxa"/>
            <w:vAlign w:val="bottom"/>
            <w:tcBorders>
              <w:bottom w:val="single" w:sz="8" w:color="auto"/>
              <w:right w:val="single" w:sz="8" w:color="auto"/>
            </w:tcBorders>
          </w:tcPr>
          <w:p>
            <w:pPr>
              <w:spacing w:after="0"/>
              <w:rPr>
                <w:sz w:val="3"/>
                <w:szCs w:val="3"/>
                <w:color w:val="auto"/>
              </w:rPr>
            </w:pPr>
          </w:p>
        </w:tc>
        <w:tc>
          <w:tcPr>
            <w:tcW w:w="384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317" w:lineRule="exact"/>
        <w:rPr>
          <w:sz w:val="20"/>
          <w:szCs w:val="20"/>
          <w:color w:val="auto"/>
        </w:rPr>
      </w:pPr>
    </w:p>
    <w:p>
      <w:pPr>
        <w:ind w:left="480" w:hanging="310"/>
        <w:spacing w:after="0"/>
        <w:tabs>
          <w:tab w:leader="none" w:pos="480" w:val="left"/>
        </w:tabs>
        <w:numPr>
          <w:ilvl w:val="0"/>
          <w:numId w:val="31"/>
        </w:numPr>
        <w:rPr>
          <w:rFonts w:ascii="Calibri" w:cs="Calibri" w:eastAsia="Calibri" w:hAnsi="Calibri"/>
          <w:sz w:val="16"/>
          <w:szCs w:val="16"/>
          <w:color w:val="auto"/>
        </w:rPr>
      </w:pPr>
      <w:r>
        <w:rPr>
          <w:rFonts w:ascii="Calibri" w:cs="Calibri" w:eastAsia="Calibri" w:hAnsi="Calibri"/>
          <w:sz w:val="16"/>
          <w:szCs w:val="16"/>
          <w:color w:val="auto"/>
        </w:rPr>
        <w:t>Represents grant date fair value of award.</w:t>
      </w:r>
    </w:p>
    <w:p>
      <w:pPr>
        <w:ind w:left="500" w:hanging="330"/>
        <w:spacing w:after="0"/>
        <w:tabs>
          <w:tab w:leader="none" w:pos="491" w:val="left"/>
        </w:tabs>
        <w:numPr>
          <w:ilvl w:val="0"/>
          <w:numId w:val="31"/>
        </w:numPr>
        <w:rPr>
          <w:rFonts w:ascii="Calibri" w:cs="Calibri" w:eastAsia="Calibri" w:hAnsi="Calibri"/>
          <w:sz w:val="16"/>
          <w:szCs w:val="16"/>
          <w:color w:val="auto"/>
        </w:rPr>
      </w:pPr>
      <w:r>
        <w:rPr>
          <w:rFonts w:ascii="Calibri" w:cs="Calibri" w:eastAsia="Calibri" w:hAnsi="Calibri"/>
          <w:sz w:val="16"/>
          <w:szCs w:val="16"/>
          <w:color w:val="auto"/>
        </w:rPr>
        <w:t>Represents tme- and performance- based restricted stock units with performance based on target performance. See “</w:t>
      </w:r>
      <w:r>
        <w:rPr>
          <w:rFonts w:ascii="Calibri" w:cs="Calibri" w:eastAsia="Calibri" w:hAnsi="Calibri"/>
          <w:sz w:val="16"/>
          <w:szCs w:val="16"/>
          <w:i w:val="1"/>
          <w:iCs w:val="1"/>
          <w:color w:val="auto"/>
        </w:rPr>
        <w:t>Summary Compensaton Table for Fiscal</w:t>
      </w:r>
      <w:r>
        <w:rPr>
          <w:rFonts w:ascii="Calibri" w:cs="Calibri" w:eastAsia="Calibri" w:hAnsi="Calibri"/>
          <w:sz w:val="16"/>
          <w:szCs w:val="16"/>
          <w:color w:val="auto"/>
        </w:rPr>
        <w:t xml:space="preserve"> </w:t>
      </w:r>
      <w:r>
        <w:rPr>
          <w:rFonts w:ascii="Calibri" w:cs="Calibri" w:eastAsia="Calibri" w:hAnsi="Calibri"/>
          <w:sz w:val="16"/>
          <w:szCs w:val="16"/>
          <w:i w:val="1"/>
          <w:iCs w:val="1"/>
          <w:color w:val="auto"/>
        </w:rPr>
        <w:t>2023</w:t>
      </w:r>
      <w:r>
        <w:rPr>
          <w:rFonts w:ascii="Calibri" w:cs="Calibri" w:eastAsia="Calibri" w:hAnsi="Calibri"/>
          <w:sz w:val="16"/>
          <w:szCs w:val="16"/>
          <w:color w:val="auto"/>
        </w:rPr>
        <w:t>” and “</w:t>
      </w:r>
      <w:r>
        <w:rPr>
          <w:rFonts w:ascii="Calibri" w:cs="Calibri" w:eastAsia="Calibri" w:hAnsi="Calibri"/>
          <w:sz w:val="16"/>
          <w:szCs w:val="16"/>
          <w:i w:val="1"/>
          <w:iCs w:val="1"/>
          <w:color w:val="auto"/>
        </w:rPr>
        <w:t>Director Compensaton for Fiscal 2023</w:t>
      </w:r>
      <w:r>
        <w:rPr>
          <w:rFonts w:ascii="Calibri" w:cs="Calibri" w:eastAsia="Calibri" w:hAnsi="Calibri"/>
          <w:sz w:val="16"/>
          <w:szCs w:val="16"/>
          <w:color w:val="auto"/>
        </w:rPr>
        <w:t>” for additonal informaton.</w:t>
      </w:r>
    </w:p>
    <w:p>
      <w:pPr>
        <w:ind w:left="480" w:hanging="310"/>
        <w:spacing w:after="0" w:line="232" w:lineRule="auto"/>
        <w:tabs>
          <w:tab w:leader="none" w:pos="480" w:val="left"/>
        </w:tabs>
        <w:numPr>
          <w:ilvl w:val="0"/>
          <w:numId w:val="31"/>
        </w:numPr>
        <w:rPr>
          <w:rFonts w:ascii="Calibri" w:cs="Calibri" w:eastAsia="Calibri" w:hAnsi="Calibri"/>
          <w:sz w:val="16"/>
          <w:szCs w:val="16"/>
          <w:color w:val="auto"/>
        </w:rPr>
      </w:pPr>
      <w:r>
        <w:rPr>
          <w:rFonts w:ascii="Calibri" w:cs="Calibri" w:eastAsia="Calibri" w:hAnsi="Calibri"/>
          <w:sz w:val="16"/>
          <w:szCs w:val="16"/>
          <w:color w:val="auto"/>
        </w:rPr>
        <w:t>Mr. Michael resigned as the Chief Executve Ofcer, President and Director of the Company efectve as of March 25, 2024.</w:t>
      </w:r>
    </w:p>
    <w:p>
      <w:pPr>
        <w:spacing w:after="0" w:line="7" w:lineRule="exact"/>
        <w:rPr>
          <w:rFonts w:ascii="Calibri" w:cs="Calibri" w:eastAsia="Calibri" w:hAnsi="Calibri"/>
          <w:sz w:val="16"/>
          <w:szCs w:val="16"/>
          <w:color w:val="auto"/>
        </w:rPr>
      </w:pPr>
    </w:p>
    <w:p>
      <w:pPr>
        <w:ind w:left="480" w:hanging="310"/>
        <w:spacing w:after="0"/>
        <w:tabs>
          <w:tab w:leader="none" w:pos="480" w:val="left"/>
        </w:tabs>
        <w:numPr>
          <w:ilvl w:val="0"/>
          <w:numId w:val="31"/>
        </w:numPr>
        <w:rPr>
          <w:rFonts w:ascii="Calibri" w:cs="Calibri" w:eastAsia="Calibri" w:hAnsi="Calibri"/>
          <w:sz w:val="16"/>
          <w:szCs w:val="16"/>
          <w:color w:val="auto"/>
        </w:rPr>
      </w:pPr>
      <w:r>
        <w:rPr>
          <w:rFonts w:ascii="Calibri" w:cs="Calibri" w:eastAsia="Calibri" w:hAnsi="Calibri"/>
          <w:sz w:val="16"/>
          <w:szCs w:val="16"/>
          <w:color w:val="auto"/>
        </w:rPr>
        <w:t>David Clifon did not receive any RSUs during 2023.</w:t>
      </w:r>
    </w:p>
    <w:p>
      <w:pPr>
        <w:jc w:val="both"/>
        <w:ind w:left="500" w:hanging="330"/>
        <w:spacing w:after="0" w:line="237" w:lineRule="auto"/>
        <w:tabs>
          <w:tab w:leader="none" w:pos="491" w:val="left"/>
        </w:tabs>
        <w:numPr>
          <w:ilvl w:val="0"/>
          <w:numId w:val="31"/>
        </w:numPr>
        <w:rPr>
          <w:rFonts w:ascii="Calibri" w:cs="Calibri" w:eastAsia="Calibri" w:hAnsi="Calibri"/>
          <w:sz w:val="16"/>
          <w:szCs w:val="16"/>
          <w:color w:val="auto"/>
        </w:rPr>
      </w:pPr>
      <w:r>
        <w:rPr>
          <w:rFonts w:ascii="Calibri" w:cs="Calibri" w:eastAsia="Calibri" w:hAnsi="Calibri"/>
          <w:sz w:val="16"/>
          <w:szCs w:val="16"/>
          <w:color w:val="auto"/>
        </w:rPr>
        <w:t>Included in this total are 142,858 tme-based RSUs De’Ana Dow received for her service on Bakkt Trust’s Board of Managers. The value of these RSUs was $200,000. This total includes the 183,929 tme-based RSUs Andrew Main received for his service on the Board prior to being appointed as our Chief Executve Ofcer and President in March of 2024.</w:t>
      </w:r>
    </w:p>
    <w:p>
      <w:pPr>
        <w:spacing w:after="0" w:line="193" w:lineRule="exact"/>
        <w:rPr>
          <w:sz w:val="20"/>
          <w:szCs w:val="20"/>
          <w:color w:val="auto"/>
        </w:rPr>
      </w:pPr>
    </w:p>
    <w:p>
      <w:pPr>
        <w:spacing w:after="0"/>
        <w:rPr>
          <w:sz w:val="20"/>
          <w:szCs w:val="20"/>
          <w:color w:val="auto"/>
        </w:rPr>
      </w:pPr>
      <w:r>
        <w:rPr>
          <w:rFonts w:ascii="Calibri" w:cs="Calibri" w:eastAsia="Calibri" w:hAnsi="Calibri"/>
          <w:sz w:val="22"/>
          <w:szCs w:val="22"/>
          <w:b w:val="1"/>
          <w:bCs w:val="1"/>
          <w:color w:val="auto"/>
        </w:rPr>
        <w:t>OUR BOARD RECOMMENDS A VOTE “FOR” THE APPROVAL OF THE AMENDMENT TO THE 2021 OMNIBUS INCENTIVE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2760"/>
        <w:spacing w:after="0"/>
        <w:tabs>
          <w:tab w:leader="none" w:pos="7080" w:val="left"/>
          <w:tab w:leader="none" w:pos="8300" w:val="left"/>
        </w:tabs>
        <w:rPr>
          <w:sz w:val="20"/>
          <w:szCs w:val="20"/>
          <w:color w:val="auto"/>
        </w:rPr>
      </w:pPr>
      <w:r>
        <w:rPr>
          <w:rFonts w:ascii="Calibri" w:cs="Calibri" w:eastAsia="Calibri" w:hAnsi="Calibri"/>
          <w:sz w:val="16"/>
          <w:szCs w:val="16"/>
          <w:color w:val="auto"/>
        </w:rPr>
        <w:t>Alphareta, GA | New York, NY | Belfast, United Kingdom</w:t>
      </w:r>
      <w:r>
        <w:rPr>
          <w:sz w:val="20"/>
          <w:szCs w:val="20"/>
          <w:color w:val="auto"/>
        </w:rPr>
        <w:tab/>
      </w:r>
      <w:r>
        <w:rPr>
          <w:rFonts w:ascii="Calibri" w:cs="Calibri" w:eastAsia="Calibri" w:hAnsi="Calibri"/>
          <w:sz w:val="16"/>
          <w:szCs w:val="16"/>
          <w:color w:val="auto"/>
        </w:rPr>
        <w:t>www.bakkt.com</w:t>
      </w:r>
      <w:r>
        <w:rPr>
          <w:sz w:val="20"/>
          <w:szCs w:val="20"/>
          <w:color w:val="auto"/>
        </w:rPr>
        <w:tab/>
      </w:r>
      <w:r>
        <w:rPr>
          <w:rFonts w:ascii="Calibri" w:cs="Calibri" w:eastAsia="Calibri" w:hAnsi="Calibri"/>
          <w:sz w:val="17"/>
          <w:szCs w:val="17"/>
          <w:color w:val="auto"/>
        </w:rPr>
        <w:t>43</w:t>
      </w:r>
    </w:p>
    <w:p>
      <w:pPr>
        <w:sectPr>
          <w:pgSz w:w="11900" w:h="16838" w:orient="portrait"/>
          <w:cols w:equalWidth="0" w:num="1">
            <w:col w:w="11240"/>
          </w:cols>
          <w:pgMar w:left="320" w:top="1440" w:right="339" w:bottom="1440" w:gutter="0" w:footer="0" w:header="0"/>
        </w:sectPr>
      </w:pPr>
    </w:p>
    <w:bookmarkStart w:id="49" w:name="page50"/>
    <w:bookmarkEnd w:id="49"/>
    <w:p>
      <w:pPr>
        <w:spacing w:after="0" w:line="160" w:lineRule="exact"/>
        <w:rPr>
          <w:sz w:val="20"/>
          <w:szCs w:val="20"/>
          <w:color w:val="auto"/>
        </w:rPr>
      </w:pPr>
    </w:p>
    <w:p>
      <w:pPr>
        <w:spacing w:after="0"/>
        <w:rPr>
          <w:sz w:val="20"/>
          <w:szCs w:val="20"/>
          <w:color w:val="auto"/>
        </w:rPr>
      </w:pPr>
      <w:r>
        <w:rPr>
          <w:rFonts w:ascii="Calibri" w:cs="Calibri" w:eastAsia="Calibri" w:hAnsi="Calibri"/>
          <w:sz w:val="43"/>
          <w:szCs w:val="43"/>
          <w:color w:val="auto"/>
        </w:rPr>
        <w:t>Proposal No. 4: Simple Majority Vote</w:t>
      </w:r>
    </w:p>
    <w:p>
      <w:pPr>
        <w:spacing w:after="0" w:line="228" w:lineRule="exact"/>
        <w:rPr>
          <w:sz w:val="20"/>
          <w:szCs w:val="20"/>
          <w:color w:val="auto"/>
        </w:rPr>
      </w:pPr>
    </w:p>
    <w:p>
      <w:pPr>
        <w:jc w:val="both"/>
        <w:spacing w:after="0" w:line="233" w:lineRule="auto"/>
        <w:rPr>
          <w:sz w:val="20"/>
          <w:szCs w:val="20"/>
          <w:color w:val="auto"/>
        </w:rPr>
      </w:pPr>
      <w:r>
        <w:rPr>
          <w:rFonts w:ascii="Calibri" w:cs="Calibri" w:eastAsia="Calibri" w:hAnsi="Calibri"/>
          <w:sz w:val="22"/>
          <w:szCs w:val="22"/>
          <w:color w:val="auto"/>
        </w:rPr>
        <w:t>Kenneth Steiner has notfed the Company that a representatve will present the following shareholder proposal at the annual meetng. Mr. Steiner has appointed John Chevedden to act on his behalf regarding the following shareholder proposal. Upon request, the Company will provide the address and the number of votng securites held by Mr. Steiner.</w:t>
      </w:r>
    </w:p>
    <w:p>
      <w:pPr>
        <w:spacing w:after="0" w:line="217" w:lineRule="exact"/>
        <w:rPr>
          <w:sz w:val="20"/>
          <w:szCs w:val="20"/>
          <w:color w:val="auto"/>
        </w:rPr>
      </w:pPr>
    </w:p>
    <w:p>
      <w:pPr>
        <w:jc w:val="both"/>
        <w:ind w:right="20"/>
        <w:spacing w:after="0" w:line="229" w:lineRule="auto"/>
        <w:rPr>
          <w:sz w:val="20"/>
          <w:szCs w:val="20"/>
          <w:color w:val="auto"/>
        </w:rPr>
      </w:pPr>
      <w:r>
        <w:rPr>
          <w:rFonts w:ascii="Calibri" w:cs="Calibri" w:eastAsia="Calibri" w:hAnsi="Calibri"/>
          <w:sz w:val="22"/>
          <w:szCs w:val="22"/>
          <w:color w:val="auto"/>
        </w:rPr>
        <w:t>Shareholders should note that this proposal is advisory in nature only and approval of this proposal would not, by itself, implement a simple majority votng standard as described in the proposal. To implement a simple majority votng standard, the Board would need to take subsequent acton to amend our existng governance documents.</w:t>
      </w:r>
    </w:p>
    <w:p>
      <w:pPr>
        <w:spacing w:after="0" w:line="230" w:lineRule="exact"/>
        <w:rPr>
          <w:sz w:val="20"/>
          <w:szCs w:val="20"/>
          <w:color w:val="auto"/>
        </w:rPr>
      </w:pPr>
    </w:p>
    <w:p>
      <w:pPr>
        <w:jc w:val="both"/>
        <w:spacing w:after="0" w:line="229" w:lineRule="auto"/>
        <w:rPr>
          <w:sz w:val="20"/>
          <w:szCs w:val="20"/>
          <w:color w:val="auto"/>
        </w:rPr>
      </w:pPr>
      <w:r>
        <w:rPr>
          <w:rFonts w:ascii="Calibri" w:cs="Calibri" w:eastAsia="Calibri" w:hAnsi="Calibri"/>
          <w:sz w:val="22"/>
          <w:szCs w:val="22"/>
          <w:b w:val="1"/>
          <w:bCs w:val="1"/>
          <w:color w:val="auto"/>
        </w:rPr>
        <w:t>This proposal, as submited by Mr. Steiner, is quoted verbatm below. The Company disclaims any responsibility for the content of the proposal. The Board recommends votng “AGAINST” the proposal and asks stockholders to review the Board’s statement of oppositon, which follows the proponent’s proposal.</w:t>
      </w:r>
    </w:p>
    <w:p>
      <w:pPr>
        <w:spacing w:after="0" w:line="233" w:lineRule="exact"/>
        <w:rPr>
          <w:sz w:val="20"/>
          <w:szCs w:val="20"/>
          <w:color w:val="auto"/>
        </w:rPr>
      </w:pPr>
    </w:p>
    <w:p>
      <w:pPr>
        <w:jc w:val="center"/>
        <w:spacing w:after="0"/>
        <w:rPr>
          <w:sz w:val="20"/>
          <w:szCs w:val="20"/>
          <w:color w:val="auto"/>
        </w:rPr>
      </w:pPr>
      <w:r>
        <w:rPr>
          <w:rFonts w:ascii="Calibri" w:cs="Calibri" w:eastAsia="Calibri" w:hAnsi="Calibri"/>
          <w:sz w:val="22"/>
          <w:szCs w:val="22"/>
          <w:b w:val="1"/>
          <w:bCs w:val="1"/>
          <w:color w:val="auto"/>
        </w:rPr>
        <w:t>Proposal 4 — Simple Majority Vote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2611120</wp:posOffset>
            </wp:positionH>
            <wp:positionV relativeFrom="paragraph">
              <wp:posOffset>85725</wp:posOffset>
            </wp:positionV>
            <wp:extent cx="1920240" cy="5143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920240" cy="514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both"/>
        <w:spacing w:after="0" w:line="231" w:lineRule="auto"/>
        <w:rPr>
          <w:sz w:val="20"/>
          <w:szCs w:val="20"/>
          <w:color w:val="auto"/>
        </w:rPr>
      </w:pPr>
      <w:r>
        <w:rPr>
          <w:rFonts w:ascii="Calibri" w:cs="Calibri" w:eastAsia="Calibri" w:hAnsi="Calibri"/>
          <w:sz w:val="22"/>
          <w:szCs w:val="22"/>
          <w:color w:val="auto"/>
        </w:rPr>
        <w:t>Shareholders request that our board take each step necessary so that each votng requirement in our charter and bylaws (that is explicit or implicit due to default to state law) that calls for a greater than simple majority vote be replaced by a requirement for a majority of the votes cast for and against applicable proposals, or a simple majority in compliance with applicable laws. If necessary this means the closest standard to a majority of the votes cast for and against such proposal consistent with applicable laws. This includes making the necessary changes in plain English.</w:t>
      </w:r>
    </w:p>
    <w:p>
      <w:pPr>
        <w:spacing w:after="0" w:line="220" w:lineRule="exact"/>
        <w:rPr>
          <w:sz w:val="20"/>
          <w:szCs w:val="20"/>
          <w:color w:val="auto"/>
        </w:rPr>
      </w:pPr>
    </w:p>
    <w:p>
      <w:pPr>
        <w:jc w:val="both"/>
        <w:spacing w:after="0" w:line="231" w:lineRule="auto"/>
        <w:rPr>
          <w:sz w:val="20"/>
          <w:szCs w:val="20"/>
          <w:color w:val="auto"/>
        </w:rPr>
      </w:pPr>
      <w:r>
        <w:rPr>
          <w:rFonts w:ascii="Calibri" w:cs="Calibri" w:eastAsia="Calibri" w:hAnsi="Calibri"/>
          <w:sz w:val="22"/>
          <w:szCs w:val="22"/>
          <w:color w:val="auto"/>
        </w:rPr>
        <w:t>Shareholders are willing to pay a premium for shares of companies that have excellent corporate governance. Supermajority votng requirements have been found to be one of 6 entrenching mechanism that are negatvely related to company performance according to “What Maters in Corporate Governance” by Lucien Bebchuk, Alma Cohen and Allen Ferrell of the Harvard Law School. Supermajority requirements are used to block initatves supported by most shareowners but opposed by a status quo management.</w:t>
      </w:r>
    </w:p>
    <w:p>
      <w:pPr>
        <w:spacing w:after="0" w:line="220" w:lineRule="exact"/>
        <w:rPr>
          <w:sz w:val="20"/>
          <w:szCs w:val="20"/>
          <w:color w:val="auto"/>
        </w:rPr>
      </w:pPr>
    </w:p>
    <w:p>
      <w:pPr>
        <w:jc w:val="both"/>
        <w:spacing w:after="0" w:line="229" w:lineRule="auto"/>
        <w:rPr>
          <w:sz w:val="20"/>
          <w:szCs w:val="20"/>
          <w:color w:val="auto"/>
        </w:rPr>
      </w:pPr>
      <w:r>
        <w:rPr>
          <w:rFonts w:ascii="Calibri" w:cs="Calibri" w:eastAsia="Calibri" w:hAnsi="Calibri"/>
          <w:sz w:val="22"/>
          <w:szCs w:val="22"/>
          <w:color w:val="auto"/>
        </w:rPr>
        <w:t>This proposal topic won from 74% to 88% support at Weyerhaeuser, Alcoa, Waste Management, Goldman Sachs, FirstEnergy, McGraw-Hill and Macy’s. These votes would have been higher than 74% to 88% if more shareholders had access to independent proxy votng advice. This proposal topic also received overwhelming 98%–support each at the 2023 annual meetngs of American Airlines (AAL) and The Carlyle Group (CG).</w:t>
      </w:r>
    </w:p>
    <w:p>
      <w:pPr>
        <w:spacing w:after="0" w:line="220" w:lineRule="exact"/>
        <w:rPr>
          <w:sz w:val="20"/>
          <w:szCs w:val="20"/>
          <w:color w:val="auto"/>
        </w:rPr>
      </w:pPr>
    </w:p>
    <w:p>
      <w:pPr>
        <w:jc w:val="center"/>
        <w:spacing w:after="0"/>
        <w:rPr>
          <w:sz w:val="20"/>
          <w:szCs w:val="20"/>
          <w:color w:val="auto"/>
        </w:rPr>
      </w:pPr>
      <w:r>
        <w:rPr>
          <w:rFonts w:ascii="Calibri" w:cs="Calibri" w:eastAsia="Calibri" w:hAnsi="Calibri"/>
          <w:sz w:val="22"/>
          <w:szCs w:val="22"/>
          <w:color w:val="auto"/>
        </w:rPr>
        <w:t>Please vote yes:</w:t>
      </w:r>
    </w:p>
    <w:p>
      <w:pPr>
        <w:jc w:val="center"/>
        <w:spacing w:after="0" w:line="229" w:lineRule="auto"/>
        <w:rPr>
          <w:sz w:val="20"/>
          <w:szCs w:val="20"/>
          <w:color w:val="auto"/>
        </w:rPr>
      </w:pPr>
      <w:r>
        <w:rPr>
          <w:rFonts w:ascii="Calibri" w:cs="Calibri" w:eastAsia="Calibri" w:hAnsi="Calibri"/>
          <w:sz w:val="22"/>
          <w:szCs w:val="22"/>
          <w:b w:val="1"/>
          <w:bCs w:val="1"/>
          <w:color w:val="auto"/>
        </w:rPr>
        <w:t>Simple Majority Vote – Proposal 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2760"/>
        <w:spacing w:after="0"/>
        <w:tabs>
          <w:tab w:leader="none" w:pos="7080" w:val="left"/>
          <w:tab w:leader="none" w:pos="8300" w:val="left"/>
        </w:tabs>
        <w:rPr>
          <w:sz w:val="20"/>
          <w:szCs w:val="20"/>
          <w:color w:val="auto"/>
        </w:rPr>
      </w:pPr>
      <w:r>
        <w:rPr>
          <w:rFonts w:ascii="Calibri" w:cs="Calibri" w:eastAsia="Calibri" w:hAnsi="Calibri"/>
          <w:sz w:val="16"/>
          <w:szCs w:val="16"/>
          <w:color w:val="auto"/>
        </w:rPr>
        <w:t>Alphareta, GA | New York, NY | Belfast, United Kingdom</w:t>
      </w:r>
      <w:r>
        <w:rPr>
          <w:sz w:val="20"/>
          <w:szCs w:val="20"/>
          <w:color w:val="auto"/>
        </w:rPr>
        <w:tab/>
      </w:r>
      <w:r>
        <w:rPr>
          <w:rFonts w:ascii="Calibri" w:cs="Calibri" w:eastAsia="Calibri" w:hAnsi="Calibri"/>
          <w:sz w:val="16"/>
          <w:szCs w:val="16"/>
          <w:color w:val="auto"/>
        </w:rPr>
        <w:t>www.bakkt.com</w:t>
      </w:r>
      <w:r>
        <w:rPr>
          <w:sz w:val="20"/>
          <w:szCs w:val="20"/>
          <w:color w:val="auto"/>
        </w:rPr>
        <w:tab/>
      </w:r>
      <w:r>
        <w:rPr>
          <w:rFonts w:ascii="Calibri" w:cs="Calibri" w:eastAsia="Calibri" w:hAnsi="Calibri"/>
          <w:sz w:val="17"/>
          <w:szCs w:val="17"/>
          <w:color w:val="auto"/>
        </w:rPr>
        <w:t>44</w:t>
      </w:r>
    </w:p>
    <w:p>
      <w:pPr>
        <w:sectPr>
          <w:pgSz w:w="11900" w:h="16838" w:orient="portrait"/>
          <w:cols w:equalWidth="0" w:num="1">
            <w:col w:w="11240"/>
          </w:cols>
          <w:pgMar w:left="320" w:top="1440" w:right="339" w:bottom="1440" w:gutter="0" w:footer="0" w:header="0"/>
        </w:sectPr>
      </w:pPr>
    </w:p>
    <w:bookmarkStart w:id="50" w:name="page51"/>
    <w:bookmarkEnd w:id="50"/>
    <w:p>
      <w:pPr>
        <w:spacing w:after="0" w:line="171" w:lineRule="exact"/>
        <w:rPr>
          <w:sz w:val="20"/>
          <w:szCs w:val="20"/>
          <w:color w:val="auto"/>
        </w:rPr>
      </w:pPr>
    </w:p>
    <w:p>
      <w:pPr>
        <w:spacing w:after="0"/>
        <w:rPr>
          <w:sz w:val="20"/>
          <w:szCs w:val="20"/>
          <w:color w:val="auto"/>
        </w:rPr>
      </w:pPr>
      <w:r>
        <w:rPr>
          <w:rFonts w:ascii="Calibri" w:cs="Calibri" w:eastAsia="Calibri" w:hAnsi="Calibri"/>
          <w:sz w:val="29"/>
          <w:szCs w:val="29"/>
          <w:b w:val="1"/>
          <w:bCs w:val="1"/>
          <w:color w:val="auto"/>
        </w:rPr>
        <w:t>Board’s Statement in Oppositon to Proposal 4</w:t>
      </w:r>
    </w:p>
    <w:p>
      <w:pPr>
        <w:spacing w:after="0" w:line="226" w:lineRule="exact"/>
        <w:rPr>
          <w:sz w:val="20"/>
          <w:szCs w:val="20"/>
          <w:color w:val="auto"/>
        </w:rPr>
      </w:pPr>
    </w:p>
    <w:p>
      <w:pPr>
        <w:jc w:val="both"/>
        <w:spacing w:after="0" w:line="229" w:lineRule="auto"/>
        <w:rPr>
          <w:sz w:val="20"/>
          <w:szCs w:val="20"/>
          <w:color w:val="auto"/>
        </w:rPr>
      </w:pPr>
      <w:r>
        <w:rPr>
          <w:rFonts w:ascii="Calibri" w:cs="Calibri" w:eastAsia="Calibri" w:hAnsi="Calibri"/>
          <w:sz w:val="22"/>
          <w:szCs w:val="22"/>
          <w:color w:val="auto"/>
        </w:rPr>
        <w:t>The Board has given careful consideraton to the stockholder proposal and, for the following reasons, does not believe that this stockholder proposal would enhance the Company’s corporate governance or is in the best interests of the Company or its stockholders. As such, the Board, afer review by its directors and the Nominatng and Corporate Governance Commitee, recommends a vote AGAINST this proposal.</w:t>
      </w:r>
    </w:p>
    <w:p>
      <w:pPr>
        <w:spacing w:after="0" w:line="204" w:lineRule="exact"/>
        <w:rPr>
          <w:sz w:val="20"/>
          <w:szCs w:val="20"/>
          <w:color w:val="auto"/>
        </w:rPr>
      </w:pPr>
    </w:p>
    <w:p>
      <w:pPr>
        <w:jc w:val="both"/>
        <w:spacing w:after="0" w:line="231" w:lineRule="auto"/>
        <w:rPr>
          <w:sz w:val="20"/>
          <w:szCs w:val="20"/>
          <w:color w:val="auto"/>
        </w:rPr>
      </w:pPr>
      <w:r>
        <w:rPr>
          <w:rFonts w:ascii="Calibri" w:cs="Calibri" w:eastAsia="Calibri" w:hAnsi="Calibri"/>
          <w:sz w:val="22"/>
          <w:szCs w:val="22"/>
          <w:color w:val="auto"/>
        </w:rPr>
        <w:t>Under our existng governance documents, a “simple majority vote” already applies to all but certain select maters that may be submited for stockholder approval. This stockholder proposal broadly requests that every votng requirement in our certfcate of incorporaton and bylaws that calls for a greater than simple majority vote, regardless of what the votng requirement is or what it addresses, be replaced by a blanket “majority of vote cast” standard or “a simple majority in compliance with applicable laws.”</w:t>
      </w:r>
    </w:p>
    <w:p>
      <w:pPr>
        <w:spacing w:after="0" w:line="206" w:lineRule="exact"/>
        <w:rPr>
          <w:sz w:val="20"/>
          <w:szCs w:val="20"/>
          <w:color w:val="auto"/>
        </w:rPr>
      </w:pPr>
    </w:p>
    <w:p>
      <w:pPr>
        <w:jc w:val="both"/>
        <w:spacing w:after="0" w:line="231" w:lineRule="auto"/>
        <w:rPr>
          <w:sz w:val="20"/>
          <w:szCs w:val="20"/>
          <w:color w:val="auto"/>
        </w:rPr>
      </w:pPr>
      <w:r>
        <w:rPr>
          <w:rFonts w:ascii="Calibri" w:cs="Calibri" w:eastAsia="Calibri" w:hAnsi="Calibri"/>
          <w:sz w:val="22"/>
          <w:szCs w:val="22"/>
          <w:color w:val="auto"/>
        </w:rPr>
        <w:t>Delaware law permits companies to adopt supermajority votng requirements or other higher votng thresholds, which many publicly traded companies have implemented selectvely to preserve and enhance long-term value for all stockholders. These supermajority votng requirements on key corporate maters serve, among other purposes, as a safeguard against potentally self-interested actons proposed by one or a few large stockholders, who might atempt to prioritze their interests over those of the majority of the Company’s stockholders. While our certfcate of incorporaton includes but a handful of supermajority provisions, those provisions are designed to maximize long-term value for all stockholders.</w:t>
      </w:r>
    </w:p>
    <w:p>
      <w:pPr>
        <w:spacing w:after="0" w:line="191" w:lineRule="exact"/>
        <w:rPr>
          <w:sz w:val="20"/>
          <w:szCs w:val="20"/>
          <w:color w:val="auto"/>
        </w:rPr>
      </w:pPr>
    </w:p>
    <w:p>
      <w:pPr>
        <w:jc w:val="both"/>
        <w:spacing w:after="0" w:line="231" w:lineRule="auto"/>
        <w:rPr>
          <w:sz w:val="20"/>
          <w:szCs w:val="20"/>
          <w:color w:val="auto"/>
        </w:rPr>
      </w:pPr>
      <w:r>
        <w:rPr>
          <w:rFonts w:ascii="Calibri" w:cs="Calibri" w:eastAsia="Calibri" w:hAnsi="Calibri"/>
          <w:sz w:val="22"/>
          <w:szCs w:val="22"/>
          <w:color w:val="auto"/>
        </w:rPr>
        <w:t>The Company has a signifcant shareholder, ICE, which benefcially owns 55.2% of the Company’s outstanding common stock, excluding the warrants to purchase shares of Class A Common Stock it received pursuant to that certain Securites Purchase Agreement, by and between the Company and ICE, dated as of February 29, 2024 (the “ICE Purchase Agreement” and the shares of Class A Common Stock and the warrants to purchase shares of Class A Common Stock sold thereby, the “ICE Ofering”) and the 8,772,016 shares of Class A Common Stock and accompanying warrants it has agreed to purchase in a subsequent closing in the ICE Ofering, as described further in Proposal 1 included in the Special Meetng Proxy. The Company and ICE are partes to the Votng Agreement (as defned below), pursuant to which ICE has discreton to vote its shares of common stock representng 30% of the outstanding common stock of the Company for so long as ICE and its afliates own 50% or more of the total votng power of the Company. If ICE and its afliates shares of common stock consttute less than 50% of the total votng power of the Company, ICE may vote all of its shares at its discreton. For more informaton concerning the Votng Agreement and other related person transactons between ICE and the Company, please see the secton ttled “Related Person Transactons.”</w:t>
      </w:r>
    </w:p>
    <w:p>
      <w:pPr>
        <w:spacing w:after="0" w:line="206" w:lineRule="exact"/>
        <w:rPr>
          <w:sz w:val="20"/>
          <w:szCs w:val="20"/>
          <w:color w:val="auto"/>
        </w:rPr>
      </w:pPr>
    </w:p>
    <w:p>
      <w:pPr>
        <w:jc w:val="both"/>
        <w:spacing w:after="0" w:line="232" w:lineRule="auto"/>
        <w:rPr>
          <w:sz w:val="20"/>
          <w:szCs w:val="20"/>
          <w:color w:val="auto"/>
        </w:rPr>
      </w:pPr>
      <w:r>
        <w:rPr>
          <w:rFonts w:ascii="Calibri" w:cs="Calibri" w:eastAsia="Calibri" w:hAnsi="Calibri"/>
          <w:sz w:val="22"/>
          <w:szCs w:val="22"/>
          <w:color w:val="auto"/>
        </w:rPr>
        <w:t>The Board believes that, rather than serving the rights of stockholders as a whole, eliminatng the higher votng thresholds described below could allow ICE or other stockholders who own a large number of the Company’s outstanding shares to have even greater infuence on the Company’s corporate structure and governance maters or take actons that may not be designed to maximize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left="2760"/>
        <w:spacing w:after="0"/>
        <w:tabs>
          <w:tab w:leader="none" w:pos="7080" w:val="left"/>
          <w:tab w:leader="none" w:pos="8300" w:val="left"/>
        </w:tabs>
        <w:rPr>
          <w:sz w:val="20"/>
          <w:szCs w:val="20"/>
          <w:color w:val="auto"/>
        </w:rPr>
      </w:pPr>
      <w:r>
        <w:rPr>
          <w:rFonts w:ascii="Calibri" w:cs="Calibri" w:eastAsia="Calibri" w:hAnsi="Calibri"/>
          <w:sz w:val="16"/>
          <w:szCs w:val="16"/>
          <w:color w:val="auto"/>
        </w:rPr>
        <w:t>Alphareta, GA | New York, NY | Belfast, United Kingdom</w:t>
      </w:r>
      <w:r>
        <w:rPr>
          <w:sz w:val="20"/>
          <w:szCs w:val="20"/>
          <w:color w:val="auto"/>
        </w:rPr>
        <w:tab/>
      </w:r>
      <w:r>
        <w:rPr>
          <w:rFonts w:ascii="Calibri" w:cs="Calibri" w:eastAsia="Calibri" w:hAnsi="Calibri"/>
          <w:sz w:val="16"/>
          <w:szCs w:val="16"/>
          <w:color w:val="auto"/>
        </w:rPr>
        <w:t>www.bakkt.com</w:t>
      </w:r>
      <w:r>
        <w:rPr>
          <w:sz w:val="20"/>
          <w:szCs w:val="20"/>
          <w:color w:val="auto"/>
        </w:rPr>
        <w:tab/>
      </w:r>
      <w:r>
        <w:rPr>
          <w:rFonts w:ascii="Calibri" w:cs="Calibri" w:eastAsia="Calibri" w:hAnsi="Calibri"/>
          <w:sz w:val="17"/>
          <w:szCs w:val="17"/>
          <w:color w:val="auto"/>
        </w:rPr>
        <w:t>45</w:t>
      </w:r>
    </w:p>
    <w:p>
      <w:pPr>
        <w:sectPr>
          <w:pgSz w:w="11900" w:h="16838" w:orient="portrait"/>
          <w:cols w:equalWidth="0" w:num="1">
            <w:col w:w="11240"/>
          </w:cols>
          <w:pgMar w:left="320" w:top="1440" w:right="339" w:bottom="1440" w:gutter="0" w:footer="0" w:header="0"/>
        </w:sectPr>
      </w:pPr>
    </w:p>
    <w:bookmarkStart w:id="51" w:name="page52"/>
    <w:bookmarkEnd w:id="51"/>
    <w:p>
      <w:pPr>
        <w:spacing w:after="0" w:line="170" w:lineRule="exact"/>
        <w:rPr>
          <w:sz w:val="20"/>
          <w:szCs w:val="20"/>
          <w:color w:val="auto"/>
        </w:rPr>
      </w:pPr>
    </w:p>
    <w:p>
      <w:pPr>
        <w:spacing w:after="0" w:line="229" w:lineRule="auto"/>
        <w:rPr>
          <w:sz w:val="20"/>
          <w:szCs w:val="20"/>
          <w:color w:val="auto"/>
        </w:rPr>
      </w:pPr>
      <w:r>
        <w:rPr>
          <w:rFonts w:ascii="Calibri" w:cs="Calibri" w:eastAsia="Calibri" w:hAnsi="Calibri"/>
          <w:sz w:val="22"/>
          <w:szCs w:val="22"/>
          <w:color w:val="auto"/>
        </w:rPr>
        <w:t>long-term value for other stockholders. Correspondingly, the Board believes that retaining those supermajority votng thresholds is in the best interest of the Company and its stockholders.</w:t>
      </w:r>
    </w:p>
    <w:p>
      <w:pPr>
        <w:spacing w:after="0" w:line="165" w:lineRule="exact"/>
        <w:rPr>
          <w:sz w:val="20"/>
          <w:szCs w:val="20"/>
          <w:color w:val="auto"/>
        </w:rPr>
      </w:pPr>
    </w:p>
    <w:p>
      <w:pPr>
        <w:spacing w:after="0"/>
        <w:rPr>
          <w:sz w:val="20"/>
          <w:szCs w:val="20"/>
          <w:color w:val="auto"/>
        </w:rPr>
      </w:pPr>
      <w:r>
        <w:rPr>
          <w:rFonts w:ascii="Calibri" w:cs="Calibri" w:eastAsia="Calibri" w:hAnsi="Calibri"/>
          <w:sz w:val="22"/>
          <w:szCs w:val="22"/>
          <w:b w:val="1"/>
          <w:bCs w:val="1"/>
          <w:color w:val="auto"/>
        </w:rPr>
        <w:t>Existng Supermajority Votng Thresholds Apply in Limited Circumstances</w:t>
      </w:r>
    </w:p>
    <w:p>
      <w:pPr>
        <w:spacing w:after="0" w:line="188" w:lineRule="exact"/>
        <w:rPr>
          <w:sz w:val="20"/>
          <w:szCs w:val="20"/>
          <w:color w:val="auto"/>
        </w:rPr>
      </w:pPr>
    </w:p>
    <w:p>
      <w:pPr>
        <w:spacing w:after="0"/>
        <w:rPr>
          <w:sz w:val="20"/>
          <w:szCs w:val="20"/>
          <w:color w:val="auto"/>
        </w:rPr>
      </w:pPr>
      <w:r>
        <w:rPr>
          <w:rFonts w:ascii="Calibri" w:cs="Calibri" w:eastAsia="Calibri" w:hAnsi="Calibri"/>
          <w:sz w:val="21"/>
          <w:szCs w:val="21"/>
          <w:color w:val="auto"/>
        </w:rPr>
        <w:t>The Company’s current governance documents require a supermajority votng threshold in the following limited circumstances:</w:t>
      </w:r>
    </w:p>
    <w:p>
      <w:pPr>
        <w:spacing w:after="0" w:line="135" w:lineRule="exact"/>
        <w:rPr>
          <w:sz w:val="20"/>
          <w:szCs w:val="20"/>
          <w:color w:val="auto"/>
        </w:rPr>
      </w:pPr>
    </w:p>
    <w:p>
      <w:pPr>
        <w:jc w:val="both"/>
        <w:ind w:left="660" w:hanging="328"/>
        <w:spacing w:after="0" w:line="231" w:lineRule="auto"/>
        <w:tabs>
          <w:tab w:leader="none" w:pos="655" w:val="left"/>
        </w:tabs>
        <w:numPr>
          <w:ilvl w:val="0"/>
          <w:numId w:val="32"/>
        </w:numPr>
        <w:rPr>
          <w:rFonts w:ascii="Times New Roman" w:cs="Times New Roman" w:eastAsia="Times New Roman" w:hAnsi="Times New Roman"/>
          <w:sz w:val="22"/>
          <w:szCs w:val="22"/>
          <w:color w:val="auto"/>
        </w:rPr>
      </w:pPr>
      <w:r>
        <w:rPr>
          <w:rFonts w:ascii="Calibri" w:cs="Calibri" w:eastAsia="Calibri" w:hAnsi="Calibri"/>
          <w:sz w:val="22"/>
          <w:szCs w:val="22"/>
          <w:b w:val="1"/>
          <w:bCs w:val="1"/>
          <w:color w:val="auto"/>
        </w:rPr>
        <w:t xml:space="preserve">DGCL Secton 203 and Business Combinatons: </w:t>
      </w:r>
      <w:r>
        <w:rPr>
          <w:rFonts w:ascii="Calibri" w:cs="Calibri" w:eastAsia="Calibri" w:hAnsi="Calibri"/>
          <w:sz w:val="22"/>
          <w:szCs w:val="22"/>
          <w:color w:val="auto"/>
        </w:rPr>
        <w:t>Our certfcate of incorporaton provides that the Company elected to</w:t>
      </w:r>
      <w:r>
        <w:rPr>
          <w:rFonts w:ascii="Calibri" w:cs="Calibri" w:eastAsia="Calibri" w:hAnsi="Calibri"/>
          <w:sz w:val="22"/>
          <w:szCs w:val="22"/>
          <w:b w:val="1"/>
          <w:bCs w:val="1"/>
          <w:color w:val="auto"/>
        </w:rPr>
        <w:t xml:space="preserve"> </w:t>
      </w:r>
      <w:r>
        <w:rPr>
          <w:rFonts w:ascii="Calibri" w:cs="Calibri" w:eastAsia="Calibri" w:hAnsi="Calibri"/>
          <w:sz w:val="22"/>
          <w:szCs w:val="22"/>
          <w:color w:val="auto"/>
        </w:rPr>
        <w:t>not be governed by Secton 203 of the DGCL. Our certfcate of incorporaton further provides that, notwithstanding the foregoing, the Company shall not engage in any business combinaton with an interested stockholder, as each term is defned under our certfcate of incorporaton, for a period of three years following the tme that such stockholder became an interested stockholder, except under certain circumstances, including if, afer such tme as the stockholder becomes an interested stockholder, the business combinaton is approved by the Board and authorized at an annual or special meetng of stockholders by the afrmatve vote of at least 66 2/3% of the outstanding votng stock of the Company which is not owned by the interested stockholder. As noted above, ICE would not currently be considered an interested stockholder under our certfcate of incorporaton, as the defniton of “interested stockholder” in our certfcate of incorporaton efectvely excludes ICE.</w:t>
      </w:r>
    </w:p>
    <w:p>
      <w:pPr>
        <w:spacing w:after="0" w:line="34" w:lineRule="exact"/>
        <w:rPr>
          <w:rFonts w:ascii="Times New Roman" w:cs="Times New Roman" w:eastAsia="Times New Roman" w:hAnsi="Times New Roman"/>
          <w:sz w:val="22"/>
          <w:szCs w:val="22"/>
          <w:color w:val="auto"/>
        </w:rPr>
      </w:pPr>
    </w:p>
    <w:p>
      <w:pPr>
        <w:jc w:val="both"/>
        <w:ind w:left="660" w:hanging="328"/>
        <w:spacing w:after="0" w:line="232" w:lineRule="auto"/>
        <w:tabs>
          <w:tab w:leader="none" w:pos="655" w:val="left"/>
        </w:tabs>
        <w:numPr>
          <w:ilvl w:val="0"/>
          <w:numId w:val="32"/>
        </w:numPr>
        <w:rPr>
          <w:rFonts w:ascii="Times New Roman" w:cs="Times New Roman" w:eastAsia="Times New Roman" w:hAnsi="Times New Roman"/>
          <w:sz w:val="22"/>
          <w:szCs w:val="22"/>
          <w:color w:val="auto"/>
        </w:rPr>
      </w:pPr>
      <w:r>
        <w:rPr>
          <w:rFonts w:ascii="Calibri" w:cs="Calibri" w:eastAsia="Calibri" w:hAnsi="Calibri"/>
          <w:sz w:val="22"/>
          <w:szCs w:val="22"/>
          <w:b w:val="1"/>
          <w:bCs w:val="1"/>
          <w:color w:val="auto"/>
        </w:rPr>
        <w:t xml:space="preserve">Amendment of Certfcate of Incorporaton: </w:t>
      </w:r>
      <w:r>
        <w:rPr>
          <w:rFonts w:ascii="Calibri" w:cs="Calibri" w:eastAsia="Calibri" w:hAnsi="Calibri"/>
          <w:sz w:val="22"/>
          <w:szCs w:val="22"/>
          <w:color w:val="auto"/>
        </w:rPr>
        <w:t>The amendment, alteraton, repeal, or rescindment of certain provisions of</w:t>
      </w:r>
      <w:r>
        <w:rPr>
          <w:rFonts w:ascii="Calibri" w:cs="Calibri" w:eastAsia="Calibri" w:hAnsi="Calibri"/>
          <w:sz w:val="22"/>
          <w:szCs w:val="22"/>
          <w:b w:val="1"/>
          <w:bCs w:val="1"/>
          <w:color w:val="auto"/>
        </w:rPr>
        <w:t xml:space="preserve"> </w:t>
      </w:r>
      <w:r>
        <w:rPr>
          <w:rFonts w:ascii="Calibri" w:cs="Calibri" w:eastAsia="Calibri" w:hAnsi="Calibri"/>
          <w:sz w:val="22"/>
          <w:szCs w:val="22"/>
          <w:color w:val="auto"/>
        </w:rPr>
        <w:t>our certfcate of incorporaton requires the afrmatve vote of not less than two-thirds (66 2/3%) of the total votng power of all the then outstanding shares of stock of the Company enttled to vote generally in the electon of directors, votng together as a single class.</w:t>
      </w:r>
    </w:p>
    <w:p>
      <w:pPr>
        <w:spacing w:after="0" w:line="2" w:lineRule="exact"/>
        <w:rPr>
          <w:rFonts w:ascii="Times New Roman" w:cs="Times New Roman" w:eastAsia="Times New Roman" w:hAnsi="Times New Roman"/>
          <w:sz w:val="22"/>
          <w:szCs w:val="22"/>
          <w:color w:val="auto"/>
        </w:rPr>
      </w:pPr>
    </w:p>
    <w:p>
      <w:pPr>
        <w:jc w:val="both"/>
        <w:ind w:left="660" w:hanging="328"/>
        <w:spacing w:after="0" w:line="229" w:lineRule="auto"/>
        <w:tabs>
          <w:tab w:leader="none" w:pos="655" w:val="left"/>
        </w:tabs>
        <w:numPr>
          <w:ilvl w:val="0"/>
          <w:numId w:val="32"/>
        </w:numPr>
        <w:rPr>
          <w:rFonts w:ascii="Times New Roman" w:cs="Times New Roman" w:eastAsia="Times New Roman" w:hAnsi="Times New Roman"/>
          <w:sz w:val="18"/>
          <w:szCs w:val="18"/>
          <w:color w:val="auto"/>
        </w:rPr>
      </w:pPr>
      <w:r>
        <w:rPr>
          <w:rFonts w:ascii="Calibri" w:cs="Calibri" w:eastAsia="Calibri" w:hAnsi="Calibri"/>
          <w:sz w:val="22"/>
          <w:szCs w:val="22"/>
          <w:b w:val="1"/>
          <w:bCs w:val="1"/>
          <w:color w:val="auto"/>
        </w:rPr>
        <w:t xml:space="preserve">Removal of a Director For Cause: </w:t>
      </w:r>
      <w:r>
        <w:rPr>
          <w:rFonts w:ascii="Calibri" w:cs="Calibri" w:eastAsia="Calibri" w:hAnsi="Calibri"/>
          <w:sz w:val="22"/>
          <w:szCs w:val="22"/>
          <w:color w:val="auto"/>
        </w:rPr>
        <w:t>Our certfcate of incorporaton provides that directors may be removed only for cause</w:t>
      </w:r>
      <w:r>
        <w:rPr>
          <w:rFonts w:ascii="Calibri" w:cs="Calibri" w:eastAsia="Calibri" w:hAnsi="Calibri"/>
          <w:sz w:val="22"/>
          <w:szCs w:val="22"/>
          <w:b w:val="1"/>
          <w:bCs w:val="1"/>
          <w:color w:val="auto"/>
        </w:rPr>
        <w:t xml:space="preserve"> </w:t>
      </w:r>
      <w:r>
        <w:rPr>
          <w:rFonts w:ascii="Calibri" w:cs="Calibri" w:eastAsia="Calibri" w:hAnsi="Calibri"/>
          <w:sz w:val="22"/>
          <w:szCs w:val="22"/>
          <w:color w:val="auto"/>
        </w:rPr>
        <w:t>and upon the afrmatve vote of at least 66 2/3% of the total votng power of all the then-outstanding shares of stock of the Company enttled to vote generally in the electon of directors, votng together as a single class.</w:t>
      </w:r>
    </w:p>
    <w:p>
      <w:pPr>
        <w:spacing w:after="0" w:line="188" w:lineRule="exact"/>
        <w:rPr>
          <w:sz w:val="20"/>
          <w:szCs w:val="20"/>
          <w:color w:val="auto"/>
        </w:rPr>
      </w:pPr>
    </w:p>
    <w:p>
      <w:pPr>
        <w:jc w:val="both"/>
        <w:spacing w:after="0" w:line="229" w:lineRule="auto"/>
        <w:rPr>
          <w:sz w:val="20"/>
          <w:szCs w:val="20"/>
          <w:color w:val="auto"/>
        </w:rPr>
      </w:pPr>
      <w:r>
        <w:rPr>
          <w:rFonts w:ascii="Calibri" w:cs="Calibri" w:eastAsia="Calibri" w:hAnsi="Calibri"/>
          <w:sz w:val="22"/>
          <w:szCs w:val="22"/>
          <w:color w:val="auto"/>
        </w:rPr>
        <w:t>The higher supermajority votng thresholds are narrowly tailored to promote stability and protect stockholder interests. They ensure that an interested stockholder entering into a business combinaton, certain amendments to our certfcate of incorporaton and the removal of directors for cause, all of which signifcantly impact our operatons, only occur when there is broad support among our stockholders.</w:t>
      </w:r>
    </w:p>
    <w:p>
      <w:pPr>
        <w:spacing w:after="0" w:line="190" w:lineRule="exact"/>
        <w:rPr>
          <w:sz w:val="20"/>
          <w:szCs w:val="20"/>
          <w:color w:val="auto"/>
        </w:rPr>
      </w:pPr>
    </w:p>
    <w:p>
      <w:pPr>
        <w:jc w:val="both"/>
        <w:spacing w:after="0" w:line="229" w:lineRule="auto"/>
        <w:rPr>
          <w:sz w:val="20"/>
          <w:szCs w:val="20"/>
          <w:color w:val="auto"/>
        </w:rPr>
      </w:pPr>
      <w:r>
        <w:rPr>
          <w:rFonts w:ascii="Calibri" w:cs="Calibri" w:eastAsia="Calibri" w:hAnsi="Calibri"/>
          <w:sz w:val="22"/>
          <w:szCs w:val="22"/>
          <w:color w:val="auto"/>
        </w:rPr>
        <w:t>Additonally, our bylaws provide that, except as otherwise required under our governing documents or Delaware law on all other maters to be voted on by our stockholders, other than the electon of directors, the afrmatve vote of the majority of shares represented at the annual meetng or by proxy and enttled to vote on the subject mater at any meetng at which a quorum is present is required for the transacton of any business at a meetng of stockholders.</w:t>
      </w:r>
    </w:p>
    <w:p>
      <w:pPr>
        <w:spacing w:after="0" w:line="204" w:lineRule="exact"/>
        <w:rPr>
          <w:sz w:val="20"/>
          <w:szCs w:val="20"/>
          <w:color w:val="auto"/>
        </w:rPr>
      </w:pPr>
    </w:p>
    <w:p>
      <w:pPr>
        <w:spacing w:after="0"/>
        <w:rPr>
          <w:sz w:val="20"/>
          <w:szCs w:val="20"/>
          <w:color w:val="auto"/>
        </w:rPr>
      </w:pPr>
      <w:r>
        <w:rPr>
          <w:rFonts w:ascii="Calibri" w:cs="Calibri" w:eastAsia="Calibri" w:hAnsi="Calibri"/>
          <w:sz w:val="22"/>
          <w:szCs w:val="22"/>
          <w:b w:val="1"/>
          <w:bCs w:val="1"/>
          <w:color w:val="auto"/>
        </w:rPr>
        <w:t>The Existng Provisions Beneft Our Stockholders.</w:t>
      </w:r>
    </w:p>
    <w:p>
      <w:pPr>
        <w:spacing w:after="0" w:line="230" w:lineRule="exact"/>
        <w:rPr>
          <w:sz w:val="20"/>
          <w:szCs w:val="20"/>
          <w:color w:val="auto"/>
        </w:rPr>
      </w:pPr>
    </w:p>
    <w:p>
      <w:pPr>
        <w:jc w:val="both"/>
        <w:ind w:right="20"/>
        <w:spacing w:after="0" w:line="229" w:lineRule="auto"/>
        <w:rPr>
          <w:sz w:val="20"/>
          <w:szCs w:val="20"/>
          <w:color w:val="auto"/>
        </w:rPr>
      </w:pPr>
      <w:r>
        <w:rPr>
          <w:rFonts w:ascii="Calibri" w:cs="Calibri" w:eastAsia="Calibri" w:hAnsi="Calibri"/>
          <w:sz w:val="22"/>
          <w:szCs w:val="22"/>
          <w:color w:val="auto"/>
        </w:rPr>
        <w:t>If Proposal 4 were implemented, directors could be removed for cause by a simple majority of the total votng power of our outstanding stockholders. The current supermajority votng requirement 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left="2760"/>
        <w:spacing w:after="0"/>
        <w:tabs>
          <w:tab w:leader="none" w:pos="7080" w:val="left"/>
          <w:tab w:leader="none" w:pos="8300" w:val="left"/>
        </w:tabs>
        <w:rPr>
          <w:sz w:val="20"/>
          <w:szCs w:val="20"/>
          <w:color w:val="auto"/>
        </w:rPr>
      </w:pPr>
      <w:r>
        <w:rPr>
          <w:rFonts w:ascii="Calibri" w:cs="Calibri" w:eastAsia="Calibri" w:hAnsi="Calibri"/>
          <w:sz w:val="16"/>
          <w:szCs w:val="16"/>
          <w:color w:val="auto"/>
        </w:rPr>
        <w:t>Alphareta, GA | New York, NY | Belfast, United Kingdom</w:t>
      </w:r>
      <w:r>
        <w:rPr>
          <w:sz w:val="20"/>
          <w:szCs w:val="20"/>
          <w:color w:val="auto"/>
        </w:rPr>
        <w:tab/>
      </w:r>
      <w:r>
        <w:rPr>
          <w:rFonts w:ascii="Calibri" w:cs="Calibri" w:eastAsia="Calibri" w:hAnsi="Calibri"/>
          <w:sz w:val="16"/>
          <w:szCs w:val="16"/>
          <w:color w:val="auto"/>
        </w:rPr>
        <w:t>www.bakkt.com</w:t>
      </w:r>
      <w:r>
        <w:rPr>
          <w:sz w:val="20"/>
          <w:szCs w:val="20"/>
          <w:color w:val="auto"/>
        </w:rPr>
        <w:tab/>
      </w:r>
      <w:r>
        <w:rPr>
          <w:rFonts w:ascii="Calibri" w:cs="Calibri" w:eastAsia="Calibri" w:hAnsi="Calibri"/>
          <w:sz w:val="17"/>
          <w:szCs w:val="17"/>
          <w:color w:val="auto"/>
        </w:rPr>
        <w:t>46</w:t>
      </w:r>
    </w:p>
    <w:p>
      <w:pPr>
        <w:sectPr>
          <w:pgSz w:w="11900" w:h="16838" w:orient="portrait"/>
          <w:cols w:equalWidth="0" w:num="1">
            <w:col w:w="11240"/>
          </w:cols>
          <w:pgMar w:left="320" w:top="1440" w:right="339" w:bottom="1440" w:gutter="0" w:footer="0" w:header="0"/>
        </w:sectPr>
      </w:pPr>
    </w:p>
    <w:bookmarkStart w:id="52" w:name="page53"/>
    <w:bookmarkEnd w:id="52"/>
    <w:p>
      <w:pPr>
        <w:spacing w:after="0" w:line="184" w:lineRule="exact"/>
        <w:rPr>
          <w:sz w:val="20"/>
          <w:szCs w:val="20"/>
          <w:color w:val="auto"/>
        </w:rPr>
      </w:pPr>
    </w:p>
    <w:p>
      <w:pPr>
        <w:jc w:val="both"/>
        <w:spacing w:after="0" w:line="229" w:lineRule="auto"/>
        <w:rPr>
          <w:sz w:val="20"/>
          <w:szCs w:val="20"/>
          <w:color w:val="auto"/>
        </w:rPr>
      </w:pPr>
      <w:r>
        <w:rPr>
          <w:rFonts w:ascii="Calibri" w:cs="Calibri" w:eastAsia="Calibri" w:hAnsi="Calibri"/>
          <w:sz w:val="22"/>
          <w:szCs w:val="22"/>
          <w:color w:val="auto"/>
        </w:rPr>
        <w:t>director removal protects stockholders and ensures that director removal refects the signifcant consensus of the Company’s stockholder base.</w:t>
      </w:r>
    </w:p>
    <w:p>
      <w:pPr>
        <w:spacing w:after="0" w:line="257" w:lineRule="exact"/>
        <w:rPr>
          <w:sz w:val="20"/>
          <w:szCs w:val="20"/>
          <w:color w:val="auto"/>
        </w:rPr>
      </w:pPr>
    </w:p>
    <w:p>
      <w:pPr>
        <w:jc w:val="both"/>
        <w:spacing w:after="0" w:line="231" w:lineRule="auto"/>
        <w:rPr>
          <w:sz w:val="20"/>
          <w:szCs w:val="20"/>
          <w:color w:val="auto"/>
        </w:rPr>
      </w:pPr>
      <w:r>
        <w:rPr>
          <w:rFonts w:ascii="Calibri" w:cs="Calibri" w:eastAsia="Calibri" w:hAnsi="Calibri"/>
          <w:sz w:val="22"/>
          <w:szCs w:val="22"/>
          <w:color w:val="auto"/>
        </w:rPr>
        <w:t>Moreover, a lower votng threshold would allow a signifcant stockholder, like ICE, to wield more power in the Company’s decision to consummate a business combinaton or amend its charter in potentally adverse ways. Implementng this proposal could potentally diminish the infuence of every stockholder’s votes in the Company’s key decisions, including reducing the votng standard set forth in our bylaws from the afrmatve vote of the majority of shares represented at the annual meetng or by proxy to an afrmatve vote of a majority of the votes cast.</w:t>
      </w:r>
    </w:p>
    <w:p>
      <w:pPr>
        <w:spacing w:after="0" w:line="260" w:lineRule="exact"/>
        <w:rPr>
          <w:sz w:val="20"/>
          <w:szCs w:val="20"/>
          <w:color w:val="auto"/>
        </w:rPr>
      </w:pPr>
    </w:p>
    <w:p>
      <w:pPr>
        <w:jc w:val="both"/>
        <w:spacing w:after="0"/>
        <w:rPr>
          <w:sz w:val="20"/>
          <w:szCs w:val="20"/>
          <w:color w:val="auto"/>
        </w:rPr>
      </w:pPr>
      <w:r>
        <w:rPr>
          <w:rFonts w:ascii="Calibri" w:cs="Calibri" w:eastAsia="Calibri" w:hAnsi="Calibri"/>
          <w:sz w:val="21"/>
          <w:szCs w:val="21"/>
          <w:color w:val="auto"/>
        </w:rPr>
        <w:t>The stockholder proposal to eliminate such supermajority provisions would leave our stockholders vulnerable to self-interested and potentally abusive actons by stockholders who own a large number of shares, as a simple majority standard would enable such stockholders to more easily advance their own interests over the interests of all of the Company’s other stockholders.</w:t>
      </w:r>
    </w:p>
    <w:p>
      <w:pPr>
        <w:spacing w:after="0" w:line="257" w:lineRule="exact"/>
        <w:rPr>
          <w:sz w:val="20"/>
          <w:szCs w:val="20"/>
          <w:color w:val="auto"/>
        </w:rPr>
      </w:pPr>
    </w:p>
    <w:p>
      <w:pPr>
        <w:jc w:val="both"/>
        <w:spacing w:after="0" w:line="231" w:lineRule="auto"/>
        <w:rPr>
          <w:sz w:val="20"/>
          <w:szCs w:val="20"/>
          <w:color w:val="auto"/>
        </w:rPr>
      </w:pPr>
      <w:r>
        <w:rPr>
          <w:rFonts w:ascii="Calibri" w:cs="Calibri" w:eastAsia="Calibri" w:hAnsi="Calibri"/>
          <w:sz w:val="22"/>
          <w:szCs w:val="22"/>
          <w:color w:val="auto"/>
        </w:rPr>
        <w:t>The Board believes that, rather than serving the rights of all stockholders, eliminatng the higher votng thresholds could allow a small group of large stockholders to have greater infuence on the Company’s corporate structure and governance maters. The current votng standards encourage our large stockholders to take into account the interests of all of the Company’s stockholders and ensure that all stockholders have a meaningful voice in the Company’s pivotal decisions. Requiring a broad consensus among stockholders prevents a small group of large stockholders from dominatng the decision-making process, thereby promotng greater involvement from all stockholders.</w:t>
      </w:r>
    </w:p>
    <w:p>
      <w:pPr>
        <w:spacing w:after="0" w:line="246" w:lineRule="exact"/>
        <w:rPr>
          <w:sz w:val="20"/>
          <w:szCs w:val="20"/>
          <w:color w:val="auto"/>
        </w:rPr>
      </w:pPr>
    </w:p>
    <w:p>
      <w:pPr>
        <w:spacing w:after="0"/>
        <w:rPr>
          <w:sz w:val="20"/>
          <w:szCs w:val="20"/>
          <w:color w:val="auto"/>
        </w:rPr>
      </w:pPr>
      <w:r>
        <w:rPr>
          <w:rFonts w:ascii="Calibri" w:cs="Calibri" w:eastAsia="Calibri" w:hAnsi="Calibri"/>
          <w:sz w:val="22"/>
          <w:szCs w:val="22"/>
          <w:b w:val="1"/>
          <w:bCs w:val="1"/>
          <w:color w:val="auto"/>
        </w:rPr>
        <w:t>Our Corporate Governance Structure Promotes Efectve Board Oversight</w:t>
      </w:r>
    </w:p>
    <w:p>
      <w:pPr>
        <w:spacing w:after="0" w:line="243" w:lineRule="exact"/>
        <w:rPr>
          <w:sz w:val="20"/>
          <w:szCs w:val="20"/>
          <w:color w:val="auto"/>
        </w:rPr>
      </w:pPr>
    </w:p>
    <w:p>
      <w:pPr>
        <w:jc w:val="both"/>
        <w:spacing w:after="0" w:line="232" w:lineRule="auto"/>
        <w:rPr>
          <w:sz w:val="20"/>
          <w:szCs w:val="20"/>
          <w:color w:val="auto"/>
        </w:rPr>
      </w:pPr>
      <w:r>
        <w:rPr>
          <w:rFonts w:ascii="Calibri" w:cs="Calibri" w:eastAsia="Calibri" w:hAnsi="Calibri"/>
          <w:sz w:val="22"/>
          <w:szCs w:val="22"/>
          <w:color w:val="auto"/>
        </w:rPr>
        <w:t>The stockholder proposal is both vague and overbroad in that it does not specify which provisions that the stockholder proponent is seeking to change. The Board and the Nominatng and Corporate Governance Commitee do not believe that indiscriminate eliminaton of all supermajority votng requirements and the impositon of a blanket “majority of votes cast” or “simple majority in compliance with applicable laws” standard, without regard for how such a votng requirement would apply to each provision it impacts, or how that, in turn, would impact the Company’s stockholders, would be in the best interests of our stockholders. Our Board is commited to efectve corporate governance and has adopted a wide range of practces and procedures that promote efectve Board oversight. For example:</w:t>
      </w:r>
    </w:p>
    <w:p>
      <w:pPr>
        <w:spacing w:after="0" w:line="154" w:lineRule="exact"/>
        <w:rPr>
          <w:sz w:val="20"/>
          <w:szCs w:val="20"/>
          <w:color w:val="auto"/>
        </w:rPr>
      </w:pPr>
    </w:p>
    <w:p>
      <w:pPr>
        <w:ind w:left="660" w:hanging="328"/>
        <w:spacing w:after="0" w:line="229" w:lineRule="auto"/>
        <w:tabs>
          <w:tab w:leader="none" w:pos="655" w:val="left"/>
        </w:tabs>
        <w:numPr>
          <w:ilvl w:val="0"/>
          <w:numId w:val="33"/>
        </w:numPr>
        <w:rPr>
          <w:rFonts w:ascii="Times New Roman" w:cs="Times New Roman" w:eastAsia="Times New Roman" w:hAnsi="Times New Roman"/>
          <w:sz w:val="22"/>
          <w:szCs w:val="22"/>
          <w:color w:val="auto"/>
        </w:rPr>
      </w:pPr>
      <w:r>
        <w:rPr>
          <w:rFonts w:ascii="Calibri" w:cs="Calibri" w:eastAsia="Calibri" w:hAnsi="Calibri"/>
          <w:sz w:val="22"/>
          <w:szCs w:val="22"/>
          <w:color w:val="auto"/>
        </w:rPr>
        <w:t>we conduct proactve year-round engagement with stockholders, providing them the opportunity to raise important maters outside the annual meetng process;</w:t>
      </w:r>
    </w:p>
    <w:p>
      <w:pPr>
        <w:spacing w:after="0" w:line="151" w:lineRule="exact"/>
        <w:rPr>
          <w:rFonts w:ascii="Times New Roman" w:cs="Times New Roman" w:eastAsia="Times New Roman" w:hAnsi="Times New Roman"/>
          <w:sz w:val="22"/>
          <w:szCs w:val="22"/>
          <w:color w:val="auto"/>
        </w:rPr>
      </w:pPr>
    </w:p>
    <w:p>
      <w:pPr>
        <w:ind w:left="660" w:hanging="328"/>
        <w:spacing w:after="0"/>
        <w:tabs>
          <w:tab w:leader="none" w:pos="660" w:val="left"/>
        </w:tabs>
        <w:numPr>
          <w:ilvl w:val="0"/>
          <w:numId w:val="33"/>
        </w:numPr>
        <w:rPr>
          <w:rFonts w:ascii="Times New Roman" w:cs="Times New Roman" w:eastAsia="Times New Roman" w:hAnsi="Times New Roman"/>
          <w:sz w:val="22"/>
          <w:szCs w:val="22"/>
          <w:color w:val="auto"/>
        </w:rPr>
      </w:pPr>
      <w:r>
        <w:rPr>
          <w:rFonts w:ascii="Calibri" w:cs="Calibri" w:eastAsia="Calibri" w:hAnsi="Calibri"/>
          <w:sz w:val="22"/>
          <w:szCs w:val="22"/>
          <w:color w:val="auto"/>
        </w:rPr>
        <w:t>fve out of eight members of our Board are independent directors;</w:t>
      </w:r>
    </w:p>
    <w:p>
      <w:pPr>
        <w:spacing w:after="0" w:line="146" w:lineRule="exact"/>
        <w:rPr>
          <w:rFonts w:ascii="Times New Roman" w:cs="Times New Roman" w:eastAsia="Times New Roman" w:hAnsi="Times New Roman"/>
          <w:sz w:val="22"/>
          <w:szCs w:val="22"/>
          <w:color w:val="auto"/>
        </w:rPr>
      </w:pPr>
    </w:p>
    <w:p>
      <w:pPr>
        <w:ind w:left="660" w:hanging="328"/>
        <w:spacing w:after="0" w:line="235" w:lineRule="auto"/>
        <w:tabs>
          <w:tab w:leader="none" w:pos="655" w:val="left"/>
        </w:tabs>
        <w:numPr>
          <w:ilvl w:val="0"/>
          <w:numId w:val="33"/>
        </w:numPr>
        <w:rPr>
          <w:rFonts w:ascii="Times New Roman" w:cs="Times New Roman" w:eastAsia="Times New Roman" w:hAnsi="Times New Roman"/>
          <w:sz w:val="22"/>
          <w:szCs w:val="22"/>
          <w:color w:val="auto"/>
        </w:rPr>
      </w:pPr>
      <w:r>
        <w:rPr>
          <w:rFonts w:ascii="Calibri" w:cs="Calibri" w:eastAsia="Calibri" w:hAnsi="Calibri"/>
          <w:sz w:val="22"/>
          <w:szCs w:val="22"/>
          <w:color w:val="auto"/>
        </w:rPr>
        <w:t>the Board has an independent Chair with robust responsibilites and holds regular executve sessions of independent directors;</w:t>
      </w:r>
    </w:p>
    <w:p>
      <w:pPr>
        <w:spacing w:after="0" w:line="149" w:lineRule="exact"/>
        <w:rPr>
          <w:rFonts w:ascii="Times New Roman" w:cs="Times New Roman" w:eastAsia="Times New Roman" w:hAnsi="Times New Roman"/>
          <w:sz w:val="22"/>
          <w:szCs w:val="22"/>
          <w:color w:val="auto"/>
        </w:rPr>
      </w:pPr>
    </w:p>
    <w:p>
      <w:pPr>
        <w:ind w:left="660" w:hanging="328"/>
        <w:spacing w:after="0" w:line="229" w:lineRule="auto"/>
        <w:tabs>
          <w:tab w:leader="none" w:pos="655" w:val="left"/>
        </w:tabs>
        <w:numPr>
          <w:ilvl w:val="0"/>
          <w:numId w:val="33"/>
        </w:numPr>
        <w:rPr>
          <w:rFonts w:ascii="Times New Roman" w:cs="Times New Roman" w:eastAsia="Times New Roman" w:hAnsi="Times New Roman"/>
          <w:sz w:val="22"/>
          <w:szCs w:val="22"/>
          <w:color w:val="auto"/>
        </w:rPr>
      </w:pPr>
      <w:r>
        <w:rPr>
          <w:rFonts w:ascii="Calibri" w:cs="Calibri" w:eastAsia="Calibri" w:hAnsi="Calibri"/>
          <w:sz w:val="22"/>
          <w:szCs w:val="22"/>
          <w:color w:val="auto"/>
        </w:rPr>
        <w:t>the Board utlizes key commitees, including the Audit and Risk Commitee, Compensaton Commitee and Nominatng and Corporate Governance Commitee, each of which consist wholly of independent directors;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left="2760"/>
        <w:spacing w:after="0"/>
        <w:tabs>
          <w:tab w:leader="none" w:pos="7080" w:val="left"/>
          <w:tab w:leader="none" w:pos="8300" w:val="left"/>
        </w:tabs>
        <w:rPr>
          <w:sz w:val="20"/>
          <w:szCs w:val="20"/>
          <w:color w:val="auto"/>
        </w:rPr>
      </w:pPr>
      <w:r>
        <w:rPr>
          <w:rFonts w:ascii="Calibri" w:cs="Calibri" w:eastAsia="Calibri" w:hAnsi="Calibri"/>
          <w:sz w:val="16"/>
          <w:szCs w:val="16"/>
          <w:color w:val="auto"/>
        </w:rPr>
        <w:t>Alphareta, GA | New York, NY | Belfast, United Kingdom</w:t>
      </w:r>
      <w:r>
        <w:rPr>
          <w:sz w:val="20"/>
          <w:szCs w:val="20"/>
          <w:color w:val="auto"/>
        </w:rPr>
        <w:tab/>
      </w:r>
      <w:r>
        <w:rPr>
          <w:rFonts w:ascii="Calibri" w:cs="Calibri" w:eastAsia="Calibri" w:hAnsi="Calibri"/>
          <w:sz w:val="16"/>
          <w:szCs w:val="16"/>
          <w:color w:val="auto"/>
        </w:rPr>
        <w:t>www.bakkt.com</w:t>
      </w:r>
      <w:r>
        <w:rPr>
          <w:sz w:val="20"/>
          <w:szCs w:val="20"/>
          <w:color w:val="auto"/>
        </w:rPr>
        <w:tab/>
      </w:r>
      <w:r>
        <w:rPr>
          <w:rFonts w:ascii="Calibri" w:cs="Calibri" w:eastAsia="Calibri" w:hAnsi="Calibri"/>
          <w:sz w:val="17"/>
          <w:szCs w:val="17"/>
          <w:color w:val="auto"/>
        </w:rPr>
        <w:t>47</w:t>
      </w:r>
    </w:p>
    <w:p>
      <w:pPr>
        <w:sectPr>
          <w:pgSz w:w="11900" w:h="16838" w:orient="portrait"/>
          <w:cols w:equalWidth="0" w:num="1">
            <w:col w:w="11240"/>
          </w:cols>
          <w:pgMar w:left="320" w:top="1440" w:right="339" w:bottom="1440" w:gutter="0" w:footer="0" w:header="0"/>
        </w:sectPr>
      </w:pPr>
    </w:p>
    <w:bookmarkStart w:id="53" w:name="page54"/>
    <w:bookmarkEnd w:id="53"/>
    <w:p>
      <w:pPr>
        <w:spacing w:after="0" w:line="92" w:lineRule="exact"/>
        <w:rPr>
          <w:sz w:val="20"/>
          <w:szCs w:val="20"/>
          <w:color w:val="auto"/>
        </w:rPr>
      </w:pPr>
    </w:p>
    <w:p>
      <w:pPr>
        <w:ind w:left="660" w:hanging="328"/>
        <w:spacing w:after="0"/>
        <w:tabs>
          <w:tab w:leader="none" w:pos="660" w:val="left"/>
        </w:tabs>
        <w:numPr>
          <w:ilvl w:val="0"/>
          <w:numId w:val="34"/>
        </w:numPr>
        <w:rPr>
          <w:rFonts w:ascii="Times New Roman" w:cs="Times New Roman" w:eastAsia="Times New Roman" w:hAnsi="Times New Roman"/>
          <w:sz w:val="22"/>
          <w:szCs w:val="22"/>
          <w:color w:val="auto"/>
        </w:rPr>
      </w:pPr>
      <w:r>
        <w:rPr>
          <w:rFonts w:ascii="Calibri" w:cs="Calibri" w:eastAsia="Calibri" w:hAnsi="Calibri"/>
          <w:sz w:val="22"/>
          <w:szCs w:val="22"/>
          <w:color w:val="auto"/>
        </w:rPr>
        <w:t>the Company’s governing documents do not include a stockholder rights plan; and</w:t>
      </w:r>
    </w:p>
    <w:p>
      <w:pPr>
        <w:spacing w:after="0" w:line="122" w:lineRule="exact"/>
        <w:rPr>
          <w:rFonts w:ascii="Times New Roman" w:cs="Times New Roman" w:eastAsia="Times New Roman" w:hAnsi="Times New Roman"/>
          <w:sz w:val="22"/>
          <w:szCs w:val="22"/>
          <w:color w:val="auto"/>
        </w:rPr>
      </w:pPr>
    </w:p>
    <w:p>
      <w:pPr>
        <w:ind w:left="660" w:hanging="328"/>
        <w:spacing w:after="0"/>
        <w:tabs>
          <w:tab w:leader="none" w:pos="660" w:val="left"/>
        </w:tabs>
        <w:numPr>
          <w:ilvl w:val="0"/>
          <w:numId w:val="34"/>
        </w:numPr>
        <w:rPr>
          <w:rFonts w:ascii="Times New Roman" w:cs="Times New Roman" w:eastAsia="Times New Roman" w:hAnsi="Times New Roman"/>
          <w:sz w:val="22"/>
          <w:szCs w:val="22"/>
          <w:color w:val="auto"/>
        </w:rPr>
      </w:pPr>
      <w:r>
        <w:rPr>
          <w:rFonts w:ascii="Calibri" w:cs="Calibri" w:eastAsia="Calibri" w:hAnsi="Calibri"/>
          <w:sz w:val="22"/>
          <w:szCs w:val="22"/>
          <w:color w:val="auto"/>
        </w:rPr>
        <w:t>the Board has signifcant industry experience and in-depth knowledge about the Company.</w:t>
      </w:r>
    </w:p>
    <w:p>
      <w:pPr>
        <w:spacing w:after="0" w:line="133" w:lineRule="exact"/>
        <w:rPr>
          <w:rFonts w:ascii="Times New Roman" w:cs="Times New Roman" w:eastAsia="Times New Roman" w:hAnsi="Times New Roman"/>
          <w:sz w:val="22"/>
          <w:szCs w:val="22"/>
          <w:color w:val="auto"/>
        </w:rPr>
      </w:pPr>
    </w:p>
    <w:p>
      <w:pPr>
        <w:ind w:left="660" w:right="20" w:hanging="328"/>
        <w:spacing w:after="0" w:line="235" w:lineRule="auto"/>
        <w:tabs>
          <w:tab w:leader="none" w:pos="655" w:val="left"/>
        </w:tabs>
        <w:numPr>
          <w:ilvl w:val="0"/>
          <w:numId w:val="34"/>
        </w:numPr>
        <w:rPr>
          <w:rFonts w:ascii="Times New Roman" w:cs="Times New Roman" w:eastAsia="Times New Roman" w:hAnsi="Times New Roman"/>
          <w:sz w:val="22"/>
          <w:szCs w:val="22"/>
          <w:color w:val="auto"/>
        </w:rPr>
      </w:pPr>
      <w:r>
        <w:rPr>
          <w:rFonts w:ascii="Calibri" w:cs="Calibri" w:eastAsia="Calibri" w:hAnsi="Calibri"/>
          <w:sz w:val="22"/>
          <w:szCs w:val="22"/>
          <w:color w:val="auto"/>
        </w:rPr>
        <w:t>Consistent with its current practce, the Board will contnue to evaluate the future implementaton of appropriate corporate governance changes.</w:t>
      </w:r>
    </w:p>
    <w:p>
      <w:pPr>
        <w:spacing w:after="0" w:line="123" w:lineRule="exact"/>
        <w:rPr>
          <w:rFonts w:ascii="Times New Roman" w:cs="Times New Roman" w:eastAsia="Times New Roman" w:hAnsi="Times New Roman"/>
          <w:sz w:val="22"/>
          <w:szCs w:val="22"/>
          <w:color w:val="auto"/>
        </w:rPr>
      </w:pPr>
    </w:p>
    <w:p>
      <w:pPr>
        <w:ind w:left="660" w:hanging="328"/>
        <w:spacing w:after="0"/>
        <w:tabs>
          <w:tab w:leader="none" w:pos="660" w:val="left"/>
        </w:tabs>
        <w:numPr>
          <w:ilvl w:val="0"/>
          <w:numId w:val="34"/>
        </w:numPr>
        <w:rPr>
          <w:rFonts w:ascii="Times New Roman" w:cs="Times New Roman" w:eastAsia="Times New Roman" w:hAnsi="Times New Roman"/>
          <w:sz w:val="22"/>
          <w:szCs w:val="22"/>
          <w:color w:val="auto"/>
        </w:rPr>
      </w:pPr>
      <w:r>
        <w:rPr>
          <w:rFonts w:ascii="Calibri" w:cs="Calibri" w:eastAsia="Calibri" w:hAnsi="Calibri"/>
          <w:sz w:val="22"/>
          <w:szCs w:val="22"/>
          <w:color w:val="auto"/>
        </w:rPr>
        <w:t>To reiterate, the Board strongly urges an AGAINST vote on this stockholder proposal that risks:</w:t>
      </w:r>
    </w:p>
    <w:p>
      <w:pPr>
        <w:spacing w:after="0" w:line="135" w:lineRule="exact"/>
        <w:rPr>
          <w:rFonts w:ascii="Times New Roman" w:cs="Times New Roman" w:eastAsia="Times New Roman" w:hAnsi="Times New Roman"/>
          <w:sz w:val="22"/>
          <w:szCs w:val="22"/>
          <w:color w:val="auto"/>
        </w:rPr>
      </w:pPr>
    </w:p>
    <w:p>
      <w:pPr>
        <w:ind w:left="660" w:hanging="328"/>
        <w:spacing w:after="0" w:line="229" w:lineRule="auto"/>
        <w:tabs>
          <w:tab w:leader="none" w:pos="655" w:val="left"/>
        </w:tabs>
        <w:numPr>
          <w:ilvl w:val="0"/>
          <w:numId w:val="34"/>
        </w:numPr>
        <w:rPr>
          <w:rFonts w:ascii="Times New Roman" w:cs="Times New Roman" w:eastAsia="Times New Roman" w:hAnsi="Times New Roman"/>
          <w:sz w:val="22"/>
          <w:szCs w:val="22"/>
          <w:color w:val="auto"/>
        </w:rPr>
      </w:pPr>
      <w:r>
        <w:rPr>
          <w:rFonts w:ascii="Calibri" w:cs="Calibri" w:eastAsia="Calibri" w:hAnsi="Calibri"/>
          <w:sz w:val="22"/>
          <w:szCs w:val="22"/>
          <w:color w:val="auto"/>
        </w:rPr>
        <w:t>disruptng an appropriate balance between safeguarding the stability of the Company’s operatons and corporate governance, while allowing fundamental changes where there is wide stockholder consensus;</w:t>
      </w:r>
    </w:p>
    <w:p>
      <w:pPr>
        <w:spacing w:after="0" w:line="135" w:lineRule="exact"/>
        <w:rPr>
          <w:rFonts w:ascii="Times New Roman" w:cs="Times New Roman" w:eastAsia="Times New Roman" w:hAnsi="Times New Roman"/>
          <w:sz w:val="22"/>
          <w:szCs w:val="22"/>
          <w:color w:val="auto"/>
        </w:rPr>
      </w:pPr>
    </w:p>
    <w:p>
      <w:pPr>
        <w:jc w:val="both"/>
        <w:ind w:left="660" w:hanging="328"/>
        <w:spacing w:after="0" w:line="233" w:lineRule="auto"/>
        <w:tabs>
          <w:tab w:leader="none" w:pos="655" w:val="left"/>
        </w:tabs>
        <w:numPr>
          <w:ilvl w:val="0"/>
          <w:numId w:val="34"/>
        </w:numPr>
        <w:rPr>
          <w:rFonts w:ascii="Times New Roman" w:cs="Times New Roman" w:eastAsia="Times New Roman" w:hAnsi="Times New Roman"/>
          <w:sz w:val="22"/>
          <w:szCs w:val="22"/>
          <w:color w:val="auto"/>
        </w:rPr>
      </w:pPr>
      <w:r>
        <w:rPr>
          <w:rFonts w:ascii="Calibri" w:cs="Calibri" w:eastAsia="Calibri" w:hAnsi="Calibri"/>
          <w:sz w:val="22"/>
          <w:szCs w:val="22"/>
          <w:color w:val="auto"/>
        </w:rPr>
        <w:t>providing stockholders who hold a large amount of the Company’s outstanding shares, without wide stockholder consensus, to act in their own self-interests to the potental determinant of the Company and the Company’s other stockholders; and</w:t>
      </w:r>
    </w:p>
    <w:p>
      <w:pPr>
        <w:spacing w:after="0" w:line="135" w:lineRule="exact"/>
        <w:rPr>
          <w:rFonts w:ascii="Times New Roman" w:cs="Times New Roman" w:eastAsia="Times New Roman" w:hAnsi="Times New Roman"/>
          <w:sz w:val="22"/>
          <w:szCs w:val="22"/>
          <w:color w:val="auto"/>
        </w:rPr>
      </w:pPr>
    </w:p>
    <w:p>
      <w:pPr>
        <w:ind w:left="660" w:hanging="328"/>
        <w:spacing w:after="0" w:line="229" w:lineRule="auto"/>
        <w:tabs>
          <w:tab w:leader="none" w:pos="655" w:val="left"/>
        </w:tabs>
        <w:numPr>
          <w:ilvl w:val="0"/>
          <w:numId w:val="34"/>
        </w:numPr>
        <w:rPr>
          <w:rFonts w:ascii="Times New Roman" w:cs="Times New Roman" w:eastAsia="Times New Roman" w:hAnsi="Times New Roman"/>
          <w:sz w:val="22"/>
          <w:szCs w:val="22"/>
          <w:color w:val="auto"/>
        </w:rPr>
      </w:pPr>
      <w:r>
        <w:rPr>
          <w:rFonts w:ascii="Calibri" w:cs="Calibri" w:eastAsia="Calibri" w:hAnsi="Calibri"/>
          <w:sz w:val="22"/>
          <w:szCs w:val="22"/>
          <w:color w:val="auto"/>
        </w:rPr>
        <w:t>indiscriminately eliminatng super majority votng requirements, without regard for how such a votng requirement would apply to each provision it impacts or how such a change would impact the Company’s stockholders.</w:t>
      </w:r>
    </w:p>
    <w:p>
      <w:pPr>
        <w:spacing w:after="0" w:line="217" w:lineRule="exact"/>
        <w:rPr>
          <w:sz w:val="20"/>
          <w:szCs w:val="20"/>
          <w:color w:val="auto"/>
        </w:rPr>
      </w:pPr>
    </w:p>
    <w:p>
      <w:pPr>
        <w:spacing w:after="0" w:line="229" w:lineRule="auto"/>
        <w:rPr>
          <w:sz w:val="20"/>
          <w:szCs w:val="20"/>
          <w:color w:val="auto"/>
        </w:rPr>
      </w:pPr>
      <w:r>
        <w:rPr>
          <w:rFonts w:ascii="Calibri" w:cs="Calibri" w:eastAsia="Calibri" w:hAnsi="Calibri"/>
          <w:sz w:val="22"/>
          <w:szCs w:val="22"/>
          <w:color w:val="auto"/>
        </w:rPr>
        <w:t>For these reasons, the Board does not believe it is in the best interests of stockholders to implement the stockholder proposal’s request.</w:t>
      </w:r>
    </w:p>
    <w:p>
      <w:pPr>
        <w:spacing w:after="0" w:line="219" w:lineRule="exact"/>
        <w:rPr>
          <w:sz w:val="20"/>
          <w:szCs w:val="20"/>
          <w:color w:val="auto"/>
        </w:rPr>
      </w:pPr>
    </w:p>
    <w:p>
      <w:pPr>
        <w:spacing w:after="0"/>
        <w:rPr>
          <w:sz w:val="20"/>
          <w:szCs w:val="20"/>
          <w:color w:val="auto"/>
        </w:rPr>
      </w:pPr>
      <w:r>
        <w:rPr>
          <w:rFonts w:ascii="Calibri" w:cs="Calibri" w:eastAsia="Calibri" w:hAnsi="Calibri"/>
          <w:sz w:val="22"/>
          <w:szCs w:val="22"/>
          <w:b w:val="1"/>
          <w:bCs w:val="1"/>
          <w:color w:val="auto"/>
        </w:rPr>
        <w:t>OUR BOARD RECOMMENDS A VOTE “AGAINST” THE STOCKHOLDER PROPOSAL.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left="2760"/>
        <w:spacing w:after="0"/>
        <w:tabs>
          <w:tab w:leader="none" w:pos="7080" w:val="left"/>
          <w:tab w:leader="none" w:pos="8300" w:val="left"/>
        </w:tabs>
        <w:rPr>
          <w:sz w:val="20"/>
          <w:szCs w:val="20"/>
          <w:color w:val="auto"/>
        </w:rPr>
      </w:pPr>
      <w:r>
        <w:rPr>
          <w:rFonts w:ascii="Calibri" w:cs="Calibri" w:eastAsia="Calibri" w:hAnsi="Calibri"/>
          <w:sz w:val="16"/>
          <w:szCs w:val="16"/>
          <w:color w:val="auto"/>
        </w:rPr>
        <w:t>Alphareta, GA | New York, NY | Belfast, United Kingdom</w:t>
      </w:r>
      <w:r>
        <w:rPr>
          <w:sz w:val="20"/>
          <w:szCs w:val="20"/>
          <w:color w:val="auto"/>
        </w:rPr>
        <w:tab/>
      </w:r>
      <w:r>
        <w:rPr>
          <w:rFonts w:ascii="Calibri" w:cs="Calibri" w:eastAsia="Calibri" w:hAnsi="Calibri"/>
          <w:sz w:val="16"/>
          <w:szCs w:val="16"/>
          <w:color w:val="auto"/>
        </w:rPr>
        <w:t>www.bakkt.com</w:t>
      </w:r>
      <w:r>
        <w:rPr>
          <w:sz w:val="20"/>
          <w:szCs w:val="20"/>
          <w:color w:val="auto"/>
        </w:rPr>
        <w:tab/>
      </w:r>
      <w:r>
        <w:rPr>
          <w:rFonts w:ascii="Calibri" w:cs="Calibri" w:eastAsia="Calibri" w:hAnsi="Calibri"/>
          <w:sz w:val="17"/>
          <w:szCs w:val="17"/>
          <w:color w:val="auto"/>
        </w:rPr>
        <w:t>48</w:t>
      </w:r>
    </w:p>
    <w:p>
      <w:pPr>
        <w:sectPr>
          <w:pgSz w:w="11900" w:h="16838" w:orient="portrait"/>
          <w:cols w:equalWidth="0" w:num="1">
            <w:col w:w="11240"/>
          </w:cols>
          <w:pgMar w:left="320" w:top="1440" w:right="339" w:bottom="1440" w:gutter="0" w:footer="0" w:header="0"/>
        </w:sectPr>
      </w:pPr>
    </w:p>
    <w:bookmarkStart w:id="54" w:name="page55"/>
    <w:bookmarkEnd w:id="54"/>
    <w:p>
      <w:pPr>
        <w:spacing w:after="0" w:line="160" w:lineRule="exact"/>
        <w:rPr>
          <w:sz w:val="20"/>
          <w:szCs w:val="20"/>
          <w:color w:val="auto"/>
        </w:rPr>
      </w:pPr>
    </w:p>
    <w:p>
      <w:pPr>
        <w:spacing w:after="0"/>
        <w:rPr>
          <w:sz w:val="20"/>
          <w:szCs w:val="20"/>
          <w:color w:val="auto"/>
        </w:rPr>
      </w:pPr>
      <w:r>
        <w:rPr>
          <w:rFonts w:ascii="Calibri" w:cs="Calibri" w:eastAsia="Calibri" w:hAnsi="Calibri"/>
          <w:sz w:val="43"/>
          <w:szCs w:val="43"/>
          <w:color w:val="auto"/>
        </w:rPr>
        <w:t>Executve Ofcers</w:t>
      </w:r>
    </w:p>
    <w:p>
      <w:pPr>
        <w:spacing w:after="0" w:line="217" w:lineRule="exact"/>
        <w:rPr>
          <w:sz w:val="20"/>
          <w:szCs w:val="20"/>
          <w:color w:val="auto"/>
        </w:rPr>
      </w:pPr>
    </w:p>
    <w:p>
      <w:pPr>
        <w:spacing w:after="0"/>
        <w:rPr>
          <w:sz w:val="20"/>
          <w:szCs w:val="20"/>
          <w:color w:val="auto"/>
        </w:rPr>
      </w:pPr>
      <w:r>
        <w:rPr>
          <w:rFonts w:ascii="Calibri" w:cs="Calibri" w:eastAsia="Calibri" w:hAnsi="Calibri"/>
          <w:sz w:val="22"/>
          <w:szCs w:val="22"/>
          <w:color w:val="auto"/>
        </w:rPr>
        <w:t>The following table sets forth certain informaton about our executve ofcers as of March 31, 2024.</w:t>
      </w:r>
    </w:p>
    <w:p>
      <w:pPr>
        <w:spacing w:after="0" w:line="291" w:lineRule="exact"/>
        <w:rPr>
          <w:sz w:val="20"/>
          <w:szCs w:val="20"/>
          <w:color w:val="auto"/>
        </w:rPr>
      </w:pPr>
    </w:p>
    <w:tbl>
      <w:tblPr>
        <w:tblLayout w:type="fixed"/>
        <w:tblInd w:w="10" w:type="dxa"/>
        <w:tblCellMar>
          <w:top w:w="0" w:type="dxa"/>
          <w:left w:w="0" w:type="dxa"/>
          <w:bottom w:w="0" w:type="dxa"/>
          <w:right w:w="0" w:type="dxa"/>
        </w:tblCellMar>
      </w:tblPr>
      <w:tr>
        <w:trPr>
          <w:trHeight w:val="234"/>
        </w:trPr>
        <w:tc>
          <w:tcPr>
            <w:tcW w:w="3340" w:type="dxa"/>
            <w:vAlign w:val="bottom"/>
            <w:tcBorders>
              <w:top w:val="single" w:sz="8" w:color="auto"/>
              <w:left w:val="single" w:sz="8" w:color="auto"/>
              <w:bottom w:val="single" w:sz="8" w:color="151618"/>
            </w:tcBorders>
            <w:shd w:val="clear" w:color="auto" w:fill="151618"/>
          </w:tcPr>
          <w:p>
            <w:pPr>
              <w:ind w:left="80"/>
              <w:spacing w:after="0"/>
              <w:rPr>
                <w:sz w:val="20"/>
                <w:szCs w:val="20"/>
                <w:color w:val="auto"/>
              </w:rPr>
            </w:pPr>
            <w:r>
              <w:rPr>
                <w:rFonts w:ascii="Calibri" w:cs="Calibri" w:eastAsia="Calibri" w:hAnsi="Calibri"/>
                <w:sz w:val="16"/>
                <w:szCs w:val="16"/>
                <w:b w:val="1"/>
                <w:bCs w:val="1"/>
                <w:color w:val="FFFFFF"/>
              </w:rPr>
              <w:t>Name</w:t>
            </w:r>
          </w:p>
        </w:tc>
        <w:tc>
          <w:tcPr>
            <w:tcW w:w="3300" w:type="dxa"/>
            <w:vAlign w:val="bottom"/>
            <w:tcBorders>
              <w:top w:val="single" w:sz="8" w:color="auto"/>
              <w:bottom w:val="single" w:sz="8" w:color="151618"/>
            </w:tcBorders>
            <w:shd w:val="clear" w:color="auto" w:fill="151618"/>
          </w:tcPr>
          <w:p>
            <w:pPr>
              <w:jc w:val="center"/>
              <w:ind w:left="1159"/>
              <w:spacing w:after="0"/>
              <w:rPr>
                <w:sz w:val="20"/>
                <w:szCs w:val="20"/>
                <w:color w:val="auto"/>
              </w:rPr>
            </w:pPr>
            <w:r>
              <w:rPr>
                <w:rFonts w:ascii="Calibri" w:cs="Calibri" w:eastAsia="Calibri" w:hAnsi="Calibri"/>
                <w:sz w:val="16"/>
                <w:szCs w:val="16"/>
                <w:b w:val="1"/>
                <w:bCs w:val="1"/>
                <w:color w:val="FFFFFF"/>
              </w:rPr>
              <w:t>Age</w:t>
            </w:r>
          </w:p>
        </w:tc>
        <w:tc>
          <w:tcPr>
            <w:tcW w:w="4620" w:type="dxa"/>
            <w:vAlign w:val="bottom"/>
            <w:tcBorders>
              <w:top w:val="single" w:sz="8" w:color="auto"/>
              <w:bottom w:val="single" w:sz="8" w:color="151618"/>
              <w:right w:val="single" w:sz="8" w:color="auto"/>
            </w:tcBorders>
            <w:shd w:val="clear" w:color="auto" w:fill="151618"/>
          </w:tcPr>
          <w:p>
            <w:pPr>
              <w:ind w:left="920"/>
              <w:spacing w:after="0"/>
              <w:rPr>
                <w:sz w:val="20"/>
                <w:szCs w:val="20"/>
                <w:color w:val="auto"/>
              </w:rPr>
            </w:pPr>
            <w:r>
              <w:rPr>
                <w:rFonts w:ascii="Calibri" w:cs="Calibri" w:eastAsia="Calibri" w:hAnsi="Calibri"/>
                <w:sz w:val="16"/>
                <w:szCs w:val="16"/>
                <w:b w:val="1"/>
                <w:bCs w:val="1"/>
                <w:color w:val="FFFFFF"/>
              </w:rPr>
              <w:t>Positon</w:t>
            </w:r>
          </w:p>
        </w:tc>
      </w:tr>
      <w:tr>
        <w:trPr>
          <w:trHeight w:val="196"/>
        </w:trPr>
        <w:tc>
          <w:tcPr>
            <w:tcW w:w="3340" w:type="dxa"/>
            <w:vAlign w:val="bottom"/>
            <w:tcBorders>
              <w:top w:val="single" w:sz="8" w:color="auto"/>
              <w:left w:val="single" w:sz="8" w:color="auto"/>
            </w:tcBorders>
          </w:tcPr>
          <w:p>
            <w:pPr>
              <w:ind w:left="80"/>
              <w:spacing w:after="0"/>
              <w:rPr>
                <w:sz w:val="20"/>
                <w:szCs w:val="20"/>
                <w:color w:val="auto"/>
              </w:rPr>
            </w:pPr>
            <w:r>
              <w:rPr>
                <w:rFonts w:ascii="Calibri" w:cs="Calibri" w:eastAsia="Calibri" w:hAnsi="Calibri"/>
                <w:sz w:val="16"/>
                <w:szCs w:val="16"/>
                <w:color w:val="auto"/>
              </w:rPr>
              <w:t>Andrew Main</w:t>
            </w:r>
          </w:p>
        </w:tc>
        <w:tc>
          <w:tcPr>
            <w:tcW w:w="3300" w:type="dxa"/>
            <w:vAlign w:val="bottom"/>
            <w:tcBorders>
              <w:top w:val="single" w:sz="8" w:color="auto"/>
            </w:tcBorders>
          </w:tcPr>
          <w:p>
            <w:pPr>
              <w:jc w:val="center"/>
              <w:ind w:left="1179"/>
              <w:spacing w:after="0" w:line="193" w:lineRule="exact"/>
              <w:rPr>
                <w:sz w:val="20"/>
                <w:szCs w:val="20"/>
                <w:color w:val="auto"/>
              </w:rPr>
            </w:pPr>
            <w:r>
              <w:rPr>
                <w:rFonts w:ascii="Calibri" w:cs="Calibri" w:eastAsia="Calibri" w:hAnsi="Calibri"/>
                <w:sz w:val="16"/>
                <w:szCs w:val="16"/>
                <w:color w:val="auto"/>
                <w:w w:val="98"/>
              </w:rPr>
              <w:t>59</w:t>
            </w:r>
          </w:p>
        </w:tc>
        <w:tc>
          <w:tcPr>
            <w:tcW w:w="4620" w:type="dxa"/>
            <w:vAlign w:val="bottom"/>
            <w:tcBorders>
              <w:top w:val="single" w:sz="8" w:color="auto"/>
              <w:right w:val="single" w:sz="8" w:color="auto"/>
            </w:tcBorders>
          </w:tcPr>
          <w:p>
            <w:pPr>
              <w:ind w:left="920"/>
              <w:spacing w:after="0" w:line="193" w:lineRule="exact"/>
              <w:rPr>
                <w:sz w:val="20"/>
                <w:szCs w:val="20"/>
                <w:color w:val="auto"/>
              </w:rPr>
            </w:pPr>
            <w:r>
              <w:rPr>
                <w:rFonts w:ascii="Calibri" w:cs="Calibri" w:eastAsia="Calibri" w:hAnsi="Calibri"/>
                <w:sz w:val="16"/>
                <w:szCs w:val="16"/>
                <w:color w:val="auto"/>
              </w:rPr>
              <w:t>Chief Executve Ofcer, President</w:t>
            </w:r>
          </w:p>
        </w:tc>
      </w:tr>
      <w:tr>
        <w:trPr>
          <w:trHeight w:val="41"/>
        </w:trPr>
        <w:tc>
          <w:tcPr>
            <w:tcW w:w="3340" w:type="dxa"/>
            <w:vAlign w:val="bottom"/>
            <w:tcBorders>
              <w:left w:val="single" w:sz="8" w:color="auto"/>
              <w:bottom w:val="single" w:sz="8" w:color="auto"/>
            </w:tcBorders>
          </w:tcPr>
          <w:p>
            <w:pPr>
              <w:spacing w:after="0"/>
              <w:rPr>
                <w:sz w:val="3"/>
                <w:szCs w:val="3"/>
                <w:color w:val="auto"/>
              </w:rPr>
            </w:pPr>
          </w:p>
        </w:tc>
        <w:tc>
          <w:tcPr>
            <w:tcW w:w="3300" w:type="dxa"/>
            <w:vAlign w:val="bottom"/>
            <w:tcBorders>
              <w:bottom w:val="single" w:sz="8" w:color="auto"/>
            </w:tcBorders>
          </w:tcPr>
          <w:p>
            <w:pPr>
              <w:spacing w:after="0"/>
              <w:rPr>
                <w:sz w:val="3"/>
                <w:szCs w:val="3"/>
                <w:color w:val="auto"/>
              </w:rPr>
            </w:pPr>
          </w:p>
        </w:tc>
        <w:tc>
          <w:tcPr>
            <w:tcW w:w="4620" w:type="dxa"/>
            <w:vAlign w:val="bottom"/>
            <w:tcBorders>
              <w:bottom w:val="single" w:sz="8" w:color="auto"/>
              <w:right w:val="single" w:sz="8" w:color="auto"/>
            </w:tcBorders>
          </w:tcPr>
          <w:p>
            <w:pPr>
              <w:spacing w:after="0"/>
              <w:rPr>
                <w:sz w:val="3"/>
                <w:szCs w:val="3"/>
                <w:color w:val="auto"/>
              </w:rPr>
            </w:pPr>
          </w:p>
        </w:tc>
      </w:tr>
      <w:tr>
        <w:trPr>
          <w:trHeight w:val="195"/>
        </w:trPr>
        <w:tc>
          <w:tcPr>
            <w:tcW w:w="3340" w:type="dxa"/>
            <w:vAlign w:val="bottom"/>
            <w:tcBorders>
              <w:left w:val="single" w:sz="8" w:color="auto"/>
            </w:tcBorders>
          </w:tcPr>
          <w:p>
            <w:pPr>
              <w:ind w:left="80"/>
              <w:spacing w:after="0"/>
              <w:rPr>
                <w:sz w:val="20"/>
                <w:szCs w:val="20"/>
                <w:color w:val="auto"/>
              </w:rPr>
            </w:pPr>
            <w:r>
              <w:rPr>
                <w:rFonts w:ascii="Calibri" w:cs="Calibri" w:eastAsia="Calibri" w:hAnsi="Calibri"/>
                <w:sz w:val="16"/>
                <w:szCs w:val="16"/>
                <w:color w:val="auto"/>
              </w:rPr>
              <w:t>Karen Alexander</w:t>
            </w:r>
          </w:p>
        </w:tc>
        <w:tc>
          <w:tcPr>
            <w:tcW w:w="3300" w:type="dxa"/>
            <w:vAlign w:val="bottom"/>
          </w:tcPr>
          <w:p>
            <w:pPr>
              <w:jc w:val="center"/>
              <w:ind w:left="1179"/>
              <w:spacing w:after="0" w:line="193" w:lineRule="exact"/>
              <w:rPr>
                <w:sz w:val="20"/>
                <w:szCs w:val="20"/>
                <w:color w:val="auto"/>
              </w:rPr>
            </w:pPr>
            <w:r>
              <w:rPr>
                <w:rFonts w:ascii="Calibri" w:cs="Calibri" w:eastAsia="Calibri" w:hAnsi="Calibri"/>
                <w:sz w:val="16"/>
                <w:szCs w:val="16"/>
                <w:color w:val="auto"/>
                <w:w w:val="98"/>
              </w:rPr>
              <w:t>53</w:t>
            </w:r>
          </w:p>
        </w:tc>
        <w:tc>
          <w:tcPr>
            <w:tcW w:w="4620" w:type="dxa"/>
            <w:vAlign w:val="bottom"/>
            <w:tcBorders>
              <w:right w:val="single" w:sz="8" w:color="auto"/>
            </w:tcBorders>
          </w:tcPr>
          <w:p>
            <w:pPr>
              <w:ind w:left="920"/>
              <w:spacing w:after="0" w:line="193" w:lineRule="exact"/>
              <w:rPr>
                <w:sz w:val="20"/>
                <w:szCs w:val="20"/>
                <w:color w:val="auto"/>
              </w:rPr>
            </w:pPr>
            <w:r>
              <w:rPr>
                <w:rFonts w:ascii="Calibri" w:cs="Calibri" w:eastAsia="Calibri" w:hAnsi="Calibri"/>
                <w:sz w:val="16"/>
                <w:szCs w:val="16"/>
                <w:color w:val="auto"/>
              </w:rPr>
              <w:t>Chief Financial Ofcer</w:t>
            </w:r>
          </w:p>
        </w:tc>
      </w:tr>
      <w:tr>
        <w:trPr>
          <w:trHeight w:val="41"/>
        </w:trPr>
        <w:tc>
          <w:tcPr>
            <w:tcW w:w="3340" w:type="dxa"/>
            <w:vAlign w:val="bottom"/>
            <w:tcBorders>
              <w:left w:val="single" w:sz="8" w:color="auto"/>
              <w:bottom w:val="single" w:sz="8" w:color="auto"/>
            </w:tcBorders>
          </w:tcPr>
          <w:p>
            <w:pPr>
              <w:spacing w:after="0"/>
              <w:rPr>
                <w:sz w:val="3"/>
                <w:szCs w:val="3"/>
                <w:color w:val="auto"/>
              </w:rPr>
            </w:pPr>
          </w:p>
        </w:tc>
        <w:tc>
          <w:tcPr>
            <w:tcW w:w="3300" w:type="dxa"/>
            <w:vAlign w:val="bottom"/>
            <w:tcBorders>
              <w:bottom w:val="single" w:sz="8" w:color="auto"/>
            </w:tcBorders>
          </w:tcPr>
          <w:p>
            <w:pPr>
              <w:spacing w:after="0"/>
              <w:rPr>
                <w:sz w:val="3"/>
                <w:szCs w:val="3"/>
                <w:color w:val="auto"/>
              </w:rPr>
            </w:pPr>
          </w:p>
        </w:tc>
        <w:tc>
          <w:tcPr>
            <w:tcW w:w="4620" w:type="dxa"/>
            <w:vAlign w:val="bottom"/>
            <w:tcBorders>
              <w:bottom w:val="single" w:sz="8" w:color="auto"/>
              <w:right w:val="single" w:sz="8" w:color="auto"/>
            </w:tcBorders>
          </w:tcPr>
          <w:p>
            <w:pPr>
              <w:spacing w:after="0"/>
              <w:rPr>
                <w:sz w:val="3"/>
                <w:szCs w:val="3"/>
                <w:color w:val="auto"/>
              </w:rPr>
            </w:pPr>
          </w:p>
        </w:tc>
      </w:tr>
      <w:tr>
        <w:trPr>
          <w:trHeight w:val="195"/>
        </w:trPr>
        <w:tc>
          <w:tcPr>
            <w:tcW w:w="3340" w:type="dxa"/>
            <w:vAlign w:val="bottom"/>
            <w:tcBorders>
              <w:left w:val="single" w:sz="8" w:color="auto"/>
            </w:tcBorders>
          </w:tcPr>
          <w:p>
            <w:pPr>
              <w:ind w:left="80"/>
              <w:spacing w:after="0"/>
              <w:rPr>
                <w:sz w:val="20"/>
                <w:szCs w:val="20"/>
                <w:color w:val="auto"/>
              </w:rPr>
            </w:pPr>
            <w:r>
              <w:rPr>
                <w:rFonts w:ascii="Calibri" w:cs="Calibri" w:eastAsia="Calibri" w:hAnsi="Calibri"/>
                <w:sz w:val="16"/>
                <w:szCs w:val="16"/>
                <w:color w:val="auto"/>
              </w:rPr>
              <w:t>Marc D’Annunzio</w:t>
            </w:r>
          </w:p>
        </w:tc>
        <w:tc>
          <w:tcPr>
            <w:tcW w:w="3300" w:type="dxa"/>
            <w:vAlign w:val="bottom"/>
          </w:tcPr>
          <w:p>
            <w:pPr>
              <w:jc w:val="center"/>
              <w:ind w:left="1179"/>
              <w:spacing w:after="0" w:line="193" w:lineRule="exact"/>
              <w:rPr>
                <w:sz w:val="20"/>
                <w:szCs w:val="20"/>
                <w:color w:val="auto"/>
              </w:rPr>
            </w:pPr>
            <w:r>
              <w:rPr>
                <w:rFonts w:ascii="Calibri" w:cs="Calibri" w:eastAsia="Calibri" w:hAnsi="Calibri"/>
                <w:sz w:val="16"/>
                <w:szCs w:val="16"/>
                <w:color w:val="auto"/>
                <w:w w:val="98"/>
              </w:rPr>
              <w:t>52</w:t>
            </w:r>
          </w:p>
        </w:tc>
        <w:tc>
          <w:tcPr>
            <w:tcW w:w="4620" w:type="dxa"/>
            <w:vAlign w:val="bottom"/>
            <w:tcBorders>
              <w:right w:val="single" w:sz="8" w:color="auto"/>
            </w:tcBorders>
          </w:tcPr>
          <w:p>
            <w:pPr>
              <w:ind w:left="920"/>
              <w:spacing w:after="0" w:line="193" w:lineRule="exact"/>
              <w:rPr>
                <w:sz w:val="20"/>
                <w:szCs w:val="20"/>
                <w:color w:val="auto"/>
              </w:rPr>
            </w:pPr>
            <w:r>
              <w:rPr>
                <w:rFonts w:ascii="Calibri" w:cs="Calibri" w:eastAsia="Calibri" w:hAnsi="Calibri"/>
                <w:sz w:val="16"/>
                <w:szCs w:val="16"/>
                <w:color w:val="auto"/>
              </w:rPr>
              <w:t>General Counsel and Secretary</w:t>
            </w:r>
          </w:p>
        </w:tc>
      </w:tr>
      <w:tr>
        <w:trPr>
          <w:trHeight w:val="41"/>
        </w:trPr>
        <w:tc>
          <w:tcPr>
            <w:tcW w:w="3340" w:type="dxa"/>
            <w:vAlign w:val="bottom"/>
            <w:tcBorders>
              <w:left w:val="single" w:sz="8" w:color="auto"/>
              <w:bottom w:val="single" w:sz="8" w:color="auto"/>
            </w:tcBorders>
          </w:tcPr>
          <w:p>
            <w:pPr>
              <w:spacing w:after="0"/>
              <w:rPr>
                <w:sz w:val="3"/>
                <w:szCs w:val="3"/>
                <w:color w:val="auto"/>
              </w:rPr>
            </w:pPr>
          </w:p>
        </w:tc>
        <w:tc>
          <w:tcPr>
            <w:tcW w:w="3300" w:type="dxa"/>
            <w:vAlign w:val="bottom"/>
            <w:tcBorders>
              <w:bottom w:val="single" w:sz="8" w:color="auto"/>
            </w:tcBorders>
          </w:tcPr>
          <w:p>
            <w:pPr>
              <w:spacing w:after="0"/>
              <w:rPr>
                <w:sz w:val="3"/>
                <w:szCs w:val="3"/>
                <w:color w:val="auto"/>
              </w:rPr>
            </w:pPr>
          </w:p>
        </w:tc>
        <w:tc>
          <w:tcPr>
            <w:tcW w:w="4620" w:type="dxa"/>
            <w:vAlign w:val="bottom"/>
            <w:tcBorders>
              <w:bottom w:val="single" w:sz="8" w:color="auto"/>
              <w:right w:val="single" w:sz="8" w:color="auto"/>
            </w:tcBorders>
          </w:tcPr>
          <w:p>
            <w:pPr>
              <w:spacing w:after="0"/>
              <w:rPr>
                <w:sz w:val="3"/>
                <w:szCs w:val="3"/>
                <w:color w:val="auto"/>
              </w:rPr>
            </w:pPr>
          </w:p>
        </w:tc>
      </w:tr>
    </w:tbl>
    <w:p>
      <w:pPr>
        <w:spacing w:after="0" w:line="200" w:lineRule="exact"/>
        <w:rPr>
          <w:sz w:val="20"/>
          <w:szCs w:val="20"/>
          <w:color w:val="auto"/>
        </w:rPr>
      </w:pPr>
    </w:p>
    <w:p>
      <w:pPr>
        <w:spacing w:after="0" w:line="312" w:lineRule="exact"/>
        <w:rPr>
          <w:sz w:val="20"/>
          <w:szCs w:val="20"/>
          <w:color w:val="auto"/>
        </w:rPr>
      </w:pPr>
    </w:p>
    <w:p>
      <w:pPr>
        <w:jc w:val="both"/>
        <w:ind w:right="20"/>
        <w:spacing w:after="0" w:line="229" w:lineRule="auto"/>
        <w:rPr>
          <w:sz w:val="20"/>
          <w:szCs w:val="20"/>
          <w:color w:val="auto"/>
        </w:rPr>
      </w:pPr>
      <w:r>
        <w:rPr>
          <w:rFonts w:ascii="Calibri" w:cs="Calibri" w:eastAsia="Calibri" w:hAnsi="Calibri"/>
          <w:sz w:val="22"/>
          <w:szCs w:val="22"/>
          <w:color w:val="auto"/>
        </w:rPr>
        <w:t xml:space="preserve">Biographical informaton for </w:t>
      </w:r>
      <w:r>
        <w:rPr>
          <w:rFonts w:ascii="Calibri" w:cs="Calibri" w:eastAsia="Calibri" w:hAnsi="Calibri"/>
          <w:sz w:val="22"/>
          <w:szCs w:val="22"/>
          <w:b w:val="1"/>
          <w:bCs w:val="1"/>
          <w:color w:val="auto"/>
        </w:rPr>
        <w:t>Andrew Main</w:t>
      </w:r>
      <w:r>
        <w:rPr>
          <w:rFonts w:ascii="Calibri" w:cs="Calibri" w:eastAsia="Calibri" w:hAnsi="Calibri"/>
          <w:sz w:val="22"/>
          <w:szCs w:val="22"/>
          <w:color w:val="auto"/>
        </w:rPr>
        <w:t xml:space="preserve"> is set forth under “</w:t>
      </w:r>
      <w:r>
        <w:rPr>
          <w:rFonts w:ascii="Calibri" w:cs="Calibri" w:eastAsia="Calibri" w:hAnsi="Calibri"/>
          <w:sz w:val="22"/>
          <w:szCs w:val="22"/>
          <w:i w:val="1"/>
          <w:iCs w:val="1"/>
          <w:color w:val="auto"/>
        </w:rPr>
        <w:t>Informaton on Board of Directors and Corporate Governance</w:t>
      </w:r>
      <w:r>
        <w:rPr>
          <w:rFonts w:ascii="Calibri" w:cs="Calibri" w:eastAsia="Calibri" w:hAnsi="Calibri"/>
          <w:sz w:val="22"/>
          <w:szCs w:val="22"/>
          <w:color w:val="auto"/>
        </w:rPr>
        <w:t>” above.</w:t>
      </w:r>
    </w:p>
    <w:p>
      <w:pPr>
        <w:spacing w:after="0" w:line="230" w:lineRule="exact"/>
        <w:rPr>
          <w:sz w:val="20"/>
          <w:szCs w:val="20"/>
          <w:color w:val="auto"/>
        </w:rPr>
      </w:pPr>
    </w:p>
    <w:p>
      <w:pPr>
        <w:jc w:val="both"/>
        <w:ind w:right="20"/>
        <w:spacing w:after="0" w:line="230" w:lineRule="auto"/>
        <w:rPr>
          <w:sz w:val="20"/>
          <w:szCs w:val="20"/>
          <w:color w:val="auto"/>
        </w:rPr>
      </w:pPr>
      <w:r>
        <w:rPr>
          <w:rFonts w:ascii="Calibri" w:cs="Calibri" w:eastAsia="Calibri" w:hAnsi="Calibri"/>
          <w:sz w:val="22"/>
          <w:szCs w:val="22"/>
          <w:b w:val="1"/>
          <w:bCs w:val="1"/>
          <w:color w:val="auto"/>
        </w:rPr>
        <w:t xml:space="preserve">Karen Alexander </w:t>
      </w:r>
      <w:r>
        <w:rPr>
          <w:rFonts w:ascii="Calibri" w:cs="Calibri" w:eastAsia="Calibri" w:hAnsi="Calibri"/>
          <w:sz w:val="22"/>
          <w:szCs w:val="22"/>
          <w:color w:val="auto"/>
        </w:rPr>
        <w:t>has served as our Chief Financial Ofcer since August 2022. Prior to this role, Ms. Alexander served as Actng</w:t>
      </w:r>
      <w:r>
        <w:rPr>
          <w:rFonts w:ascii="Calibri" w:cs="Calibri" w:eastAsia="Calibri" w:hAnsi="Calibri"/>
          <w:sz w:val="22"/>
          <w:szCs w:val="22"/>
          <w:b w:val="1"/>
          <w:bCs w:val="1"/>
          <w:color w:val="auto"/>
        </w:rPr>
        <w:t xml:space="preserve"> </w:t>
      </w:r>
      <w:r>
        <w:rPr>
          <w:rFonts w:ascii="Calibri" w:cs="Calibri" w:eastAsia="Calibri" w:hAnsi="Calibri"/>
          <w:sz w:val="22"/>
          <w:szCs w:val="22"/>
          <w:color w:val="auto"/>
        </w:rPr>
        <w:t>Chief Financial Ofcer of the Company from May 2022 to August 2022, and the Chief Accountng Ofcer of the Company from the Closing to August 2022, afer serving in the same positon with Opco since June 2021. Prior to joining the Company, Ms. Alexander worked at GE Capital from October 2004 to April 2021 in fnance and accountng roles of increasing responsibility, most recently serving as Global Technical Controller from January 2017 to April 2021. Ms. Alexander began her career as an external auditor with Arthur Andersen LLP and Ernst &amp; Young LLP. She holds a bachelor’s degree in accountng from Miami University (Ohio).</w:t>
      </w:r>
    </w:p>
    <w:p>
      <w:pPr>
        <w:spacing w:after="0" w:line="223" w:lineRule="exact"/>
        <w:rPr>
          <w:sz w:val="20"/>
          <w:szCs w:val="20"/>
          <w:color w:val="auto"/>
        </w:rPr>
      </w:pPr>
    </w:p>
    <w:p>
      <w:pPr>
        <w:jc w:val="both"/>
        <w:ind w:right="20"/>
        <w:spacing w:after="0" w:line="231" w:lineRule="auto"/>
        <w:rPr>
          <w:sz w:val="20"/>
          <w:szCs w:val="20"/>
          <w:color w:val="auto"/>
        </w:rPr>
      </w:pPr>
      <w:r>
        <w:rPr>
          <w:rFonts w:ascii="Calibri" w:cs="Calibri" w:eastAsia="Calibri" w:hAnsi="Calibri"/>
          <w:sz w:val="22"/>
          <w:szCs w:val="22"/>
          <w:b w:val="1"/>
          <w:bCs w:val="1"/>
          <w:color w:val="auto"/>
        </w:rPr>
        <w:t xml:space="preserve">Marc D’Annunzio </w:t>
      </w:r>
      <w:r>
        <w:rPr>
          <w:rFonts w:ascii="Calibri" w:cs="Calibri" w:eastAsia="Calibri" w:hAnsi="Calibri"/>
          <w:sz w:val="22"/>
          <w:szCs w:val="22"/>
          <w:color w:val="auto"/>
        </w:rPr>
        <w:t>has served as our General Counsel and Secretary since the Closing. Prior to this role, Mr. D’Annunzio served as</w:t>
      </w:r>
      <w:r>
        <w:rPr>
          <w:rFonts w:ascii="Calibri" w:cs="Calibri" w:eastAsia="Calibri" w:hAnsi="Calibri"/>
          <w:sz w:val="22"/>
          <w:szCs w:val="22"/>
          <w:b w:val="1"/>
          <w:bCs w:val="1"/>
          <w:color w:val="auto"/>
        </w:rPr>
        <w:t xml:space="preserve"> </w:t>
      </w:r>
      <w:r>
        <w:rPr>
          <w:rFonts w:ascii="Calibri" w:cs="Calibri" w:eastAsia="Calibri" w:hAnsi="Calibri"/>
          <w:sz w:val="22"/>
          <w:szCs w:val="22"/>
          <w:color w:val="auto"/>
        </w:rPr>
        <w:t>General Counsel and Secretary for Opco since May 2019. Mr. D’Annunzio is responsible for our legal, regulatory, compliance and governance maters. Mr. D’Annunzio joined Opco in May 2019 from Alston &amp; Bird LLP, an internatonal law frm, where he practced in its Payments group. Mr. D’Annunzio has more than 25 years of experience in the payments and loyalty industries, focusing on M&amp;A transactons, strategic alliances, complex commercial relatonships (including co-branded and private label card programs, and processing relatonships for leading retailers), new product launches, and compliance. He holds a Juris Doctor and a Bachelor of Arts in Economics and History, each from the University of Michigan.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2760"/>
        <w:spacing w:after="0"/>
        <w:tabs>
          <w:tab w:leader="none" w:pos="7080" w:val="left"/>
          <w:tab w:leader="none" w:pos="8300" w:val="left"/>
        </w:tabs>
        <w:rPr>
          <w:sz w:val="20"/>
          <w:szCs w:val="20"/>
          <w:color w:val="auto"/>
        </w:rPr>
      </w:pPr>
      <w:r>
        <w:rPr>
          <w:rFonts w:ascii="Calibri" w:cs="Calibri" w:eastAsia="Calibri" w:hAnsi="Calibri"/>
          <w:sz w:val="16"/>
          <w:szCs w:val="16"/>
          <w:color w:val="auto"/>
        </w:rPr>
        <w:t>Alphareta, GA | New York, NY | Belfast, United Kingdom</w:t>
      </w:r>
      <w:r>
        <w:rPr>
          <w:sz w:val="20"/>
          <w:szCs w:val="20"/>
          <w:color w:val="auto"/>
        </w:rPr>
        <w:tab/>
      </w:r>
      <w:r>
        <w:rPr>
          <w:rFonts w:ascii="Calibri" w:cs="Calibri" w:eastAsia="Calibri" w:hAnsi="Calibri"/>
          <w:sz w:val="16"/>
          <w:szCs w:val="16"/>
          <w:color w:val="auto"/>
        </w:rPr>
        <w:t>www.bakkt.com</w:t>
      </w:r>
      <w:r>
        <w:rPr>
          <w:sz w:val="20"/>
          <w:szCs w:val="20"/>
          <w:color w:val="auto"/>
        </w:rPr>
        <w:tab/>
      </w:r>
      <w:r>
        <w:rPr>
          <w:rFonts w:ascii="Calibri" w:cs="Calibri" w:eastAsia="Calibri" w:hAnsi="Calibri"/>
          <w:sz w:val="17"/>
          <w:szCs w:val="17"/>
          <w:color w:val="auto"/>
        </w:rPr>
        <w:t>49</w:t>
      </w:r>
    </w:p>
    <w:p>
      <w:pPr>
        <w:sectPr>
          <w:pgSz w:w="11900" w:h="16838" w:orient="portrait"/>
          <w:cols w:equalWidth="0" w:num="1">
            <w:col w:w="11260"/>
          </w:cols>
          <w:pgMar w:left="320" w:top="1440" w:right="319" w:bottom="1440" w:gutter="0" w:footer="0" w:header="0"/>
        </w:sectPr>
      </w:pPr>
    </w:p>
    <w:bookmarkStart w:id="55" w:name="page56"/>
    <w:bookmarkEnd w:id="55"/>
    <w:p>
      <w:pPr>
        <w:spacing w:after="0" w:line="160" w:lineRule="exact"/>
        <w:rPr>
          <w:sz w:val="20"/>
          <w:szCs w:val="20"/>
          <w:color w:val="auto"/>
        </w:rPr>
      </w:pPr>
    </w:p>
    <w:p>
      <w:pPr>
        <w:spacing w:after="0"/>
        <w:rPr>
          <w:sz w:val="20"/>
          <w:szCs w:val="20"/>
          <w:color w:val="auto"/>
        </w:rPr>
      </w:pPr>
      <w:r>
        <w:rPr>
          <w:rFonts w:ascii="Calibri" w:cs="Calibri" w:eastAsia="Calibri" w:hAnsi="Calibri"/>
          <w:sz w:val="43"/>
          <w:szCs w:val="43"/>
          <w:color w:val="auto"/>
        </w:rPr>
        <w:t>Executve Compensaton</w:t>
      </w:r>
    </w:p>
    <w:p>
      <w:pPr>
        <w:spacing w:after="0" w:line="228" w:lineRule="exact"/>
        <w:rPr>
          <w:sz w:val="20"/>
          <w:szCs w:val="20"/>
          <w:color w:val="auto"/>
        </w:rPr>
      </w:pPr>
    </w:p>
    <w:p>
      <w:pPr>
        <w:ind w:right="20"/>
        <w:spacing w:after="0" w:line="235" w:lineRule="auto"/>
        <w:rPr>
          <w:sz w:val="20"/>
          <w:szCs w:val="20"/>
          <w:color w:val="auto"/>
        </w:rPr>
      </w:pPr>
      <w:r>
        <w:rPr>
          <w:rFonts w:ascii="Calibri" w:cs="Calibri" w:eastAsia="Calibri" w:hAnsi="Calibri"/>
          <w:sz w:val="22"/>
          <w:szCs w:val="22"/>
          <w:color w:val="auto"/>
        </w:rPr>
        <w:t>Our named executve ofcers, consistng of our principal executve ofcer and the two most highly compensated executve ofcers (other than our principal executve ofcer), as of December 31, 2023, were:</w:t>
      </w:r>
    </w:p>
    <w:p>
      <w:pPr>
        <w:spacing w:after="0" w:line="125" w:lineRule="exact"/>
        <w:rPr>
          <w:sz w:val="20"/>
          <w:szCs w:val="20"/>
          <w:color w:val="auto"/>
        </w:rPr>
      </w:pPr>
    </w:p>
    <w:p>
      <w:pPr>
        <w:ind w:left="660" w:hanging="328"/>
        <w:spacing w:after="0"/>
        <w:tabs>
          <w:tab w:leader="none" w:pos="660" w:val="left"/>
        </w:tabs>
        <w:numPr>
          <w:ilvl w:val="0"/>
          <w:numId w:val="35"/>
        </w:numPr>
        <w:rPr>
          <w:rFonts w:ascii="Times New Roman" w:cs="Times New Roman" w:eastAsia="Times New Roman" w:hAnsi="Times New Roman"/>
          <w:sz w:val="22"/>
          <w:szCs w:val="22"/>
          <w:color w:val="auto"/>
        </w:rPr>
      </w:pPr>
      <w:r>
        <w:rPr>
          <w:rFonts w:ascii="Calibri" w:cs="Calibri" w:eastAsia="Calibri" w:hAnsi="Calibri"/>
          <w:sz w:val="22"/>
          <w:szCs w:val="22"/>
          <w:color w:val="auto"/>
        </w:rPr>
        <w:t>Gavin Michael, Former Chief Executve Ofcer and President;</w:t>
      </w:r>
    </w:p>
    <w:p>
      <w:pPr>
        <w:spacing w:after="0" w:line="122" w:lineRule="exact"/>
        <w:rPr>
          <w:rFonts w:ascii="Times New Roman" w:cs="Times New Roman" w:eastAsia="Times New Roman" w:hAnsi="Times New Roman"/>
          <w:sz w:val="22"/>
          <w:szCs w:val="22"/>
          <w:color w:val="auto"/>
        </w:rPr>
      </w:pPr>
    </w:p>
    <w:p>
      <w:pPr>
        <w:ind w:left="660" w:hanging="328"/>
        <w:spacing w:after="0"/>
        <w:tabs>
          <w:tab w:leader="none" w:pos="660" w:val="left"/>
        </w:tabs>
        <w:numPr>
          <w:ilvl w:val="0"/>
          <w:numId w:val="35"/>
        </w:numPr>
        <w:rPr>
          <w:rFonts w:ascii="Times New Roman" w:cs="Times New Roman" w:eastAsia="Times New Roman" w:hAnsi="Times New Roman"/>
          <w:sz w:val="22"/>
          <w:szCs w:val="22"/>
          <w:color w:val="auto"/>
        </w:rPr>
      </w:pPr>
      <w:r>
        <w:rPr>
          <w:rFonts w:ascii="Calibri" w:cs="Calibri" w:eastAsia="Calibri" w:hAnsi="Calibri"/>
          <w:sz w:val="22"/>
          <w:szCs w:val="22"/>
          <w:color w:val="auto"/>
        </w:rPr>
        <w:t>Karen Alexander, Chief Financial Ofcer; and</w:t>
      </w:r>
    </w:p>
    <w:p>
      <w:pPr>
        <w:spacing w:after="0" w:line="120" w:lineRule="exact"/>
        <w:rPr>
          <w:rFonts w:ascii="Times New Roman" w:cs="Times New Roman" w:eastAsia="Times New Roman" w:hAnsi="Times New Roman"/>
          <w:sz w:val="22"/>
          <w:szCs w:val="22"/>
          <w:color w:val="auto"/>
        </w:rPr>
      </w:pPr>
    </w:p>
    <w:p>
      <w:pPr>
        <w:ind w:left="660" w:hanging="328"/>
        <w:spacing w:after="0"/>
        <w:tabs>
          <w:tab w:leader="none" w:pos="660" w:val="left"/>
        </w:tabs>
        <w:numPr>
          <w:ilvl w:val="0"/>
          <w:numId w:val="35"/>
        </w:numPr>
        <w:rPr>
          <w:rFonts w:ascii="Times New Roman" w:cs="Times New Roman" w:eastAsia="Times New Roman" w:hAnsi="Times New Roman"/>
          <w:sz w:val="22"/>
          <w:szCs w:val="22"/>
          <w:color w:val="auto"/>
        </w:rPr>
      </w:pPr>
      <w:r>
        <w:rPr>
          <w:rFonts w:ascii="Calibri" w:cs="Calibri" w:eastAsia="Calibri" w:hAnsi="Calibri"/>
          <w:sz w:val="22"/>
          <w:szCs w:val="22"/>
          <w:color w:val="auto"/>
        </w:rPr>
        <w:t>Marc D’Annunzio, General Counsel and Secretary.</w:t>
      </w:r>
    </w:p>
    <w:p>
      <w:pPr>
        <w:spacing w:after="0" w:line="206" w:lineRule="exact"/>
        <w:rPr>
          <w:sz w:val="20"/>
          <w:szCs w:val="20"/>
          <w:color w:val="auto"/>
        </w:rPr>
      </w:pPr>
    </w:p>
    <w:p>
      <w:pPr>
        <w:spacing w:after="0"/>
        <w:rPr>
          <w:sz w:val="20"/>
          <w:szCs w:val="20"/>
          <w:color w:val="auto"/>
        </w:rPr>
      </w:pPr>
      <w:r>
        <w:rPr>
          <w:rFonts w:ascii="Calibri" w:cs="Calibri" w:eastAsia="Calibri" w:hAnsi="Calibri"/>
          <w:sz w:val="22"/>
          <w:szCs w:val="22"/>
          <w:color w:val="auto"/>
        </w:rPr>
        <w:t>Mr. Michael resigned as the Company’s Chief Executve Ofcer and President efectve March 25, 2024.</w:t>
      </w:r>
    </w:p>
    <w:p>
      <w:pPr>
        <w:spacing w:after="0" w:line="215" w:lineRule="exact"/>
        <w:rPr>
          <w:sz w:val="20"/>
          <w:szCs w:val="20"/>
          <w:color w:val="auto"/>
        </w:rPr>
      </w:pPr>
    </w:p>
    <w:p>
      <w:pPr>
        <w:spacing w:after="0"/>
        <w:rPr>
          <w:sz w:val="20"/>
          <w:szCs w:val="20"/>
          <w:color w:val="auto"/>
        </w:rPr>
      </w:pPr>
      <w:r>
        <w:rPr>
          <w:rFonts w:ascii="Calibri" w:cs="Calibri" w:eastAsia="Calibri" w:hAnsi="Calibri"/>
          <w:sz w:val="29"/>
          <w:szCs w:val="29"/>
          <w:b w:val="1"/>
          <w:bCs w:val="1"/>
          <w:color w:val="auto"/>
        </w:rPr>
        <w:t>Smaller Reportng Company Status</w:t>
      </w:r>
    </w:p>
    <w:p>
      <w:pPr>
        <w:spacing w:after="0" w:line="212" w:lineRule="exact"/>
        <w:rPr>
          <w:sz w:val="20"/>
          <w:szCs w:val="20"/>
          <w:color w:val="auto"/>
        </w:rPr>
      </w:pPr>
    </w:p>
    <w:p>
      <w:pPr>
        <w:jc w:val="both"/>
        <w:spacing w:after="0" w:line="231" w:lineRule="auto"/>
        <w:rPr>
          <w:sz w:val="20"/>
          <w:szCs w:val="20"/>
          <w:color w:val="auto"/>
        </w:rPr>
      </w:pPr>
      <w:r>
        <w:rPr>
          <w:rFonts w:ascii="Calibri" w:cs="Calibri" w:eastAsia="Calibri" w:hAnsi="Calibri"/>
          <w:sz w:val="22"/>
          <w:szCs w:val="22"/>
          <w:color w:val="auto"/>
        </w:rPr>
        <w:t>As a smaller reportng company, we are eligible to leverage certain exemptons from various reportng requirements that are applicable to other public companies that are not smaller reportng companies or emerging growth companies. These include, but are not limited to, reduced disclosure obligatons regarding executve compensaton in our proxy statements, including the requirement to include a Compensaton Discussion and Analysis. We have elected to comply with the scaled disclosure requirements applicable to smaller reportng companies. As a smaller reportng company, we are permited to limit reportng of compensaton disclosure to our principal executve ofcer and our two other most highly compensated executve ofcers, which we refer to as our “named executve ofcers” or our “NEOs.”</w:t>
      </w:r>
    </w:p>
    <w:p>
      <w:pPr>
        <w:spacing w:after="0" w:line="203" w:lineRule="exact"/>
        <w:rPr>
          <w:sz w:val="20"/>
          <w:szCs w:val="20"/>
          <w:color w:val="auto"/>
        </w:rPr>
      </w:pPr>
    </w:p>
    <w:p>
      <w:pPr>
        <w:spacing w:after="0"/>
        <w:rPr>
          <w:sz w:val="20"/>
          <w:szCs w:val="20"/>
          <w:color w:val="auto"/>
        </w:rPr>
      </w:pPr>
      <w:r>
        <w:rPr>
          <w:rFonts w:ascii="Calibri" w:cs="Calibri" w:eastAsia="Calibri" w:hAnsi="Calibri"/>
          <w:sz w:val="29"/>
          <w:szCs w:val="29"/>
          <w:b w:val="1"/>
          <w:bCs w:val="1"/>
          <w:color w:val="auto"/>
        </w:rPr>
        <w:t>Processes and Procedures for Compensaton Decisions</w:t>
      </w:r>
    </w:p>
    <w:p>
      <w:pPr>
        <w:spacing w:after="0" w:line="225" w:lineRule="exact"/>
        <w:rPr>
          <w:sz w:val="20"/>
          <w:szCs w:val="20"/>
          <w:color w:val="auto"/>
        </w:rPr>
      </w:pPr>
    </w:p>
    <w:p>
      <w:pPr>
        <w:jc w:val="both"/>
        <w:spacing w:after="0" w:line="229" w:lineRule="auto"/>
        <w:rPr>
          <w:sz w:val="20"/>
          <w:szCs w:val="20"/>
          <w:color w:val="auto"/>
        </w:rPr>
      </w:pPr>
      <w:r>
        <w:rPr>
          <w:rFonts w:ascii="Calibri" w:cs="Calibri" w:eastAsia="Calibri" w:hAnsi="Calibri"/>
          <w:sz w:val="22"/>
          <w:szCs w:val="22"/>
          <w:color w:val="auto"/>
        </w:rPr>
        <w:t>To achieve our goals, we have designed, and intend to modify as necessary, our compensaton and benefts program to atract, retain, incentvize and reward deeply talented and qualifed executves who share our philosophy and desire to work towards achieving these goals.</w:t>
      </w:r>
    </w:p>
    <w:p>
      <w:pPr>
        <w:spacing w:after="0" w:line="230" w:lineRule="exact"/>
        <w:rPr>
          <w:sz w:val="20"/>
          <w:szCs w:val="20"/>
          <w:color w:val="auto"/>
        </w:rPr>
      </w:pPr>
    </w:p>
    <w:p>
      <w:pPr>
        <w:jc w:val="both"/>
        <w:spacing w:after="0" w:line="229" w:lineRule="auto"/>
        <w:rPr>
          <w:sz w:val="20"/>
          <w:szCs w:val="20"/>
          <w:color w:val="auto"/>
        </w:rPr>
      </w:pPr>
      <w:r>
        <w:rPr>
          <w:rFonts w:ascii="Calibri" w:cs="Calibri" w:eastAsia="Calibri" w:hAnsi="Calibri"/>
          <w:sz w:val="22"/>
          <w:szCs w:val="22"/>
          <w:color w:val="auto"/>
        </w:rPr>
        <w:t>We believe our compensaton program should promote the success of the company and align incentves with the long-term interests of our stockholders. Our incentve compensaton is earned based on achievement of company, business unit, and individual performance atributes. These goals include both quanttatve and qualitatve metrics that seek to capture progress towards growth for the company and our stockholders. As our needs evolve, we intend to contnue to evaluate our philosophy and compensaton programs as circumstances require.</w:t>
      </w:r>
    </w:p>
    <w:p>
      <w:pPr>
        <w:spacing w:after="0" w:line="231" w:lineRule="exact"/>
        <w:rPr>
          <w:sz w:val="20"/>
          <w:szCs w:val="20"/>
          <w:color w:val="auto"/>
        </w:rPr>
      </w:pPr>
    </w:p>
    <w:p>
      <w:pPr>
        <w:jc w:val="both"/>
        <w:spacing w:after="0" w:line="229" w:lineRule="auto"/>
        <w:rPr>
          <w:sz w:val="20"/>
          <w:szCs w:val="20"/>
          <w:color w:val="auto"/>
        </w:rPr>
      </w:pPr>
      <w:r>
        <w:rPr>
          <w:rFonts w:ascii="Calibri" w:cs="Calibri" w:eastAsia="Calibri" w:hAnsi="Calibri"/>
          <w:sz w:val="22"/>
          <w:szCs w:val="22"/>
          <w:color w:val="auto"/>
        </w:rPr>
        <w:t>Our compensaton commitee discharges the responsibilites of our Board relatng to the compensaton of our executve ofcers. Specifcally, the commitee reviews executve compensaton plans and practces, and provides recommendatons on the approval for compensaton decisions across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left="2760"/>
        <w:spacing w:after="0"/>
        <w:tabs>
          <w:tab w:leader="none" w:pos="7080" w:val="left"/>
          <w:tab w:leader="none" w:pos="8300" w:val="left"/>
        </w:tabs>
        <w:rPr>
          <w:sz w:val="20"/>
          <w:szCs w:val="20"/>
          <w:color w:val="auto"/>
        </w:rPr>
      </w:pPr>
      <w:r>
        <w:rPr>
          <w:rFonts w:ascii="Calibri" w:cs="Calibri" w:eastAsia="Calibri" w:hAnsi="Calibri"/>
          <w:sz w:val="16"/>
          <w:szCs w:val="16"/>
          <w:color w:val="auto"/>
        </w:rPr>
        <w:t>Alphareta, GA | New York, NY | Belfast, United Kingdom</w:t>
      </w:r>
      <w:r>
        <w:rPr>
          <w:sz w:val="20"/>
          <w:szCs w:val="20"/>
          <w:color w:val="auto"/>
        </w:rPr>
        <w:tab/>
      </w:r>
      <w:r>
        <w:rPr>
          <w:rFonts w:ascii="Calibri" w:cs="Calibri" w:eastAsia="Calibri" w:hAnsi="Calibri"/>
          <w:sz w:val="16"/>
          <w:szCs w:val="16"/>
          <w:color w:val="auto"/>
        </w:rPr>
        <w:t>www.bakkt.com</w:t>
      </w:r>
      <w:r>
        <w:rPr>
          <w:sz w:val="20"/>
          <w:szCs w:val="20"/>
          <w:color w:val="auto"/>
        </w:rPr>
        <w:tab/>
      </w:r>
      <w:r>
        <w:rPr>
          <w:rFonts w:ascii="Calibri" w:cs="Calibri" w:eastAsia="Calibri" w:hAnsi="Calibri"/>
          <w:sz w:val="17"/>
          <w:szCs w:val="17"/>
          <w:color w:val="auto"/>
        </w:rPr>
        <w:t>50</w:t>
      </w:r>
    </w:p>
    <w:p>
      <w:pPr>
        <w:sectPr>
          <w:pgSz w:w="11900" w:h="16838" w:orient="portrait"/>
          <w:cols w:equalWidth="0" w:num="1">
            <w:col w:w="11240"/>
          </w:cols>
          <w:pgMar w:left="320" w:top="1440" w:right="339" w:bottom="1440" w:gutter="0" w:footer="0" w:header="0"/>
        </w:sectPr>
      </w:pPr>
    </w:p>
    <w:bookmarkStart w:id="56" w:name="page57"/>
    <w:bookmarkEnd w:id="56"/>
    <w:p>
      <w:pPr>
        <w:spacing w:after="0" w:line="184" w:lineRule="exact"/>
        <w:rPr>
          <w:sz w:val="20"/>
          <w:szCs w:val="20"/>
          <w:color w:val="auto"/>
        </w:rPr>
      </w:pPr>
    </w:p>
    <w:p>
      <w:pPr>
        <w:spacing w:after="0" w:line="229" w:lineRule="auto"/>
        <w:rPr>
          <w:sz w:val="20"/>
          <w:szCs w:val="20"/>
          <w:color w:val="auto"/>
        </w:rPr>
      </w:pPr>
      <w:r>
        <w:rPr>
          <w:rFonts w:ascii="Calibri" w:cs="Calibri" w:eastAsia="Calibri" w:hAnsi="Calibri"/>
          <w:sz w:val="22"/>
          <w:szCs w:val="22"/>
          <w:color w:val="auto"/>
        </w:rPr>
        <w:t>The compensaton commitee also works closely with our CEO, Chief Human Resources Ofcer, and other members of management to review performance and compensaton maters, including cash bonus and equity grant decisions for the year.</w:t>
      </w:r>
    </w:p>
    <w:p>
      <w:pPr>
        <w:spacing w:after="0" w:line="217" w:lineRule="exact"/>
        <w:rPr>
          <w:sz w:val="20"/>
          <w:szCs w:val="20"/>
          <w:color w:val="auto"/>
        </w:rPr>
      </w:pPr>
    </w:p>
    <w:p>
      <w:pPr>
        <w:spacing w:after="0" w:line="235" w:lineRule="auto"/>
        <w:rPr>
          <w:sz w:val="20"/>
          <w:szCs w:val="20"/>
          <w:color w:val="auto"/>
        </w:rPr>
      </w:pPr>
      <w:r>
        <w:rPr>
          <w:rFonts w:ascii="Calibri" w:cs="Calibri" w:eastAsia="Calibri" w:hAnsi="Calibri"/>
          <w:sz w:val="22"/>
          <w:szCs w:val="22"/>
          <w:color w:val="auto"/>
        </w:rPr>
        <w:t>In 2023, Bakkt management also engaged external compensaton consultants to advise the Compensaton Commitee on compensaton maters, including:</w:t>
      </w:r>
    </w:p>
    <w:p>
      <w:pPr>
        <w:spacing w:after="0" w:line="125" w:lineRule="exact"/>
        <w:rPr>
          <w:sz w:val="20"/>
          <w:szCs w:val="20"/>
          <w:color w:val="auto"/>
        </w:rPr>
      </w:pPr>
    </w:p>
    <w:p>
      <w:pPr>
        <w:ind w:left="660" w:hanging="328"/>
        <w:spacing w:after="0"/>
        <w:tabs>
          <w:tab w:leader="none" w:pos="660" w:val="left"/>
        </w:tabs>
        <w:numPr>
          <w:ilvl w:val="0"/>
          <w:numId w:val="36"/>
        </w:numPr>
        <w:rPr>
          <w:rFonts w:ascii="Times New Roman" w:cs="Times New Roman" w:eastAsia="Times New Roman" w:hAnsi="Times New Roman"/>
          <w:sz w:val="22"/>
          <w:szCs w:val="22"/>
          <w:color w:val="auto"/>
        </w:rPr>
      </w:pPr>
      <w:r>
        <w:rPr>
          <w:rFonts w:ascii="Calibri" w:cs="Calibri" w:eastAsia="Calibri" w:hAnsi="Calibri"/>
          <w:sz w:val="22"/>
          <w:szCs w:val="22"/>
          <w:color w:val="auto"/>
        </w:rPr>
        <w:t>providing informaton on compettve market pay practces for senior executves and the organizaton as a whole;</w:t>
      </w:r>
    </w:p>
    <w:p>
      <w:pPr>
        <w:spacing w:after="0" w:line="122" w:lineRule="exact"/>
        <w:rPr>
          <w:rFonts w:ascii="Times New Roman" w:cs="Times New Roman" w:eastAsia="Times New Roman" w:hAnsi="Times New Roman"/>
          <w:sz w:val="22"/>
          <w:szCs w:val="22"/>
          <w:color w:val="auto"/>
        </w:rPr>
      </w:pPr>
    </w:p>
    <w:p>
      <w:pPr>
        <w:ind w:left="660" w:hanging="328"/>
        <w:spacing w:after="0"/>
        <w:tabs>
          <w:tab w:leader="none" w:pos="660" w:val="left"/>
        </w:tabs>
        <w:numPr>
          <w:ilvl w:val="0"/>
          <w:numId w:val="36"/>
        </w:numPr>
        <w:rPr>
          <w:rFonts w:ascii="Times New Roman" w:cs="Times New Roman" w:eastAsia="Times New Roman" w:hAnsi="Times New Roman"/>
          <w:sz w:val="22"/>
          <w:szCs w:val="22"/>
          <w:color w:val="auto"/>
        </w:rPr>
      </w:pPr>
      <w:r>
        <w:rPr>
          <w:rFonts w:ascii="Calibri" w:cs="Calibri" w:eastAsia="Calibri" w:hAnsi="Calibri"/>
          <w:sz w:val="22"/>
          <w:szCs w:val="22"/>
          <w:color w:val="auto"/>
        </w:rPr>
        <w:t>reviewing, and providing input into, Bakkt’s incentve compensaton approach across the company;</w:t>
      </w:r>
    </w:p>
    <w:p>
      <w:pPr>
        <w:spacing w:after="0" w:line="120" w:lineRule="exact"/>
        <w:rPr>
          <w:rFonts w:ascii="Times New Roman" w:cs="Times New Roman" w:eastAsia="Times New Roman" w:hAnsi="Times New Roman"/>
          <w:sz w:val="22"/>
          <w:szCs w:val="22"/>
          <w:color w:val="auto"/>
        </w:rPr>
      </w:pPr>
    </w:p>
    <w:p>
      <w:pPr>
        <w:ind w:left="660" w:hanging="328"/>
        <w:spacing w:after="0"/>
        <w:tabs>
          <w:tab w:leader="none" w:pos="660" w:val="left"/>
        </w:tabs>
        <w:numPr>
          <w:ilvl w:val="0"/>
          <w:numId w:val="36"/>
        </w:numPr>
        <w:rPr>
          <w:rFonts w:ascii="Times New Roman" w:cs="Times New Roman" w:eastAsia="Times New Roman" w:hAnsi="Times New Roman"/>
          <w:sz w:val="22"/>
          <w:szCs w:val="22"/>
          <w:color w:val="auto"/>
        </w:rPr>
      </w:pPr>
      <w:r>
        <w:rPr>
          <w:rFonts w:ascii="Calibri" w:cs="Calibri" w:eastAsia="Calibri" w:hAnsi="Calibri"/>
          <w:sz w:val="22"/>
          <w:szCs w:val="22"/>
          <w:color w:val="auto"/>
        </w:rPr>
        <w:t>researching, reviewing and updatng our peer group compensaton;</w:t>
      </w:r>
    </w:p>
    <w:p>
      <w:pPr>
        <w:spacing w:after="0" w:line="124" w:lineRule="exact"/>
        <w:rPr>
          <w:rFonts w:ascii="Times New Roman" w:cs="Times New Roman" w:eastAsia="Times New Roman" w:hAnsi="Times New Roman"/>
          <w:sz w:val="22"/>
          <w:szCs w:val="22"/>
          <w:color w:val="auto"/>
        </w:rPr>
      </w:pPr>
    </w:p>
    <w:p>
      <w:pPr>
        <w:ind w:left="660" w:hanging="328"/>
        <w:spacing w:after="0"/>
        <w:tabs>
          <w:tab w:leader="none" w:pos="660" w:val="left"/>
        </w:tabs>
        <w:numPr>
          <w:ilvl w:val="0"/>
          <w:numId w:val="36"/>
        </w:numPr>
        <w:rPr>
          <w:rFonts w:ascii="Times New Roman" w:cs="Times New Roman" w:eastAsia="Times New Roman" w:hAnsi="Times New Roman"/>
          <w:sz w:val="22"/>
          <w:szCs w:val="22"/>
          <w:color w:val="auto"/>
        </w:rPr>
      </w:pPr>
      <w:r>
        <w:rPr>
          <w:rFonts w:ascii="Calibri" w:cs="Calibri" w:eastAsia="Calibri" w:hAnsi="Calibri"/>
          <w:sz w:val="22"/>
          <w:szCs w:val="22"/>
          <w:color w:val="auto"/>
        </w:rPr>
        <w:t>reviewing and analyzing non-employee director compensaton; and</w:t>
      </w:r>
    </w:p>
    <w:p>
      <w:pPr>
        <w:spacing w:after="0" w:line="136" w:lineRule="exact"/>
        <w:rPr>
          <w:rFonts w:ascii="Times New Roman" w:cs="Times New Roman" w:eastAsia="Times New Roman" w:hAnsi="Times New Roman"/>
          <w:sz w:val="22"/>
          <w:szCs w:val="22"/>
          <w:color w:val="auto"/>
        </w:rPr>
      </w:pPr>
    </w:p>
    <w:p>
      <w:pPr>
        <w:ind w:left="660" w:hanging="328"/>
        <w:spacing w:after="0"/>
        <w:tabs>
          <w:tab w:leader="none" w:pos="660" w:val="left"/>
        </w:tabs>
        <w:numPr>
          <w:ilvl w:val="0"/>
          <w:numId w:val="36"/>
        </w:numPr>
        <w:rPr>
          <w:rFonts w:ascii="Times New Roman" w:cs="Times New Roman" w:eastAsia="Times New Roman" w:hAnsi="Times New Roman"/>
          <w:sz w:val="22"/>
          <w:szCs w:val="22"/>
          <w:color w:val="auto"/>
        </w:rPr>
      </w:pPr>
      <w:r>
        <w:rPr>
          <w:rFonts w:ascii="Calibri" w:cs="Calibri" w:eastAsia="Calibri" w:hAnsi="Calibri"/>
          <w:sz w:val="22"/>
          <w:szCs w:val="22"/>
          <w:color w:val="auto"/>
        </w:rPr>
        <w:t>providing support on other ad hoc compensaton maters throughout the year.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left="2760"/>
        <w:spacing w:after="0"/>
        <w:tabs>
          <w:tab w:leader="none" w:pos="7080" w:val="left"/>
          <w:tab w:leader="none" w:pos="8300" w:val="left"/>
        </w:tabs>
        <w:rPr>
          <w:sz w:val="20"/>
          <w:szCs w:val="20"/>
          <w:color w:val="auto"/>
        </w:rPr>
      </w:pPr>
      <w:r>
        <w:rPr>
          <w:rFonts w:ascii="Calibri" w:cs="Calibri" w:eastAsia="Calibri" w:hAnsi="Calibri"/>
          <w:sz w:val="16"/>
          <w:szCs w:val="16"/>
          <w:color w:val="auto"/>
        </w:rPr>
        <w:t>Alphareta, GA | New York, NY | Belfast, United Kingdom</w:t>
      </w:r>
      <w:r>
        <w:rPr>
          <w:sz w:val="20"/>
          <w:szCs w:val="20"/>
          <w:color w:val="auto"/>
        </w:rPr>
        <w:tab/>
      </w:r>
      <w:r>
        <w:rPr>
          <w:rFonts w:ascii="Calibri" w:cs="Calibri" w:eastAsia="Calibri" w:hAnsi="Calibri"/>
          <w:sz w:val="16"/>
          <w:szCs w:val="16"/>
          <w:color w:val="auto"/>
        </w:rPr>
        <w:t>www.bakkt.com</w:t>
      </w:r>
      <w:r>
        <w:rPr>
          <w:sz w:val="20"/>
          <w:szCs w:val="20"/>
          <w:color w:val="auto"/>
        </w:rPr>
        <w:tab/>
      </w:r>
      <w:r>
        <w:rPr>
          <w:rFonts w:ascii="Calibri" w:cs="Calibri" w:eastAsia="Calibri" w:hAnsi="Calibri"/>
          <w:sz w:val="17"/>
          <w:szCs w:val="17"/>
          <w:color w:val="auto"/>
        </w:rPr>
        <w:t>51</w:t>
      </w:r>
    </w:p>
    <w:p>
      <w:pPr>
        <w:sectPr>
          <w:pgSz w:w="11900" w:h="16838" w:orient="portrait"/>
          <w:cols w:equalWidth="0" w:num="1">
            <w:col w:w="11240"/>
          </w:cols>
          <w:pgMar w:left="320" w:top="1440" w:right="339" w:bottom="1440" w:gutter="0" w:footer="0" w:header="0"/>
        </w:sectPr>
      </w:pPr>
    </w:p>
    <w:bookmarkStart w:id="57" w:name="page58"/>
    <w:bookmarkEnd w:id="57"/>
    <w:p>
      <w:pPr>
        <w:spacing w:after="0" w:line="171" w:lineRule="exact"/>
        <w:rPr>
          <w:sz w:val="20"/>
          <w:szCs w:val="20"/>
          <w:color w:val="auto"/>
        </w:rPr>
      </w:pPr>
    </w:p>
    <w:p>
      <w:pPr>
        <w:spacing w:after="0"/>
        <w:rPr>
          <w:sz w:val="20"/>
          <w:szCs w:val="20"/>
          <w:color w:val="auto"/>
        </w:rPr>
      </w:pPr>
      <w:r>
        <w:rPr>
          <w:rFonts w:ascii="Calibri" w:cs="Calibri" w:eastAsia="Calibri" w:hAnsi="Calibri"/>
          <w:sz w:val="29"/>
          <w:szCs w:val="29"/>
          <w:b w:val="1"/>
          <w:bCs w:val="1"/>
          <w:color w:val="auto"/>
        </w:rPr>
        <w:t>Summary Compensaton Table for Fiscal 2023</w:t>
      </w:r>
    </w:p>
    <w:p>
      <w:pPr>
        <w:spacing w:after="0" w:line="226" w:lineRule="exact"/>
        <w:rPr>
          <w:sz w:val="20"/>
          <w:szCs w:val="20"/>
          <w:color w:val="auto"/>
        </w:rPr>
      </w:pPr>
    </w:p>
    <w:p>
      <w:pPr>
        <w:ind w:right="20"/>
        <w:spacing w:after="0" w:line="229" w:lineRule="auto"/>
        <w:rPr>
          <w:sz w:val="20"/>
          <w:szCs w:val="20"/>
          <w:color w:val="auto"/>
        </w:rPr>
      </w:pPr>
      <w:r>
        <w:rPr>
          <w:rFonts w:ascii="Calibri" w:cs="Calibri" w:eastAsia="Calibri" w:hAnsi="Calibri"/>
          <w:sz w:val="22"/>
          <w:szCs w:val="22"/>
          <w:color w:val="auto"/>
        </w:rPr>
        <w:t>The following table sets forth informaton regarding the compensaton reportable for our named executve ofcers for fscal 2023 and prior years, where applicable, as determined under SEC rules.</w:t>
      </w:r>
    </w:p>
    <w:p>
      <w:pPr>
        <w:spacing w:after="0" w:line="320" w:lineRule="exact"/>
        <w:rPr>
          <w:sz w:val="20"/>
          <w:szCs w:val="20"/>
          <w:color w:val="auto"/>
        </w:rPr>
      </w:pPr>
    </w:p>
    <w:tbl>
      <w:tblPr>
        <w:tblLayout w:type="fixed"/>
        <w:tblInd w:w="10" w:type="dxa"/>
        <w:tblCellMar>
          <w:top w:w="0" w:type="dxa"/>
          <w:left w:w="0" w:type="dxa"/>
          <w:bottom w:w="0" w:type="dxa"/>
          <w:right w:w="0" w:type="dxa"/>
        </w:tblCellMar>
      </w:tblPr>
      <w:tr>
        <w:trPr>
          <w:trHeight w:val="193"/>
        </w:trPr>
        <w:tc>
          <w:tcPr>
            <w:tcW w:w="2160" w:type="dxa"/>
            <w:vAlign w:val="bottom"/>
            <w:tcBorders>
              <w:top w:val="single" w:sz="8" w:color="auto"/>
              <w:left w:val="single" w:sz="8" w:color="auto"/>
            </w:tcBorders>
            <w:shd w:val="clear" w:color="auto" w:fill="151618"/>
          </w:tcPr>
          <w:p>
            <w:pPr>
              <w:spacing w:after="0"/>
              <w:rPr>
                <w:sz w:val="16"/>
                <w:szCs w:val="16"/>
                <w:color w:val="auto"/>
              </w:rPr>
            </w:pPr>
          </w:p>
        </w:tc>
        <w:tc>
          <w:tcPr>
            <w:tcW w:w="1120" w:type="dxa"/>
            <w:vAlign w:val="bottom"/>
            <w:tcBorders>
              <w:top w:val="single" w:sz="8" w:color="auto"/>
            </w:tcBorders>
            <w:shd w:val="clear" w:color="auto" w:fill="151618"/>
          </w:tcPr>
          <w:p>
            <w:pPr>
              <w:spacing w:after="0"/>
              <w:rPr>
                <w:sz w:val="16"/>
                <w:szCs w:val="16"/>
                <w:color w:val="auto"/>
              </w:rPr>
            </w:pPr>
          </w:p>
        </w:tc>
        <w:tc>
          <w:tcPr>
            <w:tcW w:w="1440" w:type="dxa"/>
            <w:vAlign w:val="bottom"/>
            <w:tcBorders>
              <w:top w:val="single" w:sz="8" w:color="auto"/>
            </w:tcBorders>
            <w:shd w:val="clear" w:color="auto" w:fill="151618"/>
          </w:tcPr>
          <w:p>
            <w:pPr>
              <w:spacing w:after="0"/>
              <w:rPr>
                <w:sz w:val="16"/>
                <w:szCs w:val="16"/>
                <w:color w:val="auto"/>
              </w:rPr>
            </w:pPr>
          </w:p>
        </w:tc>
        <w:tc>
          <w:tcPr>
            <w:tcW w:w="1780" w:type="dxa"/>
            <w:vAlign w:val="bottom"/>
            <w:tcBorders>
              <w:top w:val="single" w:sz="8" w:color="auto"/>
            </w:tcBorders>
            <w:shd w:val="clear" w:color="auto" w:fill="151618"/>
          </w:tcPr>
          <w:p>
            <w:pPr>
              <w:spacing w:after="0"/>
              <w:rPr>
                <w:sz w:val="16"/>
                <w:szCs w:val="16"/>
                <w:color w:val="auto"/>
              </w:rPr>
            </w:pPr>
          </w:p>
        </w:tc>
        <w:tc>
          <w:tcPr>
            <w:tcW w:w="1420" w:type="dxa"/>
            <w:vAlign w:val="bottom"/>
            <w:tcBorders>
              <w:top w:val="single" w:sz="8" w:color="auto"/>
            </w:tcBorders>
            <w:shd w:val="clear" w:color="auto" w:fill="151618"/>
          </w:tcPr>
          <w:p>
            <w:pPr>
              <w:spacing w:after="0"/>
              <w:rPr>
                <w:sz w:val="16"/>
                <w:szCs w:val="16"/>
                <w:color w:val="auto"/>
              </w:rPr>
            </w:pPr>
          </w:p>
        </w:tc>
        <w:tc>
          <w:tcPr>
            <w:tcW w:w="1760" w:type="dxa"/>
            <w:vAlign w:val="bottom"/>
            <w:tcBorders>
              <w:top w:val="single" w:sz="8" w:color="auto"/>
            </w:tcBorders>
            <w:shd w:val="clear" w:color="auto" w:fill="151618"/>
          </w:tcPr>
          <w:p>
            <w:pPr>
              <w:jc w:val="center"/>
              <w:spacing w:after="0"/>
              <w:rPr>
                <w:sz w:val="20"/>
                <w:szCs w:val="20"/>
                <w:color w:val="auto"/>
              </w:rPr>
            </w:pPr>
            <w:r>
              <w:rPr>
                <w:rFonts w:ascii="Calibri" w:cs="Calibri" w:eastAsia="Calibri" w:hAnsi="Calibri"/>
                <w:sz w:val="15"/>
                <w:szCs w:val="15"/>
                <w:b w:val="1"/>
                <w:bCs w:val="1"/>
                <w:color w:val="FFFFFF"/>
                <w:w w:val="99"/>
              </w:rPr>
              <w:t>All other</w:t>
            </w:r>
          </w:p>
        </w:tc>
        <w:tc>
          <w:tcPr>
            <w:tcW w:w="1580" w:type="dxa"/>
            <w:vAlign w:val="bottom"/>
            <w:tcBorders>
              <w:top w:val="single" w:sz="8" w:color="auto"/>
              <w:right w:val="single" w:sz="8" w:color="auto"/>
            </w:tcBorders>
            <w:shd w:val="clear" w:color="auto" w:fill="151618"/>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2160" w:type="dxa"/>
            <w:vAlign w:val="bottom"/>
            <w:tcBorders>
              <w:left w:val="single" w:sz="8" w:color="auto"/>
            </w:tcBorders>
            <w:shd w:val="clear" w:color="auto" w:fill="151618"/>
          </w:tcPr>
          <w:p>
            <w:pPr>
              <w:spacing w:after="0"/>
              <w:rPr>
                <w:sz w:val="16"/>
                <w:szCs w:val="16"/>
                <w:color w:val="auto"/>
              </w:rPr>
            </w:pPr>
          </w:p>
        </w:tc>
        <w:tc>
          <w:tcPr>
            <w:tcW w:w="1120" w:type="dxa"/>
            <w:vAlign w:val="bottom"/>
            <w:shd w:val="clear" w:color="auto" w:fill="151618"/>
          </w:tcPr>
          <w:p>
            <w:pPr>
              <w:spacing w:after="0"/>
              <w:rPr>
                <w:sz w:val="16"/>
                <w:szCs w:val="16"/>
                <w:color w:val="auto"/>
              </w:rPr>
            </w:pPr>
          </w:p>
        </w:tc>
        <w:tc>
          <w:tcPr>
            <w:tcW w:w="1440" w:type="dxa"/>
            <w:vAlign w:val="bottom"/>
            <w:shd w:val="clear" w:color="auto" w:fill="151618"/>
          </w:tcPr>
          <w:p>
            <w:pPr>
              <w:ind w:left="520"/>
              <w:spacing w:after="0"/>
              <w:rPr>
                <w:sz w:val="20"/>
                <w:szCs w:val="20"/>
                <w:color w:val="auto"/>
              </w:rPr>
            </w:pPr>
            <w:r>
              <w:rPr>
                <w:rFonts w:ascii="Calibri" w:cs="Calibri" w:eastAsia="Calibri" w:hAnsi="Calibri"/>
                <w:sz w:val="15"/>
                <w:szCs w:val="15"/>
                <w:b w:val="1"/>
                <w:bCs w:val="1"/>
                <w:color w:val="FFFFFF"/>
              </w:rPr>
              <w:t>Salary</w:t>
            </w:r>
          </w:p>
        </w:tc>
        <w:tc>
          <w:tcPr>
            <w:tcW w:w="1780" w:type="dxa"/>
            <w:vAlign w:val="bottom"/>
            <w:shd w:val="clear" w:color="auto" w:fill="151618"/>
          </w:tcPr>
          <w:p>
            <w:pPr>
              <w:ind w:left="480"/>
              <w:spacing w:after="0"/>
              <w:rPr>
                <w:sz w:val="20"/>
                <w:szCs w:val="20"/>
                <w:color w:val="auto"/>
              </w:rPr>
            </w:pPr>
            <w:r>
              <w:rPr>
                <w:rFonts w:ascii="Calibri" w:cs="Calibri" w:eastAsia="Calibri" w:hAnsi="Calibri"/>
                <w:sz w:val="15"/>
                <w:szCs w:val="15"/>
                <w:b w:val="1"/>
                <w:bCs w:val="1"/>
                <w:color w:val="FFFFFF"/>
              </w:rPr>
              <w:t>Stock Awards</w:t>
            </w:r>
          </w:p>
        </w:tc>
        <w:tc>
          <w:tcPr>
            <w:tcW w:w="1420" w:type="dxa"/>
            <w:vAlign w:val="bottom"/>
            <w:vMerge w:val="restart"/>
            <w:shd w:val="clear" w:color="auto" w:fill="151618"/>
          </w:tcPr>
          <w:p>
            <w:pPr>
              <w:ind w:left="520"/>
              <w:spacing w:after="0"/>
              <w:rPr>
                <w:sz w:val="20"/>
                <w:szCs w:val="20"/>
                <w:color w:val="auto"/>
              </w:rPr>
            </w:pPr>
            <w:r>
              <w:rPr>
                <w:rFonts w:ascii="Calibri" w:cs="Calibri" w:eastAsia="Calibri" w:hAnsi="Calibri"/>
                <w:sz w:val="15"/>
                <w:szCs w:val="15"/>
                <w:b w:val="1"/>
                <w:bCs w:val="1"/>
                <w:color w:val="FFFFFF"/>
              </w:rPr>
              <w:t>Bonus</w:t>
            </w:r>
          </w:p>
        </w:tc>
        <w:tc>
          <w:tcPr>
            <w:tcW w:w="1760" w:type="dxa"/>
            <w:vAlign w:val="bottom"/>
            <w:shd w:val="clear" w:color="auto" w:fill="151618"/>
          </w:tcPr>
          <w:p>
            <w:pPr>
              <w:jc w:val="center"/>
              <w:spacing w:after="0"/>
              <w:rPr>
                <w:sz w:val="20"/>
                <w:szCs w:val="20"/>
                <w:color w:val="auto"/>
              </w:rPr>
            </w:pPr>
            <w:r>
              <w:rPr>
                <w:rFonts w:ascii="Calibri" w:cs="Calibri" w:eastAsia="Calibri" w:hAnsi="Calibri"/>
                <w:sz w:val="15"/>
                <w:szCs w:val="15"/>
                <w:b w:val="1"/>
                <w:bCs w:val="1"/>
                <w:color w:val="FFFFFF"/>
              </w:rPr>
              <w:t>compensaton</w:t>
            </w:r>
          </w:p>
        </w:tc>
        <w:tc>
          <w:tcPr>
            <w:tcW w:w="1580" w:type="dxa"/>
            <w:vAlign w:val="bottom"/>
            <w:tcBorders>
              <w:right w:val="single" w:sz="8" w:color="auto"/>
            </w:tcBorders>
            <w:vMerge w:val="restart"/>
            <w:shd w:val="clear" w:color="auto" w:fill="151618"/>
          </w:tcPr>
          <w:p>
            <w:pPr>
              <w:ind w:left="600"/>
              <w:spacing w:after="0"/>
              <w:rPr>
                <w:sz w:val="20"/>
                <w:szCs w:val="20"/>
                <w:color w:val="auto"/>
              </w:rPr>
            </w:pPr>
            <w:r>
              <w:rPr>
                <w:rFonts w:ascii="Calibri" w:cs="Calibri" w:eastAsia="Calibri" w:hAnsi="Calibri"/>
                <w:sz w:val="15"/>
                <w:szCs w:val="15"/>
                <w:b w:val="1"/>
                <w:bCs w:val="1"/>
                <w:color w:val="FFFFFF"/>
              </w:rPr>
              <w:t>Total</w:t>
            </w:r>
          </w:p>
        </w:tc>
        <w:tc>
          <w:tcPr>
            <w:tcW w:w="0" w:type="dxa"/>
            <w:vAlign w:val="bottom"/>
          </w:tcPr>
          <w:p>
            <w:pPr>
              <w:spacing w:after="0"/>
              <w:rPr>
                <w:sz w:val="1"/>
                <w:szCs w:val="1"/>
                <w:color w:val="auto"/>
              </w:rPr>
            </w:pPr>
          </w:p>
        </w:tc>
      </w:tr>
      <w:tr>
        <w:trPr>
          <w:trHeight w:val="149"/>
        </w:trPr>
        <w:tc>
          <w:tcPr>
            <w:tcW w:w="2160" w:type="dxa"/>
            <w:vAlign w:val="bottom"/>
            <w:tcBorders>
              <w:left w:val="single" w:sz="8" w:color="auto"/>
            </w:tcBorders>
            <w:shd w:val="clear" w:color="auto" w:fill="151618"/>
          </w:tcPr>
          <w:p>
            <w:pPr>
              <w:ind w:left="80"/>
              <w:spacing w:after="0" w:line="149" w:lineRule="exact"/>
              <w:rPr>
                <w:sz w:val="20"/>
                <w:szCs w:val="20"/>
                <w:color w:val="auto"/>
              </w:rPr>
            </w:pPr>
            <w:r>
              <w:rPr>
                <w:rFonts w:ascii="Calibri" w:cs="Calibri" w:eastAsia="Calibri" w:hAnsi="Calibri"/>
                <w:sz w:val="15"/>
                <w:szCs w:val="15"/>
                <w:b w:val="1"/>
                <w:bCs w:val="1"/>
                <w:color w:val="FFFFFF"/>
              </w:rPr>
              <w:t>Name</w:t>
            </w:r>
          </w:p>
        </w:tc>
        <w:tc>
          <w:tcPr>
            <w:tcW w:w="1120" w:type="dxa"/>
            <w:vAlign w:val="bottom"/>
            <w:vMerge w:val="restart"/>
            <w:shd w:val="clear" w:color="auto" w:fill="151618"/>
          </w:tcPr>
          <w:p>
            <w:pPr>
              <w:ind w:left="360"/>
              <w:spacing w:after="0"/>
              <w:rPr>
                <w:sz w:val="20"/>
                <w:szCs w:val="20"/>
                <w:color w:val="auto"/>
              </w:rPr>
            </w:pPr>
            <w:r>
              <w:rPr>
                <w:rFonts w:ascii="Calibri" w:cs="Calibri" w:eastAsia="Calibri" w:hAnsi="Calibri"/>
                <w:sz w:val="15"/>
                <w:szCs w:val="15"/>
                <w:b w:val="1"/>
                <w:bCs w:val="1"/>
                <w:color w:val="FFFFFF"/>
              </w:rPr>
              <w:t>Year</w:t>
            </w:r>
          </w:p>
        </w:tc>
        <w:tc>
          <w:tcPr>
            <w:tcW w:w="1440" w:type="dxa"/>
            <w:vAlign w:val="bottom"/>
            <w:shd w:val="clear" w:color="auto" w:fill="151618"/>
          </w:tcPr>
          <w:p>
            <w:pPr>
              <w:jc w:val="center"/>
              <w:spacing w:after="0" w:line="149" w:lineRule="exact"/>
              <w:rPr>
                <w:sz w:val="20"/>
                <w:szCs w:val="20"/>
                <w:color w:val="auto"/>
              </w:rPr>
            </w:pPr>
            <w:r>
              <w:rPr>
                <w:rFonts w:ascii="Calibri" w:cs="Calibri" w:eastAsia="Calibri" w:hAnsi="Calibri"/>
                <w:sz w:val="16"/>
                <w:szCs w:val="16"/>
                <w:b w:val="1"/>
                <w:bCs w:val="1"/>
                <w:color w:val="FFFFFF"/>
                <w:vertAlign w:val="subscript"/>
              </w:rPr>
              <w:t>($)</w:t>
            </w:r>
            <w:r>
              <w:rPr>
                <w:rFonts w:ascii="Calibri" w:cs="Calibri" w:eastAsia="Calibri" w:hAnsi="Calibri"/>
                <w:sz w:val="7"/>
                <w:szCs w:val="7"/>
                <w:b w:val="1"/>
                <w:bCs w:val="1"/>
                <w:color w:val="FFFFFF"/>
              </w:rPr>
              <w:t>(1)</w:t>
            </w:r>
          </w:p>
        </w:tc>
        <w:tc>
          <w:tcPr>
            <w:tcW w:w="1780" w:type="dxa"/>
            <w:vAlign w:val="bottom"/>
            <w:shd w:val="clear" w:color="auto" w:fill="151618"/>
          </w:tcPr>
          <w:p>
            <w:pPr>
              <w:jc w:val="center"/>
              <w:spacing w:after="0" w:line="149" w:lineRule="exact"/>
              <w:rPr>
                <w:sz w:val="20"/>
                <w:szCs w:val="20"/>
                <w:color w:val="auto"/>
              </w:rPr>
            </w:pPr>
            <w:r>
              <w:rPr>
                <w:rFonts w:ascii="Calibri" w:cs="Calibri" w:eastAsia="Calibri" w:hAnsi="Calibri"/>
                <w:sz w:val="16"/>
                <w:szCs w:val="16"/>
                <w:b w:val="1"/>
                <w:bCs w:val="1"/>
                <w:color w:val="FFFFFF"/>
                <w:vertAlign w:val="subscript"/>
              </w:rPr>
              <w:t>($)</w:t>
            </w:r>
            <w:r>
              <w:rPr>
                <w:rFonts w:ascii="Calibri" w:cs="Calibri" w:eastAsia="Calibri" w:hAnsi="Calibri"/>
                <w:sz w:val="7"/>
                <w:szCs w:val="7"/>
                <w:b w:val="1"/>
                <w:bCs w:val="1"/>
                <w:color w:val="FFFFFF"/>
              </w:rPr>
              <w:t>(2)</w:t>
            </w:r>
          </w:p>
        </w:tc>
        <w:tc>
          <w:tcPr>
            <w:tcW w:w="1420" w:type="dxa"/>
            <w:vAlign w:val="bottom"/>
            <w:vMerge w:val="continue"/>
            <w:shd w:val="clear" w:color="auto" w:fill="151618"/>
          </w:tcPr>
          <w:p>
            <w:pPr>
              <w:spacing w:after="0"/>
              <w:rPr>
                <w:sz w:val="12"/>
                <w:szCs w:val="12"/>
                <w:color w:val="auto"/>
              </w:rPr>
            </w:pPr>
          </w:p>
        </w:tc>
        <w:tc>
          <w:tcPr>
            <w:tcW w:w="1760" w:type="dxa"/>
            <w:vAlign w:val="bottom"/>
            <w:shd w:val="clear" w:color="auto" w:fill="151618"/>
          </w:tcPr>
          <w:p>
            <w:pPr>
              <w:jc w:val="center"/>
              <w:spacing w:after="0" w:line="149" w:lineRule="exact"/>
              <w:rPr>
                <w:sz w:val="20"/>
                <w:szCs w:val="20"/>
                <w:color w:val="auto"/>
              </w:rPr>
            </w:pPr>
            <w:r>
              <w:rPr>
                <w:rFonts w:ascii="Calibri" w:cs="Calibri" w:eastAsia="Calibri" w:hAnsi="Calibri"/>
                <w:sz w:val="16"/>
                <w:szCs w:val="16"/>
                <w:b w:val="1"/>
                <w:bCs w:val="1"/>
                <w:color w:val="FFFFFF"/>
                <w:vertAlign w:val="subscript"/>
              </w:rPr>
              <w:t>($)</w:t>
            </w:r>
            <w:r>
              <w:rPr>
                <w:rFonts w:ascii="Calibri" w:cs="Calibri" w:eastAsia="Calibri" w:hAnsi="Calibri"/>
                <w:sz w:val="7"/>
                <w:szCs w:val="7"/>
                <w:b w:val="1"/>
                <w:bCs w:val="1"/>
                <w:color w:val="FFFFFF"/>
              </w:rPr>
              <w:t>(3)</w:t>
            </w:r>
          </w:p>
        </w:tc>
        <w:tc>
          <w:tcPr>
            <w:tcW w:w="1580" w:type="dxa"/>
            <w:vAlign w:val="bottom"/>
            <w:tcBorders>
              <w:right w:val="single" w:sz="8" w:color="auto"/>
            </w:tcBorders>
            <w:vMerge w:val="continue"/>
            <w:shd w:val="clear" w:color="auto" w:fill="151618"/>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160" w:type="dxa"/>
            <w:vAlign w:val="bottom"/>
            <w:tcBorders>
              <w:left w:val="single" w:sz="8" w:color="auto"/>
              <w:bottom w:val="single" w:sz="8" w:color="auto"/>
            </w:tcBorders>
            <w:shd w:val="clear" w:color="auto" w:fill="151618"/>
          </w:tcPr>
          <w:p>
            <w:pPr>
              <w:spacing w:after="0"/>
              <w:rPr>
                <w:sz w:val="12"/>
                <w:szCs w:val="12"/>
                <w:color w:val="auto"/>
              </w:rPr>
            </w:pPr>
          </w:p>
        </w:tc>
        <w:tc>
          <w:tcPr>
            <w:tcW w:w="1120" w:type="dxa"/>
            <w:vAlign w:val="bottom"/>
            <w:tcBorders>
              <w:bottom w:val="single" w:sz="8" w:color="auto"/>
            </w:tcBorders>
            <w:vMerge w:val="continue"/>
            <w:shd w:val="clear" w:color="auto" w:fill="151618"/>
          </w:tcPr>
          <w:p>
            <w:pPr>
              <w:spacing w:after="0"/>
              <w:rPr>
                <w:sz w:val="12"/>
                <w:szCs w:val="12"/>
                <w:color w:val="auto"/>
              </w:rPr>
            </w:pPr>
          </w:p>
        </w:tc>
        <w:tc>
          <w:tcPr>
            <w:tcW w:w="1440" w:type="dxa"/>
            <w:vAlign w:val="bottom"/>
            <w:tcBorders>
              <w:bottom w:val="single" w:sz="8" w:color="auto"/>
            </w:tcBorders>
            <w:shd w:val="clear" w:color="auto" w:fill="151618"/>
          </w:tcPr>
          <w:p>
            <w:pPr>
              <w:spacing w:after="0"/>
              <w:rPr>
                <w:sz w:val="12"/>
                <w:szCs w:val="12"/>
                <w:color w:val="auto"/>
              </w:rPr>
            </w:pPr>
          </w:p>
        </w:tc>
        <w:tc>
          <w:tcPr>
            <w:tcW w:w="1780" w:type="dxa"/>
            <w:vAlign w:val="bottom"/>
            <w:tcBorders>
              <w:bottom w:val="single" w:sz="8" w:color="auto"/>
            </w:tcBorders>
            <w:shd w:val="clear" w:color="auto" w:fill="151618"/>
          </w:tcPr>
          <w:p>
            <w:pPr>
              <w:spacing w:after="0"/>
              <w:rPr>
                <w:sz w:val="12"/>
                <w:szCs w:val="12"/>
                <w:color w:val="auto"/>
              </w:rPr>
            </w:pPr>
          </w:p>
        </w:tc>
        <w:tc>
          <w:tcPr>
            <w:tcW w:w="1420" w:type="dxa"/>
            <w:vAlign w:val="bottom"/>
            <w:tcBorders>
              <w:bottom w:val="single" w:sz="8" w:color="auto"/>
            </w:tcBorders>
            <w:shd w:val="clear" w:color="auto" w:fill="151618"/>
          </w:tcPr>
          <w:p>
            <w:pPr>
              <w:jc w:val="center"/>
              <w:spacing w:after="0" w:line="149" w:lineRule="exact"/>
              <w:rPr>
                <w:sz w:val="20"/>
                <w:szCs w:val="20"/>
                <w:color w:val="auto"/>
              </w:rPr>
            </w:pPr>
            <w:r>
              <w:rPr>
                <w:rFonts w:ascii="Calibri" w:cs="Calibri" w:eastAsia="Calibri" w:hAnsi="Calibri"/>
                <w:sz w:val="15"/>
                <w:szCs w:val="15"/>
                <w:b w:val="1"/>
                <w:bCs w:val="1"/>
                <w:color w:val="FFFFFF"/>
              </w:rPr>
              <w:t>($)</w:t>
            </w:r>
          </w:p>
        </w:tc>
        <w:tc>
          <w:tcPr>
            <w:tcW w:w="1760" w:type="dxa"/>
            <w:vAlign w:val="bottom"/>
            <w:tcBorders>
              <w:bottom w:val="single" w:sz="8" w:color="auto"/>
            </w:tcBorders>
            <w:shd w:val="clear" w:color="auto" w:fill="151618"/>
          </w:tcPr>
          <w:p>
            <w:pPr>
              <w:spacing w:after="0"/>
              <w:rPr>
                <w:sz w:val="12"/>
                <w:szCs w:val="12"/>
                <w:color w:val="auto"/>
              </w:rPr>
            </w:pPr>
          </w:p>
        </w:tc>
        <w:tc>
          <w:tcPr>
            <w:tcW w:w="1580" w:type="dxa"/>
            <w:vAlign w:val="bottom"/>
            <w:tcBorders>
              <w:bottom w:val="single" w:sz="8" w:color="auto"/>
              <w:right w:val="single" w:sz="8" w:color="auto"/>
            </w:tcBorders>
            <w:shd w:val="clear" w:color="auto" w:fill="151618"/>
          </w:tcPr>
          <w:p>
            <w:pPr>
              <w:jc w:val="center"/>
              <w:spacing w:after="0" w:line="149" w:lineRule="exact"/>
              <w:rPr>
                <w:sz w:val="20"/>
                <w:szCs w:val="20"/>
                <w:color w:val="auto"/>
              </w:rPr>
            </w:pPr>
            <w:r>
              <w:rPr>
                <w:rFonts w:ascii="Calibri" w:cs="Calibri" w:eastAsia="Calibri" w:hAnsi="Calibri"/>
                <w:sz w:val="15"/>
                <w:szCs w:val="15"/>
                <w:b w:val="1"/>
                <w:bCs w:val="1"/>
                <w:color w:val="FFFFFF"/>
                <w:w w:val="94"/>
              </w:rPr>
              <w:t>($)</w:t>
            </w:r>
          </w:p>
        </w:tc>
        <w:tc>
          <w:tcPr>
            <w:tcW w:w="0" w:type="dxa"/>
            <w:vAlign w:val="bottom"/>
          </w:tcPr>
          <w:p>
            <w:pPr>
              <w:spacing w:after="0"/>
              <w:rPr>
                <w:sz w:val="1"/>
                <w:szCs w:val="1"/>
                <w:color w:val="auto"/>
              </w:rPr>
            </w:pPr>
          </w:p>
        </w:tc>
      </w:tr>
      <w:tr>
        <w:trPr>
          <w:trHeight w:val="224"/>
        </w:trPr>
        <w:tc>
          <w:tcPr>
            <w:tcW w:w="2160" w:type="dxa"/>
            <w:vAlign w:val="bottom"/>
            <w:tcBorders>
              <w:left w:val="single" w:sz="8" w:color="auto"/>
            </w:tcBorders>
          </w:tcPr>
          <w:p>
            <w:pPr>
              <w:ind w:left="80"/>
              <w:spacing w:after="0" w:line="224" w:lineRule="exact"/>
              <w:rPr>
                <w:sz w:val="20"/>
                <w:szCs w:val="20"/>
                <w:color w:val="auto"/>
              </w:rPr>
            </w:pPr>
            <w:r>
              <w:rPr>
                <w:rFonts w:ascii="Calibri" w:cs="Calibri" w:eastAsia="Calibri" w:hAnsi="Calibri"/>
                <w:sz w:val="15"/>
                <w:szCs w:val="15"/>
                <w:b w:val="1"/>
                <w:bCs w:val="1"/>
                <w:color w:val="auto"/>
              </w:rPr>
              <w:t>Gavin Michael</w:t>
            </w:r>
            <w:r>
              <w:rPr>
                <w:rFonts w:ascii="Calibri" w:cs="Calibri" w:eastAsia="Calibri" w:hAnsi="Calibri"/>
                <w:sz w:val="19"/>
                <w:szCs w:val="19"/>
                <w:b w:val="1"/>
                <w:bCs w:val="1"/>
                <w:color w:val="auto"/>
                <w:vertAlign w:val="superscript"/>
              </w:rPr>
              <w:t>(4)</w:t>
            </w:r>
          </w:p>
        </w:tc>
        <w:tc>
          <w:tcPr>
            <w:tcW w:w="1120" w:type="dxa"/>
            <w:vAlign w:val="bottom"/>
          </w:tcPr>
          <w:p>
            <w:pPr>
              <w:ind w:left="340"/>
              <w:spacing w:after="0"/>
              <w:rPr>
                <w:sz w:val="20"/>
                <w:szCs w:val="20"/>
                <w:color w:val="auto"/>
              </w:rPr>
            </w:pPr>
            <w:r>
              <w:rPr>
                <w:rFonts w:ascii="Calibri" w:cs="Calibri" w:eastAsia="Calibri" w:hAnsi="Calibri"/>
                <w:sz w:val="15"/>
                <w:szCs w:val="15"/>
                <w:b w:val="1"/>
                <w:bCs w:val="1"/>
                <w:color w:val="auto"/>
              </w:rPr>
              <w:t>2023</w:t>
            </w:r>
          </w:p>
        </w:tc>
        <w:tc>
          <w:tcPr>
            <w:tcW w:w="1440" w:type="dxa"/>
            <w:vAlign w:val="bottom"/>
          </w:tcPr>
          <w:p>
            <w:pPr>
              <w:jc w:val="center"/>
              <w:spacing w:after="0"/>
              <w:rPr>
                <w:sz w:val="20"/>
                <w:szCs w:val="20"/>
                <w:color w:val="auto"/>
              </w:rPr>
            </w:pPr>
            <w:r>
              <w:rPr>
                <w:rFonts w:ascii="Calibri" w:cs="Calibri" w:eastAsia="Calibri" w:hAnsi="Calibri"/>
                <w:sz w:val="15"/>
                <w:szCs w:val="15"/>
                <w:color w:val="auto"/>
              </w:rPr>
              <w:t>500,000</w:t>
            </w:r>
          </w:p>
        </w:tc>
        <w:tc>
          <w:tcPr>
            <w:tcW w:w="1780" w:type="dxa"/>
            <w:vAlign w:val="bottom"/>
          </w:tcPr>
          <w:p>
            <w:pPr>
              <w:jc w:val="center"/>
              <w:spacing w:after="0"/>
              <w:rPr>
                <w:sz w:val="20"/>
                <w:szCs w:val="20"/>
                <w:color w:val="auto"/>
              </w:rPr>
            </w:pPr>
            <w:r>
              <w:rPr>
                <w:rFonts w:ascii="Calibri" w:cs="Calibri" w:eastAsia="Calibri" w:hAnsi="Calibri"/>
                <w:sz w:val="15"/>
                <w:szCs w:val="15"/>
                <w:color w:val="auto"/>
              </w:rPr>
              <w:t>698,035</w:t>
            </w:r>
          </w:p>
        </w:tc>
        <w:tc>
          <w:tcPr>
            <w:tcW w:w="1420" w:type="dxa"/>
            <w:vAlign w:val="bottom"/>
          </w:tcPr>
          <w:p>
            <w:pPr>
              <w:jc w:val="center"/>
              <w:spacing w:after="0"/>
              <w:rPr>
                <w:sz w:val="20"/>
                <w:szCs w:val="20"/>
                <w:color w:val="auto"/>
              </w:rPr>
            </w:pPr>
            <w:r>
              <w:rPr>
                <w:rFonts w:ascii="Calibri" w:cs="Calibri" w:eastAsia="Calibri" w:hAnsi="Calibri"/>
                <w:sz w:val="15"/>
                <w:szCs w:val="15"/>
                <w:color w:val="auto"/>
              </w:rPr>
              <w:t>250,000</w:t>
            </w:r>
          </w:p>
        </w:tc>
        <w:tc>
          <w:tcPr>
            <w:tcW w:w="1760" w:type="dxa"/>
            <w:vAlign w:val="bottom"/>
          </w:tcPr>
          <w:p>
            <w:pPr>
              <w:jc w:val="center"/>
              <w:spacing w:after="0"/>
              <w:rPr>
                <w:sz w:val="20"/>
                <w:szCs w:val="20"/>
                <w:color w:val="auto"/>
              </w:rPr>
            </w:pPr>
            <w:r>
              <w:rPr>
                <w:rFonts w:ascii="Calibri" w:cs="Calibri" w:eastAsia="Calibri" w:hAnsi="Calibri"/>
                <w:sz w:val="15"/>
                <w:szCs w:val="15"/>
                <w:color w:val="auto"/>
              </w:rPr>
              <w:t>28,107</w:t>
            </w:r>
          </w:p>
        </w:tc>
        <w:tc>
          <w:tcPr>
            <w:tcW w:w="1580" w:type="dxa"/>
            <w:vAlign w:val="bottom"/>
            <w:tcBorders>
              <w:right w:val="single" w:sz="8" w:color="auto"/>
            </w:tcBorders>
          </w:tcPr>
          <w:p>
            <w:pPr>
              <w:jc w:val="center"/>
              <w:ind w:right="4"/>
              <w:spacing w:after="0"/>
              <w:rPr>
                <w:sz w:val="20"/>
                <w:szCs w:val="20"/>
                <w:color w:val="auto"/>
              </w:rPr>
            </w:pPr>
            <w:r>
              <w:rPr>
                <w:rFonts w:ascii="Calibri" w:cs="Calibri" w:eastAsia="Calibri" w:hAnsi="Calibri"/>
                <w:sz w:val="15"/>
                <w:szCs w:val="15"/>
                <w:b w:val="1"/>
                <w:bCs w:val="1"/>
                <w:color w:val="auto"/>
              </w:rPr>
              <w:t>1,476,142</w:t>
            </w:r>
          </w:p>
        </w:tc>
        <w:tc>
          <w:tcPr>
            <w:tcW w:w="0" w:type="dxa"/>
            <w:vAlign w:val="bottom"/>
          </w:tcPr>
          <w:p>
            <w:pPr>
              <w:spacing w:after="0"/>
              <w:rPr>
                <w:sz w:val="1"/>
                <w:szCs w:val="1"/>
                <w:color w:val="auto"/>
              </w:rPr>
            </w:pPr>
          </w:p>
        </w:tc>
      </w:tr>
      <w:tr>
        <w:trPr>
          <w:trHeight w:val="381"/>
        </w:trPr>
        <w:tc>
          <w:tcPr>
            <w:tcW w:w="2160" w:type="dxa"/>
            <w:vAlign w:val="bottom"/>
            <w:tcBorders>
              <w:left w:val="single" w:sz="8" w:color="auto"/>
            </w:tcBorders>
          </w:tcPr>
          <w:p>
            <w:pPr>
              <w:ind w:left="80"/>
              <w:spacing w:after="0"/>
              <w:rPr>
                <w:sz w:val="20"/>
                <w:szCs w:val="20"/>
                <w:color w:val="auto"/>
              </w:rPr>
            </w:pPr>
            <w:r>
              <w:rPr>
                <w:rFonts w:ascii="Calibri" w:cs="Calibri" w:eastAsia="Calibri" w:hAnsi="Calibri"/>
                <w:sz w:val="15"/>
                <w:szCs w:val="15"/>
                <w:b w:val="1"/>
                <w:bCs w:val="1"/>
                <w:color w:val="auto"/>
              </w:rPr>
              <w:t>Former President and Chief</w:t>
            </w:r>
          </w:p>
        </w:tc>
        <w:tc>
          <w:tcPr>
            <w:tcW w:w="1120" w:type="dxa"/>
            <w:vAlign w:val="bottom"/>
          </w:tcPr>
          <w:p>
            <w:pPr>
              <w:ind w:left="340"/>
              <w:spacing w:after="0"/>
              <w:rPr>
                <w:sz w:val="20"/>
                <w:szCs w:val="20"/>
                <w:color w:val="auto"/>
              </w:rPr>
            </w:pPr>
            <w:r>
              <w:rPr>
                <w:rFonts w:ascii="Calibri" w:cs="Calibri" w:eastAsia="Calibri" w:hAnsi="Calibri"/>
                <w:sz w:val="15"/>
                <w:szCs w:val="15"/>
                <w:b w:val="1"/>
                <w:bCs w:val="1"/>
                <w:color w:val="auto"/>
              </w:rPr>
              <w:t>2022</w:t>
            </w:r>
          </w:p>
        </w:tc>
        <w:tc>
          <w:tcPr>
            <w:tcW w:w="1440" w:type="dxa"/>
            <w:vAlign w:val="bottom"/>
          </w:tcPr>
          <w:p>
            <w:pPr>
              <w:jc w:val="center"/>
              <w:spacing w:after="0"/>
              <w:rPr>
                <w:sz w:val="20"/>
                <w:szCs w:val="20"/>
                <w:color w:val="auto"/>
              </w:rPr>
            </w:pPr>
            <w:r>
              <w:rPr>
                <w:rFonts w:ascii="Calibri" w:cs="Calibri" w:eastAsia="Calibri" w:hAnsi="Calibri"/>
                <w:sz w:val="15"/>
                <w:szCs w:val="15"/>
                <w:color w:val="auto"/>
              </w:rPr>
              <w:t>500,000</w:t>
            </w:r>
          </w:p>
        </w:tc>
        <w:tc>
          <w:tcPr>
            <w:tcW w:w="1780" w:type="dxa"/>
            <w:vAlign w:val="bottom"/>
          </w:tcPr>
          <w:p>
            <w:pPr>
              <w:jc w:val="center"/>
              <w:spacing w:after="0"/>
              <w:rPr>
                <w:sz w:val="20"/>
                <w:szCs w:val="20"/>
                <w:color w:val="auto"/>
              </w:rPr>
            </w:pPr>
            <w:r>
              <w:rPr>
                <w:rFonts w:ascii="Calibri" w:cs="Calibri" w:eastAsia="Calibri" w:hAnsi="Calibri"/>
                <w:sz w:val="15"/>
                <w:szCs w:val="15"/>
                <w:color w:val="auto"/>
              </w:rPr>
              <w:t>20,683,367</w:t>
            </w:r>
          </w:p>
        </w:tc>
        <w:tc>
          <w:tcPr>
            <w:tcW w:w="1420" w:type="dxa"/>
            <w:vAlign w:val="bottom"/>
          </w:tcPr>
          <w:p>
            <w:pPr>
              <w:jc w:val="center"/>
              <w:spacing w:after="0"/>
              <w:rPr>
                <w:sz w:val="20"/>
                <w:szCs w:val="20"/>
                <w:color w:val="auto"/>
              </w:rPr>
            </w:pPr>
            <w:r>
              <w:rPr>
                <w:rFonts w:ascii="Calibri" w:cs="Calibri" w:eastAsia="Calibri" w:hAnsi="Calibri"/>
                <w:sz w:val="15"/>
                <w:szCs w:val="15"/>
                <w:color w:val="auto"/>
              </w:rPr>
              <w:t>250,000</w:t>
            </w:r>
          </w:p>
        </w:tc>
        <w:tc>
          <w:tcPr>
            <w:tcW w:w="1760" w:type="dxa"/>
            <w:vAlign w:val="bottom"/>
          </w:tcPr>
          <w:p>
            <w:pPr>
              <w:jc w:val="center"/>
              <w:spacing w:after="0"/>
              <w:rPr>
                <w:sz w:val="20"/>
                <w:szCs w:val="20"/>
                <w:color w:val="auto"/>
              </w:rPr>
            </w:pPr>
            <w:r>
              <w:rPr>
                <w:rFonts w:ascii="Calibri" w:cs="Calibri" w:eastAsia="Calibri" w:hAnsi="Calibri"/>
                <w:sz w:val="15"/>
                <w:szCs w:val="15"/>
                <w:color w:val="auto"/>
                <w:w w:val="99"/>
              </w:rPr>
              <w:t>6,937</w:t>
            </w:r>
          </w:p>
        </w:tc>
        <w:tc>
          <w:tcPr>
            <w:tcW w:w="1580" w:type="dxa"/>
            <w:vAlign w:val="bottom"/>
            <w:tcBorders>
              <w:right w:val="single" w:sz="8" w:color="auto"/>
            </w:tcBorders>
          </w:tcPr>
          <w:p>
            <w:pPr>
              <w:jc w:val="center"/>
              <w:ind w:right="4"/>
              <w:spacing w:after="0"/>
              <w:rPr>
                <w:sz w:val="20"/>
                <w:szCs w:val="20"/>
                <w:color w:val="auto"/>
              </w:rPr>
            </w:pPr>
            <w:r>
              <w:rPr>
                <w:rFonts w:ascii="Calibri" w:cs="Calibri" w:eastAsia="Calibri" w:hAnsi="Calibri"/>
                <w:sz w:val="15"/>
                <w:szCs w:val="15"/>
                <w:b w:val="1"/>
                <w:bCs w:val="1"/>
                <w:color w:val="auto"/>
              </w:rPr>
              <w:t>21,440,304</w:t>
            </w:r>
          </w:p>
        </w:tc>
        <w:tc>
          <w:tcPr>
            <w:tcW w:w="0" w:type="dxa"/>
            <w:vAlign w:val="bottom"/>
          </w:tcPr>
          <w:p>
            <w:pPr>
              <w:spacing w:after="0"/>
              <w:rPr>
                <w:sz w:val="1"/>
                <w:szCs w:val="1"/>
                <w:color w:val="auto"/>
              </w:rPr>
            </w:pPr>
          </w:p>
        </w:tc>
      </w:tr>
      <w:tr>
        <w:trPr>
          <w:trHeight w:val="183"/>
        </w:trPr>
        <w:tc>
          <w:tcPr>
            <w:tcW w:w="2160" w:type="dxa"/>
            <w:vAlign w:val="bottom"/>
            <w:tcBorders>
              <w:left w:val="single" w:sz="8" w:color="auto"/>
            </w:tcBorders>
          </w:tcPr>
          <w:p>
            <w:pPr>
              <w:ind w:left="200"/>
              <w:spacing w:after="0"/>
              <w:rPr>
                <w:sz w:val="20"/>
                <w:szCs w:val="20"/>
                <w:color w:val="auto"/>
              </w:rPr>
            </w:pPr>
            <w:r>
              <w:rPr>
                <w:rFonts w:ascii="Calibri" w:cs="Calibri" w:eastAsia="Calibri" w:hAnsi="Calibri"/>
                <w:sz w:val="15"/>
                <w:szCs w:val="15"/>
                <w:b w:val="1"/>
                <w:bCs w:val="1"/>
                <w:color w:val="auto"/>
              </w:rPr>
              <w:t>Executve Ofcer</w:t>
            </w:r>
          </w:p>
        </w:tc>
        <w:tc>
          <w:tcPr>
            <w:tcW w:w="112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158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56"/>
        </w:trPr>
        <w:tc>
          <w:tcPr>
            <w:tcW w:w="2160" w:type="dxa"/>
            <w:vAlign w:val="bottom"/>
            <w:tcBorders>
              <w:left w:val="single" w:sz="8" w:color="auto"/>
              <w:bottom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1440" w:type="dxa"/>
            <w:vAlign w:val="bottom"/>
            <w:tcBorders>
              <w:bottom w:val="single" w:sz="8" w:color="auto"/>
            </w:tcBorders>
          </w:tcPr>
          <w:p>
            <w:pPr>
              <w:spacing w:after="0"/>
              <w:rPr>
                <w:sz w:val="4"/>
                <w:szCs w:val="4"/>
                <w:color w:val="auto"/>
              </w:rPr>
            </w:pPr>
          </w:p>
        </w:tc>
        <w:tc>
          <w:tcPr>
            <w:tcW w:w="1780" w:type="dxa"/>
            <w:vAlign w:val="bottom"/>
            <w:tcBorders>
              <w:bottom w:val="single" w:sz="8" w:color="auto"/>
            </w:tcBorders>
          </w:tcPr>
          <w:p>
            <w:pPr>
              <w:spacing w:after="0"/>
              <w:rPr>
                <w:sz w:val="4"/>
                <w:szCs w:val="4"/>
                <w:color w:val="auto"/>
              </w:rPr>
            </w:pPr>
          </w:p>
        </w:tc>
        <w:tc>
          <w:tcPr>
            <w:tcW w:w="1420" w:type="dxa"/>
            <w:vAlign w:val="bottom"/>
            <w:tcBorders>
              <w:bottom w:val="single" w:sz="8" w:color="auto"/>
            </w:tcBorders>
          </w:tcPr>
          <w:p>
            <w:pPr>
              <w:spacing w:after="0"/>
              <w:rPr>
                <w:sz w:val="4"/>
                <w:szCs w:val="4"/>
                <w:color w:val="auto"/>
              </w:rPr>
            </w:pPr>
          </w:p>
        </w:tc>
        <w:tc>
          <w:tcPr>
            <w:tcW w:w="1760" w:type="dxa"/>
            <w:vAlign w:val="bottom"/>
            <w:tcBorders>
              <w:bottom w:val="single" w:sz="8" w:color="auto"/>
            </w:tcBorders>
          </w:tcPr>
          <w:p>
            <w:pPr>
              <w:spacing w:after="0"/>
              <w:rPr>
                <w:sz w:val="4"/>
                <w:szCs w:val="4"/>
                <w:color w:val="auto"/>
              </w:rPr>
            </w:pPr>
          </w:p>
        </w:tc>
        <w:tc>
          <w:tcPr>
            <w:tcW w:w="158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24"/>
        </w:trPr>
        <w:tc>
          <w:tcPr>
            <w:tcW w:w="2160" w:type="dxa"/>
            <w:vAlign w:val="bottom"/>
            <w:tcBorders>
              <w:left w:val="single" w:sz="8" w:color="auto"/>
            </w:tcBorders>
          </w:tcPr>
          <w:p>
            <w:pPr>
              <w:ind w:left="80"/>
              <w:spacing w:after="0" w:line="224" w:lineRule="exact"/>
              <w:rPr>
                <w:sz w:val="20"/>
                <w:szCs w:val="20"/>
                <w:color w:val="auto"/>
              </w:rPr>
            </w:pPr>
            <w:r>
              <w:rPr>
                <w:rFonts w:ascii="Calibri" w:cs="Calibri" w:eastAsia="Calibri" w:hAnsi="Calibri"/>
                <w:sz w:val="15"/>
                <w:szCs w:val="15"/>
                <w:b w:val="1"/>
                <w:bCs w:val="1"/>
                <w:color w:val="auto"/>
              </w:rPr>
              <w:t>Karen Alexander</w:t>
            </w:r>
            <w:r>
              <w:rPr>
                <w:rFonts w:ascii="Calibri" w:cs="Calibri" w:eastAsia="Calibri" w:hAnsi="Calibri"/>
                <w:sz w:val="19"/>
                <w:szCs w:val="19"/>
                <w:b w:val="1"/>
                <w:bCs w:val="1"/>
                <w:color w:val="auto"/>
                <w:vertAlign w:val="superscript"/>
              </w:rPr>
              <w:t>(5)</w:t>
            </w:r>
          </w:p>
        </w:tc>
        <w:tc>
          <w:tcPr>
            <w:tcW w:w="1120" w:type="dxa"/>
            <w:vAlign w:val="bottom"/>
          </w:tcPr>
          <w:p>
            <w:pPr>
              <w:ind w:left="340"/>
              <w:spacing w:after="0"/>
              <w:rPr>
                <w:sz w:val="20"/>
                <w:szCs w:val="20"/>
                <w:color w:val="auto"/>
              </w:rPr>
            </w:pPr>
            <w:r>
              <w:rPr>
                <w:rFonts w:ascii="Calibri" w:cs="Calibri" w:eastAsia="Calibri" w:hAnsi="Calibri"/>
                <w:sz w:val="15"/>
                <w:szCs w:val="15"/>
                <w:b w:val="1"/>
                <w:bCs w:val="1"/>
                <w:color w:val="auto"/>
              </w:rPr>
              <w:t>2023</w:t>
            </w:r>
          </w:p>
        </w:tc>
        <w:tc>
          <w:tcPr>
            <w:tcW w:w="1440" w:type="dxa"/>
            <w:vAlign w:val="bottom"/>
          </w:tcPr>
          <w:p>
            <w:pPr>
              <w:jc w:val="center"/>
              <w:spacing w:after="0"/>
              <w:rPr>
                <w:sz w:val="20"/>
                <w:szCs w:val="20"/>
                <w:color w:val="auto"/>
              </w:rPr>
            </w:pPr>
            <w:r>
              <w:rPr>
                <w:rFonts w:ascii="Calibri" w:cs="Calibri" w:eastAsia="Calibri" w:hAnsi="Calibri"/>
                <w:sz w:val="15"/>
                <w:szCs w:val="15"/>
                <w:color w:val="auto"/>
              </w:rPr>
              <w:t>400,000</w:t>
            </w:r>
          </w:p>
        </w:tc>
        <w:tc>
          <w:tcPr>
            <w:tcW w:w="1780" w:type="dxa"/>
            <w:vAlign w:val="bottom"/>
          </w:tcPr>
          <w:p>
            <w:pPr>
              <w:jc w:val="center"/>
              <w:spacing w:after="0"/>
              <w:rPr>
                <w:sz w:val="20"/>
                <w:szCs w:val="20"/>
                <w:color w:val="auto"/>
              </w:rPr>
            </w:pPr>
            <w:r>
              <w:rPr>
                <w:rFonts w:ascii="Calibri" w:cs="Calibri" w:eastAsia="Calibri" w:hAnsi="Calibri"/>
                <w:sz w:val="15"/>
                <w:szCs w:val="15"/>
                <w:color w:val="auto"/>
              </w:rPr>
              <w:t>282,668</w:t>
            </w:r>
          </w:p>
        </w:tc>
        <w:tc>
          <w:tcPr>
            <w:tcW w:w="1420" w:type="dxa"/>
            <w:vAlign w:val="bottom"/>
          </w:tcPr>
          <w:p>
            <w:pPr>
              <w:jc w:val="center"/>
              <w:spacing w:after="0"/>
              <w:rPr>
                <w:sz w:val="20"/>
                <w:szCs w:val="20"/>
                <w:color w:val="auto"/>
              </w:rPr>
            </w:pPr>
            <w:r>
              <w:rPr>
                <w:rFonts w:ascii="Calibri" w:cs="Calibri" w:eastAsia="Calibri" w:hAnsi="Calibri"/>
                <w:sz w:val="15"/>
                <w:szCs w:val="15"/>
                <w:color w:val="auto"/>
              </w:rPr>
              <w:t>246,000</w:t>
            </w:r>
          </w:p>
        </w:tc>
        <w:tc>
          <w:tcPr>
            <w:tcW w:w="1760" w:type="dxa"/>
            <w:vAlign w:val="bottom"/>
          </w:tcPr>
          <w:p>
            <w:pPr>
              <w:jc w:val="center"/>
              <w:spacing w:after="0"/>
              <w:rPr>
                <w:sz w:val="20"/>
                <w:szCs w:val="20"/>
                <w:color w:val="auto"/>
              </w:rPr>
            </w:pPr>
            <w:r>
              <w:rPr>
                <w:rFonts w:ascii="Calibri" w:cs="Calibri" w:eastAsia="Calibri" w:hAnsi="Calibri"/>
                <w:sz w:val="15"/>
                <w:szCs w:val="15"/>
                <w:color w:val="auto"/>
              </w:rPr>
              <w:t>15,884</w:t>
            </w:r>
          </w:p>
        </w:tc>
        <w:tc>
          <w:tcPr>
            <w:tcW w:w="1580" w:type="dxa"/>
            <w:vAlign w:val="bottom"/>
            <w:tcBorders>
              <w:right w:val="single" w:sz="8" w:color="auto"/>
            </w:tcBorders>
          </w:tcPr>
          <w:p>
            <w:pPr>
              <w:jc w:val="center"/>
              <w:ind w:right="4"/>
              <w:spacing w:after="0"/>
              <w:rPr>
                <w:sz w:val="20"/>
                <w:szCs w:val="20"/>
                <w:color w:val="auto"/>
              </w:rPr>
            </w:pPr>
            <w:r>
              <w:rPr>
                <w:rFonts w:ascii="Calibri" w:cs="Calibri" w:eastAsia="Calibri" w:hAnsi="Calibri"/>
                <w:sz w:val="15"/>
                <w:szCs w:val="15"/>
                <w:b w:val="1"/>
                <w:bCs w:val="1"/>
                <w:color w:val="auto"/>
              </w:rPr>
              <w:t>944,552</w:t>
            </w:r>
          </w:p>
        </w:tc>
        <w:tc>
          <w:tcPr>
            <w:tcW w:w="0" w:type="dxa"/>
            <w:vAlign w:val="bottom"/>
          </w:tcPr>
          <w:p>
            <w:pPr>
              <w:spacing w:after="0"/>
              <w:rPr>
                <w:sz w:val="1"/>
                <w:szCs w:val="1"/>
                <w:color w:val="auto"/>
              </w:rPr>
            </w:pPr>
          </w:p>
        </w:tc>
      </w:tr>
      <w:tr>
        <w:trPr>
          <w:trHeight w:val="388"/>
        </w:trPr>
        <w:tc>
          <w:tcPr>
            <w:tcW w:w="2160" w:type="dxa"/>
            <w:vAlign w:val="bottom"/>
            <w:tcBorders>
              <w:left w:val="single" w:sz="8" w:color="auto"/>
            </w:tcBorders>
          </w:tcPr>
          <w:p>
            <w:pPr>
              <w:ind w:left="80"/>
              <w:spacing w:after="0"/>
              <w:rPr>
                <w:sz w:val="20"/>
                <w:szCs w:val="20"/>
                <w:color w:val="auto"/>
              </w:rPr>
            </w:pPr>
            <w:r>
              <w:rPr>
                <w:rFonts w:ascii="Calibri" w:cs="Calibri" w:eastAsia="Calibri" w:hAnsi="Calibri"/>
                <w:sz w:val="15"/>
                <w:szCs w:val="15"/>
                <w:b w:val="1"/>
                <w:bCs w:val="1"/>
                <w:color w:val="auto"/>
              </w:rPr>
              <w:t>Chief Financial Ofcer</w:t>
            </w:r>
          </w:p>
        </w:tc>
        <w:tc>
          <w:tcPr>
            <w:tcW w:w="1120" w:type="dxa"/>
            <w:vAlign w:val="bottom"/>
          </w:tcPr>
          <w:p>
            <w:pPr>
              <w:ind w:left="340"/>
              <w:spacing w:after="0"/>
              <w:rPr>
                <w:sz w:val="20"/>
                <w:szCs w:val="20"/>
                <w:color w:val="auto"/>
              </w:rPr>
            </w:pPr>
            <w:r>
              <w:rPr>
                <w:rFonts w:ascii="Calibri" w:cs="Calibri" w:eastAsia="Calibri" w:hAnsi="Calibri"/>
                <w:sz w:val="15"/>
                <w:szCs w:val="15"/>
                <w:b w:val="1"/>
                <w:bCs w:val="1"/>
                <w:color w:val="auto"/>
              </w:rPr>
              <w:t>2022</w:t>
            </w:r>
          </w:p>
        </w:tc>
        <w:tc>
          <w:tcPr>
            <w:tcW w:w="1440" w:type="dxa"/>
            <w:vAlign w:val="bottom"/>
          </w:tcPr>
          <w:p>
            <w:pPr>
              <w:jc w:val="center"/>
              <w:spacing w:after="0"/>
              <w:rPr>
                <w:sz w:val="20"/>
                <w:szCs w:val="20"/>
                <w:color w:val="auto"/>
              </w:rPr>
            </w:pPr>
            <w:r>
              <w:rPr>
                <w:rFonts w:ascii="Calibri" w:cs="Calibri" w:eastAsia="Calibri" w:hAnsi="Calibri"/>
                <w:sz w:val="15"/>
                <w:szCs w:val="15"/>
                <w:color w:val="auto"/>
              </w:rPr>
              <w:t>243,287</w:t>
            </w:r>
          </w:p>
        </w:tc>
        <w:tc>
          <w:tcPr>
            <w:tcW w:w="1780" w:type="dxa"/>
            <w:vAlign w:val="bottom"/>
          </w:tcPr>
          <w:p>
            <w:pPr>
              <w:jc w:val="center"/>
              <w:spacing w:after="0"/>
              <w:rPr>
                <w:sz w:val="20"/>
                <w:szCs w:val="20"/>
                <w:color w:val="auto"/>
              </w:rPr>
            </w:pPr>
            <w:r>
              <w:rPr>
                <w:rFonts w:ascii="Calibri" w:cs="Calibri" w:eastAsia="Calibri" w:hAnsi="Calibri"/>
                <w:sz w:val="15"/>
                <w:szCs w:val="15"/>
                <w:color w:val="auto"/>
              </w:rPr>
              <w:t>526,000</w:t>
            </w:r>
          </w:p>
        </w:tc>
        <w:tc>
          <w:tcPr>
            <w:tcW w:w="1420" w:type="dxa"/>
            <w:vAlign w:val="bottom"/>
          </w:tcPr>
          <w:p>
            <w:pPr>
              <w:jc w:val="center"/>
              <w:spacing w:after="0"/>
              <w:rPr>
                <w:sz w:val="20"/>
                <w:szCs w:val="20"/>
                <w:color w:val="auto"/>
              </w:rPr>
            </w:pPr>
            <w:r>
              <w:rPr>
                <w:rFonts w:ascii="Calibri" w:cs="Calibri" w:eastAsia="Calibri" w:hAnsi="Calibri"/>
                <w:sz w:val="15"/>
                <w:szCs w:val="15"/>
                <w:color w:val="auto"/>
              </w:rPr>
              <w:t>246,000</w:t>
            </w:r>
          </w:p>
        </w:tc>
        <w:tc>
          <w:tcPr>
            <w:tcW w:w="1760" w:type="dxa"/>
            <w:vAlign w:val="bottom"/>
          </w:tcPr>
          <w:p>
            <w:pPr>
              <w:jc w:val="center"/>
              <w:spacing w:after="0"/>
              <w:rPr>
                <w:sz w:val="20"/>
                <w:szCs w:val="20"/>
                <w:color w:val="auto"/>
              </w:rPr>
            </w:pPr>
            <w:r>
              <w:rPr>
                <w:rFonts w:ascii="Calibri" w:cs="Calibri" w:eastAsia="Calibri" w:hAnsi="Calibri"/>
                <w:sz w:val="15"/>
                <w:szCs w:val="15"/>
                <w:color w:val="auto"/>
              </w:rPr>
              <w:t>14,990</w:t>
            </w:r>
          </w:p>
        </w:tc>
        <w:tc>
          <w:tcPr>
            <w:tcW w:w="1580" w:type="dxa"/>
            <w:vAlign w:val="bottom"/>
            <w:tcBorders>
              <w:right w:val="single" w:sz="8" w:color="auto"/>
            </w:tcBorders>
          </w:tcPr>
          <w:p>
            <w:pPr>
              <w:jc w:val="center"/>
              <w:ind w:right="4"/>
              <w:spacing w:after="0"/>
              <w:rPr>
                <w:sz w:val="20"/>
                <w:szCs w:val="20"/>
                <w:color w:val="auto"/>
              </w:rPr>
            </w:pPr>
            <w:r>
              <w:rPr>
                <w:rFonts w:ascii="Calibri" w:cs="Calibri" w:eastAsia="Calibri" w:hAnsi="Calibri"/>
                <w:sz w:val="15"/>
                <w:szCs w:val="15"/>
                <w:b w:val="1"/>
                <w:bCs w:val="1"/>
                <w:color w:val="auto"/>
              </w:rPr>
              <w:t>1,030,277</w:t>
            </w:r>
          </w:p>
        </w:tc>
        <w:tc>
          <w:tcPr>
            <w:tcW w:w="0" w:type="dxa"/>
            <w:vAlign w:val="bottom"/>
          </w:tcPr>
          <w:p>
            <w:pPr>
              <w:spacing w:after="0"/>
              <w:rPr>
                <w:sz w:val="1"/>
                <w:szCs w:val="1"/>
                <w:color w:val="auto"/>
              </w:rPr>
            </w:pPr>
          </w:p>
        </w:tc>
      </w:tr>
      <w:tr>
        <w:trPr>
          <w:trHeight w:val="56"/>
        </w:trPr>
        <w:tc>
          <w:tcPr>
            <w:tcW w:w="2160" w:type="dxa"/>
            <w:vAlign w:val="bottom"/>
            <w:tcBorders>
              <w:left w:val="single" w:sz="8" w:color="auto"/>
              <w:bottom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1440" w:type="dxa"/>
            <w:vAlign w:val="bottom"/>
            <w:tcBorders>
              <w:bottom w:val="single" w:sz="8" w:color="auto"/>
            </w:tcBorders>
          </w:tcPr>
          <w:p>
            <w:pPr>
              <w:spacing w:after="0"/>
              <w:rPr>
                <w:sz w:val="4"/>
                <w:szCs w:val="4"/>
                <w:color w:val="auto"/>
              </w:rPr>
            </w:pPr>
          </w:p>
        </w:tc>
        <w:tc>
          <w:tcPr>
            <w:tcW w:w="1780" w:type="dxa"/>
            <w:vAlign w:val="bottom"/>
            <w:tcBorders>
              <w:bottom w:val="single" w:sz="8" w:color="auto"/>
            </w:tcBorders>
          </w:tcPr>
          <w:p>
            <w:pPr>
              <w:spacing w:after="0"/>
              <w:rPr>
                <w:sz w:val="4"/>
                <w:szCs w:val="4"/>
                <w:color w:val="auto"/>
              </w:rPr>
            </w:pPr>
          </w:p>
        </w:tc>
        <w:tc>
          <w:tcPr>
            <w:tcW w:w="1420" w:type="dxa"/>
            <w:vAlign w:val="bottom"/>
            <w:tcBorders>
              <w:bottom w:val="single" w:sz="8" w:color="auto"/>
            </w:tcBorders>
          </w:tcPr>
          <w:p>
            <w:pPr>
              <w:spacing w:after="0"/>
              <w:rPr>
                <w:sz w:val="4"/>
                <w:szCs w:val="4"/>
                <w:color w:val="auto"/>
              </w:rPr>
            </w:pPr>
          </w:p>
        </w:tc>
        <w:tc>
          <w:tcPr>
            <w:tcW w:w="1760" w:type="dxa"/>
            <w:vAlign w:val="bottom"/>
            <w:tcBorders>
              <w:bottom w:val="single" w:sz="8" w:color="auto"/>
            </w:tcBorders>
          </w:tcPr>
          <w:p>
            <w:pPr>
              <w:spacing w:after="0"/>
              <w:rPr>
                <w:sz w:val="4"/>
                <w:szCs w:val="4"/>
                <w:color w:val="auto"/>
              </w:rPr>
            </w:pPr>
          </w:p>
        </w:tc>
        <w:tc>
          <w:tcPr>
            <w:tcW w:w="158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80"/>
        </w:trPr>
        <w:tc>
          <w:tcPr>
            <w:tcW w:w="2160" w:type="dxa"/>
            <w:vAlign w:val="bottom"/>
            <w:tcBorders>
              <w:left w:val="single" w:sz="8" w:color="auto"/>
            </w:tcBorders>
          </w:tcPr>
          <w:p>
            <w:pPr>
              <w:ind w:left="80"/>
              <w:spacing w:after="0" w:line="180" w:lineRule="exact"/>
              <w:rPr>
                <w:sz w:val="20"/>
                <w:szCs w:val="20"/>
                <w:color w:val="auto"/>
              </w:rPr>
            </w:pPr>
            <w:r>
              <w:rPr>
                <w:rFonts w:ascii="Calibri" w:cs="Calibri" w:eastAsia="Calibri" w:hAnsi="Calibri"/>
                <w:sz w:val="15"/>
                <w:szCs w:val="15"/>
                <w:b w:val="1"/>
                <w:bCs w:val="1"/>
                <w:color w:val="auto"/>
              </w:rPr>
              <w:t>Marc D’Annunzio</w:t>
            </w:r>
          </w:p>
        </w:tc>
        <w:tc>
          <w:tcPr>
            <w:tcW w:w="1120" w:type="dxa"/>
            <w:vAlign w:val="bottom"/>
          </w:tcPr>
          <w:p>
            <w:pPr>
              <w:ind w:left="340"/>
              <w:spacing w:after="0" w:line="180" w:lineRule="exact"/>
              <w:rPr>
                <w:sz w:val="20"/>
                <w:szCs w:val="20"/>
                <w:color w:val="auto"/>
              </w:rPr>
            </w:pPr>
            <w:r>
              <w:rPr>
                <w:rFonts w:ascii="Calibri" w:cs="Calibri" w:eastAsia="Calibri" w:hAnsi="Calibri"/>
                <w:sz w:val="15"/>
                <w:szCs w:val="15"/>
                <w:b w:val="1"/>
                <w:bCs w:val="1"/>
                <w:color w:val="auto"/>
              </w:rPr>
              <w:t>2023</w:t>
            </w:r>
          </w:p>
        </w:tc>
        <w:tc>
          <w:tcPr>
            <w:tcW w:w="1440" w:type="dxa"/>
            <w:vAlign w:val="bottom"/>
          </w:tcPr>
          <w:p>
            <w:pPr>
              <w:jc w:val="center"/>
              <w:spacing w:after="0" w:line="180" w:lineRule="exact"/>
              <w:rPr>
                <w:sz w:val="20"/>
                <w:szCs w:val="20"/>
                <w:color w:val="auto"/>
              </w:rPr>
            </w:pPr>
            <w:r>
              <w:rPr>
                <w:rFonts w:ascii="Calibri" w:cs="Calibri" w:eastAsia="Calibri" w:hAnsi="Calibri"/>
                <w:sz w:val="15"/>
                <w:szCs w:val="15"/>
                <w:color w:val="auto"/>
              </w:rPr>
              <w:t>400,000</w:t>
            </w:r>
          </w:p>
        </w:tc>
        <w:tc>
          <w:tcPr>
            <w:tcW w:w="1780" w:type="dxa"/>
            <w:vAlign w:val="bottom"/>
          </w:tcPr>
          <w:p>
            <w:pPr>
              <w:jc w:val="center"/>
              <w:spacing w:after="0" w:line="180" w:lineRule="exact"/>
              <w:rPr>
                <w:sz w:val="20"/>
                <w:szCs w:val="20"/>
                <w:color w:val="auto"/>
              </w:rPr>
            </w:pPr>
            <w:r>
              <w:rPr>
                <w:rFonts w:ascii="Calibri" w:cs="Calibri" w:eastAsia="Calibri" w:hAnsi="Calibri"/>
                <w:sz w:val="15"/>
                <w:szCs w:val="15"/>
                <w:color w:val="auto"/>
              </w:rPr>
              <w:t>282,668</w:t>
            </w:r>
          </w:p>
        </w:tc>
        <w:tc>
          <w:tcPr>
            <w:tcW w:w="1420" w:type="dxa"/>
            <w:vAlign w:val="bottom"/>
          </w:tcPr>
          <w:p>
            <w:pPr>
              <w:jc w:val="center"/>
              <w:spacing w:after="0" w:line="180" w:lineRule="exact"/>
              <w:rPr>
                <w:sz w:val="20"/>
                <w:szCs w:val="20"/>
                <w:color w:val="auto"/>
              </w:rPr>
            </w:pPr>
            <w:r>
              <w:rPr>
                <w:rFonts w:ascii="Calibri" w:cs="Calibri" w:eastAsia="Calibri" w:hAnsi="Calibri"/>
                <w:sz w:val="15"/>
                <w:szCs w:val="15"/>
                <w:color w:val="auto"/>
              </w:rPr>
              <w:t>231,750</w:t>
            </w:r>
          </w:p>
        </w:tc>
        <w:tc>
          <w:tcPr>
            <w:tcW w:w="1760" w:type="dxa"/>
            <w:vAlign w:val="bottom"/>
          </w:tcPr>
          <w:p>
            <w:pPr>
              <w:jc w:val="center"/>
              <w:spacing w:after="0" w:line="180" w:lineRule="exact"/>
              <w:rPr>
                <w:sz w:val="20"/>
                <w:szCs w:val="20"/>
                <w:color w:val="auto"/>
              </w:rPr>
            </w:pPr>
            <w:r>
              <w:rPr>
                <w:rFonts w:ascii="Calibri" w:cs="Calibri" w:eastAsia="Calibri" w:hAnsi="Calibri"/>
                <w:sz w:val="15"/>
                <w:szCs w:val="15"/>
                <w:color w:val="auto"/>
              </w:rPr>
              <w:t>18,876</w:t>
            </w:r>
          </w:p>
        </w:tc>
        <w:tc>
          <w:tcPr>
            <w:tcW w:w="1580" w:type="dxa"/>
            <w:vAlign w:val="bottom"/>
            <w:tcBorders>
              <w:right w:val="single" w:sz="8" w:color="auto"/>
            </w:tcBorders>
          </w:tcPr>
          <w:p>
            <w:pPr>
              <w:jc w:val="center"/>
              <w:ind w:right="4"/>
              <w:spacing w:after="0" w:line="180" w:lineRule="exact"/>
              <w:rPr>
                <w:sz w:val="20"/>
                <w:szCs w:val="20"/>
                <w:color w:val="auto"/>
              </w:rPr>
            </w:pPr>
            <w:r>
              <w:rPr>
                <w:rFonts w:ascii="Calibri" w:cs="Calibri" w:eastAsia="Calibri" w:hAnsi="Calibri"/>
                <w:sz w:val="15"/>
                <w:szCs w:val="15"/>
                <w:b w:val="1"/>
                <w:bCs w:val="1"/>
                <w:color w:val="auto"/>
              </w:rPr>
              <w:t>933,294</w:t>
            </w:r>
          </w:p>
        </w:tc>
        <w:tc>
          <w:tcPr>
            <w:tcW w:w="0" w:type="dxa"/>
            <w:vAlign w:val="bottom"/>
          </w:tcPr>
          <w:p>
            <w:pPr>
              <w:spacing w:after="0"/>
              <w:rPr>
                <w:sz w:val="1"/>
                <w:szCs w:val="1"/>
                <w:color w:val="auto"/>
              </w:rPr>
            </w:pPr>
          </w:p>
        </w:tc>
      </w:tr>
      <w:tr>
        <w:trPr>
          <w:trHeight w:val="351"/>
        </w:trPr>
        <w:tc>
          <w:tcPr>
            <w:tcW w:w="2160" w:type="dxa"/>
            <w:vAlign w:val="bottom"/>
            <w:tcBorders>
              <w:left w:val="single" w:sz="8" w:color="auto"/>
            </w:tcBorders>
          </w:tcPr>
          <w:p>
            <w:pPr>
              <w:ind w:left="80"/>
              <w:spacing w:after="0"/>
              <w:rPr>
                <w:sz w:val="20"/>
                <w:szCs w:val="20"/>
                <w:color w:val="auto"/>
              </w:rPr>
            </w:pPr>
            <w:r>
              <w:rPr>
                <w:rFonts w:ascii="Calibri" w:cs="Calibri" w:eastAsia="Calibri" w:hAnsi="Calibri"/>
                <w:sz w:val="15"/>
                <w:szCs w:val="15"/>
                <w:b w:val="1"/>
                <w:bCs w:val="1"/>
                <w:color w:val="auto"/>
              </w:rPr>
              <w:t>General Counsel and</w:t>
            </w:r>
          </w:p>
        </w:tc>
        <w:tc>
          <w:tcPr>
            <w:tcW w:w="1120" w:type="dxa"/>
            <w:vAlign w:val="bottom"/>
            <w:vMerge w:val="restart"/>
          </w:tcPr>
          <w:p>
            <w:pPr>
              <w:ind w:left="340"/>
              <w:spacing w:after="0"/>
              <w:rPr>
                <w:sz w:val="20"/>
                <w:szCs w:val="20"/>
                <w:color w:val="auto"/>
              </w:rPr>
            </w:pPr>
            <w:r>
              <w:rPr>
                <w:rFonts w:ascii="Calibri" w:cs="Calibri" w:eastAsia="Calibri" w:hAnsi="Calibri"/>
                <w:sz w:val="15"/>
                <w:szCs w:val="15"/>
                <w:b w:val="1"/>
                <w:bCs w:val="1"/>
                <w:color w:val="auto"/>
              </w:rPr>
              <w:t>2022</w:t>
            </w:r>
          </w:p>
        </w:tc>
        <w:tc>
          <w:tcPr>
            <w:tcW w:w="1440" w:type="dxa"/>
            <w:vAlign w:val="bottom"/>
            <w:vMerge w:val="restart"/>
          </w:tcPr>
          <w:p>
            <w:pPr>
              <w:jc w:val="center"/>
              <w:spacing w:after="0"/>
              <w:rPr>
                <w:sz w:val="20"/>
                <w:szCs w:val="20"/>
                <w:color w:val="auto"/>
              </w:rPr>
            </w:pPr>
            <w:r>
              <w:rPr>
                <w:rFonts w:ascii="Calibri" w:cs="Calibri" w:eastAsia="Calibri" w:hAnsi="Calibri"/>
                <w:sz w:val="15"/>
                <w:szCs w:val="15"/>
                <w:color w:val="auto"/>
              </w:rPr>
              <w:t>400,000</w:t>
            </w:r>
          </w:p>
        </w:tc>
        <w:tc>
          <w:tcPr>
            <w:tcW w:w="1780" w:type="dxa"/>
            <w:vAlign w:val="bottom"/>
            <w:vMerge w:val="restart"/>
          </w:tcPr>
          <w:p>
            <w:pPr>
              <w:jc w:val="center"/>
              <w:spacing w:after="0"/>
              <w:rPr>
                <w:sz w:val="20"/>
                <w:szCs w:val="20"/>
                <w:color w:val="auto"/>
              </w:rPr>
            </w:pPr>
            <w:r>
              <w:rPr>
                <w:rFonts w:ascii="Calibri" w:cs="Calibri" w:eastAsia="Calibri" w:hAnsi="Calibri"/>
                <w:sz w:val="15"/>
                <w:szCs w:val="15"/>
                <w:color w:val="auto"/>
              </w:rPr>
              <w:t>2,470,687</w:t>
            </w:r>
          </w:p>
        </w:tc>
        <w:tc>
          <w:tcPr>
            <w:tcW w:w="1420" w:type="dxa"/>
            <w:vAlign w:val="bottom"/>
            <w:vMerge w:val="restart"/>
          </w:tcPr>
          <w:p>
            <w:pPr>
              <w:jc w:val="center"/>
              <w:spacing w:after="0"/>
              <w:rPr>
                <w:sz w:val="20"/>
                <w:szCs w:val="20"/>
                <w:color w:val="auto"/>
              </w:rPr>
            </w:pPr>
            <w:r>
              <w:rPr>
                <w:rFonts w:ascii="Calibri" w:cs="Calibri" w:eastAsia="Calibri" w:hAnsi="Calibri"/>
                <w:sz w:val="15"/>
                <w:szCs w:val="15"/>
                <w:color w:val="auto"/>
              </w:rPr>
              <w:t>231,750</w:t>
            </w:r>
          </w:p>
        </w:tc>
        <w:tc>
          <w:tcPr>
            <w:tcW w:w="1760" w:type="dxa"/>
            <w:vAlign w:val="bottom"/>
            <w:vMerge w:val="restart"/>
          </w:tcPr>
          <w:p>
            <w:pPr>
              <w:jc w:val="right"/>
              <w:ind w:right="748"/>
              <w:spacing w:after="0"/>
              <w:rPr>
                <w:sz w:val="20"/>
                <w:szCs w:val="20"/>
                <w:color w:val="auto"/>
              </w:rPr>
            </w:pPr>
            <w:r>
              <w:rPr>
                <w:rFonts w:ascii="Calibri" w:cs="Calibri" w:eastAsia="Calibri" w:hAnsi="Calibri"/>
                <w:sz w:val="15"/>
                <w:szCs w:val="15"/>
                <w:color w:val="auto"/>
              </w:rPr>
              <w:t>4,934</w:t>
            </w:r>
          </w:p>
        </w:tc>
        <w:tc>
          <w:tcPr>
            <w:tcW w:w="1580" w:type="dxa"/>
            <w:vAlign w:val="bottom"/>
            <w:tcBorders>
              <w:right w:val="single" w:sz="8" w:color="auto"/>
            </w:tcBorders>
            <w:vMerge w:val="restart"/>
          </w:tcPr>
          <w:p>
            <w:pPr>
              <w:jc w:val="center"/>
              <w:ind w:right="4"/>
              <w:spacing w:after="0"/>
              <w:rPr>
                <w:sz w:val="20"/>
                <w:szCs w:val="20"/>
                <w:color w:val="auto"/>
              </w:rPr>
            </w:pPr>
            <w:r>
              <w:rPr>
                <w:rFonts w:ascii="Calibri" w:cs="Calibri" w:eastAsia="Calibri" w:hAnsi="Calibri"/>
                <w:sz w:val="15"/>
                <w:szCs w:val="15"/>
                <w:b w:val="1"/>
                <w:bCs w:val="1"/>
                <w:color w:val="auto"/>
              </w:rPr>
              <w:t>3,107,371</w:t>
            </w:r>
          </w:p>
        </w:tc>
        <w:tc>
          <w:tcPr>
            <w:tcW w:w="0" w:type="dxa"/>
            <w:vAlign w:val="bottom"/>
          </w:tcPr>
          <w:p>
            <w:pPr>
              <w:spacing w:after="0"/>
              <w:rPr>
                <w:sz w:val="1"/>
                <w:szCs w:val="1"/>
                <w:color w:val="auto"/>
              </w:rPr>
            </w:pPr>
          </w:p>
        </w:tc>
      </w:tr>
      <w:tr>
        <w:trPr>
          <w:trHeight w:val="81"/>
        </w:trPr>
        <w:tc>
          <w:tcPr>
            <w:tcW w:w="2160" w:type="dxa"/>
            <w:vAlign w:val="bottom"/>
            <w:tcBorders>
              <w:left w:val="single" w:sz="8" w:color="auto"/>
            </w:tcBorders>
            <w:vMerge w:val="restart"/>
          </w:tcPr>
          <w:p>
            <w:pPr>
              <w:ind w:left="80"/>
              <w:spacing w:after="0"/>
              <w:rPr>
                <w:sz w:val="20"/>
                <w:szCs w:val="20"/>
                <w:color w:val="auto"/>
              </w:rPr>
            </w:pPr>
            <w:r>
              <w:rPr>
                <w:rFonts w:ascii="Calibri" w:cs="Calibri" w:eastAsia="Calibri" w:hAnsi="Calibri"/>
                <w:sz w:val="15"/>
                <w:szCs w:val="15"/>
                <w:b w:val="1"/>
                <w:bCs w:val="1"/>
                <w:color w:val="auto"/>
              </w:rPr>
              <w:t>Secretary</w:t>
            </w:r>
          </w:p>
        </w:tc>
        <w:tc>
          <w:tcPr>
            <w:tcW w:w="1120" w:type="dxa"/>
            <w:vAlign w:val="bottom"/>
            <w:vMerge w:val="continue"/>
          </w:tcPr>
          <w:p>
            <w:pPr>
              <w:spacing w:after="0"/>
              <w:rPr>
                <w:sz w:val="7"/>
                <w:szCs w:val="7"/>
                <w:color w:val="auto"/>
              </w:rPr>
            </w:pPr>
          </w:p>
        </w:tc>
        <w:tc>
          <w:tcPr>
            <w:tcW w:w="1440" w:type="dxa"/>
            <w:vAlign w:val="bottom"/>
            <w:vMerge w:val="continue"/>
          </w:tcPr>
          <w:p>
            <w:pPr>
              <w:spacing w:after="0"/>
              <w:rPr>
                <w:sz w:val="7"/>
                <w:szCs w:val="7"/>
                <w:color w:val="auto"/>
              </w:rPr>
            </w:pPr>
          </w:p>
        </w:tc>
        <w:tc>
          <w:tcPr>
            <w:tcW w:w="1780" w:type="dxa"/>
            <w:vAlign w:val="bottom"/>
            <w:vMerge w:val="continue"/>
          </w:tcPr>
          <w:p>
            <w:pPr>
              <w:spacing w:after="0"/>
              <w:rPr>
                <w:sz w:val="7"/>
                <w:szCs w:val="7"/>
                <w:color w:val="auto"/>
              </w:rPr>
            </w:pPr>
          </w:p>
        </w:tc>
        <w:tc>
          <w:tcPr>
            <w:tcW w:w="1420" w:type="dxa"/>
            <w:vAlign w:val="bottom"/>
            <w:vMerge w:val="continue"/>
          </w:tcPr>
          <w:p>
            <w:pPr>
              <w:spacing w:after="0"/>
              <w:rPr>
                <w:sz w:val="7"/>
                <w:szCs w:val="7"/>
                <w:color w:val="auto"/>
              </w:rPr>
            </w:pPr>
          </w:p>
        </w:tc>
        <w:tc>
          <w:tcPr>
            <w:tcW w:w="1760" w:type="dxa"/>
            <w:vAlign w:val="bottom"/>
            <w:vMerge w:val="continue"/>
          </w:tcPr>
          <w:p>
            <w:pPr>
              <w:spacing w:after="0"/>
              <w:rPr>
                <w:sz w:val="7"/>
                <w:szCs w:val="7"/>
                <w:color w:val="auto"/>
              </w:rPr>
            </w:pPr>
          </w:p>
        </w:tc>
        <w:tc>
          <w:tcPr>
            <w:tcW w:w="158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08"/>
        </w:trPr>
        <w:tc>
          <w:tcPr>
            <w:tcW w:w="2160" w:type="dxa"/>
            <w:vAlign w:val="bottom"/>
            <w:tcBorders>
              <w:left w:val="single" w:sz="8" w:color="auto"/>
            </w:tcBorders>
            <w:vMerge w:val="continue"/>
          </w:tcPr>
          <w:p>
            <w:pPr>
              <w:spacing w:after="0"/>
              <w:rPr>
                <w:sz w:val="9"/>
                <w:szCs w:val="9"/>
                <w:color w:val="auto"/>
              </w:rPr>
            </w:pPr>
          </w:p>
        </w:tc>
        <w:tc>
          <w:tcPr>
            <w:tcW w:w="1120" w:type="dxa"/>
            <w:vAlign w:val="bottom"/>
          </w:tcPr>
          <w:p>
            <w:pPr>
              <w:spacing w:after="0"/>
              <w:rPr>
                <w:sz w:val="9"/>
                <w:szCs w:val="9"/>
                <w:color w:val="auto"/>
              </w:rPr>
            </w:pPr>
          </w:p>
        </w:tc>
        <w:tc>
          <w:tcPr>
            <w:tcW w:w="1440" w:type="dxa"/>
            <w:vAlign w:val="bottom"/>
          </w:tcPr>
          <w:p>
            <w:pPr>
              <w:spacing w:after="0"/>
              <w:rPr>
                <w:sz w:val="9"/>
                <w:szCs w:val="9"/>
                <w:color w:val="auto"/>
              </w:rPr>
            </w:pPr>
          </w:p>
        </w:tc>
        <w:tc>
          <w:tcPr>
            <w:tcW w:w="1780" w:type="dxa"/>
            <w:vAlign w:val="bottom"/>
          </w:tcPr>
          <w:p>
            <w:pPr>
              <w:spacing w:after="0"/>
              <w:rPr>
                <w:sz w:val="9"/>
                <w:szCs w:val="9"/>
                <w:color w:val="auto"/>
              </w:rPr>
            </w:pPr>
          </w:p>
        </w:tc>
        <w:tc>
          <w:tcPr>
            <w:tcW w:w="1420" w:type="dxa"/>
            <w:vAlign w:val="bottom"/>
          </w:tcPr>
          <w:p>
            <w:pPr>
              <w:spacing w:after="0"/>
              <w:rPr>
                <w:sz w:val="9"/>
                <w:szCs w:val="9"/>
                <w:color w:val="auto"/>
              </w:rPr>
            </w:pPr>
          </w:p>
        </w:tc>
        <w:tc>
          <w:tcPr>
            <w:tcW w:w="1760" w:type="dxa"/>
            <w:vAlign w:val="bottom"/>
          </w:tcPr>
          <w:p>
            <w:pPr>
              <w:spacing w:after="0"/>
              <w:rPr>
                <w:sz w:val="9"/>
                <w:szCs w:val="9"/>
                <w:color w:val="auto"/>
              </w:rPr>
            </w:pPr>
          </w:p>
        </w:tc>
        <w:tc>
          <w:tcPr>
            <w:tcW w:w="158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56"/>
        </w:trPr>
        <w:tc>
          <w:tcPr>
            <w:tcW w:w="2160" w:type="dxa"/>
            <w:vAlign w:val="bottom"/>
            <w:tcBorders>
              <w:left w:val="single" w:sz="8" w:color="auto"/>
              <w:bottom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1440" w:type="dxa"/>
            <w:vAlign w:val="bottom"/>
            <w:tcBorders>
              <w:bottom w:val="single" w:sz="8" w:color="auto"/>
            </w:tcBorders>
          </w:tcPr>
          <w:p>
            <w:pPr>
              <w:spacing w:after="0"/>
              <w:rPr>
                <w:sz w:val="4"/>
                <w:szCs w:val="4"/>
                <w:color w:val="auto"/>
              </w:rPr>
            </w:pPr>
          </w:p>
        </w:tc>
        <w:tc>
          <w:tcPr>
            <w:tcW w:w="1780" w:type="dxa"/>
            <w:vAlign w:val="bottom"/>
            <w:tcBorders>
              <w:bottom w:val="single" w:sz="8" w:color="auto"/>
            </w:tcBorders>
          </w:tcPr>
          <w:p>
            <w:pPr>
              <w:spacing w:after="0"/>
              <w:rPr>
                <w:sz w:val="4"/>
                <w:szCs w:val="4"/>
                <w:color w:val="auto"/>
              </w:rPr>
            </w:pPr>
          </w:p>
        </w:tc>
        <w:tc>
          <w:tcPr>
            <w:tcW w:w="1420" w:type="dxa"/>
            <w:vAlign w:val="bottom"/>
            <w:tcBorders>
              <w:bottom w:val="single" w:sz="8" w:color="auto"/>
            </w:tcBorders>
          </w:tcPr>
          <w:p>
            <w:pPr>
              <w:spacing w:after="0"/>
              <w:rPr>
                <w:sz w:val="4"/>
                <w:szCs w:val="4"/>
                <w:color w:val="auto"/>
              </w:rPr>
            </w:pPr>
          </w:p>
        </w:tc>
        <w:tc>
          <w:tcPr>
            <w:tcW w:w="1760" w:type="dxa"/>
            <w:vAlign w:val="bottom"/>
            <w:tcBorders>
              <w:bottom w:val="single" w:sz="8" w:color="auto"/>
            </w:tcBorders>
          </w:tcPr>
          <w:p>
            <w:pPr>
              <w:spacing w:after="0"/>
              <w:rPr>
                <w:sz w:val="4"/>
                <w:szCs w:val="4"/>
                <w:color w:val="auto"/>
              </w:rPr>
            </w:pPr>
          </w:p>
        </w:tc>
        <w:tc>
          <w:tcPr>
            <w:tcW w:w="158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87" w:lineRule="exact"/>
        <w:rPr>
          <w:sz w:val="20"/>
          <w:szCs w:val="20"/>
          <w:color w:val="auto"/>
        </w:rPr>
      </w:pPr>
    </w:p>
    <w:p>
      <w:pPr>
        <w:ind w:left="480" w:hanging="346"/>
        <w:spacing w:after="0"/>
        <w:tabs>
          <w:tab w:leader="none" w:pos="480" w:val="left"/>
        </w:tabs>
        <w:numPr>
          <w:ilvl w:val="0"/>
          <w:numId w:val="37"/>
        </w:numPr>
        <w:rPr>
          <w:rFonts w:ascii="Calibri" w:cs="Calibri" w:eastAsia="Calibri" w:hAnsi="Calibri"/>
          <w:sz w:val="16"/>
          <w:szCs w:val="16"/>
          <w:color w:val="auto"/>
        </w:rPr>
      </w:pPr>
      <w:r>
        <w:rPr>
          <w:rFonts w:ascii="Calibri" w:cs="Calibri" w:eastAsia="Calibri" w:hAnsi="Calibri"/>
          <w:sz w:val="16"/>
          <w:szCs w:val="16"/>
          <w:color w:val="auto"/>
        </w:rPr>
        <w:t>Amounts refect annual base salary earned during fscal year 2023 or 2022.</w:t>
      </w:r>
    </w:p>
    <w:p>
      <w:pPr>
        <w:jc w:val="both"/>
        <w:ind w:left="500" w:right="80" w:hanging="366"/>
        <w:spacing w:after="0"/>
        <w:tabs>
          <w:tab w:leader="none" w:pos="491" w:val="left"/>
        </w:tabs>
        <w:numPr>
          <w:ilvl w:val="0"/>
          <w:numId w:val="37"/>
        </w:numPr>
        <w:rPr>
          <w:rFonts w:ascii="Calibri" w:cs="Calibri" w:eastAsia="Calibri" w:hAnsi="Calibri"/>
          <w:sz w:val="16"/>
          <w:szCs w:val="16"/>
          <w:color w:val="auto"/>
        </w:rPr>
      </w:pPr>
      <w:r>
        <w:rPr>
          <w:rFonts w:ascii="Calibri" w:cs="Calibri" w:eastAsia="Calibri" w:hAnsi="Calibri"/>
          <w:sz w:val="16"/>
          <w:szCs w:val="16"/>
          <w:color w:val="auto"/>
        </w:rPr>
        <w:t xml:space="preserve">Amounts represent the grant date fair value of equity-based awards granted in fscal year 2023 and 2022, calculated in accordance with ASC 718, and do not necessarily correspond to the actual value that may be recognized from the equity-based awards. Assumptons used in the calculaton of these amounts are described in </w:t>
      </w:r>
      <w:r>
        <w:rPr>
          <w:rFonts w:ascii="Calibri" w:cs="Calibri" w:eastAsia="Calibri" w:hAnsi="Calibri"/>
          <w:sz w:val="16"/>
          <w:szCs w:val="16"/>
          <w:i w:val="1"/>
          <w:iCs w:val="1"/>
          <w:color w:val="auto"/>
        </w:rPr>
        <w:t>Note 11—Share-Based and Unit-Based Compensaton</w:t>
      </w:r>
      <w:r>
        <w:rPr>
          <w:rFonts w:ascii="Calibri" w:cs="Calibri" w:eastAsia="Calibri" w:hAnsi="Calibri"/>
          <w:sz w:val="16"/>
          <w:szCs w:val="16"/>
          <w:color w:val="auto"/>
        </w:rPr>
        <w:t xml:space="preserve"> of our audited consolidated fnancial statements included in our Annual Report on Form 10-K for the year ended December 31, 2023.</w:t>
      </w:r>
    </w:p>
    <w:p>
      <w:pPr>
        <w:spacing w:after="0" w:line="1" w:lineRule="exact"/>
        <w:rPr>
          <w:rFonts w:ascii="Calibri" w:cs="Calibri" w:eastAsia="Calibri" w:hAnsi="Calibri"/>
          <w:sz w:val="16"/>
          <w:szCs w:val="16"/>
          <w:color w:val="auto"/>
        </w:rPr>
      </w:pPr>
    </w:p>
    <w:p>
      <w:pPr>
        <w:ind w:left="480" w:hanging="346"/>
        <w:spacing w:after="0" w:line="232" w:lineRule="auto"/>
        <w:tabs>
          <w:tab w:leader="none" w:pos="480" w:val="left"/>
        </w:tabs>
        <w:numPr>
          <w:ilvl w:val="0"/>
          <w:numId w:val="37"/>
        </w:numPr>
        <w:rPr>
          <w:rFonts w:ascii="Calibri" w:cs="Calibri" w:eastAsia="Calibri" w:hAnsi="Calibri"/>
          <w:sz w:val="16"/>
          <w:szCs w:val="16"/>
          <w:color w:val="auto"/>
        </w:rPr>
      </w:pPr>
      <w:r>
        <w:rPr>
          <w:rFonts w:ascii="Calibri" w:cs="Calibri" w:eastAsia="Calibri" w:hAnsi="Calibri"/>
          <w:sz w:val="16"/>
          <w:szCs w:val="16"/>
          <w:color w:val="auto"/>
        </w:rPr>
        <w:t>The “All other compensaton” amounts include life insurance premiums and employer 401(k) plan contributons.</w:t>
      </w:r>
    </w:p>
    <w:p>
      <w:pPr>
        <w:ind w:left="500" w:right="80" w:hanging="366"/>
        <w:spacing w:after="0"/>
        <w:tabs>
          <w:tab w:leader="none" w:pos="491" w:val="left"/>
        </w:tabs>
        <w:numPr>
          <w:ilvl w:val="0"/>
          <w:numId w:val="37"/>
        </w:numPr>
        <w:rPr>
          <w:rFonts w:ascii="Calibri" w:cs="Calibri" w:eastAsia="Calibri" w:hAnsi="Calibri"/>
          <w:sz w:val="16"/>
          <w:szCs w:val="16"/>
          <w:color w:val="auto"/>
        </w:rPr>
      </w:pPr>
      <w:r>
        <w:rPr>
          <w:rFonts w:ascii="Calibri" w:cs="Calibri" w:eastAsia="Calibri" w:hAnsi="Calibri"/>
          <w:sz w:val="16"/>
          <w:szCs w:val="16"/>
          <w:color w:val="auto"/>
        </w:rPr>
        <w:t>Mr. Michael resigned as the Company’s President and Chief Executve Ofcer, efectve as of March 25, 2024. All unvested stock awards were forfeited by Mr. Michael as of that date, except for 1,322,456 performance-based RSUs issued to him on March 18, 2024.</w:t>
      </w:r>
    </w:p>
    <w:p>
      <w:pPr>
        <w:ind w:left="500" w:right="80" w:hanging="366"/>
        <w:spacing w:after="0" w:line="232" w:lineRule="auto"/>
        <w:tabs>
          <w:tab w:leader="none" w:pos="491" w:val="left"/>
        </w:tabs>
        <w:numPr>
          <w:ilvl w:val="0"/>
          <w:numId w:val="37"/>
        </w:numPr>
        <w:rPr>
          <w:rFonts w:ascii="Calibri" w:cs="Calibri" w:eastAsia="Calibri" w:hAnsi="Calibri"/>
          <w:sz w:val="16"/>
          <w:szCs w:val="16"/>
          <w:color w:val="auto"/>
        </w:rPr>
      </w:pPr>
      <w:r>
        <w:rPr>
          <w:rFonts w:ascii="Calibri" w:cs="Calibri" w:eastAsia="Calibri" w:hAnsi="Calibri"/>
          <w:sz w:val="16"/>
          <w:szCs w:val="16"/>
          <w:color w:val="auto"/>
        </w:rPr>
        <w:t>Ms. Alexander was appointed as the Company’s Interim Financial Ofcer efectve as of May 23, 2022 and as the Company’s Chief Financial Ofcer on August 8, 2022. Ms. Alexander’s annual salary is $400,000.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ind w:left="2760"/>
        <w:spacing w:after="0"/>
        <w:tabs>
          <w:tab w:leader="none" w:pos="7080" w:val="left"/>
          <w:tab w:leader="none" w:pos="8300" w:val="left"/>
        </w:tabs>
        <w:rPr>
          <w:sz w:val="20"/>
          <w:szCs w:val="20"/>
          <w:color w:val="auto"/>
        </w:rPr>
      </w:pPr>
      <w:r>
        <w:rPr>
          <w:rFonts w:ascii="Calibri" w:cs="Calibri" w:eastAsia="Calibri" w:hAnsi="Calibri"/>
          <w:sz w:val="16"/>
          <w:szCs w:val="16"/>
          <w:color w:val="auto"/>
        </w:rPr>
        <w:t>Alphareta, GA | New York, NY | Belfast, United Kingdom</w:t>
      </w:r>
      <w:r>
        <w:rPr>
          <w:sz w:val="20"/>
          <w:szCs w:val="20"/>
          <w:color w:val="auto"/>
        </w:rPr>
        <w:tab/>
      </w:r>
      <w:r>
        <w:rPr>
          <w:rFonts w:ascii="Calibri" w:cs="Calibri" w:eastAsia="Calibri" w:hAnsi="Calibri"/>
          <w:sz w:val="16"/>
          <w:szCs w:val="16"/>
          <w:color w:val="auto"/>
        </w:rPr>
        <w:t>www.bakkt.com</w:t>
      </w:r>
      <w:r>
        <w:rPr>
          <w:sz w:val="20"/>
          <w:szCs w:val="20"/>
          <w:color w:val="auto"/>
        </w:rPr>
        <w:tab/>
      </w:r>
      <w:r>
        <w:rPr>
          <w:rFonts w:ascii="Calibri" w:cs="Calibri" w:eastAsia="Calibri" w:hAnsi="Calibri"/>
          <w:sz w:val="17"/>
          <w:szCs w:val="17"/>
          <w:color w:val="auto"/>
        </w:rPr>
        <w:t>52</w:t>
      </w:r>
    </w:p>
    <w:p>
      <w:pPr>
        <w:sectPr>
          <w:pgSz w:w="11900" w:h="16838" w:orient="portrait"/>
          <w:cols w:equalWidth="0" w:num="1">
            <w:col w:w="11260"/>
          </w:cols>
          <w:pgMar w:left="320" w:top="1440" w:right="319" w:bottom="1440" w:gutter="0" w:footer="0" w:header="0"/>
        </w:sectPr>
      </w:pPr>
    </w:p>
    <w:bookmarkStart w:id="58" w:name="page59"/>
    <w:bookmarkEnd w:id="58"/>
    <w:p>
      <w:pPr>
        <w:spacing w:after="0" w:line="171" w:lineRule="exact"/>
        <w:rPr>
          <w:sz w:val="20"/>
          <w:szCs w:val="20"/>
          <w:color w:val="auto"/>
        </w:rPr>
      </w:pPr>
    </w:p>
    <w:p>
      <w:pPr>
        <w:spacing w:after="0"/>
        <w:rPr>
          <w:sz w:val="20"/>
          <w:szCs w:val="20"/>
          <w:color w:val="auto"/>
        </w:rPr>
      </w:pPr>
      <w:r>
        <w:rPr>
          <w:rFonts w:ascii="Calibri" w:cs="Calibri" w:eastAsia="Calibri" w:hAnsi="Calibri"/>
          <w:sz w:val="29"/>
          <w:szCs w:val="29"/>
          <w:b w:val="1"/>
          <w:bCs w:val="1"/>
          <w:color w:val="auto"/>
        </w:rPr>
        <w:t>Overview of Compensaton Approach</w:t>
      </w:r>
    </w:p>
    <w:p>
      <w:pPr>
        <w:spacing w:after="0" w:line="226" w:lineRule="exact"/>
        <w:rPr>
          <w:sz w:val="20"/>
          <w:szCs w:val="20"/>
          <w:color w:val="auto"/>
        </w:rPr>
      </w:pPr>
    </w:p>
    <w:p>
      <w:pPr>
        <w:jc w:val="both"/>
        <w:spacing w:after="0" w:line="229" w:lineRule="auto"/>
        <w:rPr>
          <w:sz w:val="20"/>
          <w:szCs w:val="20"/>
          <w:color w:val="auto"/>
        </w:rPr>
      </w:pPr>
      <w:r>
        <w:rPr>
          <w:rFonts w:ascii="Calibri" w:cs="Calibri" w:eastAsia="Calibri" w:hAnsi="Calibri"/>
          <w:sz w:val="22"/>
          <w:szCs w:val="22"/>
          <w:color w:val="auto"/>
        </w:rPr>
        <w:t>At Bakkt, we take a holistc approach to total compensaton, setng compettve base pay for each role based on scope, skills required and level and locaton. For eligible roles, we also ofer short-term and long-term incentve programs in the form of annual cash bonuses and annual equity grants.</w:t>
      </w:r>
    </w:p>
    <w:p>
      <w:pPr>
        <w:spacing w:after="0" w:line="206" w:lineRule="exact"/>
        <w:rPr>
          <w:sz w:val="20"/>
          <w:szCs w:val="20"/>
          <w:color w:val="auto"/>
        </w:rPr>
      </w:pPr>
    </w:p>
    <w:p>
      <w:pPr>
        <w:spacing w:after="0"/>
        <w:rPr>
          <w:sz w:val="20"/>
          <w:szCs w:val="20"/>
          <w:color w:val="auto"/>
        </w:rPr>
      </w:pPr>
      <w:r>
        <w:rPr>
          <w:rFonts w:ascii="Calibri" w:cs="Calibri" w:eastAsia="Calibri" w:hAnsi="Calibri"/>
          <w:sz w:val="22"/>
          <w:szCs w:val="22"/>
          <w:b w:val="1"/>
          <w:bCs w:val="1"/>
          <w:color w:val="auto"/>
        </w:rPr>
        <w:t>Base Salary</w:t>
      </w:r>
    </w:p>
    <w:p>
      <w:pPr>
        <w:spacing w:after="0" w:line="215" w:lineRule="exact"/>
        <w:rPr>
          <w:sz w:val="20"/>
          <w:szCs w:val="20"/>
          <w:color w:val="auto"/>
        </w:rPr>
      </w:pPr>
    </w:p>
    <w:p>
      <w:pPr>
        <w:jc w:val="both"/>
        <w:spacing w:after="0" w:line="232" w:lineRule="auto"/>
        <w:rPr>
          <w:sz w:val="20"/>
          <w:szCs w:val="20"/>
          <w:color w:val="auto"/>
        </w:rPr>
      </w:pPr>
      <w:r>
        <w:rPr>
          <w:rFonts w:ascii="Calibri" w:cs="Calibri" w:eastAsia="Calibri" w:hAnsi="Calibri"/>
          <w:sz w:val="22"/>
          <w:szCs w:val="22"/>
          <w:color w:val="auto"/>
        </w:rPr>
        <w:t>Base salaries are intended to provide a level of compensaton sufcient to atract and retain an efectve management team, when considered in combinaton with the other components of our executve compensaton program. The base salary for our named executve ofcers are designed to refect each named executve ofcer’s scope of responsibility and accountability, as well as market.</w:t>
      </w:r>
    </w:p>
    <w:p>
      <w:pPr>
        <w:spacing w:after="0" w:line="207" w:lineRule="exact"/>
        <w:rPr>
          <w:sz w:val="20"/>
          <w:szCs w:val="20"/>
          <w:color w:val="auto"/>
        </w:rPr>
      </w:pPr>
    </w:p>
    <w:p>
      <w:pPr>
        <w:spacing w:after="0"/>
        <w:rPr>
          <w:sz w:val="20"/>
          <w:szCs w:val="20"/>
          <w:color w:val="auto"/>
        </w:rPr>
      </w:pPr>
      <w:r>
        <w:rPr>
          <w:rFonts w:ascii="Calibri" w:cs="Calibri" w:eastAsia="Calibri" w:hAnsi="Calibri"/>
          <w:sz w:val="22"/>
          <w:szCs w:val="22"/>
          <w:b w:val="1"/>
          <w:bCs w:val="1"/>
          <w:color w:val="auto"/>
        </w:rPr>
        <w:t>Annual Bonus</w:t>
      </w:r>
    </w:p>
    <w:p>
      <w:pPr>
        <w:spacing w:after="0" w:line="214" w:lineRule="exact"/>
        <w:rPr>
          <w:sz w:val="20"/>
          <w:szCs w:val="20"/>
          <w:color w:val="auto"/>
        </w:rPr>
      </w:pPr>
    </w:p>
    <w:p>
      <w:pPr>
        <w:jc w:val="both"/>
        <w:spacing w:after="0" w:line="231" w:lineRule="auto"/>
        <w:rPr>
          <w:sz w:val="20"/>
          <w:szCs w:val="20"/>
          <w:color w:val="auto"/>
        </w:rPr>
      </w:pPr>
      <w:r>
        <w:rPr>
          <w:rFonts w:ascii="Calibri" w:cs="Calibri" w:eastAsia="Calibri" w:hAnsi="Calibri"/>
          <w:sz w:val="22"/>
          <w:szCs w:val="22"/>
          <w:color w:val="auto"/>
        </w:rPr>
        <w:t>We provide annual cash bonuses to our executve ofcers, including our named executve ofcers, based on performance for the most recently completed fscal year. Bonuses are determined based on achievement of goals relatng to our fnancial and operatng performance and each executve ofcer’s individual performance. The actual annual cash bonuses awarded to each of the named executve ofcers for 2023 performance are set forth above in the 2023 Summary Compensaton Table in the column ttled “</w:t>
      </w:r>
      <w:r>
        <w:rPr>
          <w:rFonts w:ascii="Calibri" w:cs="Calibri" w:eastAsia="Calibri" w:hAnsi="Calibri"/>
          <w:sz w:val="22"/>
          <w:szCs w:val="22"/>
          <w:i w:val="1"/>
          <w:iCs w:val="1"/>
          <w:color w:val="auto"/>
        </w:rPr>
        <w:t>Bonus</w:t>
      </w:r>
      <w:r>
        <w:rPr>
          <w:rFonts w:ascii="Calibri" w:cs="Calibri" w:eastAsia="Calibri" w:hAnsi="Calibri"/>
          <w:sz w:val="22"/>
          <w:szCs w:val="22"/>
          <w:color w:val="auto"/>
        </w:rPr>
        <w:t>.”</w:t>
      </w:r>
    </w:p>
    <w:p>
      <w:pPr>
        <w:spacing w:after="0" w:line="209" w:lineRule="exact"/>
        <w:rPr>
          <w:sz w:val="20"/>
          <w:szCs w:val="20"/>
          <w:color w:val="auto"/>
        </w:rPr>
      </w:pPr>
    </w:p>
    <w:p>
      <w:pPr>
        <w:spacing w:after="0"/>
        <w:rPr>
          <w:sz w:val="20"/>
          <w:szCs w:val="20"/>
          <w:color w:val="auto"/>
        </w:rPr>
      </w:pPr>
      <w:r>
        <w:rPr>
          <w:rFonts w:ascii="Calibri" w:cs="Calibri" w:eastAsia="Calibri" w:hAnsi="Calibri"/>
          <w:sz w:val="22"/>
          <w:szCs w:val="22"/>
          <w:b w:val="1"/>
          <w:bCs w:val="1"/>
          <w:color w:val="auto"/>
        </w:rPr>
        <w:t>Equity-based Compensaton</w:t>
      </w:r>
    </w:p>
    <w:p>
      <w:pPr>
        <w:spacing w:after="0" w:line="214" w:lineRule="exact"/>
        <w:rPr>
          <w:sz w:val="20"/>
          <w:szCs w:val="20"/>
          <w:color w:val="auto"/>
        </w:rPr>
      </w:pPr>
    </w:p>
    <w:p>
      <w:pPr>
        <w:jc w:val="both"/>
        <w:ind w:right="20"/>
        <w:spacing w:after="0" w:line="235" w:lineRule="auto"/>
        <w:rPr>
          <w:sz w:val="20"/>
          <w:szCs w:val="20"/>
          <w:color w:val="auto"/>
        </w:rPr>
      </w:pPr>
      <w:r>
        <w:rPr>
          <w:rFonts w:ascii="Calibri" w:cs="Calibri" w:eastAsia="Calibri" w:hAnsi="Calibri"/>
          <w:sz w:val="22"/>
          <w:szCs w:val="22"/>
          <w:color w:val="auto"/>
        </w:rPr>
        <w:t>The Company maintains the 2021 Omnibus Incentve Plan, pursuant to which it has granted restricted stock units to certain executve ofcers.</w:t>
      </w:r>
    </w:p>
    <w:p>
      <w:pPr>
        <w:spacing w:after="0" w:line="217" w:lineRule="exact"/>
        <w:rPr>
          <w:sz w:val="20"/>
          <w:szCs w:val="20"/>
          <w:color w:val="auto"/>
        </w:rPr>
      </w:pPr>
    </w:p>
    <w:p>
      <w:pPr>
        <w:jc w:val="both"/>
        <w:ind w:right="20"/>
        <w:spacing w:after="0" w:line="229" w:lineRule="auto"/>
        <w:rPr>
          <w:sz w:val="20"/>
          <w:szCs w:val="20"/>
          <w:color w:val="auto"/>
        </w:rPr>
      </w:pPr>
      <w:r>
        <w:rPr>
          <w:rFonts w:ascii="Calibri" w:cs="Calibri" w:eastAsia="Calibri" w:hAnsi="Calibri"/>
          <w:sz w:val="22"/>
          <w:szCs w:val="22"/>
          <w:color w:val="auto"/>
        </w:rPr>
        <w:t>The Company granted restricted stock units in January and February 2023 to each of Dr. Michael, Mr. D’Annunzio, and Ms. Alexander. The amounts and vestng terms of the awards are set forth in the “Outstanding Equity Awards at Fiscal Year End” table below.</w:t>
      </w:r>
    </w:p>
    <w:p>
      <w:pPr>
        <w:spacing w:after="0" w:line="204" w:lineRule="exact"/>
        <w:rPr>
          <w:sz w:val="20"/>
          <w:szCs w:val="20"/>
          <w:color w:val="auto"/>
        </w:rPr>
      </w:pPr>
    </w:p>
    <w:p>
      <w:pPr>
        <w:spacing w:after="0"/>
        <w:rPr>
          <w:sz w:val="20"/>
          <w:szCs w:val="20"/>
          <w:color w:val="auto"/>
        </w:rPr>
      </w:pPr>
      <w:r>
        <w:rPr>
          <w:rFonts w:ascii="Calibri" w:cs="Calibri" w:eastAsia="Calibri" w:hAnsi="Calibri"/>
          <w:sz w:val="29"/>
          <w:szCs w:val="29"/>
          <w:b w:val="1"/>
          <w:bCs w:val="1"/>
          <w:color w:val="auto"/>
        </w:rPr>
        <w:t>Employment Arrangements with the Named Executve Ofcers of Bakkt</w:t>
      </w:r>
    </w:p>
    <w:p>
      <w:pPr>
        <w:spacing w:after="0" w:line="225" w:lineRule="exact"/>
        <w:rPr>
          <w:sz w:val="20"/>
          <w:szCs w:val="20"/>
          <w:color w:val="auto"/>
        </w:rPr>
      </w:pPr>
    </w:p>
    <w:p>
      <w:pPr>
        <w:jc w:val="both"/>
        <w:spacing w:after="0" w:line="229" w:lineRule="auto"/>
        <w:rPr>
          <w:sz w:val="20"/>
          <w:szCs w:val="20"/>
          <w:color w:val="auto"/>
        </w:rPr>
      </w:pPr>
      <w:r>
        <w:rPr>
          <w:rFonts w:ascii="Calibri" w:cs="Calibri" w:eastAsia="Calibri" w:hAnsi="Calibri"/>
          <w:sz w:val="22"/>
          <w:szCs w:val="22"/>
          <w:color w:val="auto"/>
        </w:rPr>
        <w:t>Each of our named executve ofcers is a party to a writen employment arrangement. The material terms of each of those arrangements are summarized below. For a descripton of the compensaton actually paid to the named executve ofcers for the year ended December 31, 2023, please refer to the “</w:t>
      </w:r>
      <w:r>
        <w:rPr>
          <w:rFonts w:ascii="Calibri" w:cs="Calibri" w:eastAsia="Calibri" w:hAnsi="Calibri"/>
          <w:sz w:val="22"/>
          <w:szCs w:val="22"/>
          <w:i w:val="1"/>
          <w:iCs w:val="1"/>
          <w:color w:val="auto"/>
        </w:rPr>
        <w:t>Summary Compensaton Table</w:t>
      </w:r>
      <w:r>
        <w:rPr>
          <w:rFonts w:ascii="Calibri" w:cs="Calibri" w:eastAsia="Calibri" w:hAnsi="Calibri"/>
          <w:sz w:val="22"/>
          <w:szCs w:val="22"/>
          <w:color w:val="auto"/>
        </w:rPr>
        <w:t>” above</w:t>
      </w:r>
      <w:r>
        <w:rPr>
          <w:rFonts w:ascii="Calibri" w:cs="Calibri" w:eastAsia="Calibri" w:hAnsi="Calibri"/>
          <w:sz w:val="22"/>
          <w:szCs w:val="22"/>
          <w:i w:val="1"/>
          <w:iCs w:val="1"/>
          <w:color w:val="auto"/>
        </w:rPr>
        <w:t>.</w:t>
      </w:r>
    </w:p>
    <w:p>
      <w:pPr>
        <w:spacing w:after="0" w:line="230" w:lineRule="exact"/>
        <w:rPr>
          <w:sz w:val="20"/>
          <w:szCs w:val="20"/>
          <w:color w:val="auto"/>
        </w:rPr>
      </w:pPr>
    </w:p>
    <w:p>
      <w:pPr>
        <w:jc w:val="both"/>
        <w:ind w:right="60"/>
        <w:spacing w:after="0" w:line="230" w:lineRule="auto"/>
        <w:rPr>
          <w:sz w:val="20"/>
          <w:szCs w:val="20"/>
          <w:color w:val="auto"/>
        </w:rPr>
      </w:pPr>
      <w:r>
        <w:rPr>
          <w:rFonts w:ascii="Calibri" w:cs="Calibri" w:eastAsia="Calibri" w:hAnsi="Calibri"/>
          <w:sz w:val="22"/>
          <w:szCs w:val="22"/>
          <w:color w:val="auto"/>
        </w:rPr>
        <w:t>Dr. Michael, the Company and Opco entered into an employment agreement on January 9, 2021. Because Mr. Michael resigned as the Company’s Chief Executve Ofcer and President, efectve as of March 25, 2024, the agreement was terminated as of such date. The agreement set forth Dr. Michael’s ttle, annual base salary of $500,000, annual target bonus of 100% of base salary, terms of an inital grant, granted in 2022, of 4,164,000 Company tme- and performance-based vestng restricted stock units, and Dr. Michaels’ employee beneft plan eligibility and vacaton accrual. The agreement provided a one (1) year term with automatc one (1) year extensions unless either party provides notce of non-renewal. The agreement provided that if Dr. Michael’s employment was</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2760"/>
        <w:spacing w:after="0"/>
        <w:tabs>
          <w:tab w:leader="none" w:pos="7080" w:val="left"/>
          <w:tab w:leader="none" w:pos="8300" w:val="left"/>
        </w:tabs>
        <w:rPr>
          <w:sz w:val="20"/>
          <w:szCs w:val="20"/>
          <w:color w:val="auto"/>
        </w:rPr>
      </w:pPr>
      <w:r>
        <w:rPr>
          <w:rFonts w:ascii="Calibri" w:cs="Calibri" w:eastAsia="Calibri" w:hAnsi="Calibri"/>
          <w:sz w:val="16"/>
          <w:szCs w:val="16"/>
          <w:color w:val="auto"/>
        </w:rPr>
        <w:t>Alphareta, GA | New York, NY | Belfast, United Kingdom</w:t>
      </w:r>
      <w:r>
        <w:rPr>
          <w:sz w:val="20"/>
          <w:szCs w:val="20"/>
          <w:color w:val="auto"/>
        </w:rPr>
        <w:tab/>
      </w:r>
      <w:r>
        <w:rPr>
          <w:rFonts w:ascii="Calibri" w:cs="Calibri" w:eastAsia="Calibri" w:hAnsi="Calibri"/>
          <w:sz w:val="16"/>
          <w:szCs w:val="16"/>
          <w:color w:val="auto"/>
        </w:rPr>
        <w:t>www.bakkt.com</w:t>
      </w:r>
      <w:r>
        <w:rPr>
          <w:sz w:val="20"/>
          <w:szCs w:val="20"/>
          <w:color w:val="auto"/>
        </w:rPr>
        <w:tab/>
      </w:r>
      <w:r>
        <w:rPr>
          <w:rFonts w:ascii="Calibri" w:cs="Calibri" w:eastAsia="Calibri" w:hAnsi="Calibri"/>
          <w:sz w:val="17"/>
          <w:szCs w:val="17"/>
          <w:color w:val="auto"/>
        </w:rPr>
        <w:t>53</w:t>
      </w:r>
    </w:p>
    <w:p>
      <w:pPr>
        <w:sectPr>
          <w:pgSz w:w="11900" w:h="16838" w:orient="portrait"/>
          <w:cols w:equalWidth="0" w:num="1">
            <w:col w:w="11240"/>
          </w:cols>
          <w:pgMar w:left="320" w:top="1440" w:right="339" w:bottom="1440" w:gutter="0" w:footer="0" w:header="0"/>
          <w:type w:val="continuous"/>
        </w:sectPr>
      </w:pPr>
    </w:p>
    <w:bookmarkStart w:id="59" w:name="page60"/>
    <w:bookmarkEnd w:id="59"/>
    <w:p>
      <w:pPr>
        <w:spacing w:after="0" w:line="184" w:lineRule="exact"/>
        <w:rPr>
          <w:sz w:val="20"/>
          <w:szCs w:val="20"/>
          <w:color w:val="auto"/>
        </w:rPr>
      </w:pPr>
    </w:p>
    <w:p>
      <w:pPr>
        <w:jc w:val="both"/>
        <w:ind w:right="60"/>
        <w:spacing w:after="0" w:line="243" w:lineRule="auto"/>
        <w:rPr>
          <w:sz w:val="20"/>
          <w:szCs w:val="20"/>
          <w:color w:val="auto"/>
        </w:rPr>
      </w:pPr>
      <w:r>
        <w:rPr>
          <w:rFonts w:ascii="Calibri" w:cs="Calibri" w:eastAsia="Calibri" w:hAnsi="Calibri"/>
          <w:sz w:val="21"/>
          <w:szCs w:val="21"/>
          <w:color w:val="auto"/>
        </w:rPr>
        <w:t>terminated by the Company other than for Cause or Disability or due to the Company’s non-renewal of the employment agreement, or Dr. Michael resigned for Good Reason and such terminaton was unrelated to a Change in Control (as such terms are defned in the employment agreement) Dr. Michael would be enttled to (i) a lump sum payment equal to two tmes base salary; (ii) a lump sum payment equal to one (1) tmes the greater of (a) the average of his last three annual bonus payments or</w:t>
      </w:r>
    </w:p>
    <w:p>
      <w:pPr>
        <w:spacing w:after="0" w:line="3" w:lineRule="exact"/>
        <w:rPr>
          <w:sz w:val="20"/>
          <w:szCs w:val="20"/>
          <w:color w:val="auto"/>
        </w:rPr>
      </w:pPr>
    </w:p>
    <w:p>
      <w:pPr>
        <w:jc w:val="both"/>
        <w:ind w:right="60" w:firstLine="8"/>
        <w:spacing w:after="0" w:line="230" w:lineRule="auto"/>
        <w:tabs>
          <w:tab w:leader="none" w:pos="336" w:val="left"/>
        </w:tabs>
        <w:numPr>
          <w:ilvl w:val="0"/>
          <w:numId w:val="38"/>
        </w:numPr>
        <w:rPr>
          <w:rFonts w:ascii="Calibri" w:cs="Calibri" w:eastAsia="Calibri" w:hAnsi="Calibri"/>
          <w:sz w:val="22"/>
          <w:szCs w:val="22"/>
          <w:color w:val="auto"/>
        </w:rPr>
      </w:pPr>
      <w:r>
        <w:rPr>
          <w:rFonts w:ascii="Calibri" w:cs="Calibri" w:eastAsia="Calibri" w:hAnsi="Calibri"/>
          <w:sz w:val="22"/>
          <w:szCs w:val="22"/>
          <w:color w:val="auto"/>
        </w:rPr>
        <w:t>his last annual bonus payment; (iii) with respect to awards granted under the 2021 Omnibus Incentve Plan and any successor plan, full vestng acceleraton of tme-vested Company optons and equity-based grants and vestng of performance-based equity grants based on actual performance achieved and a one-year post-terminaton exercise period for Company optons; and (iv) a lump sum cash payment equal to one year of COBRA coverage premiums. The agreement also provided that if Dr. Michael’s employment was terminated by the Company other than for Cause or Disability or due to the Company’s non-renewal of the employment agreement, or Dr. Michael resigned for Good Reason, in each case within two (2) years following a Change in Control, Dr. Michael would be enttled to (i) a lump sum payment equal to two tmes base salary; (ii) a lump sum payment equal to one (1) tmes the greatest of (a) the average of the last three annual bonus payments, (b) the last annual bonus payment, or (c) the last bonus prior to the Change in Control; (iii) with respect to awards granted under the 2021 Omnibus Incentve Plan and any successor plan, full vestng acceleraton of outstanding Company optons and equity-based grants with vestng of performance-based equity grants based on greater of target level or actual performance through the Change in Control and of a one-year post-terminaton exercise period for Company optons, and (iv) a lump sum cash payment equal to one year of COBRA coverage premiums. Payment of the severance would be conditoned on executon of a release of claims agreement by Dr. Michael. The agreement included a confdental informaton agreement and one (1) year post-terminaton non-solicit and non-competton covenants.</w:t>
      </w:r>
    </w:p>
    <w:p>
      <w:pPr>
        <w:spacing w:after="0" w:line="242" w:lineRule="exact"/>
        <w:rPr>
          <w:sz w:val="20"/>
          <w:szCs w:val="20"/>
          <w:color w:val="auto"/>
        </w:rPr>
      </w:pPr>
    </w:p>
    <w:p>
      <w:pPr>
        <w:jc w:val="both"/>
        <w:spacing w:after="0" w:line="230" w:lineRule="auto"/>
        <w:rPr>
          <w:sz w:val="20"/>
          <w:szCs w:val="20"/>
          <w:color w:val="auto"/>
        </w:rPr>
      </w:pPr>
      <w:r>
        <w:rPr>
          <w:rFonts w:ascii="Calibri" w:cs="Calibri" w:eastAsia="Calibri" w:hAnsi="Calibri"/>
          <w:sz w:val="22"/>
          <w:szCs w:val="22"/>
          <w:color w:val="auto"/>
        </w:rPr>
        <w:t>Ms. Alexander and the Company entered into an employment agreement on October 12, 2022. The agreement sets forth Ms. Alexander’s ttle, annual base salary of $400,000, annual target bonus of 100% of base salary, terms of an inital grant, granted in 2022, of 200,000 Company tme- and performance-based vestng restricted stock units, and Ms. Alexander’s employee beneft plan eligibility and vacaton accrual. The agreement provides a one (1) year term with automatc one (1) year extensions unless either party provides notce of non-renewal. If Ms. Alexander’s employment is terminated by the Company other than for Cause or Disability or due to the Company’s non-renewal of the employment agreement, or Ms. Alexander resigns for Good Reason and such terminaton is unrelated to a Change in Control (as such terms are defned in the employment agreement) Ms. Alexander is enttled to (i) a lump sum payment equal to two tmes base salary; (ii) a lump sum payment equal to one (1) tmes the greater of (a) the average of the last three annual bonus payments or (b) the last annual bonus payment; (iii) with respect to awards granted under the 2021 Omnibus Incentve Plan and any successor plan, full vestng acceleraton of tme-vested Company optons and equity-based grants and vestng of performance-based equity grants based on actual performance achieved and a one-year post-terminaton exercise period for Company optons; and (iv) a lump sum cash payment equal to one year of COBRA coverage premiums. If Ms. Alexander’s employment is terminated by the Company other than for Cause or Disability or due to the Company’s non-renewal of the employment agreement, or Ms. Alexander resigns for Good Reason, in each case within two (2) years following a Change in Control, Ms. Alexander is enttled to (i) a lump sum payment equal to two tmes base salary; (ii) a lump sum payment equal to one (1)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2760"/>
        <w:spacing w:after="0"/>
        <w:tabs>
          <w:tab w:leader="none" w:pos="7080" w:val="left"/>
          <w:tab w:leader="none" w:pos="8300" w:val="left"/>
        </w:tabs>
        <w:rPr>
          <w:sz w:val="20"/>
          <w:szCs w:val="20"/>
          <w:color w:val="auto"/>
        </w:rPr>
      </w:pPr>
      <w:r>
        <w:rPr>
          <w:rFonts w:ascii="Calibri" w:cs="Calibri" w:eastAsia="Calibri" w:hAnsi="Calibri"/>
          <w:sz w:val="16"/>
          <w:szCs w:val="16"/>
          <w:color w:val="auto"/>
        </w:rPr>
        <w:t>Alphareta, GA | New York, NY | Belfast, United Kingdom</w:t>
      </w:r>
      <w:r>
        <w:rPr>
          <w:sz w:val="20"/>
          <w:szCs w:val="20"/>
          <w:color w:val="auto"/>
        </w:rPr>
        <w:tab/>
      </w:r>
      <w:r>
        <w:rPr>
          <w:rFonts w:ascii="Calibri" w:cs="Calibri" w:eastAsia="Calibri" w:hAnsi="Calibri"/>
          <w:sz w:val="16"/>
          <w:szCs w:val="16"/>
          <w:color w:val="auto"/>
        </w:rPr>
        <w:t>www.bakkt.com</w:t>
      </w:r>
      <w:r>
        <w:rPr>
          <w:sz w:val="20"/>
          <w:szCs w:val="20"/>
          <w:color w:val="auto"/>
        </w:rPr>
        <w:tab/>
      </w:r>
      <w:r>
        <w:rPr>
          <w:rFonts w:ascii="Calibri" w:cs="Calibri" w:eastAsia="Calibri" w:hAnsi="Calibri"/>
          <w:sz w:val="17"/>
          <w:szCs w:val="17"/>
          <w:color w:val="auto"/>
        </w:rPr>
        <w:t>54</w:t>
      </w:r>
    </w:p>
    <w:p>
      <w:pPr>
        <w:sectPr>
          <w:pgSz w:w="11900" w:h="16838" w:orient="portrait"/>
          <w:cols w:equalWidth="0" w:num="1">
            <w:col w:w="11240"/>
          </w:cols>
          <w:pgMar w:left="320" w:top="1440" w:right="339" w:bottom="1440" w:gutter="0" w:footer="0" w:header="0"/>
        </w:sectPr>
      </w:pPr>
    </w:p>
    <w:bookmarkStart w:id="60" w:name="page61"/>
    <w:bookmarkEnd w:id="60"/>
    <w:p>
      <w:pPr>
        <w:spacing w:after="0" w:line="184" w:lineRule="exact"/>
        <w:rPr>
          <w:sz w:val="20"/>
          <w:szCs w:val="20"/>
          <w:color w:val="auto"/>
        </w:rPr>
      </w:pPr>
    </w:p>
    <w:p>
      <w:pPr>
        <w:jc w:val="both"/>
        <w:spacing w:after="0" w:line="230" w:lineRule="auto"/>
        <w:rPr>
          <w:sz w:val="20"/>
          <w:szCs w:val="20"/>
          <w:color w:val="auto"/>
        </w:rPr>
      </w:pPr>
      <w:r>
        <w:rPr>
          <w:rFonts w:ascii="Calibri" w:cs="Calibri" w:eastAsia="Calibri" w:hAnsi="Calibri"/>
          <w:sz w:val="22"/>
          <w:szCs w:val="22"/>
          <w:color w:val="auto"/>
        </w:rPr>
        <w:t>tmes the greatest of (a) the average of her last three annual bonus payments, (b) her last annual bonus payment, or (c) her last bonus prior to the Change in Control; (iii) with respect to awards granted under the 2021 Plan and any successor plan, full vestng acceleraton of outstanding tme-vested Company optons and equity-based grants and vestng of performance-based equity grants based on greater of target level or actual performance through the Change in Control and of a one-year post-terminaton exercise period for Company optons, and (iv) a lump sum cash payment equal to one year of COBRA coverage premiums. Payment of the severance is conditoned on executon of a release of claims agreement by Ms. Alexander. The employment agreement includes a confdental informaton agreement and one (1) year post-terminaton non-solicit and non-competton covenants.</w:t>
      </w:r>
    </w:p>
    <w:p>
      <w:pPr>
        <w:spacing w:after="0" w:line="236" w:lineRule="exact"/>
        <w:rPr>
          <w:sz w:val="20"/>
          <w:szCs w:val="20"/>
          <w:color w:val="auto"/>
        </w:rPr>
      </w:pPr>
    </w:p>
    <w:p>
      <w:pPr>
        <w:jc w:val="both"/>
        <w:spacing w:after="0" w:line="242" w:lineRule="auto"/>
        <w:rPr>
          <w:sz w:val="20"/>
          <w:szCs w:val="20"/>
          <w:color w:val="auto"/>
        </w:rPr>
      </w:pPr>
      <w:r>
        <w:rPr>
          <w:rFonts w:ascii="Calibri" w:cs="Calibri" w:eastAsia="Calibri" w:hAnsi="Calibri"/>
          <w:sz w:val="21"/>
          <w:szCs w:val="21"/>
          <w:color w:val="auto"/>
        </w:rPr>
        <w:t>Mr. D’Annunzio and the Company entered into an employment agreement on August 10, 2021. The agreement sets forth Mr. D’Annunzio’s ttle, annual base salary of $400,000, annual target bonus of 100% of base salary, terms of an inital grant, granted in 2022, of 400,000 Company tme- and performance-based vestng restricted stock units, and Mr. D’Annunzio’s employee beneft plan eligibility and vacaton accrual. The agreement provides a one (1) year term with automatc one (1) year extensions unless either party provides notce of non-renewal. If Mr. D’Annunzio’s employment is terminated by the Company other than for Cause or Disability or due to the Company’s non-renewal of the employment agreement, or Mr. D’Annunzio resigns for Good Reason and such terminaton is unrelated to a Change in Control (as such terms are defned in the employment agreement) Mr. D’Annunzio is enttled to (i) a lump sum payment equal to two tmes base salary; (ii) a lump sum payment equal to one (1) tmes the greater of (a) the average of his last three annual bonus payments or (b) his last annual bonus payment; (iii) with respect to awards granted under the 2021 Omnibus Incentve Plan and any successor plan, full vestng acceleraton of tme-vested Company optons and equity-based grants and vestng of performance-based equity grants based on actual performance achieved and a one-year post-terminaton exercise period for Company optons; and (iv) a lump sum cash payment equal to one year of COBRA coverage premiums. If Mr. D’Annunzio’s employment is terminated by the Company other than for Cause or Disability or due to the Company’s non-renewal of the employment agreement, or Mr. D’Annunzio resigns for Good Reason, in each case within two (2) years following a Change in Control, Mr. D’Annunzio is enttled to (i) a lump sum payment equal to two tmes base salary; (ii) a lump sum payment equal to one (1) tmes the greatest of (a) the average of the last three annual bonus payments, (b) the last annual bonus payment, or (c) the last bonus prior to the Change in Control; (iii) with respect to awards granted under the 2021 Omnibus Incentve Plan and any successor plan, full vestng acceleraton of outstanding tme-vested Company optons and equity-based grants and vestng of performance-based equity grants based on greater of target level or actual performance through the Change in Control and of a one-year post-terminaton exercise period for Company optons, and</w:t>
      </w:r>
    </w:p>
    <w:p>
      <w:pPr>
        <w:spacing w:after="0" w:line="1" w:lineRule="exact"/>
        <w:rPr>
          <w:sz w:val="20"/>
          <w:szCs w:val="20"/>
          <w:color w:val="auto"/>
        </w:rPr>
      </w:pPr>
    </w:p>
    <w:p>
      <w:pPr>
        <w:jc w:val="both"/>
        <w:ind w:firstLine="8"/>
        <w:spacing w:after="0" w:line="233" w:lineRule="auto"/>
        <w:tabs>
          <w:tab w:leader="none" w:pos="349" w:val="left"/>
        </w:tabs>
        <w:numPr>
          <w:ilvl w:val="0"/>
          <w:numId w:val="39"/>
        </w:numPr>
        <w:rPr>
          <w:rFonts w:ascii="Calibri" w:cs="Calibri" w:eastAsia="Calibri" w:hAnsi="Calibri"/>
          <w:sz w:val="22"/>
          <w:szCs w:val="22"/>
          <w:color w:val="auto"/>
        </w:rPr>
      </w:pPr>
      <w:r>
        <w:rPr>
          <w:rFonts w:ascii="Calibri" w:cs="Calibri" w:eastAsia="Calibri" w:hAnsi="Calibri"/>
          <w:sz w:val="22"/>
          <w:szCs w:val="22"/>
          <w:color w:val="auto"/>
        </w:rPr>
        <w:t>a lump sum cash payment equal to one year of COBRA coverage premiums. Payment of the severance is conditoned on executon of a release of claims agreement by Mr. D’Annunzio. The employment agreement includes a confdental informaton agreement and one (1) year post-terminaton non-solicit and non-competton covenants.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left="2760"/>
        <w:spacing w:after="0"/>
        <w:tabs>
          <w:tab w:leader="none" w:pos="7080" w:val="left"/>
          <w:tab w:leader="none" w:pos="8300" w:val="left"/>
        </w:tabs>
        <w:rPr>
          <w:sz w:val="20"/>
          <w:szCs w:val="20"/>
          <w:color w:val="auto"/>
        </w:rPr>
      </w:pPr>
      <w:r>
        <w:rPr>
          <w:rFonts w:ascii="Calibri" w:cs="Calibri" w:eastAsia="Calibri" w:hAnsi="Calibri"/>
          <w:sz w:val="16"/>
          <w:szCs w:val="16"/>
          <w:color w:val="auto"/>
        </w:rPr>
        <w:t>Alphareta, GA | New York, NY | Belfast, United Kingdom</w:t>
      </w:r>
      <w:r>
        <w:rPr>
          <w:sz w:val="20"/>
          <w:szCs w:val="20"/>
          <w:color w:val="auto"/>
        </w:rPr>
        <w:tab/>
      </w:r>
      <w:r>
        <w:rPr>
          <w:rFonts w:ascii="Calibri" w:cs="Calibri" w:eastAsia="Calibri" w:hAnsi="Calibri"/>
          <w:sz w:val="16"/>
          <w:szCs w:val="16"/>
          <w:color w:val="auto"/>
        </w:rPr>
        <w:t>www.bakkt.com</w:t>
      </w:r>
      <w:r>
        <w:rPr>
          <w:sz w:val="20"/>
          <w:szCs w:val="20"/>
          <w:color w:val="auto"/>
        </w:rPr>
        <w:tab/>
      </w:r>
      <w:r>
        <w:rPr>
          <w:rFonts w:ascii="Calibri" w:cs="Calibri" w:eastAsia="Calibri" w:hAnsi="Calibri"/>
          <w:sz w:val="17"/>
          <w:szCs w:val="17"/>
          <w:color w:val="auto"/>
        </w:rPr>
        <w:t>55</w:t>
      </w:r>
    </w:p>
    <w:p>
      <w:pPr>
        <w:sectPr>
          <w:pgSz w:w="11900" w:h="16838" w:orient="portrait"/>
          <w:cols w:equalWidth="0" w:num="1">
            <w:col w:w="11240"/>
          </w:cols>
          <w:pgMar w:left="320" w:top="1440" w:right="339" w:bottom="1440" w:gutter="0" w:footer="0" w:header="0"/>
        </w:sectPr>
      </w:pPr>
    </w:p>
    <w:bookmarkStart w:id="61" w:name="page62"/>
    <w:bookmarkEnd w:id="61"/>
    <w:p>
      <w:pPr>
        <w:spacing w:after="0" w:line="171" w:lineRule="exact"/>
        <w:rPr>
          <w:sz w:val="20"/>
          <w:szCs w:val="20"/>
          <w:color w:val="auto"/>
        </w:rPr>
      </w:pPr>
    </w:p>
    <w:p>
      <w:pPr>
        <w:spacing w:after="0"/>
        <w:rPr>
          <w:sz w:val="20"/>
          <w:szCs w:val="20"/>
          <w:color w:val="auto"/>
        </w:rPr>
      </w:pPr>
      <w:r>
        <w:rPr>
          <w:rFonts w:ascii="Calibri" w:cs="Calibri" w:eastAsia="Calibri" w:hAnsi="Calibri"/>
          <w:sz w:val="29"/>
          <w:szCs w:val="29"/>
          <w:b w:val="1"/>
          <w:bCs w:val="1"/>
          <w:color w:val="auto"/>
        </w:rPr>
        <w:t>401(k) Plan</w:t>
      </w:r>
    </w:p>
    <w:p>
      <w:pPr>
        <w:spacing w:after="0" w:line="226" w:lineRule="exact"/>
        <w:rPr>
          <w:sz w:val="20"/>
          <w:szCs w:val="20"/>
          <w:color w:val="auto"/>
        </w:rPr>
      </w:pPr>
    </w:p>
    <w:p>
      <w:pPr>
        <w:jc w:val="both"/>
        <w:ind w:right="20"/>
        <w:spacing w:after="0" w:line="229" w:lineRule="auto"/>
        <w:rPr>
          <w:sz w:val="20"/>
          <w:szCs w:val="20"/>
          <w:color w:val="auto"/>
        </w:rPr>
      </w:pPr>
      <w:r>
        <w:rPr>
          <w:rFonts w:ascii="Calibri" w:cs="Calibri" w:eastAsia="Calibri" w:hAnsi="Calibri"/>
          <w:sz w:val="22"/>
          <w:szCs w:val="22"/>
          <w:color w:val="auto"/>
        </w:rPr>
        <w:t>The Company maintains a 401(k) plan pursuant to which the Company provides a matching contributon for eligible employees, including the named executve ofcers, of up to 6% of an employee’s salary.</w:t>
      </w:r>
    </w:p>
    <w:p>
      <w:pPr>
        <w:spacing w:after="0" w:line="204" w:lineRule="exact"/>
        <w:rPr>
          <w:sz w:val="20"/>
          <w:szCs w:val="20"/>
          <w:color w:val="auto"/>
        </w:rPr>
      </w:pPr>
    </w:p>
    <w:p>
      <w:pPr>
        <w:spacing w:after="0"/>
        <w:rPr>
          <w:sz w:val="20"/>
          <w:szCs w:val="20"/>
          <w:color w:val="auto"/>
        </w:rPr>
      </w:pPr>
      <w:r>
        <w:rPr>
          <w:rFonts w:ascii="Calibri" w:cs="Calibri" w:eastAsia="Calibri" w:hAnsi="Calibri"/>
          <w:sz w:val="29"/>
          <w:szCs w:val="29"/>
          <w:b w:val="1"/>
          <w:bCs w:val="1"/>
          <w:color w:val="auto"/>
        </w:rPr>
        <w:t>Outstanding Equity Awards at Fiscal 2023 Year-End</w:t>
      </w:r>
    </w:p>
    <w:p>
      <w:pPr>
        <w:spacing w:after="0" w:line="226" w:lineRule="exact"/>
        <w:rPr>
          <w:sz w:val="20"/>
          <w:szCs w:val="20"/>
          <w:color w:val="auto"/>
        </w:rPr>
      </w:pPr>
    </w:p>
    <w:p>
      <w:pPr>
        <w:jc w:val="both"/>
        <w:ind w:right="20"/>
        <w:spacing w:after="0" w:line="231" w:lineRule="auto"/>
        <w:rPr>
          <w:sz w:val="20"/>
          <w:szCs w:val="20"/>
          <w:color w:val="auto"/>
        </w:rPr>
      </w:pPr>
      <w:r>
        <w:rPr>
          <w:rFonts w:ascii="Calibri" w:cs="Calibri" w:eastAsia="Calibri" w:hAnsi="Calibri"/>
          <w:sz w:val="22"/>
          <w:szCs w:val="22"/>
          <w:color w:val="auto"/>
        </w:rPr>
        <w:t>Opco maintained a profts interests plan (the “Opco Plan”), for the award of Opco Incentve Units, through Opco Management, to partcipants, and Opco Partcipaton Units, directly to partcipants. Awards of Opco Incentve Units included awards of common incentve units and preferred incentve units, each intended to represent a “profts interests” for U.S. tax purposes and each corresponded to incentve units of Opco Management issued by Opco Management to partcipants. The purpose of the Opco Plan was to promote the interests of Opco by atractng and retaining key employees, directors, independent contractors or other service providers of Opco and to enable such individuals to acquire an equity interest in and partcipate in the long-term growth and fnancial success of Opco.</w:t>
      </w:r>
    </w:p>
    <w:p>
      <w:pPr>
        <w:spacing w:after="0" w:line="216" w:lineRule="exact"/>
        <w:rPr>
          <w:sz w:val="20"/>
          <w:szCs w:val="20"/>
          <w:color w:val="auto"/>
        </w:rPr>
      </w:pPr>
    </w:p>
    <w:p>
      <w:pPr>
        <w:jc w:val="both"/>
        <w:ind w:right="20"/>
        <w:spacing w:after="0" w:line="229" w:lineRule="auto"/>
        <w:rPr>
          <w:sz w:val="20"/>
          <w:szCs w:val="20"/>
          <w:color w:val="auto"/>
        </w:rPr>
      </w:pPr>
      <w:r>
        <w:rPr>
          <w:rFonts w:ascii="Calibri" w:cs="Calibri" w:eastAsia="Calibri" w:hAnsi="Calibri"/>
          <w:sz w:val="22"/>
          <w:szCs w:val="22"/>
          <w:color w:val="auto"/>
        </w:rPr>
        <w:t xml:space="preserve">The profts interests represented a membership interest in Opco and enttled the holder to receive distributons in Opco once a specifed threshold equity value of Opco had been reached, in each case as provided in the Opco operatng agreement. The preferred incentve units are also enttled to disproportonate distributons once the partcipant’s applicable threshold equity value has been reduced to zero in order to “catch-up” such partcipant’s total distributons to its </w:t>
      </w:r>
      <w:r>
        <w:rPr>
          <w:rFonts w:ascii="Calibri" w:cs="Calibri" w:eastAsia="Calibri" w:hAnsi="Calibri"/>
          <w:sz w:val="22"/>
          <w:szCs w:val="22"/>
          <w:i w:val="1"/>
          <w:iCs w:val="1"/>
          <w:color w:val="auto"/>
        </w:rPr>
        <w:t>pro rata</w:t>
      </w:r>
      <w:r>
        <w:rPr>
          <w:rFonts w:ascii="Calibri" w:cs="Calibri" w:eastAsia="Calibri" w:hAnsi="Calibri"/>
          <w:sz w:val="22"/>
          <w:szCs w:val="22"/>
          <w:color w:val="auto"/>
        </w:rPr>
        <w:t xml:space="preserve"> share.</w:t>
      </w:r>
    </w:p>
    <w:p>
      <w:pPr>
        <w:spacing w:after="0" w:line="218" w:lineRule="exact"/>
        <w:rPr>
          <w:sz w:val="20"/>
          <w:szCs w:val="20"/>
          <w:color w:val="auto"/>
        </w:rPr>
      </w:pPr>
    </w:p>
    <w:p>
      <w:pPr>
        <w:spacing w:after="0"/>
        <w:rPr>
          <w:sz w:val="20"/>
          <w:szCs w:val="20"/>
          <w:color w:val="auto"/>
        </w:rPr>
      </w:pPr>
      <w:r>
        <w:rPr>
          <w:rFonts w:ascii="Calibri" w:cs="Calibri" w:eastAsia="Calibri" w:hAnsi="Calibri"/>
          <w:sz w:val="22"/>
          <w:szCs w:val="22"/>
          <w:color w:val="auto"/>
        </w:rPr>
        <w:t>The Company also granted restricted stock units in 2023 pursuant to the 2021 Omnibus Incentve Plan.</w:t>
      </w:r>
    </w:p>
    <w:p>
      <w:pPr>
        <w:spacing w:after="0" w:line="216" w:lineRule="exact"/>
        <w:rPr>
          <w:sz w:val="20"/>
          <w:szCs w:val="20"/>
          <w:color w:val="auto"/>
        </w:rPr>
      </w:pPr>
    </w:p>
    <w:p>
      <w:pPr>
        <w:jc w:val="both"/>
        <w:ind w:right="20"/>
        <w:spacing w:after="0" w:line="229" w:lineRule="auto"/>
        <w:rPr>
          <w:sz w:val="20"/>
          <w:szCs w:val="20"/>
          <w:color w:val="auto"/>
        </w:rPr>
      </w:pPr>
      <w:r>
        <w:rPr>
          <w:rFonts w:ascii="Calibri" w:cs="Calibri" w:eastAsia="Calibri" w:hAnsi="Calibri"/>
          <w:sz w:val="22"/>
          <w:szCs w:val="22"/>
          <w:color w:val="auto"/>
        </w:rPr>
        <w:t>The following table sets forth informaton regarding outstanding equity awards held by our named executve ofcers as of December 31, 2023. The market value of the profts interests and restricted stock units was calculated based on the NYSE closing price of the Company’s common stock on December 29, 2023 (the last trading day in fscal year 2023) of $2.23.</w:t>
      </w:r>
    </w:p>
    <w:p>
      <w:pPr>
        <w:spacing w:after="0" w:line="279" w:lineRule="exact"/>
        <w:rPr>
          <w:sz w:val="20"/>
          <w:szCs w:val="20"/>
          <w:color w:val="auto"/>
        </w:rPr>
      </w:pPr>
    </w:p>
    <w:tbl>
      <w:tblPr>
        <w:tblLayout w:type="fixed"/>
        <w:tblInd w:w="10" w:type="dxa"/>
        <w:tblCellMar>
          <w:top w:w="0" w:type="dxa"/>
          <w:left w:w="0" w:type="dxa"/>
          <w:bottom w:w="0" w:type="dxa"/>
          <w:right w:w="0" w:type="dxa"/>
        </w:tblCellMar>
      </w:tblPr>
      <w:tr>
        <w:trPr>
          <w:trHeight w:val="215"/>
        </w:trPr>
        <w:tc>
          <w:tcPr>
            <w:tcW w:w="1760" w:type="dxa"/>
            <w:vAlign w:val="bottom"/>
            <w:tcBorders>
              <w:top w:val="single" w:sz="8" w:color="auto"/>
              <w:left w:val="single" w:sz="8" w:color="auto"/>
            </w:tcBorders>
            <w:shd w:val="clear" w:color="auto" w:fill="151618"/>
          </w:tcPr>
          <w:p>
            <w:pPr>
              <w:spacing w:after="0"/>
              <w:rPr>
                <w:sz w:val="18"/>
                <w:szCs w:val="18"/>
                <w:color w:val="auto"/>
              </w:rPr>
            </w:pPr>
          </w:p>
        </w:tc>
        <w:tc>
          <w:tcPr>
            <w:tcW w:w="1760" w:type="dxa"/>
            <w:vAlign w:val="bottom"/>
            <w:tcBorders>
              <w:top w:val="single" w:sz="8" w:color="auto"/>
            </w:tcBorders>
            <w:vMerge w:val="restart"/>
            <w:shd w:val="clear" w:color="auto" w:fill="151618"/>
          </w:tcPr>
          <w:p>
            <w:pPr>
              <w:jc w:val="center"/>
              <w:ind w:left="179"/>
              <w:spacing w:after="0"/>
              <w:rPr>
                <w:sz w:val="20"/>
                <w:szCs w:val="20"/>
                <w:color w:val="auto"/>
              </w:rPr>
            </w:pPr>
            <w:r>
              <w:rPr>
                <w:rFonts w:ascii="Calibri" w:cs="Calibri" w:eastAsia="Calibri" w:hAnsi="Calibri"/>
                <w:sz w:val="16"/>
                <w:szCs w:val="16"/>
                <w:b w:val="1"/>
                <w:bCs w:val="1"/>
                <w:color w:val="FFFFFF"/>
              </w:rPr>
              <w:t>Number of proft</w:t>
            </w:r>
          </w:p>
        </w:tc>
        <w:tc>
          <w:tcPr>
            <w:tcW w:w="1580" w:type="dxa"/>
            <w:vAlign w:val="bottom"/>
            <w:tcBorders>
              <w:top w:val="single" w:sz="8" w:color="auto"/>
            </w:tcBorders>
            <w:vMerge w:val="restart"/>
            <w:shd w:val="clear" w:color="auto" w:fill="151618"/>
          </w:tcPr>
          <w:p>
            <w:pPr>
              <w:jc w:val="center"/>
              <w:spacing w:after="0"/>
              <w:rPr>
                <w:sz w:val="20"/>
                <w:szCs w:val="20"/>
                <w:color w:val="auto"/>
              </w:rPr>
            </w:pPr>
            <w:r>
              <w:rPr>
                <w:rFonts w:ascii="Calibri" w:cs="Calibri" w:eastAsia="Calibri" w:hAnsi="Calibri"/>
                <w:sz w:val="16"/>
                <w:szCs w:val="16"/>
                <w:b w:val="1"/>
                <w:bCs w:val="1"/>
                <w:color w:val="FFFFFF"/>
              </w:rPr>
              <w:t>Market value of</w:t>
            </w:r>
          </w:p>
        </w:tc>
        <w:tc>
          <w:tcPr>
            <w:tcW w:w="1480" w:type="dxa"/>
            <w:vAlign w:val="bottom"/>
            <w:tcBorders>
              <w:top w:val="single" w:sz="8" w:color="auto"/>
            </w:tcBorders>
            <w:vMerge w:val="restart"/>
            <w:shd w:val="clear" w:color="auto" w:fill="151618"/>
          </w:tcPr>
          <w:p>
            <w:pPr>
              <w:jc w:val="center"/>
              <w:spacing w:after="0"/>
              <w:rPr>
                <w:sz w:val="20"/>
                <w:szCs w:val="20"/>
                <w:color w:val="auto"/>
              </w:rPr>
            </w:pPr>
            <w:r>
              <w:rPr>
                <w:rFonts w:ascii="Calibri" w:cs="Calibri" w:eastAsia="Calibri" w:hAnsi="Calibri"/>
                <w:sz w:val="16"/>
                <w:szCs w:val="16"/>
                <w:b w:val="1"/>
                <w:bCs w:val="1"/>
                <w:color w:val="FFFFFF"/>
              </w:rPr>
              <w:t>Number of proft</w:t>
            </w:r>
          </w:p>
        </w:tc>
        <w:tc>
          <w:tcPr>
            <w:tcW w:w="1540" w:type="dxa"/>
            <w:vAlign w:val="bottom"/>
            <w:tcBorders>
              <w:top w:val="single" w:sz="8" w:color="auto"/>
            </w:tcBorders>
            <w:vMerge w:val="restart"/>
            <w:shd w:val="clear" w:color="auto" w:fill="151618"/>
          </w:tcPr>
          <w:p>
            <w:pPr>
              <w:jc w:val="center"/>
              <w:spacing w:after="0"/>
              <w:rPr>
                <w:sz w:val="20"/>
                <w:szCs w:val="20"/>
                <w:color w:val="auto"/>
              </w:rPr>
            </w:pPr>
            <w:r>
              <w:rPr>
                <w:rFonts w:ascii="Calibri" w:cs="Calibri" w:eastAsia="Calibri" w:hAnsi="Calibri"/>
                <w:sz w:val="16"/>
                <w:szCs w:val="16"/>
                <w:b w:val="1"/>
                <w:bCs w:val="1"/>
                <w:color w:val="FFFFFF"/>
              </w:rPr>
              <w:t>Market value of</w:t>
            </w:r>
          </w:p>
        </w:tc>
        <w:tc>
          <w:tcPr>
            <w:tcW w:w="1600" w:type="dxa"/>
            <w:vAlign w:val="bottom"/>
            <w:tcBorders>
              <w:top w:val="single" w:sz="8" w:color="auto"/>
            </w:tcBorders>
            <w:vMerge w:val="restart"/>
            <w:shd w:val="clear" w:color="auto" w:fill="151618"/>
          </w:tcPr>
          <w:p>
            <w:pPr>
              <w:jc w:val="center"/>
              <w:spacing w:after="0"/>
              <w:rPr>
                <w:sz w:val="20"/>
                <w:szCs w:val="20"/>
                <w:color w:val="auto"/>
              </w:rPr>
            </w:pPr>
            <w:r>
              <w:rPr>
                <w:rFonts w:ascii="Calibri" w:cs="Calibri" w:eastAsia="Calibri" w:hAnsi="Calibri"/>
                <w:sz w:val="16"/>
                <w:szCs w:val="16"/>
                <w:b w:val="1"/>
                <w:bCs w:val="1"/>
                <w:color w:val="FFFFFF"/>
              </w:rPr>
              <w:t>Number of shares or</w:t>
            </w:r>
          </w:p>
        </w:tc>
        <w:tc>
          <w:tcPr>
            <w:tcW w:w="1540" w:type="dxa"/>
            <w:vAlign w:val="bottom"/>
            <w:tcBorders>
              <w:top w:val="single" w:sz="8" w:color="auto"/>
              <w:right w:val="single" w:sz="8" w:color="auto"/>
            </w:tcBorders>
            <w:shd w:val="clear" w:color="auto" w:fill="151618"/>
          </w:tcPr>
          <w:p>
            <w:pPr>
              <w:jc w:val="center"/>
              <w:spacing w:after="0"/>
              <w:rPr>
                <w:sz w:val="20"/>
                <w:szCs w:val="20"/>
                <w:color w:val="auto"/>
              </w:rPr>
            </w:pPr>
            <w:r>
              <w:rPr>
                <w:rFonts w:ascii="Calibri" w:cs="Calibri" w:eastAsia="Calibri" w:hAnsi="Calibri"/>
                <w:sz w:val="16"/>
                <w:szCs w:val="16"/>
                <w:b w:val="1"/>
                <w:bCs w:val="1"/>
                <w:color w:val="FFFFFF"/>
              </w:rPr>
              <w:t>Market value of</w:t>
            </w:r>
          </w:p>
        </w:tc>
        <w:tc>
          <w:tcPr>
            <w:tcW w:w="0" w:type="dxa"/>
            <w:vAlign w:val="bottom"/>
          </w:tcPr>
          <w:p>
            <w:pPr>
              <w:spacing w:after="0"/>
              <w:rPr>
                <w:sz w:val="1"/>
                <w:szCs w:val="1"/>
                <w:color w:val="auto"/>
              </w:rPr>
            </w:pPr>
          </w:p>
        </w:tc>
      </w:tr>
      <w:tr>
        <w:trPr>
          <w:trHeight w:val="198"/>
        </w:trPr>
        <w:tc>
          <w:tcPr>
            <w:tcW w:w="1760" w:type="dxa"/>
            <w:vAlign w:val="bottom"/>
            <w:tcBorders>
              <w:left w:val="single" w:sz="8" w:color="auto"/>
            </w:tcBorders>
            <w:shd w:val="clear" w:color="auto" w:fill="151618"/>
          </w:tcPr>
          <w:p>
            <w:pPr>
              <w:spacing w:after="0"/>
              <w:rPr>
                <w:sz w:val="17"/>
                <w:szCs w:val="17"/>
                <w:color w:val="auto"/>
              </w:rPr>
            </w:pPr>
          </w:p>
        </w:tc>
        <w:tc>
          <w:tcPr>
            <w:tcW w:w="1760" w:type="dxa"/>
            <w:vAlign w:val="bottom"/>
            <w:vMerge w:val="continue"/>
            <w:shd w:val="clear" w:color="auto" w:fill="151618"/>
          </w:tcPr>
          <w:p>
            <w:pPr>
              <w:spacing w:after="0"/>
              <w:rPr>
                <w:sz w:val="17"/>
                <w:szCs w:val="17"/>
                <w:color w:val="auto"/>
              </w:rPr>
            </w:pPr>
          </w:p>
        </w:tc>
        <w:tc>
          <w:tcPr>
            <w:tcW w:w="1580" w:type="dxa"/>
            <w:vAlign w:val="bottom"/>
            <w:vMerge w:val="continue"/>
            <w:shd w:val="clear" w:color="auto" w:fill="151618"/>
          </w:tcPr>
          <w:p>
            <w:pPr>
              <w:spacing w:after="0"/>
              <w:rPr>
                <w:sz w:val="17"/>
                <w:szCs w:val="17"/>
                <w:color w:val="auto"/>
              </w:rPr>
            </w:pPr>
          </w:p>
        </w:tc>
        <w:tc>
          <w:tcPr>
            <w:tcW w:w="1480" w:type="dxa"/>
            <w:vAlign w:val="bottom"/>
            <w:vMerge w:val="continue"/>
            <w:shd w:val="clear" w:color="auto" w:fill="151618"/>
          </w:tcPr>
          <w:p>
            <w:pPr>
              <w:spacing w:after="0"/>
              <w:rPr>
                <w:sz w:val="17"/>
                <w:szCs w:val="17"/>
                <w:color w:val="auto"/>
              </w:rPr>
            </w:pPr>
          </w:p>
        </w:tc>
        <w:tc>
          <w:tcPr>
            <w:tcW w:w="1540" w:type="dxa"/>
            <w:vAlign w:val="bottom"/>
            <w:vMerge w:val="continue"/>
            <w:shd w:val="clear" w:color="auto" w:fill="151618"/>
          </w:tcPr>
          <w:p>
            <w:pPr>
              <w:spacing w:after="0"/>
              <w:rPr>
                <w:sz w:val="17"/>
                <w:szCs w:val="17"/>
                <w:color w:val="auto"/>
              </w:rPr>
            </w:pPr>
          </w:p>
        </w:tc>
        <w:tc>
          <w:tcPr>
            <w:tcW w:w="1600" w:type="dxa"/>
            <w:vAlign w:val="bottom"/>
            <w:vMerge w:val="continue"/>
            <w:shd w:val="clear" w:color="auto" w:fill="151618"/>
          </w:tcPr>
          <w:p>
            <w:pPr>
              <w:spacing w:after="0"/>
              <w:rPr>
                <w:sz w:val="17"/>
                <w:szCs w:val="17"/>
                <w:color w:val="auto"/>
              </w:rPr>
            </w:pPr>
          </w:p>
        </w:tc>
        <w:tc>
          <w:tcPr>
            <w:tcW w:w="1540" w:type="dxa"/>
            <w:vAlign w:val="bottom"/>
            <w:tcBorders>
              <w:right w:val="single" w:sz="8" w:color="auto"/>
            </w:tcBorders>
            <w:shd w:val="clear" w:color="auto" w:fill="151618"/>
          </w:tcPr>
          <w:p>
            <w:pPr>
              <w:jc w:val="center"/>
              <w:spacing w:after="0"/>
              <w:rPr>
                <w:sz w:val="20"/>
                <w:szCs w:val="20"/>
                <w:color w:val="auto"/>
              </w:rPr>
            </w:pPr>
            <w:r>
              <w:rPr>
                <w:rFonts w:ascii="Calibri" w:cs="Calibri" w:eastAsia="Calibri" w:hAnsi="Calibri"/>
                <w:sz w:val="16"/>
                <w:szCs w:val="16"/>
                <w:b w:val="1"/>
                <w:bCs w:val="1"/>
                <w:color w:val="FFFFFF"/>
              </w:rPr>
              <w:t>shares or units of</w:t>
            </w:r>
          </w:p>
        </w:tc>
        <w:tc>
          <w:tcPr>
            <w:tcW w:w="0" w:type="dxa"/>
            <w:vAlign w:val="bottom"/>
          </w:tcPr>
          <w:p>
            <w:pPr>
              <w:spacing w:after="0"/>
              <w:rPr>
                <w:sz w:val="1"/>
                <w:szCs w:val="1"/>
                <w:color w:val="auto"/>
              </w:rPr>
            </w:pPr>
          </w:p>
        </w:tc>
      </w:tr>
      <w:tr>
        <w:trPr>
          <w:trHeight w:val="189"/>
        </w:trPr>
        <w:tc>
          <w:tcPr>
            <w:tcW w:w="1760" w:type="dxa"/>
            <w:vAlign w:val="bottom"/>
            <w:tcBorders>
              <w:left w:val="single" w:sz="8" w:color="auto"/>
            </w:tcBorders>
            <w:shd w:val="clear" w:color="auto" w:fill="151618"/>
          </w:tcPr>
          <w:p>
            <w:pPr>
              <w:spacing w:after="0"/>
              <w:rPr>
                <w:sz w:val="16"/>
                <w:szCs w:val="16"/>
                <w:color w:val="auto"/>
              </w:rPr>
            </w:pPr>
          </w:p>
        </w:tc>
        <w:tc>
          <w:tcPr>
            <w:tcW w:w="1760" w:type="dxa"/>
            <w:vAlign w:val="bottom"/>
            <w:shd w:val="clear" w:color="auto" w:fill="151618"/>
          </w:tcPr>
          <w:p>
            <w:pPr>
              <w:jc w:val="center"/>
              <w:ind w:left="179"/>
              <w:spacing w:after="0" w:line="189" w:lineRule="exact"/>
              <w:rPr>
                <w:sz w:val="20"/>
                <w:szCs w:val="20"/>
                <w:color w:val="auto"/>
              </w:rPr>
            </w:pPr>
            <w:r>
              <w:rPr>
                <w:rFonts w:ascii="Calibri" w:cs="Calibri" w:eastAsia="Calibri" w:hAnsi="Calibri"/>
                <w:sz w:val="16"/>
                <w:szCs w:val="16"/>
                <w:b w:val="1"/>
                <w:bCs w:val="1"/>
                <w:color w:val="FFFFFF"/>
              </w:rPr>
              <w:t>interest units that</w:t>
            </w:r>
          </w:p>
        </w:tc>
        <w:tc>
          <w:tcPr>
            <w:tcW w:w="1580" w:type="dxa"/>
            <w:vAlign w:val="bottom"/>
            <w:shd w:val="clear" w:color="auto" w:fill="151618"/>
          </w:tcPr>
          <w:p>
            <w:pPr>
              <w:jc w:val="center"/>
              <w:spacing w:after="0" w:line="189" w:lineRule="exact"/>
              <w:rPr>
                <w:sz w:val="20"/>
                <w:szCs w:val="20"/>
                <w:color w:val="auto"/>
              </w:rPr>
            </w:pPr>
            <w:r>
              <w:rPr>
                <w:rFonts w:ascii="Calibri" w:cs="Calibri" w:eastAsia="Calibri" w:hAnsi="Calibri"/>
                <w:sz w:val="16"/>
                <w:szCs w:val="16"/>
                <w:b w:val="1"/>
                <w:bCs w:val="1"/>
                <w:color w:val="FFFFFF"/>
              </w:rPr>
              <w:t>proft interest units</w:t>
            </w:r>
          </w:p>
        </w:tc>
        <w:tc>
          <w:tcPr>
            <w:tcW w:w="1480" w:type="dxa"/>
            <w:vAlign w:val="bottom"/>
            <w:shd w:val="clear" w:color="auto" w:fill="151618"/>
          </w:tcPr>
          <w:p>
            <w:pPr>
              <w:jc w:val="center"/>
              <w:spacing w:after="0" w:line="189" w:lineRule="exact"/>
              <w:rPr>
                <w:sz w:val="20"/>
                <w:szCs w:val="20"/>
                <w:color w:val="auto"/>
              </w:rPr>
            </w:pPr>
            <w:r>
              <w:rPr>
                <w:rFonts w:ascii="Calibri" w:cs="Calibri" w:eastAsia="Calibri" w:hAnsi="Calibri"/>
                <w:sz w:val="16"/>
                <w:szCs w:val="16"/>
                <w:b w:val="1"/>
                <w:bCs w:val="1"/>
                <w:color w:val="FFFFFF"/>
              </w:rPr>
              <w:t>interest units that</w:t>
            </w:r>
          </w:p>
        </w:tc>
        <w:tc>
          <w:tcPr>
            <w:tcW w:w="1540" w:type="dxa"/>
            <w:vAlign w:val="bottom"/>
            <w:shd w:val="clear" w:color="auto" w:fill="151618"/>
          </w:tcPr>
          <w:p>
            <w:pPr>
              <w:jc w:val="center"/>
              <w:spacing w:after="0" w:line="189" w:lineRule="exact"/>
              <w:rPr>
                <w:sz w:val="20"/>
                <w:szCs w:val="20"/>
                <w:color w:val="auto"/>
              </w:rPr>
            </w:pPr>
            <w:r>
              <w:rPr>
                <w:rFonts w:ascii="Calibri" w:cs="Calibri" w:eastAsia="Calibri" w:hAnsi="Calibri"/>
                <w:sz w:val="16"/>
                <w:szCs w:val="16"/>
                <w:b w:val="1"/>
                <w:bCs w:val="1"/>
                <w:color w:val="FFFFFF"/>
              </w:rPr>
              <w:t>proft interests that</w:t>
            </w:r>
          </w:p>
        </w:tc>
        <w:tc>
          <w:tcPr>
            <w:tcW w:w="1600" w:type="dxa"/>
            <w:vAlign w:val="bottom"/>
            <w:shd w:val="clear" w:color="auto" w:fill="151618"/>
          </w:tcPr>
          <w:p>
            <w:pPr>
              <w:jc w:val="center"/>
              <w:spacing w:after="0" w:line="189" w:lineRule="exact"/>
              <w:rPr>
                <w:sz w:val="20"/>
                <w:szCs w:val="20"/>
                <w:color w:val="auto"/>
              </w:rPr>
            </w:pPr>
            <w:r>
              <w:rPr>
                <w:rFonts w:ascii="Calibri" w:cs="Calibri" w:eastAsia="Calibri" w:hAnsi="Calibri"/>
                <w:sz w:val="16"/>
                <w:szCs w:val="16"/>
                <w:b w:val="1"/>
                <w:bCs w:val="1"/>
                <w:color w:val="FFFFFF"/>
              </w:rPr>
              <w:t>stock units that have</w:t>
            </w:r>
          </w:p>
        </w:tc>
        <w:tc>
          <w:tcPr>
            <w:tcW w:w="1540" w:type="dxa"/>
            <w:vAlign w:val="bottom"/>
            <w:tcBorders>
              <w:right w:val="single" w:sz="8" w:color="auto"/>
            </w:tcBorders>
            <w:shd w:val="clear" w:color="auto" w:fill="151618"/>
          </w:tcPr>
          <w:p>
            <w:pPr>
              <w:jc w:val="center"/>
              <w:spacing w:after="0" w:line="189" w:lineRule="exact"/>
              <w:rPr>
                <w:sz w:val="20"/>
                <w:szCs w:val="20"/>
                <w:color w:val="auto"/>
              </w:rPr>
            </w:pPr>
            <w:r>
              <w:rPr>
                <w:rFonts w:ascii="Calibri" w:cs="Calibri" w:eastAsia="Calibri" w:hAnsi="Calibri"/>
                <w:sz w:val="16"/>
                <w:szCs w:val="16"/>
                <w:b w:val="1"/>
                <w:bCs w:val="1"/>
                <w:color w:val="FFFFFF"/>
                <w:w w:val="99"/>
              </w:rPr>
              <w:t>stock that have not</w:t>
            </w:r>
          </w:p>
        </w:tc>
        <w:tc>
          <w:tcPr>
            <w:tcW w:w="0" w:type="dxa"/>
            <w:vAlign w:val="bottom"/>
          </w:tcPr>
          <w:p>
            <w:pPr>
              <w:spacing w:after="0"/>
              <w:rPr>
                <w:sz w:val="1"/>
                <w:szCs w:val="1"/>
                <w:color w:val="auto"/>
              </w:rPr>
            </w:pPr>
          </w:p>
        </w:tc>
      </w:tr>
      <w:tr>
        <w:trPr>
          <w:trHeight w:val="207"/>
        </w:trPr>
        <w:tc>
          <w:tcPr>
            <w:tcW w:w="1760" w:type="dxa"/>
            <w:vAlign w:val="bottom"/>
            <w:tcBorders>
              <w:left w:val="single" w:sz="8" w:color="auto"/>
            </w:tcBorders>
            <w:shd w:val="clear" w:color="auto" w:fill="151618"/>
          </w:tcPr>
          <w:p>
            <w:pPr>
              <w:spacing w:after="0"/>
              <w:rPr>
                <w:sz w:val="18"/>
                <w:szCs w:val="18"/>
                <w:color w:val="auto"/>
              </w:rPr>
            </w:pPr>
          </w:p>
        </w:tc>
        <w:tc>
          <w:tcPr>
            <w:tcW w:w="1760" w:type="dxa"/>
            <w:vAlign w:val="bottom"/>
            <w:shd w:val="clear" w:color="auto" w:fill="151618"/>
          </w:tcPr>
          <w:p>
            <w:pPr>
              <w:jc w:val="center"/>
              <w:ind w:left="159"/>
              <w:spacing w:after="0" w:line="193" w:lineRule="exact"/>
              <w:rPr>
                <w:sz w:val="20"/>
                <w:szCs w:val="20"/>
                <w:color w:val="auto"/>
              </w:rPr>
            </w:pPr>
            <w:r>
              <w:rPr>
                <w:rFonts w:ascii="Calibri" w:cs="Calibri" w:eastAsia="Calibri" w:hAnsi="Calibri"/>
                <w:sz w:val="16"/>
                <w:szCs w:val="16"/>
                <w:b w:val="1"/>
                <w:bCs w:val="1"/>
                <w:color w:val="FFFFFF"/>
              </w:rPr>
              <w:t>have vested</w:t>
            </w:r>
          </w:p>
        </w:tc>
        <w:tc>
          <w:tcPr>
            <w:tcW w:w="1580" w:type="dxa"/>
            <w:vAlign w:val="bottom"/>
            <w:shd w:val="clear" w:color="auto" w:fill="151618"/>
          </w:tcPr>
          <w:p>
            <w:pPr>
              <w:jc w:val="center"/>
              <w:spacing w:after="0" w:line="193" w:lineRule="exact"/>
              <w:rPr>
                <w:sz w:val="20"/>
                <w:szCs w:val="20"/>
                <w:color w:val="auto"/>
              </w:rPr>
            </w:pPr>
            <w:r>
              <w:rPr>
                <w:rFonts w:ascii="Calibri" w:cs="Calibri" w:eastAsia="Calibri" w:hAnsi="Calibri"/>
                <w:sz w:val="16"/>
                <w:szCs w:val="16"/>
                <w:b w:val="1"/>
                <w:bCs w:val="1"/>
                <w:color w:val="FFFFFF"/>
              </w:rPr>
              <w:t>that have vested</w:t>
            </w:r>
          </w:p>
        </w:tc>
        <w:tc>
          <w:tcPr>
            <w:tcW w:w="1480" w:type="dxa"/>
            <w:vAlign w:val="bottom"/>
            <w:shd w:val="clear" w:color="auto" w:fill="151618"/>
          </w:tcPr>
          <w:p>
            <w:pPr>
              <w:jc w:val="center"/>
              <w:spacing w:after="0" w:line="193" w:lineRule="exact"/>
              <w:rPr>
                <w:sz w:val="20"/>
                <w:szCs w:val="20"/>
                <w:color w:val="auto"/>
              </w:rPr>
            </w:pPr>
            <w:r>
              <w:rPr>
                <w:rFonts w:ascii="Calibri" w:cs="Calibri" w:eastAsia="Calibri" w:hAnsi="Calibri"/>
                <w:sz w:val="16"/>
                <w:szCs w:val="16"/>
                <w:b w:val="1"/>
                <w:bCs w:val="1"/>
                <w:color w:val="FFFFFF"/>
              </w:rPr>
              <w:t>have not vested</w:t>
            </w:r>
          </w:p>
        </w:tc>
        <w:tc>
          <w:tcPr>
            <w:tcW w:w="1540" w:type="dxa"/>
            <w:vAlign w:val="bottom"/>
            <w:shd w:val="clear" w:color="auto" w:fill="151618"/>
          </w:tcPr>
          <w:p>
            <w:pPr>
              <w:jc w:val="center"/>
              <w:spacing w:after="0" w:line="193" w:lineRule="exact"/>
              <w:rPr>
                <w:sz w:val="20"/>
                <w:szCs w:val="20"/>
                <w:color w:val="auto"/>
              </w:rPr>
            </w:pPr>
            <w:r>
              <w:rPr>
                <w:rFonts w:ascii="Calibri" w:cs="Calibri" w:eastAsia="Calibri" w:hAnsi="Calibri"/>
                <w:sz w:val="16"/>
                <w:szCs w:val="16"/>
                <w:b w:val="1"/>
                <w:bCs w:val="1"/>
                <w:color w:val="FFFFFF"/>
              </w:rPr>
              <w:t>have not vested</w:t>
            </w:r>
          </w:p>
        </w:tc>
        <w:tc>
          <w:tcPr>
            <w:tcW w:w="1600" w:type="dxa"/>
            <w:vAlign w:val="bottom"/>
            <w:shd w:val="clear" w:color="auto" w:fill="151618"/>
          </w:tcPr>
          <w:p>
            <w:pPr>
              <w:jc w:val="center"/>
              <w:spacing w:after="0" w:line="193" w:lineRule="exact"/>
              <w:rPr>
                <w:sz w:val="20"/>
                <w:szCs w:val="20"/>
                <w:color w:val="auto"/>
              </w:rPr>
            </w:pPr>
            <w:r>
              <w:rPr>
                <w:rFonts w:ascii="Calibri" w:cs="Calibri" w:eastAsia="Calibri" w:hAnsi="Calibri"/>
                <w:sz w:val="16"/>
                <w:szCs w:val="16"/>
                <w:b w:val="1"/>
                <w:bCs w:val="1"/>
                <w:color w:val="FFFFFF"/>
              </w:rPr>
              <w:t>not vested</w:t>
            </w:r>
          </w:p>
        </w:tc>
        <w:tc>
          <w:tcPr>
            <w:tcW w:w="1540" w:type="dxa"/>
            <w:vAlign w:val="bottom"/>
            <w:tcBorders>
              <w:right w:val="single" w:sz="8" w:color="auto"/>
            </w:tcBorders>
            <w:shd w:val="clear" w:color="auto" w:fill="151618"/>
          </w:tcPr>
          <w:p>
            <w:pPr>
              <w:jc w:val="center"/>
              <w:spacing w:after="0"/>
              <w:rPr>
                <w:sz w:val="20"/>
                <w:szCs w:val="20"/>
                <w:color w:val="auto"/>
              </w:rPr>
            </w:pPr>
            <w:r>
              <w:rPr>
                <w:rFonts w:ascii="Calibri" w:cs="Calibri" w:eastAsia="Calibri" w:hAnsi="Calibri"/>
                <w:sz w:val="16"/>
                <w:szCs w:val="16"/>
                <w:b w:val="1"/>
                <w:bCs w:val="1"/>
                <w:color w:val="FFFFFF"/>
                <w:w w:val="99"/>
              </w:rPr>
              <w:t>vested</w:t>
            </w:r>
          </w:p>
        </w:tc>
        <w:tc>
          <w:tcPr>
            <w:tcW w:w="0" w:type="dxa"/>
            <w:vAlign w:val="bottom"/>
          </w:tcPr>
          <w:p>
            <w:pPr>
              <w:spacing w:after="0"/>
              <w:rPr>
                <w:sz w:val="1"/>
                <w:szCs w:val="1"/>
                <w:color w:val="auto"/>
              </w:rPr>
            </w:pPr>
          </w:p>
        </w:tc>
      </w:tr>
      <w:tr>
        <w:trPr>
          <w:trHeight w:val="243"/>
        </w:trPr>
        <w:tc>
          <w:tcPr>
            <w:tcW w:w="1760" w:type="dxa"/>
            <w:vAlign w:val="bottom"/>
            <w:tcBorders>
              <w:left w:val="single" w:sz="8" w:color="auto"/>
            </w:tcBorders>
            <w:shd w:val="clear" w:color="auto" w:fill="151618"/>
          </w:tcPr>
          <w:p>
            <w:pPr>
              <w:ind w:left="80"/>
              <w:spacing w:after="0"/>
              <w:rPr>
                <w:sz w:val="20"/>
                <w:szCs w:val="20"/>
                <w:color w:val="auto"/>
              </w:rPr>
            </w:pPr>
            <w:r>
              <w:rPr>
                <w:rFonts w:ascii="Calibri" w:cs="Calibri" w:eastAsia="Calibri" w:hAnsi="Calibri"/>
                <w:sz w:val="16"/>
                <w:szCs w:val="16"/>
                <w:b w:val="1"/>
                <w:bCs w:val="1"/>
                <w:color w:val="FFFFFF"/>
              </w:rPr>
              <w:t>Name</w:t>
            </w:r>
          </w:p>
        </w:tc>
        <w:tc>
          <w:tcPr>
            <w:tcW w:w="1760" w:type="dxa"/>
            <w:vAlign w:val="bottom"/>
            <w:shd w:val="clear" w:color="auto" w:fill="151618"/>
          </w:tcPr>
          <w:p>
            <w:pPr>
              <w:jc w:val="center"/>
              <w:ind w:left="179"/>
              <w:spacing w:after="0"/>
              <w:rPr>
                <w:sz w:val="20"/>
                <w:szCs w:val="20"/>
                <w:color w:val="auto"/>
              </w:rPr>
            </w:pPr>
            <w:r>
              <w:rPr>
                <w:rFonts w:ascii="Calibri" w:cs="Calibri" w:eastAsia="Calibri" w:hAnsi="Calibri"/>
                <w:sz w:val="16"/>
                <w:szCs w:val="16"/>
                <w:b w:val="1"/>
                <w:bCs w:val="1"/>
                <w:color w:val="FFFFFF"/>
                <w:w w:val="99"/>
              </w:rPr>
              <w:t>(#)</w:t>
            </w:r>
          </w:p>
        </w:tc>
        <w:tc>
          <w:tcPr>
            <w:tcW w:w="1580" w:type="dxa"/>
            <w:vAlign w:val="bottom"/>
            <w:shd w:val="clear" w:color="auto" w:fill="151618"/>
          </w:tcPr>
          <w:p>
            <w:pPr>
              <w:jc w:val="center"/>
              <w:spacing w:after="0"/>
              <w:rPr>
                <w:sz w:val="20"/>
                <w:szCs w:val="20"/>
                <w:color w:val="auto"/>
              </w:rPr>
            </w:pPr>
            <w:r>
              <w:rPr>
                <w:rFonts w:ascii="Calibri" w:cs="Calibri" w:eastAsia="Calibri" w:hAnsi="Calibri"/>
                <w:sz w:val="16"/>
                <w:szCs w:val="16"/>
                <w:b w:val="1"/>
                <w:bCs w:val="1"/>
                <w:color w:val="FFFFFF"/>
              </w:rPr>
              <w:t>($)</w:t>
            </w:r>
          </w:p>
        </w:tc>
        <w:tc>
          <w:tcPr>
            <w:tcW w:w="1480" w:type="dxa"/>
            <w:vAlign w:val="bottom"/>
            <w:shd w:val="clear" w:color="auto" w:fill="151618"/>
          </w:tcPr>
          <w:p>
            <w:pPr>
              <w:jc w:val="center"/>
              <w:spacing w:after="0"/>
              <w:rPr>
                <w:sz w:val="20"/>
                <w:szCs w:val="20"/>
                <w:color w:val="auto"/>
              </w:rPr>
            </w:pPr>
            <w:r>
              <w:rPr>
                <w:rFonts w:ascii="Calibri" w:cs="Calibri" w:eastAsia="Calibri" w:hAnsi="Calibri"/>
                <w:sz w:val="16"/>
                <w:szCs w:val="16"/>
                <w:b w:val="1"/>
                <w:bCs w:val="1"/>
                <w:color w:val="FFFFFF"/>
              </w:rPr>
              <w:t>(#)</w:t>
            </w:r>
          </w:p>
        </w:tc>
        <w:tc>
          <w:tcPr>
            <w:tcW w:w="1540" w:type="dxa"/>
            <w:vAlign w:val="bottom"/>
            <w:shd w:val="clear" w:color="auto" w:fill="151618"/>
          </w:tcPr>
          <w:p>
            <w:pPr>
              <w:jc w:val="center"/>
              <w:spacing w:after="0"/>
              <w:rPr>
                <w:sz w:val="20"/>
                <w:szCs w:val="20"/>
                <w:color w:val="auto"/>
              </w:rPr>
            </w:pPr>
            <w:r>
              <w:rPr>
                <w:rFonts w:ascii="Calibri" w:cs="Calibri" w:eastAsia="Calibri" w:hAnsi="Calibri"/>
                <w:sz w:val="16"/>
                <w:szCs w:val="16"/>
                <w:b w:val="1"/>
                <w:bCs w:val="1"/>
                <w:color w:val="FFFFFF"/>
              </w:rPr>
              <w:t>($)</w:t>
            </w:r>
          </w:p>
        </w:tc>
        <w:tc>
          <w:tcPr>
            <w:tcW w:w="1600" w:type="dxa"/>
            <w:vAlign w:val="bottom"/>
            <w:shd w:val="clear" w:color="auto" w:fill="151618"/>
          </w:tcPr>
          <w:p>
            <w:pPr>
              <w:jc w:val="center"/>
              <w:spacing w:after="0"/>
              <w:rPr>
                <w:sz w:val="20"/>
                <w:szCs w:val="20"/>
                <w:color w:val="auto"/>
              </w:rPr>
            </w:pPr>
            <w:r>
              <w:rPr>
                <w:rFonts w:ascii="Calibri" w:cs="Calibri" w:eastAsia="Calibri" w:hAnsi="Calibri"/>
                <w:sz w:val="16"/>
                <w:szCs w:val="16"/>
                <w:b w:val="1"/>
                <w:bCs w:val="1"/>
                <w:color w:val="FFFFFF"/>
                <w:w w:val="99"/>
              </w:rPr>
              <w:t>(#)</w:t>
            </w:r>
          </w:p>
        </w:tc>
        <w:tc>
          <w:tcPr>
            <w:tcW w:w="1540" w:type="dxa"/>
            <w:vAlign w:val="bottom"/>
            <w:tcBorders>
              <w:right w:val="single" w:sz="8" w:color="auto"/>
            </w:tcBorders>
            <w:shd w:val="clear" w:color="auto" w:fill="151618"/>
          </w:tcPr>
          <w:p>
            <w:pPr>
              <w:jc w:val="center"/>
              <w:spacing w:after="0"/>
              <w:rPr>
                <w:sz w:val="20"/>
                <w:szCs w:val="20"/>
                <w:color w:val="auto"/>
              </w:rPr>
            </w:pPr>
            <w:r>
              <w:rPr>
                <w:rFonts w:ascii="Calibri" w:cs="Calibri" w:eastAsia="Calibri" w:hAnsi="Calibri"/>
                <w:sz w:val="16"/>
                <w:szCs w:val="16"/>
                <w:b w:val="1"/>
                <w:bCs w:val="1"/>
                <w:color w:val="FFFFFF"/>
                <w:w w:val="99"/>
              </w:rPr>
              <w:t>($)</w:t>
            </w:r>
          </w:p>
        </w:tc>
        <w:tc>
          <w:tcPr>
            <w:tcW w:w="0" w:type="dxa"/>
            <w:vAlign w:val="bottom"/>
          </w:tcPr>
          <w:p>
            <w:pPr>
              <w:spacing w:after="0"/>
              <w:rPr>
                <w:sz w:val="1"/>
                <w:szCs w:val="1"/>
                <w:color w:val="auto"/>
              </w:rPr>
            </w:pPr>
          </w:p>
        </w:tc>
      </w:tr>
      <w:tr>
        <w:trPr>
          <w:trHeight w:val="95"/>
        </w:trPr>
        <w:tc>
          <w:tcPr>
            <w:tcW w:w="1760" w:type="dxa"/>
            <w:vAlign w:val="bottom"/>
            <w:tcBorders>
              <w:left w:val="single" w:sz="8" w:color="auto"/>
              <w:bottom w:val="single" w:sz="8" w:color="auto"/>
            </w:tcBorders>
            <w:shd w:val="clear" w:color="auto" w:fill="151618"/>
          </w:tcPr>
          <w:p>
            <w:pPr>
              <w:spacing w:after="0"/>
              <w:rPr>
                <w:sz w:val="8"/>
                <w:szCs w:val="8"/>
                <w:color w:val="auto"/>
              </w:rPr>
            </w:pPr>
          </w:p>
        </w:tc>
        <w:tc>
          <w:tcPr>
            <w:tcW w:w="1760" w:type="dxa"/>
            <w:vAlign w:val="bottom"/>
            <w:tcBorders>
              <w:bottom w:val="single" w:sz="8" w:color="auto"/>
            </w:tcBorders>
            <w:shd w:val="clear" w:color="auto" w:fill="151618"/>
          </w:tcPr>
          <w:p>
            <w:pPr>
              <w:spacing w:after="0"/>
              <w:rPr>
                <w:sz w:val="8"/>
                <w:szCs w:val="8"/>
                <w:color w:val="auto"/>
              </w:rPr>
            </w:pPr>
          </w:p>
        </w:tc>
        <w:tc>
          <w:tcPr>
            <w:tcW w:w="1580" w:type="dxa"/>
            <w:vAlign w:val="bottom"/>
            <w:tcBorders>
              <w:bottom w:val="single" w:sz="8" w:color="auto"/>
            </w:tcBorders>
            <w:shd w:val="clear" w:color="auto" w:fill="151618"/>
          </w:tcPr>
          <w:p>
            <w:pPr>
              <w:spacing w:after="0"/>
              <w:rPr>
                <w:sz w:val="8"/>
                <w:szCs w:val="8"/>
                <w:color w:val="auto"/>
              </w:rPr>
            </w:pPr>
          </w:p>
        </w:tc>
        <w:tc>
          <w:tcPr>
            <w:tcW w:w="1480" w:type="dxa"/>
            <w:vAlign w:val="bottom"/>
            <w:tcBorders>
              <w:bottom w:val="single" w:sz="8" w:color="auto"/>
            </w:tcBorders>
            <w:shd w:val="clear" w:color="auto" w:fill="151618"/>
          </w:tcPr>
          <w:p>
            <w:pPr>
              <w:spacing w:after="0"/>
              <w:rPr>
                <w:sz w:val="8"/>
                <w:szCs w:val="8"/>
                <w:color w:val="auto"/>
              </w:rPr>
            </w:pPr>
          </w:p>
        </w:tc>
        <w:tc>
          <w:tcPr>
            <w:tcW w:w="1540" w:type="dxa"/>
            <w:vAlign w:val="bottom"/>
            <w:tcBorders>
              <w:bottom w:val="single" w:sz="8" w:color="auto"/>
            </w:tcBorders>
            <w:shd w:val="clear" w:color="auto" w:fill="151618"/>
          </w:tcPr>
          <w:p>
            <w:pPr>
              <w:spacing w:after="0"/>
              <w:rPr>
                <w:sz w:val="8"/>
                <w:szCs w:val="8"/>
                <w:color w:val="auto"/>
              </w:rPr>
            </w:pPr>
          </w:p>
        </w:tc>
        <w:tc>
          <w:tcPr>
            <w:tcW w:w="1600" w:type="dxa"/>
            <w:vAlign w:val="bottom"/>
            <w:tcBorders>
              <w:bottom w:val="single" w:sz="8" w:color="auto"/>
            </w:tcBorders>
            <w:shd w:val="clear" w:color="auto" w:fill="151618"/>
          </w:tcPr>
          <w:p>
            <w:pPr>
              <w:spacing w:after="0"/>
              <w:rPr>
                <w:sz w:val="8"/>
                <w:szCs w:val="8"/>
                <w:color w:val="auto"/>
              </w:rPr>
            </w:pPr>
          </w:p>
        </w:tc>
        <w:tc>
          <w:tcPr>
            <w:tcW w:w="1540" w:type="dxa"/>
            <w:vAlign w:val="bottom"/>
            <w:tcBorders>
              <w:bottom w:val="single" w:sz="8" w:color="auto"/>
              <w:right w:val="single" w:sz="8" w:color="auto"/>
            </w:tcBorders>
            <w:shd w:val="clear" w:color="auto" w:fill="151618"/>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1760" w:type="dxa"/>
            <w:vAlign w:val="bottom"/>
            <w:tcBorders>
              <w:left w:val="single" w:sz="8" w:color="auto"/>
              <w:bottom w:val="single" w:sz="8" w:color="auto"/>
            </w:tcBorders>
          </w:tcPr>
          <w:p>
            <w:pPr>
              <w:ind w:left="80"/>
              <w:spacing w:after="0"/>
              <w:rPr>
                <w:sz w:val="20"/>
                <w:szCs w:val="20"/>
                <w:color w:val="auto"/>
              </w:rPr>
            </w:pPr>
            <w:r>
              <w:rPr>
                <w:rFonts w:ascii="Calibri" w:cs="Calibri" w:eastAsia="Calibri" w:hAnsi="Calibri"/>
                <w:sz w:val="16"/>
                <w:szCs w:val="16"/>
                <w:b w:val="1"/>
                <w:bCs w:val="1"/>
                <w:color w:val="auto"/>
              </w:rPr>
              <w:t>Gavin Michael</w:t>
            </w:r>
          </w:p>
        </w:tc>
        <w:tc>
          <w:tcPr>
            <w:tcW w:w="1760" w:type="dxa"/>
            <w:vAlign w:val="bottom"/>
            <w:tcBorders>
              <w:bottom w:val="single" w:sz="8" w:color="auto"/>
            </w:tcBorders>
          </w:tcPr>
          <w:p>
            <w:pPr>
              <w:jc w:val="center"/>
              <w:ind w:left="179"/>
              <w:spacing w:after="0" w:line="193" w:lineRule="exact"/>
              <w:rPr>
                <w:sz w:val="20"/>
                <w:szCs w:val="20"/>
                <w:color w:val="auto"/>
              </w:rPr>
            </w:pPr>
            <w:r>
              <w:rPr>
                <w:rFonts w:ascii="Calibri" w:cs="Calibri" w:eastAsia="Calibri" w:hAnsi="Calibri"/>
                <w:sz w:val="16"/>
                <w:szCs w:val="16"/>
                <w:color w:val="auto"/>
                <w:w w:val="96"/>
              </w:rPr>
              <w:t>—</w:t>
            </w:r>
          </w:p>
        </w:tc>
        <w:tc>
          <w:tcPr>
            <w:tcW w:w="1580" w:type="dxa"/>
            <w:vAlign w:val="bottom"/>
            <w:tcBorders>
              <w:bottom w:val="single" w:sz="8" w:color="auto"/>
            </w:tcBorders>
          </w:tcPr>
          <w:p>
            <w:pPr>
              <w:jc w:val="center"/>
              <w:spacing w:after="0" w:line="193" w:lineRule="exact"/>
              <w:rPr>
                <w:sz w:val="20"/>
                <w:szCs w:val="20"/>
                <w:color w:val="auto"/>
              </w:rPr>
            </w:pPr>
            <w:r>
              <w:rPr>
                <w:rFonts w:ascii="Calibri" w:cs="Calibri" w:eastAsia="Calibri" w:hAnsi="Calibri"/>
                <w:sz w:val="16"/>
                <w:szCs w:val="16"/>
                <w:color w:val="auto"/>
              </w:rPr>
              <w:t>—</w:t>
            </w:r>
          </w:p>
        </w:tc>
        <w:tc>
          <w:tcPr>
            <w:tcW w:w="1480" w:type="dxa"/>
            <w:vAlign w:val="bottom"/>
            <w:tcBorders>
              <w:bottom w:val="single" w:sz="8" w:color="auto"/>
            </w:tcBorders>
          </w:tcPr>
          <w:p>
            <w:pPr>
              <w:jc w:val="center"/>
              <w:spacing w:after="0" w:line="193" w:lineRule="exact"/>
              <w:rPr>
                <w:sz w:val="20"/>
                <w:szCs w:val="20"/>
                <w:color w:val="auto"/>
              </w:rPr>
            </w:pPr>
            <w:r>
              <w:rPr>
                <w:rFonts w:ascii="Calibri" w:cs="Calibri" w:eastAsia="Calibri" w:hAnsi="Calibri"/>
                <w:sz w:val="16"/>
                <w:szCs w:val="16"/>
                <w:color w:val="auto"/>
              </w:rPr>
              <w:t>—</w:t>
            </w:r>
          </w:p>
        </w:tc>
        <w:tc>
          <w:tcPr>
            <w:tcW w:w="1540" w:type="dxa"/>
            <w:vAlign w:val="bottom"/>
            <w:tcBorders>
              <w:bottom w:val="single" w:sz="8" w:color="auto"/>
            </w:tcBorders>
          </w:tcPr>
          <w:p>
            <w:pPr>
              <w:jc w:val="center"/>
              <w:spacing w:after="0" w:line="193" w:lineRule="exact"/>
              <w:rPr>
                <w:sz w:val="20"/>
                <w:szCs w:val="20"/>
                <w:color w:val="auto"/>
              </w:rPr>
            </w:pPr>
            <w:r>
              <w:rPr>
                <w:rFonts w:ascii="Calibri" w:cs="Calibri" w:eastAsia="Calibri" w:hAnsi="Calibri"/>
                <w:sz w:val="16"/>
                <w:szCs w:val="16"/>
                <w:color w:val="auto"/>
              </w:rPr>
              <w:t>—</w:t>
            </w:r>
          </w:p>
        </w:tc>
        <w:tc>
          <w:tcPr>
            <w:tcW w:w="1600" w:type="dxa"/>
            <w:vAlign w:val="bottom"/>
            <w:tcBorders>
              <w:bottom w:val="single" w:sz="8" w:color="auto"/>
            </w:tcBorders>
          </w:tcPr>
          <w:p>
            <w:pPr>
              <w:jc w:val="center"/>
              <w:spacing w:after="0" w:line="237" w:lineRule="exact"/>
              <w:rPr>
                <w:sz w:val="20"/>
                <w:szCs w:val="20"/>
                <w:color w:val="auto"/>
              </w:rPr>
            </w:pPr>
            <w:r>
              <w:rPr>
                <w:rFonts w:ascii="Calibri" w:cs="Calibri" w:eastAsia="Calibri" w:hAnsi="Calibri"/>
                <w:sz w:val="16"/>
                <w:szCs w:val="16"/>
                <w:color w:val="auto"/>
                <w:w w:val="94"/>
              </w:rPr>
              <w:t>4,132,294</w:t>
            </w:r>
            <w:r>
              <w:rPr>
                <w:rFonts w:ascii="Calibri" w:cs="Calibri" w:eastAsia="Calibri" w:hAnsi="Calibri"/>
                <w:sz w:val="21"/>
                <w:szCs w:val="21"/>
                <w:color w:val="auto"/>
                <w:w w:val="94"/>
                <w:vertAlign w:val="superscript"/>
              </w:rPr>
              <w:t>(1)</w:t>
            </w:r>
          </w:p>
        </w:tc>
        <w:tc>
          <w:tcPr>
            <w:tcW w:w="1540" w:type="dxa"/>
            <w:vAlign w:val="bottom"/>
            <w:tcBorders>
              <w:bottom w:val="single" w:sz="8" w:color="auto"/>
              <w:right w:val="single" w:sz="8" w:color="auto"/>
            </w:tcBorders>
          </w:tcPr>
          <w:p>
            <w:pPr>
              <w:jc w:val="center"/>
              <w:spacing w:after="0" w:line="193" w:lineRule="exact"/>
              <w:rPr>
                <w:sz w:val="20"/>
                <w:szCs w:val="20"/>
                <w:color w:val="auto"/>
              </w:rPr>
            </w:pPr>
            <w:r>
              <w:rPr>
                <w:rFonts w:ascii="Calibri" w:cs="Calibri" w:eastAsia="Calibri" w:hAnsi="Calibri"/>
                <w:sz w:val="16"/>
                <w:szCs w:val="16"/>
                <w:b w:val="1"/>
                <w:bCs w:val="1"/>
                <w:color w:val="auto"/>
              </w:rPr>
              <w:t>9,215,016</w:t>
            </w:r>
          </w:p>
        </w:tc>
        <w:tc>
          <w:tcPr>
            <w:tcW w:w="0" w:type="dxa"/>
            <w:vAlign w:val="bottom"/>
          </w:tcPr>
          <w:p>
            <w:pPr>
              <w:spacing w:after="0"/>
              <w:rPr>
                <w:sz w:val="1"/>
                <w:szCs w:val="1"/>
                <w:color w:val="auto"/>
              </w:rPr>
            </w:pPr>
          </w:p>
        </w:tc>
      </w:tr>
      <w:tr>
        <w:trPr>
          <w:trHeight w:val="236"/>
        </w:trPr>
        <w:tc>
          <w:tcPr>
            <w:tcW w:w="1760" w:type="dxa"/>
            <w:vAlign w:val="bottom"/>
            <w:tcBorders>
              <w:left w:val="single" w:sz="8" w:color="auto"/>
              <w:bottom w:val="single" w:sz="8" w:color="auto"/>
            </w:tcBorders>
          </w:tcPr>
          <w:p>
            <w:pPr>
              <w:ind w:left="80"/>
              <w:spacing w:after="0"/>
              <w:rPr>
                <w:sz w:val="20"/>
                <w:szCs w:val="20"/>
                <w:color w:val="auto"/>
              </w:rPr>
            </w:pPr>
            <w:r>
              <w:rPr>
                <w:rFonts w:ascii="Calibri" w:cs="Calibri" w:eastAsia="Calibri" w:hAnsi="Calibri"/>
                <w:sz w:val="16"/>
                <w:szCs w:val="16"/>
                <w:b w:val="1"/>
                <w:bCs w:val="1"/>
                <w:color w:val="auto"/>
              </w:rPr>
              <w:t>Karen Alexander</w:t>
            </w:r>
          </w:p>
        </w:tc>
        <w:tc>
          <w:tcPr>
            <w:tcW w:w="1760" w:type="dxa"/>
            <w:vAlign w:val="bottom"/>
            <w:tcBorders>
              <w:bottom w:val="single" w:sz="8" w:color="auto"/>
            </w:tcBorders>
          </w:tcPr>
          <w:p>
            <w:pPr>
              <w:jc w:val="center"/>
              <w:ind w:left="179"/>
              <w:spacing w:after="0" w:line="193" w:lineRule="exact"/>
              <w:rPr>
                <w:sz w:val="20"/>
                <w:szCs w:val="20"/>
                <w:color w:val="auto"/>
              </w:rPr>
            </w:pPr>
            <w:r>
              <w:rPr>
                <w:rFonts w:ascii="Calibri" w:cs="Calibri" w:eastAsia="Calibri" w:hAnsi="Calibri"/>
                <w:sz w:val="16"/>
                <w:szCs w:val="16"/>
                <w:color w:val="auto"/>
                <w:w w:val="96"/>
              </w:rPr>
              <w:t>—</w:t>
            </w:r>
          </w:p>
        </w:tc>
        <w:tc>
          <w:tcPr>
            <w:tcW w:w="1580" w:type="dxa"/>
            <w:vAlign w:val="bottom"/>
            <w:tcBorders>
              <w:bottom w:val="single" w:sz="8" w:color="auto"/>
            </w:tcBorders>
          </w:tcPr>
          <w:p>
            <w:pPr>
              <w:jc w:val="center"/>
              <w:spacing w:after="0" w:line="193" w:lineRule="exact"/>
              <w:rPr>
                <w:sz w:val="20"/>
                <w:szCs w:val="20"/>
                <w:color w:val="auto"/>
              </w:rPr>
            </w:pPr>
            <w:r>
              <w:rPr>
                <w:rFonts w:ascii="Calibri" w:cs="Calibri" w:eastAsia="Calibri" w:hAnsi="Calibri"/>
                <w:sz w:val="16"/>
                <w:szCs w:val="16"/>
                <w:color w:val="auto"/>
              </w:rPr>
              <w:t>—</w:t>
            </w:r>
          </w:p>
        </w:tc>
        <w:tc>
          <w:tcPr>
            <w:tcW w:w="1480" w:type="dxa"/>
            <w:vAlign w:val="bottom"/>
            <w:tcBorders>
              <w:bottom w:val="single" w:sz="8" w:color="auto"/>
            </w:tcBorders>
          </w:tcPr>
          <w:p>
            <w:pPr>
              <w:jc w:val="center"/>
              <w:spacing w:after="0" w:line="193" w:lineRule="exact"/>
              <w:rPr>
                <w:sz w:val="20"/>
                <w:szCs w:val="20"/>
                <w:color w:val="auto"/>
              </w:rPr>
            </w:pPr>
            <w:r>
              <w:rPr>
                <w:rFonts w:ascii="Calibri" w:cs="Calibri" w:eastAsia="Calibri" w:hAnsi="Calibri"/>
                <w:sz w:val="16"/>
                <w:szCs w:val="16"/>
                <w:color w:val="auto"/>
              </w:rPr>
              <w:t>—</w:t>
            </w:r>
          </w:p>
        </w:tc>
        <w:tc>
          <w:tcPr>
            <w:tcW w:w="1540" w:type="dxa"/>
            <w:vAlign w:val="bottom"/>
            <w:tcBorders>
              <w:bottom w:val="single" w:sz="8" w:color="auto"/>
            </w:tcBorders>
          </w:tcPr>
          <w:p>
            <w:pPr>
              <w:jc w:val="center"/>
              <w:spacing w:after="0" w:line="193" w:lineRule="exact"/>
              <w:rPr>
                <w:sz w:val="20"/>
                <w:szCs w:val="20"/>
                <w:color w:val="auto"/>
              </w:rPr>
            </w:pPr>
            <w:r>
              <w:rPr>
                <w:rFonts w:ascii="Calibri" w:cs="Calibri" w:eastAsia="Calibri" w:hAnsi="Calibri"/>
                <w:sz w:val="16"/>
                <w:szCs w:val="16"/>
                <w:color w:val="auto"/>
              </w:rPr>
              <w:t>—</w:t>
            </w:r>
          </w:p>
        </w:tc>
        <w:tc>
          <w:tcPr>
            <w:tcW w:w="1600" w:type="dxa"/>
            <w:vAlign w:val="bottom"/>
            <w:tcBorders>
              <w:bottom w:val="single" w:sz="8" w:color="auto"/>
            </w:tcBorders>
          </w:tcPr>
          <w:p>
            <w:pPr>
              <w:jc w:val="center"/>
              <w:spacing w:after="0" w:line="237" w:lineRule="exact"/>
              <w:rPr>
                <w:sz w:val="20"/>
                <w:szCs w:val="20"/>
                <w:color w:val="auto"/>
              </w:rPr>
            </w:pPr>
            <w:r>
              <w:rPr>
                <w:rFonts w:ascii="Calibri" w:cs="Calibri" w:eastAsia="Calibri" w:hAnsi="Calibri"/>
                <w:sz w:val="16"/>
                <w:szCs w:val="16"/>
                <w:color w:val="auto"/>
                <w:w w:val="93"/>
              </w:rPr>
              <w:t>421,461</w:t>
            </w:r>
            <w:r>
              <w:rPr>
                <w:rFonts w:ascii="Calibri" w:cs="Calibri" w:eastAsia="Calibri" w:hAnsi="Calibri"/>
                <w:sz w:val="21"/>
                <w:szCs w:val="21"/>
                <w:color w:val="auto"/>
                <w:w w:val="93"/>
                <w:vertAlign w:val="superscript"/>
              </w:rPr>
              <w:t>(2)</w:t>
            </w:r>
          </w:p>
        </w:tc>
        <w:tc>
          <w:tcPr>
            <w:tcW w:w="1540" w:type="dxa"/>
            <w:vAlign w:val="bottom"/>
            <w:tcBorders>
              <w:bottom w:val="single" w:sz="8" w:color="auto"/>
              <w:right w:val="single" w:sz="8" w:color="auto"/>
            </w:tcBorders>
          </w:tcPr>
          <w:p>
            <w:pPr>
              <w:jc w:val="center"/>
              <w:spacing w:after="0" w:line="193" w:lineRule="exact"/>
              <w:rPr>
                <w:sz w:val="20"/>
                <w:szCs w:val="20"/>
                <w:color w:val="auto"/>
              </w:rPr>
            </w:pPr>
            <w:r>
              <w:rPr>
                <w:rFonts w:ascii="Calibri" w:cs="Calibri" w:eastAsia="Calibri" w:hAnsi="Calibri"/>
                <w:sz w:val="16"/>
                <w:szCs w:val="16"/>
                <w:b w:val="1"/>
                <w:bCs w:val="1"/>
                <w:color w:val="auto"/>
              </w:rPr>
              <w:t>939,858</w:t>
            </w:r>
          </w:p>
        </w:tc>
        <w:tc>
          <w:tcPr>
            <w:tcW w:w="0" w:type="dxa"/>
            <w:vAlign w:val="bottom"/>
          </w:tcPr>
          <w:p>
            <w:pPr>
              <w:spacing w:after="0"/>
              <w:rPr>
                <w:sz w:val="1"/>
                <w:szCs w:val="1"/>
                <w:color w:val="auto"/>
              </w:rPr>
            </w:pPr>
          </w:p>
        </w:tc>
      </w:tr>
      <w:tr>
        <w:trPr>
          <w:trHeight w:val="237"/>
        </w:trPr>
        <w:tc>
          <w:tcPr>
            <w:tcW w:w="1760" w:type="dxa"/>
            <w:vAlign w:val="bottom"/>
            <w:tcBorders>
              <w:left w:val="single" w:sz="8" w:color="auto"/>
              <w:bottom w:val="single" w:sz="8" w:color="auto"/>
            </w:tcBorders>
          </w:tcPr>
          <w:p>
            <w:pPr>
              <w:ind w:left="80"/>
              <w:spacing w:after="0" w:line="237" w:lineRule="exact"/>
              <w:rPr>
                <w:sz w:val="20"/>
                <w:szCs w:val="20"/>
                <w:color w:val="auto"/>
              </w:rPr>
            </w:pPr>
            <w:r>
              <w:rPr>
                <w:rFonts w:ascii="Calibri" w:cs="Calibri" w:eastAsia="Calibri" w:hAnsi="Calibri"/>
                <w:sz w:val="16"/>
                <w:szCs w:val="16"/>
                <w:b w:val="1"/>
                <w:bCs w:val="1"/>
                <w:color w:val="auto"/>
              </w:rPr>
              <w:t>Marc D’Annunzio</w:t>
            </w:r>
            <w:r>
              <w:rPr>
                <w:rFonts w:ascii="Calibri" w:cs="Calibri" w:eastAsia="Calibri" w:hAnsi="Calibri"/>
                <w:sz w:val="21"/>
                <w:szCs w:val="21"/>
                <w:b w:val="1"/>
                <w:bCs w:val="1"/>
                <w:color w:val="auto"/>
                <w:vertAlign w:val="superscript"/>
              </w:rPr>
              <w:t>(4)</w:t>
            </w:r>
          </w:p>
        </w:tc>
        <w:tc>
          <w:tcPr>
            <w:tcW w:w="1760" w:type="dxa"/>
            <w:vAlign w:val="bottom"/>
            <w:tcBorders>
              <w:bottom w:val="single" w:sz="8" w:color="auto"/>
            </w:tcBorders>
          </w:tcPr>
          <w:p>
            <w:pPr>
              <w:jc w:val="center"/>
              <w:ind w:left="179"/>
              <w:spacing w:after="0" w:line="193" w:lineRule="exact"/>
              <w:rPr>
                <w:sz w:val="20"/>
                <w:szCs w:val="20"/>
                <w:color w:val="auto"/>
              </w:rPr>
            </w:pPr>
            <w:r>
              <w:rPr>
                <w:rFonts w:ascii="Calibri" w:cs="Calibri" w:eastAsia="Calibri" w:hAnsi="Calibri"/>
                <w:sz w:val="16"/>
                <w:szCs w:val="16"/>
                <w:color w:val="auto"/>
              </w:rPr>
              <w:t>1,204,712</w:t>
            </w:r>
          </w:p>
        </w:tc>
        <w:tc>
          <w:tcPr>
            <w:tcW w:w="1580" w:type="dxa"/>
            <w:vAlign w:val="bottom"/>
            <w:tcBorders>
              <w:bottom w:val="single" w:sz="8" w:color="auto"/>
            </w:tcBorders>
          </w:tcPr>
          <w:p>
            <w:pPr>
              <w:jc w:val="center"/>
              <w:spacing w:after="0" w:line="193" w:lineRule="exact"/>
              <w:rPr>
                <w:sz w:val="20"/>
                <w:szCs w:val="20"/>
                <w:color w:val="auto"/>
              </w:rPr>
            </w:pPr>
            <w:r>
              <w:rPr>
                <w:rFonts w:ascii="Calibri" w:cs="Calibri" w:eastAsia="Calibri" w:hAnsi="Calibri"/>
                <w:sz w:val="16"/>
                <w:szCs w:val="16"/>
                <w:color w:val="auto"/>
                <w:w w:val="98"/>
              </w:rPr>
              <w:t>2,686,508</w:t>
            </w:r>
          </w:p>
        </w:tc>
        <w:tc>
          <w:tcPr>
            <w:tcW w:w="1480" w:type="dxa"/>
            <w:vAlign w:val="bottom"/>
            <w:tcBorders>
              <w:bottom w:val="single" w:sz="8" w:color="auto"/>
            </w:tcBorders>
          </w:tcPr>
          <w:p>
            <w:pPr>
              <w:jc w:val="center"/>
              <w:spacing w:after="0" w:line="193" w:lineRule="exact"/>
              <w:rPr>
                <w:sz w:val="20"/>
                <w:szCs w:val="20"/>
                <w:color w:val="auto"/>
              </w:rPr>
            </w:pPr>
            <w:r>
              <w:rPr>
                <w:rFonts w:ascii="Calibri" w:cs="Calibri" w:eastAsia="Calibri" w:hAnsi="Calibri"/>
                <w:sz w:val="16"/>
                <w:szCs w:val="16"/>
                <w:color w:val="auto"/>
              </w:rPr>
              <w:t>—</w:t>
            </w:r>
          </w:p>
        </w:tc>
        <w:tc>
          <w:tcPr>
            <w:tcW w:w="1540" w:type="dxa"/>
            <w:vAlign w:val="bottom"/>
            <w:tcBorders>
              <w:bottom w:val="single" w:sz="8" w:color="auto"/>
            </w:tcBorders>
          </w:tcPr>
          <w:p>
            <w:pPr>
              <w:jc w:val="center"/>
              <w:spacing w:after="0" w:line="193" w:lineRule="exact"/>
              <w:rPr>
                <w:sz w:val="20"/>
                <w:szCs w:val="20"/>
                <w:color w:val="auto"/>
              </w:rPr>
            </w:pPr>
            <w:r>
              <w:rPr>
                <w:rFonts w:ascii="Calibri" w:cs="Calibri" w:eastAsia="Calibri" w:hAnsi="Calibri"/>
                <w:sz w:val="16"/>
                <w:szCs w:val="16"/>
                <w:color w:val="auto"/>
              </w:rPr>
              <w:t>—</w:t>
            </w:r>
          </w:p>
        </w:tc>
        <w:tc>
          <w:tcPr>
            <w:tcW w:w="1600" w:type="dxa"/>
            <w:vAlign w:val="bottom"/>
            <w:tcBorders>
              <w:bottom w:val="single" w:sz="8" w:color="auto"/>
            </w:tcBorders>
          </w:tcPr>
          <w:p>
            <w:pPr>
              <w:jc w:val="center"/>
              <w:spacing w:after="0" w:line="237" w:lineRule="exact"/>
              <w:rPr>
                <w:sz w:val="20"/>
                <w:szCs w:val="20"/>
                <w:color w:val="auto"/>
              </w:rPr>
            </w:pPr>
            <w:r>
              <w:rPr>
                <w:rFonts w:ascii="Calibri" w:cs="Calibri" w:eastAsia="Calibri" w:hAnsi="Calibri"/>
                <w:sz w:val="16"/>
                <w:szCs w:val="16"/>
                <w:color w:val="auto"/>
                <w:w w:val="94"/>
              </w:rPr>
              <w:t xml:space="preserve">621,979 </w:t>
            </w:r>
            <w:r>
              <w:rPr>
                <w:rFonts w:ascii="Calibri" w:cs="Calibri" w:eastAsia="Calibri" w:hAnsi="Calibri"/>
                <w:sz w:val="21"/>
                <w:szCs w:val="21"/>
                <w:color w:val="auto"/>
                <w:w w:val="94"/>
                <w:vertAlign w:val="superscript"/>
              </w:rPr>
              <w:t>(3)</w:t>
            </w:r>
          </w:p>
        </w:tc>
        <w:tc>
          <w:tcPr>
            <w:tcW w:w="1540" w:type="dxa"/>
            <w:vAlign w:val="bottom"/>
            <w:tcBorders>
              <w:bottom w:val="single" w:sz="8" w:color="auto"/>
              <w:right w:val="single" w:sz="8" w:color="auto"/>
            </w:tcBorders>
          </w:tcPr>
          <w:p>
            <w:pPr>
              <w:jc w:val="center"/>
              <w:spacing w:after="0" w:line="193" w:lineRule="exact"/>
              <w:rPr>
                <w:sz w:val="20"/>
                <w:szCs w:val="20"/>
                <w:color w:val="auto"/>
              </w:rPr>
            </w:pPr>
            <w:r>
              <w:rPr>
                <w:rFonts w:ascii="Calibri" w:cs="Calibri" w:eastAsia="Calibri" w:hAnsi="Calibri"/>
                <w:sz w:val="16"/>
                <w:szCs w:val="16"/>
                <w:b w:val="1"/>
                <w:bCs w:val="1"/>
                <w:color w:val="auto"/>
              </w:rPr>
              <w:t>1,387,013</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48" w:lineRule="exact"/>
        <w:rPr>
          <w:sz w:val="20"/>
          <w:szCs w:val="20"/>
          <w:color w:val="auto"/>
        </w:rPr>
      </w:pPr>
    </w:p>
    <w:p>
      <w:pPr>
        <w:jc w:val="both"/>
        <w:ind w:left="340" w:right="20" w:hanging="332"/>
        <w:spacing w:after="0"/>
        <w:tabs>
          <w:tab w:leader="none" w:pos="322" w:val="left"/>
        </w:tabs>
        <w:numPr>
          <w:ilvl w:val="0"/>
          <w:numId w:val="40"/>
        </w:numPr>
        <w:rPr>
          <w:rFonts w:ascii="Arial" w:cs="Arial" w:eastAsia="Arial" w:hAnsi="Arial"/>
          <w:sz w:val="16"/>
          <w:szCs w:val="16"/>
          <w:color w:val="auto"/>
        </w:rPr>
      </w:pPr>
      <w:r>
        <w:rPr>
          <w:rFonts w:ascii="Calibri" w:cs="Calibri" w:eastAsia="Calibri" w:hAnsi="Calibri"/>
          <w:sz w:val="16"/>
          <w:szCs w:val="16"/>
          <w:color w:val="auto"/>
        </w:rPr>
        <w:t>Represents 1,394,940 unvested tme-based RSUs from a grant on January 21, 2022, and 243,032 unvested tme-based RSUs from a grant on February 1, 2022, one half of which will vest on each future anniversary of the grant date subject to contnued employment; 391,645 unvested tme-based RSUs from a grant on February 13, 2023, one third of which will vest on each anniversary of the grant date subject to contnued employment; 80,000 unvested tme-based RSUs from a grant on February 13,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2760"/>
        <w:spacing w:after="0"/>
        <w:tabs>
          <w:tab w:leader="none" w:pos="7080" w:val="left"/>
          <w:tab w:leader="none" w:pos="8300" w:val="left"/>
        </w:tabs>
        <w:rPr>
          <w:sz w:val="20"/>
          <w:szCs w:val="20"/>
          <w:color w:val="auto"/>
        </w:rPr>
      </w:pPr>
      <w:r>
        <w:rPr>
          <w:rFonts w:ascii="Calibri" w:cs="Calibri" w:eastAsia="Calibri" w:hAnsi="Calibri"/>
          <w:sz w:val="16"/>
          <w:szCs w:val="16"/>
          <w:color w:val="auto"/>
        </w:rPr>
        <w:t>Alphareta, GA | New York, NY | Belfast, United Kingdom</w:t>
      </w:r>
      <w:r>
        <w:rPr>
          <w:sz w:val="20"/>
          <w:szCs w:val="20"/>
          <w:color w:val="auto"/>
        </w:rPr>
        <w:tab/>
      </w:r>
      <w:r>
        <w:rPr>
          <w:rFonts w:ascii="Calibri" w:cs="Calibri" w:eastAsia="Calibri" w:hAnsi="Calibri"/>
          <w:sz w:val="16"/>
          <w:szCs w:val="16"/>
          <w:color w:val="auto"/>
        </w:rPr>
        <w:t>www.bakkt.com</w:t>
      </w:r>
      <w:r>
        <w:rPr>
          <w:sz w:val="20"/>
          <w:szCs w:val="20"/>
          <w:color w:val="auto"/>
        </w:rPr>
        <w:tab/>
      </w:r>
      <w:r>
        <w:rPr>
          <w:rFonts w:ascii="Calibri" w:cs="Calibri" w:eastAsia="Calibri" w:hAnsi="Calibri"/>
          <w:sz w:val="17"/>
          <w:szCs w:val="17"/>
          <w:color w:val="auto"/>
        </w:rPr>
        <w:t>56</w:t>
      </w:r>
    </w:p>
    <w:p>
      <w:pPr>
        <w:sectPr>
          <w:pgSz w:w="11900" w:h="16838" w:orient="portrait"/>
          <w:cols w:equalWidth="0" w:num="1">
            <w:col w:w="11260"/>
          </w:cols>
          <w:pgMar w:left="320" w:top="1440" w:right="319" w:bottom="1440" w:gutter="0" w:footer="0" w:header="0"/>
        </w:sectPr>
      </w:pPr>
    </w:p>
    <w:bookmarkStart w:id="62" w:name="page63"/>
    <w:bookmarkEnd w:id="62"/>
    <w:p>
      <w:pPr>
        <w:spacing w:after="0" w:line="194" w:lineRule="exact"/>
        <w:rPr>
          <w:sz w:val="20"/>
          <w:szCs w:val="20"/>
          <w:color w:val="auto"/>
        </w:rPr>
      </w:pPr>
    </w:p>
    <w:p>
      <w:pPr>
        <w:jc w:val="both"/>
        <w:ind w:left="332"/>
        <w:spacing w:after="0" w:line="239" w:lineRule="auto"/>
        <w:rPr>
          <w:sz w:val="20"/>
          <w:szCs w:val="20"/>
          <w:color w:val="auto"/>
        </w:rPr>
      </w:pPr>
      <w:r>
        <w:rPr>
          <w:rFonts w:ascii="Calibri" w:cs="Calibri" w:eastAsia="Calibri" w:hAnsi="Calibri"/>
          <w:sz w:val="16"/>
          <w:szCs w:val="16"/>
          <w:color w:val="auto"/>
        </w:rPr>
        <w:t>2023, one half of which will vest on each anniversary of the grant date subject to contnued employment; 1,388,000 unvested performance-based RSUs from a grant on January 21, 2022, and 243,032 unvested performance-based RSUs from a grant on February 1, 2022, one half of which will vest on each future anniversary of the grant date subject to contnued employment and performance, in each case, represented at target performance; and 391,645 unvested performance-based RSUs from a grant on February 13, 2023, one third of which will vest on each anniversary of the grant date subject to contnued employment and performance, in each case, represented at target performance.</w:t>
      </w:r>
    </w:p>
    <w:p>
      <w:pPr>
        <w:spacing w:after="0" w:line="13" w:lineRule="exact"/>
        <w:rPr>
          <w:sz w:val="20"/>
          <w:szCs w:val="20"/>
          <w:color w:val="auto"/>
        </w:rPr>
      </w:pPr>
    </w:p>
    <w:p>
      <w:pPr>
        <w:jc w:val="both"/>
        <w:ind w:left="332" w:hanging="332"/>
        <w:spacing w:after="0"/>
        <w:tabs>
          <w:tab w:leader="none" w:pos="314" w:val="left"/>
        </w:tabs>
        <w:numPr>
          <w:ilvl w:val="0"/>
          <w:numId w:val="41"/>
        </w:numPr>
        <w:rPr>
          <w:rFonts w:ascii="Arial" w:cs="Arial" w:eastAsia="Arial" w:hAnsi="Arial"/>
          <w:sz w:val="16"/>
          <w:szCs w:val="16"/>
          <w:color w:val="auto"/>
        </w:rPr>
      </w:pPr>
      <w:r>
        <w:rPr>
          <w:rFonts w:ascii="Calibri" w:cs="Calibri" w:eastAsia="Calibri" w:hAnsi="Calibri"/>
          <w:sz w:val="16"/>
          <w:szCs w:val="16"/>
          <w:color w:val="auto"/>
        </w:rPr>
        <w:t>Represents 25,500 unvested tme-based RSUs from a grant on December 21, 2021, which will vest on December 21, 2024 subject to contnued employment, and 24,304 unvested tme-based RSUs from a grant on February 1, 2022, one half of which will vest on each future anniversary of the grant date subject to contnued employment, and 67,000 unvested tme-based RSUs from a grant on August 26, 2022, one half of which will vest on each future anniversary of the grant date; 140,992 unvested tme-based RSUs from a grant on February 13, 2023, one third of which will vest on each anniversary of the grant date subject to contnued employment; 50,000 unvested tme-based RSUs from a grant on February 13, 2023, one half of which will vest on each anniversary of the grant date subject to contnued employment; 66,668 unvested performance-based RSUs from a grant on August 26, 2022, one half of which will vest on each future anniversary of the grant date, subject to contnued employment and performance, in each case, represented at target performance; and 46,997 unvested performance-based RSUs from a grant on February 13, 2023, one third of which will vest on each anniversary of the grant date subject to contnued employment and performance, in each case, represented at target performance.</w:t>
      </w:r>
    </w:p>
    <w:p>
      <w:pPr>
        <w:spacing w:after="0" w:line="192" w:lineRule="exact"/>
        <w:rPr>
          <w:rFonts w:ascii="Arial" w:cs="Arial" w:eastAsia="Arial" w:hAnsi="Arial"/>
          <w:sz w:val="16"/>
          <w:szCs w:val="16"/>
          <w:color w:val="auto"/>
        </w:rPr>
      </w:pPr>
    </w:p>
    <w:p>
      <w:pPr>
        <w:jc w:val="both"/>
        <w:ind w:left="332" w:hanging="332"/>
        <w:spacing w:after="0" w:line="239" w:lineRule="auto"/>
        <w:tabs>
          <w:tab w:leader="none" w:pos="314" w:val="left"/>
        </w:tabs>
        <w:numPr>
          <w:ilvl w:val="0"/>
          <w:numId w:val="41"/>
        </w:numPr>
        <w:rPr>
          <w:rFonts w:ascii="Arial" w:cs="Arial" w:eastAsia="Arial" w:hAnsi="Arial"/>
          <w:sz w:val="16"/>
          <w:szCs w:val="16"/>
          <w:color w:val="auto"/>
        </w:rPr>
      </w:pPr>
      <w:r>
        <w:rPr>
          <w:rFonts w:ascii="Calibri" w:cs="Calibri" w:eastAsia="Calibri" w:hAnsi="Calibri"/>
          <w:sz w:val="16"/>
          <w:szCs w:val="16"/>
          <w:color w:val="auto"/>
        </w:rPr>
        <w:t>Represents: 134,000 unvested tme-based RSUs from a grant on January 21, 2022, and 58,328 unvested tme-based RSUs from a grant on February 1, 2022, one half of which will vest on each future anniversary of the grant date subject to contnued employment; 140,992 unvested tme-based RSUs from a grant on February 13, 2023, one third of which will vest on each anniversary of the grant date subject to contnued employment; 50,000 unvested tme-based RSUs from a grant on February 13, 2023, one half of which will vest on each anniversary of the grant date subject to contnued employment; 133,334 unvested performance-based RSUs from a grant on January 21, 2022, and 58,328 unvested performance-based RSUs from a grant on February 1, 2022, one half of which will vest on each future anniversary of the grant date subject to contnued employment and performance, in each case, represented at target performance; and 46,997 unvested performance-based RSUs from a grant on February 13, 2023, one third of which will vest on each anniversary of the grant date subject to contnued employment and performance, in each case, represented at target performance.</w:t>
      </w:r>
    </w:p>
    <w:p>
      <w:pPr>
        <w:spacing w:after="0" w:line="23" w:lineRule="exact"/>
        <w:rPr>
          <w:rFonts w:ascii="Arial" w:cs="Arial" w:eastAsia="Arial" w:hAnsi="Arial"/>
          <w:sz w:val="16"/>
          <w:szCs w:val="16"/>
          <w:color w:val="auto"/>
        </w:rPr>
      </w:pPr>
    </w:p>
    <w:p>
      <w:pPr>
        <w:ind w:left="332" w:hanging="332"/>
        <w:spacing w:after="0" w:line="235" w:lineRule="auto"/>
        <w:tabs>
          <w:tab w:leader="none" w:pos="314" w:val="left"/>
        </w:tabs>
        <w:numPr>
          <w:ilvl w:val="0"/>
          <w:numId w:val="41"/>
        </w:numPr>
        <w:rPr>
          <w:rFonts w:ascii="Arial" w:cs="Arial" w:eastAsia="Arial" w:hAnsi="Arial"/>
          <w:sz w:val="16"/>
          <w:szCs w:val="16"/>
          <w:color w:val="auto"/>
        </w:rPr>
      </w:pPr>
      <w:r>
        <w:rPr>
          <w:rFonts w:ascii="Calibri" w:cs="Calibri" w:eastAsia="Calibri" w:hAnsi="Calibri"/>
          <w:sz w:val="16"/>
          <w:szCs w:val="16"/>
          <w:color w:val="auto"/>
        </w:rPr>
        <w:t>Mr. D’Annunzio was granted profts interests in the form of preferred incentve units on May 17, 2019 and February 28, 2020, all of which vested. At Closing, each profts interest was exchanged for the right to receive a Paired Interest.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2752"/>
        <w:spacing w:after="0"/>
        <w:tabs>
          <w:tab w:leader="none" w:pos="7072" w:val="left"/>
          <w:tab w:leader="none" w:pos="8292" w:val="left"/>
        </w:tabs>
        <w:rPr>
          <w:sz w:val="20"/>
          <w:szCs w:val="20"/>
          <w:color w:val="auto"/>
        </w:rPr>
      </w:pPr>
      <w:r>
        <w:rPr>
          <w:rFonts w:ascii="Calibri" w:cs="Calibri" w:eastAsia="Calibri" w:hAnsi="Calibri"/>
          <w:sz w:val="16"/>
          <w:szCs w:val="16"/>
          <w:color w:val="auto"/>
        </w:rPr>
        <w:t>Alphareta, GA | New York, NY | Belfast, United Kingdom</w:t>
      </w:r>
      <w:r>
        <w:rPr>
          <w:sz w:val="20"/>
          <w:szCs w:val="20"/>
          <w:color w:val="auto"/>
        </w:rPr>
        <w:tab/>
      </w:r>
      <w:r>
        <w:rPr>
          <w:rFonts w:ascii="Calibri" w:cs="Calibri" w:eastAsia="Calibri" w:hAnsi="Calibri"/>
          <w:sz w:val="16"/>
          <w:szCs w:val="16"/>
          <w:color w:val="auto"/>
        </w:rPr>
        <w:t>www.bakkt.com</w:t>
      </w:r>
      <w:r>
        <w:rPr>
          <w:sz w:val="20"/>
          <w:szCs w:val="20"/>
          <w:color w:val="auto"/>
        </w:rPr>
        <w:tab/>
      </w:r>
      <w:r>
        <w:rPr>
          <w:rFonts w:ascii="Calibri" w:cs="Calibri" w:eastAsia="Calibri" w:hAnsi="Calibri"/>
          <w:sz w:val="17"/>
          <w:szCs w:val="17"/>
          <w:color w:val="auto"/>
        </w:rPr>
        <w:t>57</w:t>
      </w:r>
    </w:p>
    <w:p>
      <w:pPr>
        <w:sectPr>
          <w:pgSz w:w="11900" w:h="16838" w:orient="portrait"/>
          <w:cols w:equalWidth="0" w:num="1">
            <w:col w:w="11232"/>
          </w:cols>
          <w:pgMar w:left="328" w:top="1440" w:right="339" w:bottom="1440" w:gutter="0" w:footer="0" w:header="0"/>
        </w:sectPr>
      </w:pPr>
    </w:p>
    <w:bookmarkStart w:id="63" w:name="page64"/>
    <w:bookmarkEnd w:id="63"/>
    <w:p>
      <w:pPr>
        <w:spacing w:after="0" w:line="171" w:lineRule="exact"/>
        <w:rPr>
          <w:sz w:val="20"/>
          <w:szCs w:val="20"/>
          <w:color w:val="auto"/>
        </w:rPr>
      </w:pPr>
    </w:p>
    <w:p>
      <w:pPr>
        <w:spacing w:after="0"/>
        <w:rPr>
          <w:sz w:val="20"/>
          <w:szCs w:val="20"/>
          <w:color w:val="auto"/>
        </w:rPr>
      </w:pPr>
      <w:r>
        <w:rPr>
          <w:rFonts w:ascii="Calibri" w:cs="Calibri" w:eastAsia="Calibri" w:hAnsi="Calibri"/>
          <w:sz w:val="29"/>
          <w:szCs w:val="29"/>
          <w:b w:val="1"/>
          <w:bCs w:val="1"/>
          <w:color w:val="auto"/>
        </w:rPr>
        <w:t>Equity Compensaton Plan Informaton</w:t>
      </w:r>
    </w:p>
    <w:p>
      <w:pPr>
        <w:spacing w:after="0" w:line="215" w:lineRule="exact"/>
        <w:rPr>
          <w:sz w:val="20"/>
          <w:szCs w:val="20"/>
          <w:color w:val="auto"/>
        </w:rPr>
      </w:pPr>
    </w:p>
    <w:p>
      <w:pPr>
        <w:spacing w:after="0"/>
        <w:rPr>
          <w:sz w:val="20"/>
          <w:szCs w:val="20"/>
          <w:color w:val="auto"/>
        </w:rPr>
      </w:pPr>
      <w:r>
        <w:rPr>
          <w:rFonts w:ascii="Calibri" w:cs="Calibri" w:eastAsia="Calibri" w:hAnsi="Calibri"/>
          <w:sz w:val="22"/>
          <w:szCs w:val="22"/>
          <w:color w:val="auto"/>
        </w:rPr>
        <w:t>The following table summarizes our equity compensaton plan informaton as of December 31, 2023.</w:t>
      </w:r>
    </w:p>
    <w:p>
      <w:pPr>
        <w:spacing w:after="0" w:line="277" w:lineRule="exact"/>
        <w:rPr>
          <w:sz w:val="20"/>
          <w:szCs w:val="20"/>
          <w:color w:val="auto"/>
        </w:rPr>
      </w:pPr>
    </w:p>
    <w:tbl>
      <w:tblPr>
        <w:tblLayout w:type="fixed"/>
        <w:tblInd w:w="10" w:type="dxa"/>
        <w:tblCellMar>
          <w:top w:w="0" w:type="dxa"/>
          <w:left w:w="0" w:type="dxa"/>
          <w:bottom w:w="0" w:type="dxa"/>
          <w:right w:w="0" w:type="dxa"/>
        </w:tblCellMar>
      </w:tblPr>
      <w:tr>
        <w:trPr>
          <w:trHeight w:val="171"/>
        </w:trPr>
        <w:tc>
          <w:tcPr>
            <w:tcW w:w="2680" w:type="dxa"/>
            <w:vAlign w:val="bottom"/>
            <w:tcBorders>
              <w:top w:val="single" w:sz="8" w:color="auto"/>
              <w:left w:val="single" w:sz="8" w:color="auto"/>
            </w:tcBorders>
            <w:shd w:val="clear" w:color="auto" w:fill="151618"/>
          </w:tcPr>
          <w:p>
            <w:pPr>
              <w:spacing w:after="0"/>
              <w:rPr>
                <w:sz w:val="14"/>
                <w:szCs w:val="14"/>
                <w:color w:val="auto"/>
              </w:rPr>
            </w:pPr>
          </w:p>
        </w:tc>
        <w:tc>
          <w:tcPr>
            <w:tcW w:w="1160" w:type="dxa"/>
            <w:vAlign w:val="bottom"/>
            <w:tcBorders>
              <w:top w:val="single" w:sz="8" w:color="auto"/>
            </w:tcBorders>
            <w:shd w:val="clear" w:color="auto" w:fill="151618"/>
          </w:tcPr>
          <w:p>
            <w:pPr>
              <w:spacing w:after="0"/>
              <w:rPr>
                <w:sz w:val="14"/>
                <w:szCs w:val="14"/>
                <w:color w:val="auto"/>
              </w:rPr>
            </w:pPr>
          </w:p>
        </w:tc>
        <w:tc>
          <w:tcPr>
            <w:tcW w:w="760" w:type="dxa"/>
            <w:vAlign w:val="bottom"/>
            <w:tcBorders>
              <w:top w:val="single" w:sz="8" w:color="auto"/>
            </w:tcBorders>
            <w:shd w:val="clear" w:color="auto" w:fill="151618"/>
          </w:tcPr>
          <w:p>
            <w:pPr>
              <w:spacing w:after="0"/>
              <w:rPr>
                <w:sz w:val="14"/>
                <w:szCs w:val="14"/>
                <w:color w:val="auto"/>
              </w:rPr>
            </w:pPr>
          </w:p>
        </w:tc>
        <w:tc>
          <w:tcPr>
            <w:tcW w:w="1020" w:type="dxa"/>
            <w:vAlign w:val="bottom"/>
            <w:tcBorders>
              <w:top w:val="single" w:sz="8" w:color="auto"/>
            </w:tcBorders>
            <w:shd w:val="clear" w:color="auto" w:fill="151618"/>
          </w:tcPr>
          <w:p>
            <w:pPr>
              <w:spacing w:after="0"/>
              <w:rPr>
                <w:sz w:val="14"/>
                <w:szCs w:val="14"/>
                <w:color w:val="auto"/>
              </w:rPr>
            </w:pPr>
          </w:p>
        </w:tc>
        <w:tc>
          <w:tcPr>
            <w:tcW w:w="2820" w:type="dxa"/>
            <w:vAlign w:val="bottom"/>
            <w:tcBorders>
              <w:top w:val="single" w:sz="8" w:color="auto"/>
            </w:tcBorders>
            <w:shd w:val="clear" w:color="auto" w:fill="151618"/>
          </w:tcPr>
          <w:p>
            <w:pPr>
              <w:spacing w:after="0"/>
              <w:rPr>
                <w:sz w:val="14"/>
                <w:szCs w:val="14"/>
                <w:color w:val="auto"/>
              </w:rPr>
            </w:pPr>
          </w:p>
        </w:tc>
        <w:tc>
          <w:tcPr>
            <w:tcW w:w="2820" w:type="dxa"/>
            <w:vAlign w:val="bottom"/>
            <w:tcBorders>
              <w:top w:val="single" w:sz="8" w:color="auto"/>
              <w:right w:val="single" w:sz="8" w:color="auto"/>
            </w:tcBorders>
            <w:gridSpan w:val="3"/>
            <w:shd w:val="clear" w:color="auto" w:fill="151618"/>
          </w:tcPr>
          <w:p>
            <w:pPr>
              <w:jc w:val="center"/>
              <w:ind w:right="20"/>
              <w:spacing w:after="0" w:line="171" w:lineRule="exact"/>
              <w:rPr>
                <w:sz w:val="20"/>
                <w:szCs w:val="20"/>
                <w:color w:val="auto"/>
              </w:rPr>
            </w:pPr>
            <w:r>
              <w:rPr>
                <w:rFonts w:ascii="Calibri" w:cs="Calibri" w:eastAsia="Calibri" w:hAnsi="Calibri"/>
                <w:sz w:val="16"/>
                <w:szCs w:val="16"/>
                <w:b w:val="1"/>
                <w:bCs w:val="1"/>
                <w:color w:val="FFFFFF"/>
              </w:rPr>
              <w:t>(c) Number of Securites Remaining</w:t>
            </w:r>
          </w:p>
        </w:tc>
      </w:tr>
      <w:tr>
        <w:trPr>
          <w:trHeight w:val="162"/>
        </w:trPr>
        <w:tc>
          <w:tcPr>
            <w:tcW w:w="2680" w:type="dxa"/>
            <w:vAlign w:val="bottom"/>
            <w:tcBorders>
              <w:left w:val="single" w:sz="8" w:color="auto"/>
            </w:tcBorders>
            <w:shd w:val="clear" w:color="auto" w:fill="151618"/>
          </w:tcPr>
          <w:p>
            <w:pPr>
              <w:spacing w:after="0"/>
              <w:rPr>
                <w:sz w:val="14"/>
                <w:szCs w:val="14"/>
                <w:color w:val="auto"/>
              </w:rPr>
            </w:pPr>
          </w:p>
        </w:tc>
        <w:tc>
          <w:tcPr>
            <w:tcW w:w="2940" w:type="dxa"/>
            <w:vAlign w:val="bottom"/>
            <w:gridSpan w:val="3"/>
            <w:shd w:val="clear" w:color="auto" w:fill="151618"/>
          </w:tcPr>
          <w:p>
            <w:pPr>
              <w:jc w:val="center"/>
              <w:ind w:left="60"/>
              <w:spacing w:after="0" w:line="162" w:lineRule="exact"/>
              <w:rPr>
                <w:sz w:val="20"/>
                <w:szCs w:val="20"/>
                <w:color w:val="auto"/>
              </w:rPr>
            </w:pPr>
            <w:r>
              <w:rPr>
                <w:rFonts w:ascii="Calibri" w:cs="Calibri" w:eastAsia="Calibri" w:hAnsi="Calibri"/>
                <w:sz w:val="16"/>
                <w:szCs w:val="16"/>
                <w:b w:val="1"/>
                <w:bCs w:val="1"/>
                <w:color w:val="FFFFFF"/>
              </w:rPr>
              <w:t>(a) Number of Securites to be Issued</w:t>
            </w:r>
          </w:p>
        </w:tc>
        <w:tc>
          <w:tcPr>
            <w:tcW w:w="2820" w:type="dxa"/>
            <w:vAlign w:val="bottom"/>
            <w:shd w:val="clear" w:color="auto" w:fill="151618"/>
          </w:tcPr>
          <w:p>
            <w:pPr>
              <w:jc w:val="center"/>
              <w:spacing w:after="0" w:line="162" w:lineRule="exact"/>
              <w:rPr>
                <w:sz w:val="20"/>
                <w:szCs w:val="20"/>
                <w:color w:val="auto"/>
              </w:rPr>
            </w:pPr>
            <w:r>
              <w:rPr>
                <w:rFonts w:ascii="Calibri" w:cs="Calibri" w:eastAsia="Calibri" w:hAnsi="Calibri"/>
                <w:sz w:val="16"/>
                <w:szCs w:val="16"/>
                <w:b w:val="1"/>
                <w:bCs w:val="1"/>
                <w:color w:val="FFFFFF"/>
              </w:rPr>
              <w:t>(b) Weighted-Average Exercise Price of</w:t>
            </w:r>
          </w:p>
        </w:tc>
        <w:tc>
          <w:tcPr>
            <w:tcW w:w="2820" w:type="dxa"/>
            <w:vAlign w:val="bottom"/>
            <w:tcBorders>
              <w:right w:val="single" w:sz="8" w:color="auto"/>
            </w:tcBorders>
            <w:gridSpan w:val="3"/>
            <w:shd w:val="clear" w:color="auto" w:fill="151618"/>
          </w:tcPr>
          <w:p>
            <w:pPr>
              <w:jc w:val="center"/>
              <w:ind w:right="20"/>
              <w:spacing w:after="0" w:line="162" w:lineRule="exact"/>
              <w:rPr>
                <w:sz w:val="20"/>
                <w:szCs w:val="20"/>
                <w:color w:val="auto"/>
              </w:rPr>
            </w:pPr>
            <w:r>
              <w:rPr>
                <w:rFonts w:ascii="Calibri" w:cs="Calibri" w:eastAsia="Calibri" w:hAnsi="Calibri"/>
                <w:sz w:val="16"/>
                <w:szCs w:val="16"/>
                <w:b w:val="1"/>
                <w:bCs w:val="1"/>
                <w:color w:val="FFFFFF"/>
              </w:rPr>
              <w:t>Available for Future Issuance Under</w:t>
            </w:r>
          </w:p>
        </w:tc>
      </w:tr>
      <w:tr>
        <w:trPr>
          <w:trHeight w:val="162"/>
        </w:trPr>
        <w:tc>
          <w:tcPr>
            <w:tcW w:w="2680" w:type="dxa"/>
            <w:vAlign w:val="bottom"/>
            <w:tcBorders>
              <w:left w:val="single" w:sz="8" w:color="auto"/>
            </w:tcBorders>
            <w:shd w:val="clear" w:color="auto" w:fill="151618"/>
          </w:tcPr>
          <w:p>
            <w:pPr>
              <w:spacing w:after="0"/>
              <w:rPr>
                <w:sz w:val="14"/>
                <w:szCs w:val="14"/>
                <w:color w:val="auto"/>
              </w:rPr>
            </w:pPr>
          </w:p>
        </w:tc>
        <w:tc>
          <w:tcPr>
            <w:tcW w:w="2940" w:type="dxa"/>
            <w:vAlign w:val="bottom"/>
            <w:gridSpan w:val="3"/>
            <w:shd w:val="clear" w:color="auto" w:fill="151618"/>
          </w:tcPr>
          <w:p>
            <w:pPr>
              <w:jc w:val="center"/>
              <w:ind w:left="60"/>
              <w:spacing w:after="0" w:line="162" w:lineRule="exact"/>
              <w:rPr>
                <w:sz w:val="20"/>
                <w:szCs w:val="20"/>
                <w:color w:val="auto"/>
              </w:rPr>
            </w:pPr>
            <w:r>
              <w:rPr>
                <w:rFonts w:ascii="Calibri" w:cs="Calibri" w:eastAsia="Calibri" w:hAnsi="Calibri"/>
                <w:sz w:val="16"/>
                <w:szCs w:val="16"/>
                <w:b w:val="1"/>
                <w:bCs w:val="1"/>
                <w:color w:val="FFFFFF"/>
              </w:rPr>
              <w:t>Upon Exercise of Outstanding Optons,</w:t>
            </w:r>
          </w:p>
        </w:tc>
        <w:tc>
          <w:tcPr>
            <w:tcW w:w="2820" w:type="dxa"/>
            <w:vAlign w:val="bottom"/>
            <w:shd w:val="clear" w:color="auto" w:fill="151618"/>
          </w:tcPr>
          <w:p>
            <w:pPr>
              <w:jc w:val="center"/>
              <w:spacing w:after="0" w:line="162" w:lineRule="exact"/>
              <w:rPr>
                <w:sz w:val="20"/>
                <w:szCs w:val="20"/>
                <w:color w:val="auto"/>
              </w:rPr>
            </w:pPr>
            <w:r>
              <w:rPr>
                <w:rFonts w:ascii="Calibri" w:cs="Calibri" w:eastAsia="Calibri" w:hAnsi="Calibri"/>
                <w:sz w:val="16"/>
                <w:szCs w:val="16"/>
                <w:b w:val="1"/>
                <w:bCs w:val="1"/>
                <w:color w:val="FFFFFF"/>
              </w:rPr>
              <w:t>Outstanding Optons, Warrants and</w:t>
            </w:r>
          </w:p>
        </w:tc>
        <w:tc>
          <w:tcPr>
            <w:tcW w:w="2820" w:type="dxa"/>
            <w:vAlign w:val="bottom"/>
            <w:tcBorders>
              <w:right w:val="single" w:sz="8" w:color="auto"/>
            </w:tcBorders>
            <w:gridSpan w:val="3"/>
            <w:shd w:val="clear" w:color="auto" w:fill="151618"/>
          </w:tcPr>
          <w:p>
            <w:pPr>
              <w:jc w:val="center"/>
              <w:ind w:right="20"/>
              <w:spacing w:after="0" w:line="162" w:lineRule="exact"/>
              <w:rPr>
                <w:sz w:val="20"/>
                <w:szCs w:val="20"/>
                <w:color w:val="auto"/>
              </w:rPr>
            </w:pPr>
            <w:r>
              <w:rPr>
                <w:rFonts w:ascii="Calibri" w:cs="Calibri" w:eastAsia="Calibri" w:hAnsi="Calibri"/>
                <w:sz w:val="16"/>
                <w:szCs w:val="16"/>
                <w:b w:val="1"/>
                <w:bCs w:val="1"/>
                <w:color w:val="FFFFFF"/>
              </w:rPr>
              <w:t>Equity Compensaton Plans (Excluding</w:t>
            </w:r>
          </w:p>
        </w:tc>
      </w:tr>
      <w:tr>
        <w:trPr>
          <w:trHeight w:val="226"/>
        </w:trPr>
        <w:tc>
          <w:tcPr>
            <w:tcW w:w="2680" w:type="dxa"/>
            <w:vAlign w:val="bottom"/>
            <w:tcBorders>
              <w:left w:val="single" w:sz="8" w:color="auto"/>
              <w:bottom w:val="single" w:sz="8" w:color="151618"/>
            </w:tcBorders>
            <w:shd w:val="clear" w:color="auto" w:fill="151618"/>
          </w:tcPr>
          <w:p>
            <w:pPr>
              <w:ind w:left="80"/>
              <w:spacing w:after="0" w:line="193" w:lineRule="exact"/>
              <w:rPr>
                <w:sz w:val="20"/>
                <w:szCs w:val="20"/>
                <w:color w:val="auto"/>
              </w:rPr>
            </w:pPr>
            <w:r>
              <w:rPr>
                <w:rFonts w:ascii="Calibri" w:cs="Calibri" w:eastAsia="Calibri" w:hAnsi="Calibri"/>
                <w:sz w:val="16"/>
                <w:szCs w:val="16"/>
                <w:b w:val="1"/>
                <w:bCs w:val="1"/>
                <w:color w:val="FFFFFF"/>
              </w:rPr>
              <w:t>Plan Category</w:t>
            </w:r>
          </w:p>
        </w:tc>
        <w:tc>
          <w:tcPr>
            <w:tcW w:w="2940" w:type="dxa"/>
            <w:vAlign w:val="bottom"/>
            <w:tcBorders>
              <w:bottom w:val="single" w:sz="8" w:color="151618"/>
            </w:tcBorders>
            <w:gridSpan w:val="3"/>
            <w:shd w:val="clear" w:color="auto" w:fill="151618"/>
          </w:tcPr>
          <w:p>
            <w:pPr>
              <w:jc w:val="center"/>
              <w:ind w:left="60"/>
              <w:spacing w:after="0" w:line="193" w:lineRule="exact"/>
              <w:rPr>
                <w:sz w:val="20"/>
                <w:szCs w:val="20"/>
                <w:color w:val="auto"/>
              </w:rPr>
            </w:pPr>
            <w:r>
              <w:rPr>
                <w:rFonts w:ascii="Calibri" w:cs="Calibri" w:eastAsia="Calibri" w:hAnsi="Calibri"/>
                <w:sz w:val="16"/>
                <w:szCs w:val="16"/>
                <w:b w:val="1"/>
                <w:bCs w:val="1"/>
                <w:color w:val="FFFFFF"/>
              </w:rPr>
              <w:t>Warrants and Rights</w:t>
            </w:r>
          </w:p>
        </w:tc>
        <w:tc>
          <w:tcPr>
            <w:tcW w:w="2820" w:type="dxa"/>
            <w:vAlign w:val="bottom"/>
            <w:tcBorders>
              <w:bottom w:val="single" w:sz="8" w:color="151618"/>
            </w:tcBorders>
            <w:shd w:val="clear" w:color="auto" w:fill="151618"/>
          </w:tcPr>
          <w:p>
            <w:pPr>
              <w:jc w:val="center"/>
              <w:spacing w:after="0" w:line="193" w:lineRule="exact"/>
              <w:rPr>
                <w:sz w:val="20"/>
                <w:szCs w:val="20"/>
                <w:color w:val="auto"/>
              </w:rPr>
            </w:pPr>
            <w:r>
              <w:rPr>
                <w:rFonts w:ascii="Calibri" w:cs="Calibri" w:eastAsia="Calibri" w:hAnsi="Calibri"/>
                <w:sz w:val="16"/>
                <w:szCs w:val="16"/>
                <w:b w:val="1"/>
                <w:bCs w:val="1"/>
                <w:color w:val="FFFFFF"/>
              </w:rPr>
              <w:t>Rights</w:t>
            </w:r>
          </w:p>
        </w:tc>
        <w:tc>
          <w:tcPr>
            <w:tcW w:w="2820" w:type="dxa"/>
            <w:vAlign w:val="bottom"/>
            <w:tcBorders>
              <w:bottom w:val="single" w:sz="8" w:color="151618"/>
              <w:right w:val="single" w:sz="8" w:color="auto"/>
            </w:tcBorders>
            <w:gridSpan w:val="3"/>
            <w:shd w:val="clear" w:color="auto" w:fill="151618"/>
          </w:tcPr>
          <w:p>
            <w:pPr>
              <w:jc w:val="center"/>
              <w:ind w:right="40"/>
              <w:spacing w:after="0" w:line="193" w:lineRule="exact"/>
              <w:rPr>
                <w:sz w:val="20"/>
                <w:szCs w:val="20"/>
                <w:color w:val="auto"/>
              </w:rPr>
            </w:pPr>
            <w:r>
              <w:rPr>
                <w:rFonts w:ascii="Calibri" w:cs="Calibri" w:eastAsia="Calibri" w:hAnsi="Calibri"/>
                <w:sz w:val="16"/>
                <w:szCs w:val="16"/>
                <w:b w:val="1"/>
                <w:bCs w:val="1"/>
                <w:color w:val="FFFFFF"/>
              </w:rPr>
              <w:t>Securites Refected in Column (a))</w:t>
            </w:r>
          </w:p>
        </w:tc>
      </w:tr>
      <w:tr>
        <w:trPr>
          <w:trHeight w:val="191"/>
        </w:trPr>
        <w:tc>
          <w:tcPr>
            <w:tcW w:w="2680" w:type="dxa"/>
            <w:vAlign w:val="bottom"/>
            <w:tcBorders>
              <w:top w:val="single" w:sz="8" w:color="auto"/>
              <w:left w:val="single" w:sz="8" w:color="auto"/>
            </w:tcBorders>
          </w:tcPr>
          <w:p>
            <w:pPr>
              <w:ind w:left="80"/>
              <w:spacing w:after="0" w:line="191" w:lineRule="exact"/>
              <w:rPr>
                <w:sz w:val="20"/>
                <w:szCs w:val="20"/>
                <w:color w:val="auto"/>
              </w:rPr>
            </w:pPr>
            <w:r>
              <w:rPr>
                <w:rFonts w:ascii="Calibri" w:cs="Calibri" w:eastAsia="Calibri" w:hAnsi="Calibri"/>
                <w:sz w:val="16"/>
                <w:szCs w:val="16"/>
                <w:b w:val="1"/>
                <w:bCs w:val="1"/>
                <w:color w:val="auto"/>
              </w:rPr>
              <w:t>Equity compensaton plans</w:t>
            </w:r>
          </w:p>
        </w:tc>
        <w:tc>
          <w:tcPr>
            <w:tcW w:w="116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spacing w:after="0"/>
              <w:rPr>
                <w:sz w:val="16"/>
                <w:szCs w:val="16"/>
                <w:color w:val="auto"/>
              </w:rPr>
            </w:pPr>
          </w:p>
        </w:tc>
        <w:tc>
          <w:tcPr>
            <w:tcW w:w="282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spacing w:after="0"/>
              <w:rPr>
                <w:sz w:val="16"/>
                <w:szCs w:val="16"/>
                <w:color w:val="auto"/>
              </w:rPr>
            </w:pPr>
          </w:p>
        </w:tc>
        <w:tc>
          <w:tcPr>
            <w:tcW w:w="740" w:type="dxa"/>
            <w:vAlign w:val="bottom"/>
            <w:tcBorders>
              <w:top w:val="single" w:sz="8" w:color="auto"/>
            </w:tcBorders>
          </w:tcPr>
          <w:p>
            <w:pPr>
              <w:spacing w:after="0"/>
              <w:rPr>
                <w:sz w:val="16"/>
                <w:szCs w:val="16"/>
                <w:color w:val="auto"/>
              </w:rPr>
            </w:pPr>
          </w:p>
        </w:tc>
        <w:tc>
          <w:tcPr>
            <w:tcW w:w="1060" w:type="dxa"/>
            <w:vAlign w:val="bottom"/>
            <w:tcBorders>
              <w:top w:val="single" w:sz="8" w:color="auto"/>
              <w:right w:val="single" w:sz="8" w:color="auto"/>
            </w:tcBorders>
          </w:tcPr>
          <w:p>
            <w:pPr>
              <w:spacing w:after="0"/>
              <w:rPr>
                <w:sz w:val="16"/>
                <w:szCs w:val="16"/>
                <w:color w:val="auto"/>
              </w:rPr>
            </w:pPr>
          </w:p>
        </w:tc>
      </w:tr>
      <w:tr>
        <w:trPr>
          <w:trHeight w:val="193"/>
        </w:trPr>
        <w:tc>
          <w:tcPr>
            <w:tcW w:w="2680" w:type="dxa"/>
            <w:vAlign w:val="bottom"/>
            <w:tcBorders>
              <w:left w:val="single" w:sz="8" w:color="auto"/>
            </w:tcBorders>
          </w:tcPr>
          <w:p>
            <w:pPr>
              <w:ind w:left="280"/>
              <w:spacing w:after="0" w:line="193" w:lineRule="exact"/>
              <w:rPr>
                <w:sz w:val="20"/>
                <w:szCs w:val="20"/>
                <w:color w:val="auto"/>
              </w:rPr>
            </w:pPr>
            <w:r>
              <w:rPr>
                <w:rFonts w:ascii="Calibri" w:cs="Calibri" w:eastAsia="Calibri" w:hAnsi="Calibri"/>
                <w:sz w:val="16"/>
                <w:szCs w:val="16"/>
                <w:b w:val="1"/>
                <w:bCs w:val="1"/>
                <w:color w:val="auto"/>
              </w:rPr>
              <w:t>approved by security holders</w:t>
            </w:r>
          </w:p>
        </w:tc>
        <w:tc>
          <w:tcPr>
            <w:tcW w:w="1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8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60" w:type="dxa"/>
            <w:vAlign w:val="bottom"/>
            <w:tcBorders>
              <w:right w:val="single" w:sz="8" w:color="auto"/>
            </w:tcBorders>
          </w:tcPr>
          <w:p>
            <w:pPr>
              <w:spacing w:after="0"/>
              <w:rPr>
                <w:sz w:val="16"/>
                <w:szCs w:val="16"/>
                <w:color w:val="auto"/>
              </w:rPr>
            </w:pPr>
          </w:p>
        </w:tc>
      </w:tr>
      <w:tr>
        <w:trPr>
          <w:trHeight w:val="55"/>
        </w:trPr>
        <w:tc>
          <w:tcPr>
            <w:tcW w:w="2680" w:type="dxa"/>
            <w:vAlign w:val="bottom"/>
            <w:tcBorders>
              <w:left w:val="single" w:sz="8" w:color="auto"/>
              <w:bottom w:val="single" w:sz="8" w:color="auto"/>
            </w:tcBorders>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282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060" w:type="dxa"/>
            <w:vAlign w:val="bottom"/>
            <w:tcBorders>
              <w:bottom w:val="single" w:sz="8" w:color="auto"/>
              <w:right w:val="single" w:sz="8" w:color="auto"/>
            </w:tcBorders>
          </w:tcPr>
          <w:p>
            <w:pPr>
              <w:spacing w:after="0"/>
              <w:rPr>
                <w:sz w:val="4"/>
                <w:szCs w:val="4"/>
                <w:color w:val="auto"/>
              </w:rPr>
            </w:pPr>
          </w:p>
        </w:tc>
      </w:tr>
      <w:tr>
        <w:trPr>
          <w:trHeight w:val="191"/>
        </w:trPr>
        <w:tc>
          <w:tcPr>
            <w:tcW w:w="2680" w:type="dxa"/>
            <w:vAlign w:val="bottom"/>
            <w:tcBorders>
              <w:left w:val="single" w:sz="8" w:color="auto"/>
            </w:tcBorders>
          </w:tcPr>
          <w:p>
            <w:pPr>
              <w:ind w:left="80"/>
              <w:spacing w:after="0" w:line="191" w:lineRule="exact"/>
              <w:rPr>
                <w:sz w:val="20"/>
                <w:szCs w:val="20"/>
                <w:color w:val="auto"/>
              </w:rPr>
            </w:pPr>
            <w:r>
              <w:rPr>
                <w:rFonts w:ascii="Calibri" w:cs="Calibri" w:eastAsia="Calibri" w:hAnsi="Calibri"/>
                <w:sz w:val="16"/>
                <w:szCs w:val="16"/>
                <w:b w:val="1"/>
                <w:bCs w:val="1"/>
                <w:color w:val="auto"/>
              </w:rPr>
              <w:t>Bakkt Holdings, Inc. 2021 Omnibus</w:t>
            </w:r>
          </w:p>
        </w:tc>
        <w:tc>
          <w:tcPr>
            <w:tcW w:w="1920" w:type="dxa"/>
            <w:vAlign w:val="bottom"/>
            <w:gridSpan w:val="2"/>
          </w:tcPr>
          <w:p>
            <w:pPr>
              <w:jc w:val="center"/>
              <w:ind w:left="1080"/>
              <w:spacing w:after="0" w:line="191" w:lineRule="exact"/>
              <w:rPr>
                <w:sz w:val="20"/>
                <w:szCs w:val="20"/>
                <w:color w:val="auto"/>
              </w:rPr>
            </w:pPr>
            <w:r>
              <w:rPr>
                <w:rFonts w:ascii="Calibri" w:cs="Calibri" w:eastAsia="Calibri" w:hAnsi="Calibri"/>
                <w:sz w:val="16"/>
                <w:szCs w:val="16"/>
                <w:color w:val="auto"/>
                <w:w w:val="98"/>
              </w:rPr>
              <w:t>13,038,130</w:t>
            </w:r>
          </w:p>
        </w:tc>
        <w:tc>
          <w:tcPr>
            <w:tcW w:w="1020" w:type="dxa"/>
            <w:vAlign w:val="bottom"/>
          </w:tcPr>
          <w:p>
            <w:pPr>
              <w:spacing w:after="0"/>
              <w:rPr>
                <w:sz w:val="16"/>
                <w:szCs w:val="16"/>
                <w:color w:val="auto"/>
              </w:rPr>
            </w:pPr>
          </w:p>
        </w:tc>
        <w:tc>
          <w:tcPr>
            <w:tcW w:w="2820" w:type="dxa"/>
            <w:vAlign w:val="bottom"/>
          </w:tcPr>
          <w:p>
            <w:pPr>
              <w:jc w:val="center"/>
              <w:spacing w:after="0" w:line="191" w:lineRule="exact"/>
              <w:rPr>
                <w:sz w:val="20"/>
                <w:szCs w:val="20"/>
                <w:color w:val="auto"/>
              </w:rPr>
            </w:pPr>
            <w:r>
              <w:rPr>
                <w:rFonts w:ascii="Calibri" w:cs="Calibri" w:eastAsia="Calibri" w:hAnsi="Calibri"/>
                <w:sz w:val="20"/>
                <w:szCs w:val="20"/>
                <w:color w:val="auto"/>
                <w:vertAlign w:val="subscript"/>
              </w:rPr>
              <w:t>—</w:t>
            </w:r>
            <w:r>
              <w:rPr>
                <w:rFonts w:ascii="Calibri" w:cs="Calibri" w:eastAsia="Calibri" w:hAnsi="Calibri"/>
                <w:sz w:val="8"/>
                <w:szCs w:val="8"/>
                <w:b w:val="1"/>
                <w:bCs w:val="1"/>
                <w:color w:val="auto"/>
              </w:rPr>
              <w:t>(2)</w:t>
            </w:r>
          </w:p>
        </w:tc>
        <w:tc>
          <w:tcPr>
            <w:tcW w:w="1760" w:type="dxa"/>
            <w:vAlign w:val="bottom"/>
            <w:gridSpan w:val="2"/>
          </w:tcPr>
          <w:p>
            <w:pPr>
              <w:jc w:val="center"/>
              <w:ind w:left="940"/>
              <w:spacing w:after="0" w:line="191" w:lineRule="exact"/>
              <w:rPr>
                <w:sz w:val="20"/>
                <w:szCs w:val="20"/>
                <w:color w:val="auto"/>
              </w:rPr>
            </w:pPr>
            <w:r>
              <w:rPr>
                <w:rFonts w:ascii="Calibri" w:cs="Calibri" w:eastAsia="Calibri" w:hAnsi="Calibri"/>
                <w:sz w:val="16"/>
                <w:szCs w:val="16"/>
                <w:color w:val="auto"/>
              </w:rPr>
              <w:t>32,525,865</w:t>
            </w:r>
          </w:p>
        </w:tc>
        <w:tc>
          <w:tcPr>
            <w:tcW w:w="1060" w:type="dxa"/>
            <w:vAlign w:val="bottom"/>
            <w:tcBorders>
              <w:right w:val="single" w:sz="8" w:color="auto"/>
            </w:tcBorders>
          </w:tcPr>
          <w:p>
            <w:pPr>
              <w:spacing w:after="0"/>
              <w:rPr>
                <w:sz w:val="16"/>
                <w:szCs w:val="16"/>
                <w:color w:val="auto"/>
              </w:rPr>
            </w:pPr>
          </w:p>
        </w:tc>
      </w:tr>
      <w:tr>
        <w:trPr>
          <w:trHeight w:val="246"/>
        </w:trPr>
        <w:tc>
          <w:tcPr>
            <w:tcW w:w="2680" w:type="dxa"/>
            <w:vAlign w:val="bottom"/>
            <w:tcBorders>
              <w:left w:val="single" w:sz="8" w:color="auto"/>
              <w:bottom w:val="single" w:sz="8" w:color="auto"/>
            </w:tcBorders>
          </w:tcPr>
          <w:p>
            <w:pPr>
              <w:ind w:left="280"/>
              <w:spacing w:after="0" w:line="244" w:lineRule="exact"/>
              <w:rPr>
                <w:sz w:val="20"/>
                <w:szCs w:val="20"/>
                <w:color w:val="auto"/>
              </w:rPr>
            </w:pPr>
            <w:r>
              <w:rPr>
                <w:rFonts w:ascii="Calibri" w:cs="Calibri" w:eastAsia="Calibri" w:hAnsi="Calibri"/>
                <w:sz w:val="16"/>
                <w:szCs w:val="16"/>
                <w:b w:val="1"/>
                <w:bCs w:val="1"/>
                <w:color w:val="auto"/>
              </w:rPr>
              <w:t>Employee Incentve Plan</w:t>
            </w:r>
            <w:r>
              <w:rPr>
                <w:rFonts w:ascii="Calibri" w:cs="Calibri" w:eastAsia="Calibri" w:hAnsi="Calibri"/>
                <w:sz w:val="21"/>
                <w:szCs w:val="21"/>
                <w:b w:val="1"/>
                <w:bCs w:val="1"/>
                <w:color w:val="auto"/>
                <w:vertAlign w:val="superscript"/>
              </w:rPr>
              <w:t>(1)</w:t>
            </w:r>
          </w:p>
        </w:tc>
        <w:tc>
          <w:tcPr>
            <w:tcW w:w="116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spacing w:after="0"/>
              <w:rPr>
                <w:sz w:val="21"/>
                <w:szCs w:val="21"/>
                <w:color w:val="auto"/>
              </w:rPr>
            </w:pPr>
          </w:p>
        </w:tc>
        <w:tc>
          <w:tcPr>
            <w:tcW w:w="282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spacing w:after="0"/>
              <w:rPr>
                <w:sz w:val="21"/>
                <w:szCs w:val="21"/>
                <w:color w:val="auto"/>
              </w:rPr>
            </w:pPr>
          </w:p>
        </w:tc>
        <w:tc>
          <w:tcPr>
            <w:tcW w:w="1060" w:type="dxa"/>
            <w:vAlign w:val="bottom"/>
            <w:tcBorders>
              <w:bottom w:val="single" w:sz="8" w:color="auto"/>
              <w:right w:val="single" w:sz="8" w:color="auto"/>
            </w:tcBorders>
          </w:tcPr>
          <w:p>
            <w:pPr>
              <w:spacing w:after="0"/>
              <w:rPr>
                <w:sz w:val="21"/>
                <w:szCs w:val="21"/>
                <w:color w:val="auto"/>
              </w:rPr>
            </w:pPr>
          </w:p>
        </w:tc>
      </w:tr>
      <w:tr>
        <w:trPr>
          <w:trHeight w:val="158"/>
        </w:trPr>
        <w:tc>
          <w:tcPr>
            <w:tcW w:w="2680" w:type="dxa"/>
            <w:vAlign w:val="bottom"/>
            <w:tcBorders>
              <w:left w:val="single" w:sz="8" w:color="auto"/>
            </w:tcBorders>
          </w:tcPr>
          <w:p>
            <w:pPr>
              <w:ind w:left="280"/>
              <w:spacing w:after="0" w:line="142" w:lineRule="exact"/>
              <w:rPr>
                <w:sz w:val="20"/>
                <w:szCs w:val="20"/>
                <w:color w:val="auto"/>
              </w:rPr>
            </w:pPr>
            <w:r>
              <w:rPr>
                <w:rFonts w:ascii="Calibri" w:cs="Calibri" w:eastAsia="Calibri" w:hAnsi="Calibri"/>
                <w:sz w:val="15"/>
                <w:szCs w:val="15"/>
                <w:b w:val="1"/>
                <w:bCs w:val="1"/>
                <w:color w:val="auto"/>
              </w:rPr>
              <w:t>Total</w:t>
            </w:r>
          </w:p>
        </w:tc>
        <w:tc>
          <w:tcPr>
            <w:tcW w:w="2940" w:type="dxa"/>
            <w:vAlign w:val="bottom"/>
            <w:gridSpan w:val="3"/>
          </w:tcPr>
          <w:p>
            <w:pPr>
              <w:jc w:val="center"/>
              <w:ind w:left="60"/>
              <w:spacing w:after="0" w:line="142" w:lineRule="exact"/>
              <w:rPr>
                <w:sz w:val="20"/>
                <w:szCs w:val="20"/>
                <w:color w:val="auto"/>
              </w:rPr>
            </w:pPr>
            <w:r>
              <w:rPr>
                <w:rFonts w:ascii="Calibri" w:cs="Calibri" w:eastAsia="Calibri" w:hAnsi="Calibri"/>
                <w:sz w:val="15"/>
                <w:szCs w:val="15"/>
                <w:b w:val="1"/>
                <w:bCs w:val="1"/>
                <w:color w:val="auto"/>
              </w:rPr>
              <w:t>13,038,130</w:t>
            </w:r>
          </w:p>
        </w:tc>
        <w:tc>
          <w:tcPr>
            <w:tcW w:w="2820" w:type="dxa"/>
            <w:vAlign w:val="bottom"/>
          </w:tcPr>
          <w:p>
            <w:pPr>
              <w:jc w:val="center"/>
              <w:spacing w:after="0" w:line="142" w:lineRule="exact"/>
              <w:rPr>
                <w:sz w:val="20"/>
                <w:szCs w:val="20"/>
                <w:color w:val="auto"/>
              </w:rPr>
            </w:pPr>
            <w:r>
              <w:rPr>
                <w:rFonts w:ascii="Calibri" w:cs="Calibri" w:eastAsia="Calibri" w:hAnsi="Calibri"/>
                <w:sz w:val="15"/>
                <w:szCs w:val="15"/>
                <w:b w:val="1"/>
                <w:bCs w:val="1"/>
                <w:color w:val="auto"/>
              </w:rPr>
              <w:t>—</w:t>
            </w:r>
          </w:p>
        </w:tc>
        <w:tc>
          <w:tcPr>
            <w:tcW w:w="2820" w:type="dxa"/>
            <w:vAlign w:val="bottom"/>
            <w:tcBorders>
              <w:right w:val="single" w:sz="8" w:color="auto"/>
            </w:tcBorders>
            <w:gridSpan w:val="3"/>
          </w:tcPr>
          <w:p>
            <w:pPr>
              <w:jc w:val="center"/>
              <w:ind w:right="40"/>
              <w:spacing w:after="0" w:line="142" w:lineRule="exact"/>
              <w:rPr>
                <w:sz w:val="20"/>
                <w:szCs w:val="20"/>
                <w:color w:val="auto"/>
              </w:rPr>
            </w:pPr>
            <w:r>
              <w:rPr>
                <w:rFonts w:ascii="Calibri" w:cs="Calibri" w:eastAsia="Calibri" w:hAnsi="Calibri"/>
                <w:sz w:val="15"/>
                <w:szCs w:val="15"/>
                <w:b w:val="1"/>
                <w:bCs w:val="1"/>
                <w:color w:val="auto"/>
              </w:rPr>
              <w:t>32,525,865</w:t>
            </w:r>
          </w:p>
        </w:tc>
      </w:tr>
      <w:tr>
        <w:trPr>
          <w:trHeight w:val="61"/>
        </w:trPr>
        <w:tc>
          <w:tcPr>
            <w:tcW w:w="2680" w:type="dxa"/>
            <w:vAlign w:val="bottom"/>
            <w:tcBorders>
              <w:left w:val="single" w:sz="8" w:color="auto"/>
              <w:bottom w:val="single" w:sz="8" w:color="auto"/>
            </w:tcBorders>
          </w:tcPr>
          <w:p>
            <w:pPr>
              <w:spacing w:after="0"/>
              <w:rPr>
                <w:sz w:val="5"/>
                <w:szCs w:val="5"/>
                <w:color w:val="auto"/>
              </w:rPr>
            </w:pPr>
          </w:p>
        </w:tc>
        <w:tc>
          <w:tcPr>
            <w:tcW w:w="1160" w:type="dxa"/>
            <w:vAlign w:val="bottom"/>
            <w:tcBorders>
              <w:bottom w:val="single" w:sz="8" w:color="auto"/>
            </w:tcBorders>
          </w:tcPr>
          <w:p>
            <w:pPr>
              <w:spacing w:after="0"/>
              <w:rPr>
                <w:sz w:val="5"/>
                <w:szCs w:val="5"/>
                <w:color w:val="auto"/>
              </w:rPr>
            </w:pPr>
          </w:p>
        </w:tc>
        <w:tc>
          <w:tcPr>
            <w:tcW w:w="760" w:type="dxa"/>
            <w:vAlign w:val="bottom"/>
            <w:tcBorders>
              <w:top w:val="single" w:sz="8" w:color="auto"/>
              <w:bottom w:val="single" w:sz="8" w:color="auto"/>
            </w:tcBorders>
          </w:tcPr>
          <w:p>
            <w:pPr>
              <w:spacing w:after="0"/>
              <w:rPr>
                <w:sz w:val="5"/>
                <w:szCs w:val="5"/>
                <w:color w:val="auto"/>
              </w:rPr>
            </w:pPr>
          </w:p>
        </w:tc>
        <w:tc>
          <w:tcPr>
            <w:tcW w:w="1020" w:type="dxa"/>
            <w:vAlign w:val="bottom"/>
            <w:tcBorders>
              <w:bottom w:val="single" w:sz="8" w:color="auto"/>
            </w:tcBorders>
          </w:tcPr>
          <w:p>
            <w:pPr>
              <w:spacing w:after="0"/>
              <w:rPr>
                <w:sz w:val="5"/>
                <w:szCs w:val="5"/>
                <w:color w:val="auto"/>
              </w:rPr>
            </w:pPr>
          </w:p>
        </w:tc>
        <w:tc>
          <w:tcPr>
            <w:tcW w:w="2820" w:type="dxa"/>
            <w:vAlign w:val="bottom"/>
            <w:tcBorders>
              <w:bottom w:val="single" w:sz="8" w:color="auto"/>
            </w:tcBorders>
          </w:tcPr>
          <w:p>
            <w:pPr>
              <w:spacing w:after="0"/>
              <w:rPr>
                <w:sz w:val="5"/>
                <w:szCs w:val="5"/>
                <w:color w:val="auto"/>
              </w:rPr>
            </w:pPr>
          </w:p>
        </w:tc>
        <w:tc>
          <w:tcPr>
            <w:tcW w:w="1020" w:type="dxa"/>
            <w:vAlign w:val="bottom"/>
            <w:tcBorders>
              <w:bottom w:val="single" w:sz="8" w:color="auto"/>
            </w:tcBorders>
          </w:tcPr>
          <w:p>
            <w:pPr>
              <w:spacing w:after="0"/>
              <w:rPr>
                <w:sz w:val="5"/>
                <w:szCs w:val="5"/>
                <w:color w:val="auto"/>
              </w:rPr>
            </w:pPr>
          </w:p>
        </w:tc>
        <w:tc>
          <w:tcPr>
            <w:tcW w:w="740" w:type="dxa"/>
            <w:vAlign w:val="bottom"/>
            <w:tcBorders>
              <w:top w:val="single" w:sz="8" w:color="auto"/>
              <w:bottom w:val="single" w:sz="8" w:color="auto"/>
            </w:tcBorders>
          </w:tcPr>
          <w:p>
            <w:pPr>
              <w:spacing w:after="0"/>
              <w:rPr>
                <w:sz w:val="5"/>
                <w:szCs w:val="5"/>
                <w:color w:val="auto"/>
              </w:rPr>
            </w:pPr>
          </w:p>
        </w:tc>
        <w:tc>
          <w:tcPr>
            <w:tcW w:w="1060" w:type="dxa"/>
            <w:vAlign w:val="bottom"/>
            <w:tcBorders>
              <w:bottom w:val="single" w:sz="8" w:color="auto"/>
              <w:right w:val="single" w:sz="8" w:color="auto"/>
            </w:tcBorders>
          </w:tcPr>
          <w:p>
            <w:pPr>
              <w:spacing w:after="0"/>
              <w:rPr>
                <w:sz w:val="5"/>
                <w:szCs w:val="5"/>
                <w:color w:val="auto"/>
              </w:rPr>
            </w:pPr>
          </w:p>
        </w:tc>
      </w:tr>
    </w:tbl>
    <w:p>
      <w:pPr>
        <w:spacing w:after="0" w:line="346" w:lineRule="exact"/>
        <w:rPr>
          <w:sz w:val="20"/>
          <w:szCs w:val="20"/>
          <w:color w:val="auto"/>
        </w:rPr>
      </w:pPr>
    </w:p>
    <w:p>
      <w:pPr>
        <w:ind w:left="340" w:right="20" w:hanging="332"/>
        <w:spacing w:after="0" w:line="243" w:lineRule="auto"/>
        <w:tabs>
          <w:tab w:leader="none" w:pos="407" w:val="left"/>
        </w:tabs>
        <w:numPr>
          <w:ilvl w:val="0"/>
          <w:numId w:val="42"/>
        </w:numPr>
        <w:rPr>
          <w:rFonts w:ascii="Calibri" w:cs="Calibri" w:eastAsia="Calibri" w:hAnsi="Calibri"/>
          <w:sz w:val="16"/>
          <w:szCs w:val="16"/>
          <w:color w:val="auto"/>
        </w:rPr>
      </w:pPr>
      <w:r>
        <w:rPr>
          <w:rFonts w:ascii="Calibri" w:cs="Calibri" w:eastAsia="Calibri" w:hAnsi="Calibri"/>
          <w:sz w:val="16"/>
          <w:szCs w:val="16"/>
          <w:color w:val="auto"/>
        </w:rPr>
        <w:t>Includes tme- and performance-based restricted stock awards with performance based on target performance. Refer to Note 11—Share-Based and Unit-Based Compensaton of our most recently fled Annual Report on Form 10-K for additonal informaton.</w:t>
      </w:r>
    </w:p>
    <w:p>
      <w:pPr>
        <w:ind w:left="320" w:hanging="312"/>
        <w:spacing w:after="0" w:line="232" w:lineRule="auto"/>
        <w:tabs>
          <w:tab w:leader="none" w:pos="320" w:val="left"/>
        </w:tabs>
        <w:numPr>
          <w:ilvl w:val="0"/>
          <w:numId w:val="42"/>
        </w:numPr>
        <w:rPr>
          <w:rFonts w:ascii="Calibri" w:cs="Calibri" w:eastAsia="Calibri" w:hAnsi="Calibri"/>
          <w:sz w:val="16"/>
          <w:szCs w:val="16"/>
          <w:color w:val="auto"/>
        </w:rPr>
      </w:pPr>
      <w:r>
        <w:rPr>
          <w:rFonts w:ascii="Calibri" w:cs="Calibri" w:eastAsia="Calibri" w:hAnsi="Calibri"/>
          <w:sz w:val="16"/>
          <w:szCs w:val="16"/>
          <w:color w:val="auto"/>
        </w:rPr>
        <w:t>There are no grants issued under this plan that have an exercise price.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left="2760"/>
        <w:spacing w:after="0"/>
        <w:tabs>
          <w:tab w:leader="none" w:pos="7080" w:val="left"/>
          <w:tab w:leader="none" w:pos="8300" w:val="left"/>
        </w:tabs>
        <w:rPr>
          <w:sz w:val="20"/>
          <w:szCs w:val="20"/>
          <w:color w:val="auto"/>
        </w:rPr>
      </w:pPr>
      <w:r>
        <w:rPr>
          <w:rFonts w:ascii="Calibri" w:cs="Calibri" w:eastAsia="Calibri" w:hAnsi="Calibri"/>
          <w:sz w:val="16"/>
          <w:szCs w:val="16"/>
          <w:color w:val="auto"/>
        </w:rPr>
        <w:t>Alphareta, GA | New York, NY | Belfast, United Kingdom</w:t>
      </w:r>
      <w:r>
        <w:rPr>
          <w:sz w:val="20"/>
          <w:szCs w:val="20"/>
          <w:color w:val="auto"/>
        </w:rPr>
        <w:tab/>
      </w:r>
      <w:r>
        <w:rPr>
          <w:rFonts w:ascii="Calibri" w:cs="Calibri" w:eastAsia="Calibri" w:hAnsi="Calibri"/>
          <w:sz w:val="16"/>
          <w:szCs w:val="16"/>
          <w:color w:val="auto"/>
        </w:rPr>
        <w:t>www.bakkt.com</w:t>
      </w:r>
      <w:r>
        <w:rPr>
          <w:sz w:val="20"/>
          <w:szCs w:val="20"/>
          <w:color w:val="auto"/>
        </w:rPr>
        <w:tab/>
      </w:r>
      <w:r>
        <w:rPr>
          <w:rFonts w:ascii="Calibri" w:cs="Calibri" w:eastAsia="Calibri" w:hAnsi="Calibri"/>
          <w:sz w:val="17"/>
          <w:szCs w:val="17"/>
          <w:color w:val="auto"/>
        </w:rPr>
        <w:t>58</w:t>
      </w:r>
    </w:p>
    <w:p>
      <w:pPr>
        <w:sectPr>
          <w:pgSz w:w="11900" w:h="16838" w:orient="portrait"/>
          <w:cols w:equalWidth="0" w:num="1">
            <w:col w:w="11260"/>
          </w:cols>
          <w:pgMar w:left="320" w:top="1440" w:right="319" w:bottom="1440" w:gutter="0" w:footer="0" w:header="0"/>
        </w:sectPr>
      </w:pPr>
    </w:p>
    <w:bookmarkStart w:id="64" w:name="page65"/>
    <w:bookmarkEnd w:id="64"/>
    <w:p>
      <w:pPr>
        <w:spacing w:after="0" w:line="167" w:lineRule="exact"/>
        <w:rPr>
          <w:sz w:val="20"/>
          <w:szCs w:val="20"/>
          <w:color w:val="auto"/>
        </w:rPr>
      </w:pPr>
    </w:p>
    <w:p>
      <w:pPr>
        <w:ind w:right="200"/>
        <w:spacing w:after="0" w:line="235" w:lineRule="auto"/>
        <w:rPr>
          <w:sz w:val="20"/>
          <w:szCs w:val="20"/>
          <w:color w:val="auto"/>
        </w:rPr>
      </w:pPr>
      <w:r>
        <w:rPr>
          <w:rFonts w:ascii="Calibri" w:cs="Calibri" w:eastAsia="Calibri" w:hAnsi="Calibri"/>
          <w:sz w:val="43"/>
          <w:szCs w:val="43"/>
          <w:color w:val="auto"/>
        </w:rPr>
        <w:t>Security Ownership of Certain Benefcial Owners, Directors and Management</w:t>
      </w:r>
    </w:p>
    <w:p>
      <w:pPr>
        <w:spacing w:after="0" w:line="234" w:lineRule="exact"/>
        <w:rPr>
          <w:sz w:val="20"/>
          <w:szCs w:val="20"/>
          <w:color w:val="auto"/>
        </w:rPr>
      </w:pPr>
    </w:p>
    <w:p>
      <w:pPr>
        <w:spacing w:after="0"/>
        <w:rPr>
          <w:sz w:val="20"/>
          <w:szCs w:val="20"/>
          <w:color w:val="auto"/>
        </w:rPr>
      </w:pPr>
      <w:r>
        <w:rPr>
          <w:rFonts w:ascii="Calibri" w:cs="Calibri" w:eastAsia="Calibri" w:hAnsi="Calibri"/>
          <w:sz w:val="22"/>
          <w:szCs w:val="22"/>
          <w:color w:val="auto"/>
        </w:rPr>
        <w:t>The following table sets forth the benefcial ownership of our common stock as of March 31, 2024 by:</w:t>
      </w:r>
    </w:p>
    <w:p>
      <w:pPr>
        <w:spacing w:after="0" w:line="123" w:lineRule="exact"/>
        <w:rPr>
          <w:sz w:val="20"/>
          <w:szCs w:val="20"/>
          <w:color w:val="auto"/>
        </w:rPr>
      </w:pPr>
    </w:p>
    <w:p>
      <w:pPr>
        <w:ind w:left="660" w:hanging="328"/>
        <w:spacing w:after="0"/>
        <w:tabs>
          <w:tab w:leader="none" w:pos="660" w:val="left"/>
        </w:tabs>
        <w:numPr>
          <w:ilvl w:val="0"/>
          <w:numId w:val="43"/>
        </w:numPr>
        <w:rPr>
          <w:rFonts w:ascii="Times New Roman" w:cs="Times New Roman" w:eastAsia="Times New Roman" w:hAnsi="Times New Roman"/>
          <w:sz w:val="22"/>
          <w:szCs w:val="22"/>
          <w:color w:val="auto"/>
        </w:rPr>
      </w:pPr>
      <w:r>
        <w:rPr>
          <w:rFonts w:ascii="Calibri" w:cs="Calibri" w:eastAsia="Calibri" w:hAnsi="Calibri"/>
          <w:sz w:val="22"/>
          <w:szCs w:val="22"/>
          <w:color w:val="auto"/>
        </w:rPr>
        <w:t>each person, or group of afliated persons, known by us to benefcially own more than 5% of our common stock;</w:t>
      </w:r>
    </w:p>
    <w:p>
      <w:pPr>
        <w:spacing w:after="0" w:line="122" w:lineRule="exact"/>
        <w:rPr>
          <w:rFonts w:ascii="Times New Roman" w:cs="Times New Roman" w:eastAsia="Times New Roman" w:hAnsi="Times New Roman"/>
          <w:sz w:val="22"/>
          <w:szCs w:val="22"/>
          <w:color w:val="auto"/>
        </w:rPr>
      </w:pPr>
    </w:p>
    <w:p>
      <w:pPr>
        <w:ind w:left="660" w:hanging="328"/>
        <w:spacing w:after="0"/>
        <w:tabs>
          <w:tab w:leader="none" w:pos="660" w:val="left"/>
        </w:tabs>
        <w:numPr>
          <w:ilvl w:val="0"/>
          <w:numId w:val="43"/>
        </w:numPr>
        <w:rPr>
          <w:rFonts w:ascii="Times New Roman" w:cs="Times New Roman" w:eastAsia="Times New Roman" w:hAnsi="Times New Roman"/>
          <w:sz w:val="22"/>
          <w:szCs w:val="22"/>
          <w:color w:val="auto"/>
        </w:rPr>
      </w:pPr>
      <w:r>
        <w:rPr>
          <w:rFonts w:ascii="Calibri" w:cs="Calibri" w:eastAsia="Calibri" w:hAnsi="Calibri"/>
          <w:sz w:val="22"/>
          <w:szCs w:val="22"/>
          <w:color w:val="auto"/>
        </w:rPr>
        <w:t>each of our named executve ofcers;</w:t>
      </w:r>
    </w:p>
    <w:p>
      <w:pPr>
        <w:spacing w:after="0" w:line="120" w:lineRule="exact"/>
        <w:rPr>
          <w:rFonts w:ascii="Times New Roman" w:cs="Times New Roman" w:eastAsia="Times New Roman" w:hAnsi="Times New Roman"/>
          <w:sz w:val="22"/>
          <w:szCs w:val="22"/>
          <w:color w:val="auto"/>
        </w:rPr>
      </w:pPr>
    </w:p>
    <w:p>
      <w:pPr>
        <w:ind w:left="660" w:hanging="328"/>
        <w:spacing w:after="0"/>
        <w:tabs>
          <w:tab w:leader="none" w:pos="660" w:val="left"/>
        </w:tabs>
        <w:numPr>
          <w:ilvl w:val="0"/>
          <w:numId w:val="43"/>
        </w:numPr>
        <w:rPr>
          <w:rFonts w:ascii="Times New Roman" w:cs="Times New Roman" w:eastAsia="Times New Roman" w:hAnsi="Times New Roman"/>
          <w:sz w:val="22"/>
          <w:szCs w:val="22"/>
          <w:color w:val="auto"/>
        </w:rPr>
      </w:pPr>
      <w:r>
        <w:rPr>
          <w:rFonts w:ascii="Calibri" w:cs="Calibri" w:eastAsia="Calibri" w:hAnsi="Calibri"/>
          <w:sz w:val="22"/>
          <w:szCs w:val="22"/>
          <w:color w:val="auto"/>
        </w:rPr>
        <w:t>each of our directors; and</w:t>
      </w:r>
    </w:p>
    <w:p>
      <w:pPr>
        <w:spacing w:after="0" w:line="246" w:lineRule="exact"/>
        <w:rPr>
          <w:rFonts w:ascii="Times New Roman" w:cs="Times New Roman" w:eastAsia="Times New Roman" w:hAnsi="Times New Roman"/>
          <w:sz w:val="22"/>
          <w:szCs w:val="22"/>
          <w:color w:val="auto"/>
        </w:rPr>
      </w:pPr>
    </w:p>
    <w:p>
      <w:pPr>
        <w:ind w:left="660" w:hanging="328"/>
        <w:spacing w:after="0"/>
        <w:tabs>
          <w:tab w:leader="none" w:pos="660" w:val="left"/>
        </w:tabs>
        <w:numPr>
          <w:ilvl w:val="0"/>
          <w:numId w:val="43"/>
        </w:numPr>
        <w:rPr>
          <w:rFonts w:ascii="Times New Roman" w:cs="Times New Roman" w:eastAsia="Times New Roman" w:hAnsi="Times New Roman"/>
          <w:sz w:val="22"/>
          <w:szCs w:val="22"/>
          <w:color w:val="auto"/>
        </w:rPr>
      </w:pPr>
      <w:r>
        <w:rPr>
          <w:rFonts w:ascii="Calibri" w:cs="Calibri" w:eastAsia="Calibri" w:hAnsi="Calibri"/>
          <w:sz w:val="22"/>
          <w:szCs w:val="22"/>
          <w:color w:val="auto"/>
        </w:rPr>
        <w:t>all of our executve ofcers and directors as a group.</w:t>
      </w:r>
    </w:p>
    <w:p>
      <w:pPr>
        <w:spacing w:after="0" w:line="215" w:lineRule="exact"/>
        <w:rPr>
          <w:sz w:val="20"/>
          <w:szCs w:val="20"/>
          <w:color w:val="auto"/>
        </w:rPr>
      </w:pPr>
    </w:p>
    <w:p>
      <w:pPr>
        <w:jc w:val="both"/>
        <w:spacing w:after="0" w:line="229" w:lineRule="auto"/>
        <w:rPr>
          <w:sz w:val="20"/>
          <w:szCs w:val="20"/>
          <w:color w:val="auto"/>
        </w:rPr>
      </w:pPr>
      <w:r>
        <w:rPr>
          <w:rFonts w:ascii="Calibri" w:cs="Calibri" w:eastAsia="Calibri" w:hAnsi="Calibri"/>
          <w:sz w:val="22"/>
          <w:szCs w:val="22"/>
          <w:color w:val="auto"/>
        </w:rPr>
        <w:t>We have determined benefcial ownership in accordance with the rules of the SEC, and it represents sole or shared votng or investment power with respect to our securites. Unless otherwise indicated, to our knowledge, the persons or enttes identfed in the table have sole votng power and sole investment power with respect to all shares shown as benefcially owned by them, subject to community property laws where applicable.</w:t>
      </w:r>
    </w:p>
    <w:p>
      <w:pPr>
        <w:spacing w:after="0" w:line="217" w:lineRule="exact"/>
        <w:rPr>
          <w:sz w:val="20"/>
          <w:szCs w:val="20"/>
          <w:color w:val="auto"/>
        </w:rPr>
      </w:pPr>
    </w:p>
    <w:p>
      <w:pPr>
        <w:jc w:val="both"/>
        <w:spacing w:after="0" w:line="232" w:lineRule="auto"/>
        <w:rPr>
          <w:sz w:val="20"/>
          <w:szCs w:val="20"/>
          <w:color w:val="auto"/>
        </w:rPr>
      </w:pPr>
      <w:r>
        <w:rPr>
          <w:rFonts w:ascii="Calibri" w:cs="Calibri" w:eastAsia="Calibri" w:hAnsi="Calibri"/>
          <w:sz w:val="22"/>
          <w:szCs w:val="22"/>
          <w:color w:val="auto"/>
        </w:rPr>
        <w:t>We have based our calculaton of the percentage of benefcial ownership on 141,798,069 shares of our Class A Common Stock and 179,883,479 shares of Class V Common Stock outstanding as of March 31, 2024. We have deemed shares of our common stock subject to stock optons that are currently exercisable or exercisable within 60 days of March 31, 2024 or issuable pursuant to RSUs which are subject to vestng and setlement conditons expected to occur within 60 days of March 31, 2024, to be outstanding and to be benefcially owned by the person holding the stock opton or RSU for the purpose of computng the percentage ownership of that person. We did not deem these shares outstanding, however, for the purpose of computng the percentage ownership of any other person.</w:t>
      </w:r>
    </w:p>
    <w:p>
      <w:pPr>
        <w:spacing w:after="0" w:line="221" w:lineRule="exact"/>
        <w:rPr>
          <w:sz w:val="20"/>
          <w:szCs w:val="20"/>
          <w:color w:val="auto"/>
        </w:rPr>
      </w:pPr>
    </w:p>
    <w:p>
      <w:pPr>
        <w:jc w:val="both"/>
        <w:ind w:right="20"/>
        <w:spacing w:after="0" w:line="229" w:lineRule="auto"/>
        <w:rPr>
          <w:sz w:val="20"/>
          <w:szCs w:val="20"/>
          <w:color w:val="auto"/>
        </w:rPr>
      </w:pPr>
      <w:r>
        <w:rPr>
          <w:rFonts w:ascii="Calibri" w:cs="Calibri" w:eastAsia="Calibri" w:hAnsi="Calibri"/>
          <w:sz w:val="22"/>
          <w:szCs w:val="22"/>
          <w:color w:val="auto"/>
        </w:rPr>
        <w:t>Unless otherwise indicated, the address for each person or entty listed in the table is c/o Bakkt Holdings, Inc., 10000 Avalon Boulevard, Suite 1000, Alphareta, Georgia 30009.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ind w:left="2760"/>
        <w:spacing w:after="0"/>
        <w:tabs>
          <w:tab w:leader="none" w:pos="7080" w:val="left"/>
          <w:tab w:leader="none" w:pos="8300" w:val="left"/>
        </w:tabs>
        <w:rPr>
          <w:sz w:val="20"/>
          <w:szCs w:val="20"/>
          <w:color w:val="auto"/>
        </w:rPr>
      </w:pPr>
      <w:r>
        <w:rPr>
          <w:rFonts w:ascii="Calibri" w:cs="Calibri" w:eastAsia="Calibri" w:hAnsi="Calibri"/>
          <w:sz w:val="16"/>
          <w:szCs w:val="16"/>
          <w:color w:val="auto"/>
        </w:rPr>
        <w:t>Alphareta, GA | New York, NY | Belfast, United Kingdom</w:t>
      </w:r>
      <w:r>
        <w:rPr>
          <w:sz w:val="20"/>
          <w:szCs w:val="20"/>
          <w:color w:val="auto"/>
        </w:rPr>
        <w:tab/>
      </w:r>
      <w:r>
        <w:rPr>
          <w:rFonts w:ascii="Calibri" w:cs="Calibri" w:eastAsia="Calibri" w:hAnsi="Calibri"/>
          <w:sz w:val="16"/>
          <w:szCs w:val="16"/>
          <w:color w:val="auto"/>
        </w:rPr>
        <w:t>www.bakkt.com</w:t>
      </w:r>
      <w:r>
        <w:rPr>
          <w:sz w:val="20"/>
          <w:szCs w:val="20"/>
          <w:color w:val="auto"/>
        </w:rPr>
        <w:tab/>
      </w:r>
      <w:r>
        <w:rPr>
          <w:rFonts w:ascii="Calibri" w:cs="Calibri" w:eastAsia="Calibri" w:hAnsi="Calibri"/>
          <w:sz w:val="17"/>
          <w:szCs w:val="17"/>
          <w:color w:val="auto"/>
        </w:rPr>
        <w:t>59</w:t>
      </w:r>
    </w:p>
    <w:p>
      <w:pPr>
        <w:sectPr>
          <w:pgSz w:w="11900" w:h="16838" w:orient="portrait"/>
          <w:cols w:equalWidth="0" w:num="1">
            <w:col w:w="11240"/>
          </w:cols>
          <w:pgMar w:left="320" w:top="1440" w:right="339" w:bottom="1440" w:gutter="0" w:footer="0" w:header="0"/>
        </w:sectPr>
      </w:pPr>
    </w:p>
    <w:bookmarkStart w:id="65" w:name="page66"/>
    <w:bookmarkEnd w:id="65"/>
    <w:p>
      <w:pPr>
        <w:spacing w:after="0" w:line="246" w:lineRule="exact"/>
        <w:rPr>
          <w:sz w:val="20"/>
          <w:szCs w:val="20"/>
          <w:color w:val="auto"/>
        </w:rPr>
      </w:pPr>
    </w:p>
    <w:tbl>
      <w:tblPr>
        <w:tblLayout w:type="fixed"/>
        <w:tblInd w:w="10" w:type="dxa"/>
        <w:tblCellMar>
          <w:top w:w="0" w:type="dxa"/>
          <w:left w:w="0" w:type="dxa"/>
          <w:bottom w:w="0" w:type="dxa"/>
          <w:right w:w="0" w:type="dxa"/>
        </w:tblCellMar>
      </w:tblPr>
      <w:tr>
        <w:trPr>
          <w:trHeight w:val="319"/>
        </w:trPr>
        <w:tc>
          <w:tcPr>
            <w:tcW w:w="2640" w:type="dxa"/>
            <w:vAlign w:val="bottom"/>
            <w:tcBorders>
              <w:top w:val="single" w:sz="8" w:color="auto"/>
              <w:left w:val="single" w:sz="8" w:color="auto"/>
            </w:tcBorders>
            <w:shd w:val="clear" w:color="auto" w:fill="151618"/>
          </w:tcPr>
          <w:p>
            <w:pPr>
              <w:spacing w:after="0"/>
              <w:rPr>
                <w:sz w:val="24"/>
                <w:szCs w:val="24"/>
                <w:color w:val="auto"/>
              </w:rPr>
            </w:pPr>
          </w:p>
        </w:tc>
        <w:tc>
          <w:tcPr>
            <w:tcW w:w="1300" w:type="dxa"/>
            <w:vAlign w:val="bottom"/>
            <w:tcBorders>
              <w:top w:val="single" w:sz="8" w:color="auto"/>
            </w:tcBorders>
            <w:shd w:val="clear" w:color="auto" w:fill="151618"/>
          </w:tcPr>
          <w:p>
            <w:pPr>
              <w:ind w:left="300"/>
              <w:spacing w:after="0"/>
              <w:rPr>
                <w:sz w:val="20"/>
                <w:szCs w:val="20"/>
                <w:color w:val="auto"/>
              </w:rPr>
            </w:pPr>
            <w:r>
              <w:rPr>
                <w:rFonts w:ascii="Calibri" w:cs="Calibri" w:eastAsia="Calibri" w:hAnsi="Calibri"/>
                <w:sz w:val="16"/>
                <w:szCs w:val="16"/>
                <w:b w:val="1"/>
                <w:bCs w:val="1"/>
                <w:color w:val="FFFFFF"/>
              </w:rPr>
              <w:t>Number of</w:t>
            </w:r>
          </w:p>
        </w:tc>
        <w:tc>
          <w:tcPr>
            <w:tcW w:w="1300" w:type="dxa"/>
            <w:vAlign w:val="bottom"/>
            <w:tcBorders>
              <w:top w:val="single" w:sz="8" w:color="auto"/>
            </w:tcBorders>
            <w:shd w:val="clear" w:color="auto" w:fill="151618"/>
          </w:tcPr>
          <w:p>
            <w:pPr>
              <w:spacing w:after="0"/>
              <w:rPr>
                <w:sz w:val="24"/>
                <w:szCs w:val="24"/>
                <w:color w:val="auto"/>
              </w:rPr>
            </w:pPr>
          </w:p>
        </w:tc>
        <w:tc>
          <w:tcPr>
            <w:tcW w:w="1520" w:type="dxa"/>
            <w:vAlign w:val="bottom"/>
            <w:tcBorders>
              <w:top w:val="single" w:sz="8" w:color="auto"/>
            </w:tcBorders>
            <w:shd w:val="clear" w:color="auto" w:fill="151618"/>
          </w:tcPr>
          <w:p>
            <w:pPr>
              <w:spacing w:after="0"/>
              <w:rPr>
                <w:sz w:val="24"/>
                <w:szCs w:val="24"/>
                <w:color w:val="auto"/>
              </w:rPr>
            </w:pPr>
          </w:p>
        </w:tc>
        <w:tc>
          <w:tcPr>
            <w:tcW w:w="1160" w:type="dxa"/>
            <w:vAlign w:val="bottom"/>
            <w:tcBorders>
              <w:top w:val="single" w:sz="8" w:color="auto"/>
            </w:tcBorders>
            <w:shd w:val="clear" w:color="auto" w:fill="151618"/>
          </w:tcPr>
          <w:p>
            <w:pPr>
              <w:spacing w:after="0"/>
              <w:rPr>
                <w:sz w:val="24"/>
                <w:szCs w:val="24"/>
                <w:color w:val="auto"/>
              </w:rPr>
            </w:pPr>
          </w:p>
        </w:tc>
        <w:tc>
          <w:tcPr>
            <w:tcW w:w="2000" w:type="dxa"/>
            <w:vAlign w:val="bottom"/>
            <w:tcBorders>
              <w:top w:val="single" w:sz="8" w:color="auto"/>
            </w:tcBorders>
            <w:vMerge w:val="restart"/>
            <w:shd w:val="clear" w:color="auto" w:fill="151618"/>
          </w:tcPr>
          <w:p>
            <w:pPr>
              <w:jc w:val="center"/>
              <w:spacing w:after="0"/>
              <w:rPr>
                <w:sz w:val="20"/>
                <w:szCs w:val="20"/>
                <w:color w:val="auto"/>
              </w:rPr>
            </w:pPr>
            <w:r>
              <w:rPr>
                <w:rFonts w:ascii="Calibri" w:cs="Calibri" w:eastAsia="Calibri" w:hAnsi="Calibri"/>
                <w:sz w:val="16"/>
                <w:szCs w:val="16"/>
                <w:b w:val="1"/>
                <w:bCs w:val="1"/>
                <w:color w:val="FFFFFF"/>
              </w:rPr>
              <w:t>Total Number of Shares of</w:t>
            </w:r>
          </w:p>
        </w:tc>
        <w:tc>
          <w:tcPr>
            <w:tcW w:w="1340" w:type="dxa"/>
            <w:vAlign w:val="bottom"/>
            <w:tcBorders>
              <w:top w:val="single" w:sz="8" w:color="auto"/>
              <w:right w:val="single" w:sz="8" w:color="auto"/>
            </w:tcBorders>
            <w:shd w:val="clear" w:color="auto" w:fill="151618"/>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2640" w:type="dxa"/>
            <w:vAlign w:val="bottom"/>
            <w:tcBorders>
              <w:left w:val="single" w:sz="8" w:color="auto"/>
            </w:tcBorders>
            <w:shd w:val="clear" w:color="auto" w:fill="151618"/>
          </w:tcPr>
          <w:p>
            <w:pPr>
              <w:spacing w:after="0"/>
              <w:rPr>
                <w:sz w:val="9"/>
                <w:szCs w:val="9"/>
                <w:color w:val="auto"/>
              </w:rPr>
            </w:pPr>
          </w:p>
        </w:tc>
        <w:tc>
          <w:tcPr>
            <w:tcW w:w="1300" w:type="dxa"/>
            <w:vAlign w:val="bottom"/>
            <w:vMerge w:val="restart"/>
            <w:shd w:val="clear" w:color="auto" w:fill="151618"/>
          </w:tcPr>
          <w:p>
            <w:pPr>
              <w:ind w:left="100"/>
              <w:spacing w:after="0" w:line="193" w:lineRule="exact"/>
              <w:rPr>
                <w:sz w:val="20"/>
                <w:szCs w:val="20"/>
                <w:color w:val="auto"/>
              </w:rPr>
            </w:pPr>
            <w:r>
              <w:rPr>
                <w:rFonts w:ascii="Calibri" w:cs="Calibri" w:eastAsia="Calibri" w:hAnsi="Calibri"/>
                <w:sz w:val="16"/>
                <w:szCs w:val="16"/>
                <w:b w:val="1"/>
                <w:bCs w:val="1"/>
                <w:color w:val="FFFFFF"/>
              </w:rPr>
              <w:t>Shares of Class A</w:t>
            </w:r>
          </w:p>
        </w:tc>
        <w:tc>
          <w:tcPr>
            <w:tcW w:w="1300" w:type="dxa"/>
            <w:vAlign w:val="bottom"/>
            <w:shd w:val="clear" w:color="auto" w:fill="151618"/>
          </w:tcPr>
          <w:p>
            <w:pPr>
              <w:spacing w:after="0"/>
              <w:rPr>
                <w:sz w:val="9"/>
                <w:szCs w:val="9"/>
                <w:color w:val="auto"/>
              </w:rPr>
            </w:pPr>
          </w:p>
        </w:tc>
        <w:tc>
          <w:tcPr>
            <w:tcW w:w="1520" w:type="dxa"/>
            <w:vAlign w:val="bottom"/>
            <w:vMerge w:val="restart"/>
            <w:shd w:val="clear" w:color="auto" w:fill="151618"/>
          </w:tcPr>
          <w:p>
            <w:pPr>
              <w:ind w:left="480"/>
              <w:spacing w:after="0"/>
              <w:rPr>
                <w:sz w:val="20"/>
                <w:szCs w:val="20"/>
                <w:color w:val="auto"/>
              </w:rPr>
            </w:pPr>
            <w:r>
              <w:rPr>
                <w:rFonts w:ascii="Calibri" w:cs="Calibri" w:eastAsia="Calibri" w:hAnsi="Calibri"/>
                <w:sz w:val="16"/>
                <w:szCs w:val="16"/>
                <w:b w:val="1"/>
                <w:bCs w:val="1"/>
                <w:color w:val="FFFFFF"/>
              </w:rPr>
              <w:t>Number of</w:t>
            </w:r>
          </w:p>
        </w:tc>
        <w:tc>
          <w:tcPr>
            <w:tcW w:w="1160" w:type="dxa"/>
            <w:vAlign w:val="bottom"/>
            <w:shd w:val="clear" w:color="auto" w:fill="151618"/>
          </w:tcPr>
          <w:p>
            <w:pPr>
              <w:spacing w:after="0"/>
              <w:rPr>
                <w:sz w:val="9"/>
                <w:szCs w:val="9"/>
                <w:color w:val="auto"/>
              </w:rPr>
            </w:pPr>
          </w:p>
        </w:tc>
        <w:tc>
          <w:tcPr>
            <w:tcW w:w="2000" w:type="dxa"/>
            <w:vAlign w:val="bottom"/>
            <w:vMerge w:val="continue"/>
            <w:shd w:val="clear" w:color="auto" w:fill="151618"/>
          </w:tcPr>
          <w:p>
            <w:pPr>
              <w:spacing w:after="0"/>
              <w:rPr>
                <w:sz w:val="9"/>
                <w:szCs w:val="9"/>
                <w:color w:val="auto"/>
              </w:rPr>
            </w:pPr>
          </w:p>
        </w:tc>
        <w:tc>
          <w:tcPr>
            <w:tcW w:w="1340" w:type="dxa"/>
            <w:vAlign w:val="bottom"/>
            <w:tcBorders>
              <w:right w:val="single" w:sz="8" w:color="auto"/>
            </w:tcBorders>
            <w:vMerge w:val="restart"/>
            <w:shd w:val="clear" w:color="auto" w:fill="151618"/>
          </w:tcPr>
          <w:p>
            <w:pPr>
              <w:ind w:left="80"/>
              <w:spacing w:after="0" w:line="193" w:lineRule="exact"/>
              <w:rPr>
                <w:sz w:val="20"/>
                <w:szCs w:val="20"/>
                <w:color w:val="auto"/>
              </w:rPr>
            </w:pPr>
            <w:r>
              <w:rPr>
                <w:rFonts w:ascii="Calibri" w:cs="Calibri" w:eastAsia="Calibri" w:hAnsi="Calibri"/>
                <w:sz w:val="16"/>
                <w:szCs w:val="16"/>
                <w:b w:val="1"/>
                <w:bCs w:val="1"/>
                <w:color w:val="FFFFFF"/>
              </w:rPr>
              <w:t>% of Total Votng</w:t>
            </w:r>
          </w:p>
        </w:tc>
        <w:tc>
          <w:tcPr>
            <w:tcW w:w="0" w:type="dxa"/>
            <w:vAlign w:val="bottom"/>
          </w:tcPr>
          <w:p>
            <w:pPr>
              <w:spacing w:after="0"/>
              <w:rPr>
                <w:sz w:val="1"/>
                <w:szCs w:val="1"/>
                <w:color w:val="auto"/>
              </w:rPr>
            </w:pPr>
          </w:p>
        </w:tc>
      </w:tr>
      <w:tr>
        <w:trPr>
          <w:trHeight w:val="153"/>
        </w:trPr>
        <w:tc>
          <w:tcPr>
            <w:tcW w:w="2640" w:type="dxa"/>
            <w:vAlign w:val="bottom"/>
            <w:tcBorders>
              <w:left w:val="single" w:sz="8" w:color="auto"/>
            </w:tcBorders>
            <w:shd w:val="clear" w:color="auto" w:fill="151618"/>
          </w:tcPr>
          <w:p>
            <w:pPr>
              <w:spacing w:after="0"/>
              <w:rPr>
                <w:sz w:val="13"/>
                <w:szCs w:val="13"/>
                <w:color w:val="auto"/>
              </w:rPr>
            </w:pPr>
          </w:p>
        </w:tc>
        <w:tc>
          <w:tcPr>
            <w:tcW w:w="1300" w:type="dxa"/>
            <w:vAlign w:val="bottom"/>
            <w:vMerge w:val="continue"/>
            <w:shd w:val="clear" w:color="auto" w:fill="151618"/>
          </w:tcPr>
          <w:p>
            <w:pPr>
              <w:spacing w:after="0"/>
              <w:rPr>
                <w:sz w:val="13"/>
                <w:szCs w:val="13"/>
                <w:color w:val="auto"/>
              </w:rPr>
            </w:pPr>
          </w:p>
        </w:tc>
        <w:tc>
          <w:tcPr>
            <w:tcW w:w="1300" w:type="dxa"/>
            <w:vAlign w:val="bottom"/>
            <w:shd w:val="clear" w:color="auto" w:fill="151618"/>
          </w:tcPr>
          <w:p>
            <w:pPr>
              <w:ind w:left="280"/>
              <w:spacing w:after="0" w:line="153" w:lineRule="exact"/>
              <w:rPr>
                <w:sz w:val="20"/>
                <w:szCs w:val="20"/>
                <w:color w:val="auto"/>
              </w:rPr>
            </w:pPr>
            <w:r>
              <w:rPr>
                <w:rFonts w:ascii="Calibri" w:cs="Calibri" w:eastAsia="Calibri" w:hAnsi="Calibri"/>
                <w:sz w:val="16"/>
                <w:szCs w:val="16"/>
                <w:b w:val="1"/>
                <w:bCs w:val="1"/>
                <w:color w:val="FFFFFF"/>
              </w:rPr>
              <w:t>% of Class A</w:t>
            </w:r>
          </w:p>
        </w:tc>
        <w:tc>
          <w:tcPr>
            <w:tcW w:w="1520" w:type="dxa"/>
            <w:vAlign w:val="bottom"/>
            <w:vMerge w:val="continue"/>
            <w:shd w:val="clear" w:color="auto" w:fill="151618"/>
          </w:tcPr>
          <w:p>
            <w:pPr>
              <w:spacing w:after="0"/>
              <w:rPr>
                <w:sz w:val="13"/>
                <w:szCs w:val="13"/>
                <w:color w:val="auto"/>
              </w:rPr>
            </w:pPr>
          </w:p>
        </w:tc>
        <w:tc>
          <w:tcPr>
            <w:tcW w:w="1160" w:type="dxa"/>
            <w:vAlign w:val="bottom"/>
            <w:shd w:val="clear" w:color="auto" w:fill="151618"/>
          </w:tcPr>
          <w:p>
            <w:pPr>
              <w:ind w:left="280"/>
              <w:spacing w:after="0" w:line="153" w:lineRule="exact"/>
              <w:rPr>
                <w:sz w:val="20"/>
                <w:szCs w:val="20"/>
                <w:color w:val="auto"/>
              </w:rPr>
            </w:pPr>
            <w:r>
              <w:rPr>
                <w:rFonts w:ascii="Calibri" w:cs="Calibri" w:eastAsia="Calibri" w:hAnsi="Calibri"/>
                <w:sz w:val="16"/>
                <w:szCs w:val="16"/>
                <w:b w:val="1"/>
                <w:bCs w:val="1"/>
                <w:color w:val="FFFFFF"/>
              </w:rPr>
              <w:t>% of Paired</w:t>
            </w:r>
          </w:p>
        </w:tc>
        <w:tc>
          <w:tcPr>
            <w:tcW w:w="2000" w:type="dxa"/>
            <w:vAlign w:val="bottom"/>
            <w:shd w:val="clear" w:color="auto" w:fill="151618"/>
          </w:tcPr>
          <w:p>
            <w:pPr>
              <w:jc w:val="center"/>
              <w:spacing w:after="0" w:line="153" w:lineRule="exact"/>
              <w:rPr>
                <w:sz w:val="20"/>
                <w:szCs w:val="20"/>
                <w:color w:val="auto"/>
              </w:rPr>
            </w:pPr>
            <w:r>
              <w:rPr>
                <w:rFonts w:ascii="Calibri" w:cs="Calibri" w:eastAsia="Calibri" w:hAnsi="Calibri"/>
                <w:sz w:val="16"/>
                <w:szCs w:val="16"/>
                <w:b w:val="1"/>
                <w:bCs w:val="1"/>
                <w:color w:val="FFFFFF"/>
              </w:rPr>
              <w:t>Class A Common Stock and</w:t>
            </w:r>
          </w:p>
        </w:tc>
        <w:tc>
          <w:tcPr>
            <w:tcW w:w="1340" w:type="dxa"/>
            <w:vAlign w:val="bottom"/>
            <w:tcBorders>
              <w:right w:val="single" w:sz="8" w:color="auto"/>
            </w:tcBorders>
            <w:vMerge w:val="continue"/>
            <w:shd w:val="clear" w:color="auto" w:fill="151618"/>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640" w:type="dxa"/>
            <w:vAlign w:val="bottom"/>
            <w:tcBorders>
              <w:left w:val="single" w:sz="8" w:color="auto"/>
            </w:tcBorders>
            <w:vMerge w:val="restart"/>
            <w:shd w:val="clear" w:color="auto" w:fill="151618"/>
          </w:tcPr>
          <w:p>
            <w:pPr>
              <w:ind w:left="80"/>
              <w:spacing w:after="0"/>
              <w:rPr>
                <w:sz w:val="20"/>
                <w:szCs w:val="20"/>
                <w:color w:val="auto"/>
              </w:rPr>
            </w:pPr>
            <w:r>
              <w:rPr>
                <w:rFonts w:ascii="Calibri" w:cs="Calibri" w:eastAsia="Calibri" w:hAnsi="Calibri"/>
                <w:sz w:val="16"/>
                <w:szCs w:val="16"/>
                <w:b w:val="1"/>
                <w:bCs w:val="1"/>
                <w:color w:val="FFFFFF"/>
              </w:rPr>
              <w:t>Name of Benefcial Owner</w:t>
            </w:r>
          </w:p>
        </w:tc>
        <w:tc>
          <w:tcPr>
            <w:tcW w:w="1300" w:type="dxa"/>
            <w:vAlign w:val="bottom"/>
            <w:shd w:val="clear" w:color="auto" w:fill="151618"/>
          </w:tcPr>
          <w:p>
            <w:pPr>
              <w:ind w:left="100"/>
              <w:spacing w:after="0" w:line="162" w:lineRule="exact"/>
              <w:rPr>
                <w:sz w:val="20"/>
                <w:szCs w:val="20"/>
                <w:color w:val="auto"/>
              </w:rPr>
            </w:pPr>
            <w:r>
              <w:rPr>
                <w:rFonts w:ascii="Calibri" w:cs="Calibri" w:eastAsia="Calibri" w:hAnsi="Calibri"/>
                <w:sz w:val="13"/>
                <w:szCs w:val="13"/>
                <w:b w:val="1"/>
                <w:bCs w:val="1"/>
                <w:color w:val="FFFFFF"/>
              </w:rPr>
              <w:t>Common Stock</w:t>
            </w:r>
            <w:r>
              <w:rPr>
                <w:rFonts w:ascii="Calibri" w:cs="Calibri" w:eastAsia="Calibri" w:hAnsi="Calibri"/>
                <w:sz w:val="17"/>
                <w:szCs w:val="17"/>
                <w:b w:val="1"/>
                <w:bCs w:val="1"/>
                <w:color w:val="FFFFFF"/>
                <w:vertAlign w:val="superscript"/>
              </w:rPr>
              <w:t>(1)</w:t>
            </w:r>
          </w:p>
        </w:tc>
        <w:tc>
          <w:tcPr>
            <w:tcW w:w="1300" w:type="dxa"/>
            <w:vAlign w:val="bottom"/>
            <w:vMerge w:val="restart"/>
            <w:shd w:val="clear" w:color="auto" w:fill="151618"/>
          </w:tcPr>
          <w:p>
            <w:pPr>
              <w:ind w:left="180"/>
              <w:spacing w:after="0"/>
              <w:rPr>
                <w:sz w:val="20"/>
                <w:szCs w:val="20"/>
                <w:color w:val="auto"/>
              </w:rPr>
            </w:pPr>
            <w:r>
              <w:rPr>
                <w:rFonts w:ascii="Calibri" w:cs="Calibri" w:eastAsia="Calibri" w:hAnsi="Calibri"/>
                <w:sz w:val="16"/>
                <w:szCs w:val="16"/>
                <w:b w:val="1"/>
                <w:bCs w:val="1"/>
                <w:color w:val="FFFFFF"/>
              </w:rPr>
              <w:t>Common Stock</w:t>
            </w:r>
          </w:p>
        </w:tc>
        <w:tc>
          <w:tcPr>
            <w:tcW w:w="1520" w:type="dxa"/>
            <w:vAlign w:val="bottom"/>
            <w:shd w:val="clear" w:color="auto" w:fill="151618"/>
          </w:tcPr>
          <w:p>
            <w:pPr>
              <w:ind w:left="240"/>
              <w:spacing w:after="0" w:line="162" w:lineRule="exact"/>
              <w:rPr>
                <w:sz w:val="20"/>
                <w:szCs w:val="20"/>
                <w:color w:val="auto"/>
              </w:rPr>
            </w:pPr>
            <w:r>
              <w:rPr>
                <w:rFonts w:ascii="Calibri" w:cs="Calibri" w:eastAsia="Calibri" w:hAnsi="Calibri"/>
                <w:sz w:val="13"/>
                <w:szCs w:val="13"/>
                <w:b w:val="1"/>
                <w:bCs w:val="1"/>
                <w:color w:val="FFFFFF"/>
              </w:rPr>
              <w:t>Paired Interests</w:t>
            </w:r>
            <w:r>
              <w:rPr>
                <w:rFonts w:ascii="Calibri" w:cs="Calibri" w:eastAsia="Calibri" w:hAnsi="Calibri"/>
                <w:sz w:val="17"/>
                <w:szCs w:val="17"/>
                <w:b w:val="1"/>
                <w:bCs w:val="1"/>
                <w:color w:val="FFFFFF"/>
                <w:vertAlign w:val="superscript"/>
              </w:rPr>
              <w:t>(2)</w:t>
            </w:r>
          </w:p>
        </w:tc>
        <w:tc>
          <w:tcPr>
            <w:tcW w:w="1160" w:type="dxa"/>
            <w:vAlign w:val="bottom"/>
            <w:vMerge w:val="restart"/>
            <w:shd w:val="clear" w:color="auto" w:fill="151618"/>
          </w:tcPr>
          <w:p>
            <w:pPr>
              <w:ind w:left="360"/>
              <w:spacing w:after="0"/>
              <w:rPr>
                <w:sz w:val="20"/>
                <w:szCs w:val="20"/>
                <w:color w:val="auto"/>
              </w:rPr>
            </w:pPr>
            <w:r>
              <w:rPr>
                <w:rFonts w:ascii="Calibri" w:cs="Calibri" w:eastAsia="Calibri" w:hAnsi="Calibri"/>
                <w:sz w:val="16"/>
                <w:szCs w:val="16"/>
                <w:b w:val="1"/>
                <w:bCs w:val="1"/>
                <w:color w:val="FFFFFF"/>
              </w:rPr>
              <w:t>Interests</w:t>
            </w:r>
          </w:p>
        </w:tc>
        <w:tc>
          <w:tcPr>
            <w:tcW w:w="2000" w:type="dxa"/>
            <w:vAlign w:val="bottom"/>
            <w:vMerge w:val="restart"/>
            <w:shd w:val="clear" w:color="auto" w:fill="151618"/>
          </w:tcPr>
          <w:p>
            <w:pPr>
              <w:jc w:val="center"/>
              <w:spacing w:after="0"/>
              <w:rPr>
                <w:sz w:val="20"/>
                <w:szCs w:val="20"/>
                <w:color w:val="auto"/>
              </w:rPr>
            </w:pPr>
            <w:r>
              <w:rPr>
                <w:rFonts w:ascii="Calibri" w:cs="Calibri" w:eastAsia="Calibri" w:hAnsi="Calibri"/>
                <w:sz w:val="16"/>
                <w:szCs w:val="16"/>
                <w:b w:val="1"/>
                <w:bCs w:val="1"/>
                <w:color w:val="FFFFFF"/>
              </w:rPr>
              <w:t>Class V Common Stock</w:t>
            </w:r>
          </w:p>
        </w:tc>
        <w:tc>
          <w:tcPr>
            <w:tcW w:w="1340" w:type="dxa"/>
            <w:vAlign w:val="bottom"/>
            <w:tcBorders>
              <w:right w:val="single" w:sz="8" w:color="auto"/>
            </w:tcBorders>
            <w:shd w:val="clear" w:color="auto" w:fill="151618"/>
          </w:tcPr>
          <w:p>
            <w:pPr>
              <w:ind w:left="380"/>
              <w:spacing w:after="0" w:line="162" w:lineRule="exact"/>
              <w:rPr>
                <w:sz w:val="20"/>
                <w:szCs w:val="20"/>
                <w:color w:val="auto"/>
              </w:rPr>
            </w:pPr>
            <w:r>
              <w:rPr>
                <w:rFonts w:ascii="Calibri" w:cs="Calibri" w:eastAsia="Calibri" w:hAnsi="Calibri"/>
                <w:sz w:val="13"/>
                <w:szCs w:val="13"/>
                <w:b w:val="1"/>
                <w:bCs w:val="1"/>
                <w:color w:val="FFFFFF"/>
              </w:rPr>
              <w:t>Power</w:t>
            </w:r>
            <w:r>
              <w:rPr>
                <w:rFonts w:ascii="Calibri" w:cs="Calibri" w:eastAsia="Calibri" w:hAnsi="Calibri"/>
                <w:sz w:val="17"/>
                <w:szCs w:val="17"/>
                <w:b w:val="1"/>
                <w:bCs w:val="1"/>
                <w:color w:val="FFFFFF"/>
                <w:vertAlign w:val="superscript"/>
              </w:rPr>
              <w:t>(3)</w:t>
            </w:r>
          </w:p>
        </w:tc>
        <w:tc>
          <w:tcPr>
            <w:tcW w:w="0" w:type="dxa"/>
            <w:vAlign w:val="bottom"/>
          </w:tcPr>
          <w:p>
            <w:pPr>
              <w:spacing w:after="0"/>
              <w:rPr>
                <w:sz w:val="1"/>
                <w:szCs w:val="1"/>
                <w:color w:val="auto"/>
              </w:rPr>
            </w:pPr>
          </w:p>
        </w:tc>
      </w:tr>
      <w:tr>
        <w:trPr>
          <w:trHeight w:val="67"/>
        </w:trPr>
        <w:tc>
          <w:tcPr>
            <w:tcW w:w="2640" w:type="dxa"/>
            <w:vAlign w:val="bottom"/>
            <w:tcBorders>
              <w:left w:val="single" w:sz="8" w:color="auto"/>
              <w:bottom w:val="single" w:sz="8" w:color="151618"/>
            </w:tcBorders>
            <w:vMerge w:val="continue"/>
            <w:shd w:val="clear" w:color="auto" w:fill="151618"/>
          </w:tcPr>
          <w:p>
            <w:pPr>
              <w:spacing w:after="0"/>
              <w:rPr>
                <w:sz w:val="5"/>
                <w:szCs w:val="5"/>
                <w:color w:val="auto"/>
              </w:rPr>
            </w:pPr>
          </w:p>
        </w:tc>
        <w:tc>
          <w:tcPr>
            <w:tcW w:w="1300" w:type="dxa"/>
            <w:vAlign w:val="bottom"/>
            <w:tcBorders>
              <w:bottom w:val="single" w:sz="8" w:color="151618"/>
            </w:tcBorders>
            <w:shd w:val="clear" w:color="auto" w:fill="151618"/>
          </w:tcPr>
          <w:p>
            <w:pPr>
              <w:spacing w:after="0"/>
              <w:rPr>
                <w:sz w:val="5"/>
                <w:szCs w:val="5"/>
                <w:color w:val="auto"/>
              </w:rPr>
            </w:pPr>
          </w:p>
        </w:tc>
        <w:tc>
          <w:tcPr>
            <w:tcW w:w="1300" w:type="dxa"/>
            <w:vAlign w:val="bottom"/>
            <w:tcBorders>
              <w:bottom w:val="single" w:sz="8" w:color="151618"/>
            </w:tcBorders>
            <w:vMerge w:val="continue"/>
            <w:shd w:val="clear" w:color="auto" w:fill="151618"/>
          </w:tcPr>
          <w:p>
            <w:pPr>
              <w:spacing w:after="0"/>
              <w:rPr>
                <w:sz w:val="5"/>
                <w:szCs w:val="5"/>
                <w:color w:val="auto"/>
              </w:rPr>
            </w:pPr>
          </w:p>
        </w:tc>
        <w:tc>
          <w:tcPr>
            <w:tcW w:w="1520" w:type="dxa"/>
            <w:vAlign w:val="bottom"/>
            <w:tcBorders>
              <w:bottom w:val="single" w:sz="8" w:color="151618"/>
            </w:tcBorders>
            <w:shd w:val="clear" w:color="auto" w:fill="151618"/>
          </w:tcPr>
          <w:p>
            <w:pPr>
              <w:spacing w:after="0"/>
              <w:rPr>
                <w:sz w:val="5"/>
                <w:szCs w:val="5"/>
                <w:color w:val="auto"/>
              </w:rPr>
            </w:pPr>
          </w:p>
        </w:tc>
        <w:tc>
          <w:tcPr>
            <w:tcW w:w="1160" w:type="dxa"/>
            <w:vAlign w:val="bottom"/>
            <w:tcBorders>
              <w:bottom w:val="single" w:sz="8" w:color="151618"/>
            </w:tcBorders>
            <w:vMerge w:val="continue"/>
            <w:shd w:val="clear" w:color="auto" w:fill="151618"/>
          </w:tcPr>
          <w:p>
            <w:pPr>
              <w:spacing w:after="0"/>
              <w:rPr>
                <w:sz w:val="5"/>
                <w:szCs w:val="5"/>
                <w:color w:val="auto"/>
              </w:rPr>
            </w:pPr>
          </w:p>
        </w:tc>
        <w:tc>
          <w:tcPr>
            <w:tcW w:w="2000" w:type="dxa"/>
            <w:vAlign w:val="bottom"/>
            <w:tcBorders>
              <w:bottom w:val="single" w:sz="8" w:color="151618"/>
            </w:tcBorders>
            <w:vMerge w:val="continue"/>
            <w:shd w:val="clear" w:color="auto" w:fill="151618"/>
          </w:tcPr>
          <w:p>
            <w:pPr>
              <w:spacing w:after="0"/>
              <w:rPr>
                <w:sz w:val="5"/>
                <w:szCs w:val="5"/>
                <w:color w:val="auto"/>
              </w:rPr>
            </w:pPr>
          </w:p>
        </w:tc>
        <w:tc>
          <w:tcPr>
            <w:tcW w:w="1340" w:type="dxa"/>
            <w:vAlign w:val="bottom"/>
            <w:tcBorders>
              <w:bottom w:val="single" w:sz="8" w:color="151618"/>
              <w:right w:val="single" w:sz="8" w:color="auto"/>
            </w:tcBorders>
            <w:shd w:val="clear" w:color="auto" w:fill="151618"/>
          </w:tcPr>
          <w:p>
            <w:pPr>
              <w:spacing w:after="0"/>
              <w:rPr>
                <w:sz w:val="5"/>
                <w:szCs w:val="5"/>
                <w:color w:val="auto"/>
              </w:rPr>
            </w:pPr>
          </w:p>
        </w:tc>
        <w:tc>
          <w:tcPr>
            <w:tcW w:w="0" w:type="dxa"/>
            <w:vAlign w:val="bottom"/>
          </w:tcPr>
          <w:p>
            <w:pPr>
              <w:spacing w:after="0"/>
              <w:rPr>
                <w:sz w:val="1"/>
                <w:szCs w:val="1"/>
                <w:color w:val="auto"/>
              </w:rPr>
            </w:pPr>
          </w:p>
        </w:tc>
      </w:tr>
      <w:tr>
        <w:trPr>
          <w:trHeight w:val="215"/>
        </w:trPr>
        <w:tc>
          <w:tcPr>
            <w:tcW w:w="2640" w:type="dxa"/>
            <w:vAlign w:val="bottom"/>
            <w:tcBorders>
              <w:top w:val="single" w:sz="8" w:color="auto"/>
              <w:left w:val="single" w:sz="8" w:color="auto"/>
              <w:bottom w:val="single" w:sz="8" w:color="E5FF61"/>
            </w:tcBorders>
            <w:shd w:val="clear" w:color="auto" w:fill="E5FF61"/>
          </w:tcPr>
          <w:p>
            <w:pPr>
              <w:ind w:left="80"/>
              <w:spacing w:after="0" w:line="187" w:lineRule="exact"/>
              <w:rPr>
                <w:sz w:val="20"/>
                <w:szCs w:val="20"/>
                <w:color w:val="auto"/>
              </w:rPr>
            </w:pPr>
            <w:r>
              <w:rPr>
                <w:rFonts w:ascii="Calibri" w:cs="Calibri" w:eastAsia="Calibri" w:hAnsi="Calibri"/>
                <w:sz w:val="16"/>
                <w:szCs w:val="16"/>
                <w:b w:val="1"/>
                <w:bCs w:val="1"/>
                <w:color w:val="auto"/>
              </w:rPr>
              <w:t>Greater than 5% Stockholders:</w:t>
            </w:r>
          </w:p>
        </w:tc>
        <w:tc>
          <w:tcPr>
            <w:tcW w:w="1300" w:type="dxa"/>
            <w:vAlign w:val="bottom"/>
            <w:tcBorders>
              <w:top w:val="single" w:sz="8" w:color="auto"/>
              <w:bottom w:val="single" w:sz="8" w:color="E5FF61"/>
            </w:tcBorders>
            <w:shd w:val="clear" w:color="auto" w:fill="E5FF61"/>
          </w:tcPr>
          <w:p>
            <w:pPr>
              <w:spacing w:after="0"/>
              <w:rPr>
                <w:sz w:val="18"/>
                <w:szCs w:val="18"/>
                <w:color w:val="auto"/>
              </w:rPr>
            </w:pPr>
          </w:p>
        </w:tc>
        <w:tc>
          <w:tcPr>
            <w:tcW w:w="1300" w:type="dxa"/>
            <w:vAlign w:val="bottom"/>
            <w:tcBorders>
              <w:top w:val="single" w:sz="8" w:color="auto"/>
              <w:bottom w:val="single" w:sz="8" w:color="E5FF61"/>
            </w:tcBorders>
            <w:shd w:val="clear" w:color="auto" w:fill="E5FF61"/>
          </w:tcPr>
          <w:p>
            <w:pPr>
              <w:spacing w:after="0"/>
              <w:rPr>
                <w:sz w:val="18"/>
                <w:szCs w:val="18"/>
                <w:color w:val="auto"/>
              </w:rPr>
            </w:pPr>
          </w:p>
        </w:tc>
        <w:tc>
          <w:tcPr>
            <w:tcW w:w="1520" w:type="dxa"/>
            <w:vAlign w:val="bottom"/>
            <w:tcBorders>
              <w:top w:val="single" w:sz="8" w:color="auto"/>
              <w:bottom w:val="single" w:sz="8" w:color="E5FF61"/>
            </w:tcBorders>
            <w:shd w:val="clear" w:color="auto" w:fill="E5FF61"/>
          </w:tcPr>
          <w:p>
            <w:pPr>
              <w:spacing w:after="0"/>
              <w:rPr>
                <w:sz w:val="18"/>
                <w:szCs w:val="18"/>
                <w:color w:val="auto"/>
              </w:rPr>
            </w:pPr>
          </w:p>
        </w:tc>
        <w:tc>
          <w:tcPr>
            <w:tcW w:w="1160" w:type="dxa"/>
            <w:vAlign w:val="bottom"/>
            <w:tcBorders>
              <w:top w:val="single" w:sz="8" w:color="auto"/>
              <w:bottom w:val="single" w:sz="8" w:color="E5FF61"/>
            </w:tcBorders>
            <w:shd w:val="clear" w:color="auto" w:fill="E5FF61"/>
          </w:tcPr>
          <w:p>
            <w:pPr>
              <w:spacing w:after="0"/>
              <w:rPr>
                <w:sz w:val="18"/>
                <w:szCs w:val="18"/>
                <w:color w:val="auto"/>
              </w:rPr>
            </w:pPr>
          </w:p>
        </w:tc>
        <w:tc>
          <w:tcPr>
            <w:tcW w:w="2000" w:type="dxa"/>
            <w:vAlign w:val="bottom"/>
            <w:tcBorders>
              <w:top w:val="single" w:sz="8" w:color="auto"/>
              <w:bottom w:val="single" w:sz="8" w:color="E5FF61"/>
            </w:tcBorders>
            <w:shd w:val="clear" w:color="auto" w:fill="E5FF61"/>
          </w:tcPr>
          <w:p>
            <w:pPr>
              <w:spacing w:after="0"/>
              <w:rPr>
                <w:sz w:val="18"/>
                <w:szCs w:val="18"/>
                <w:color w:val="auto"/>
              </w:rPr>
            </w:pPr>
          </w:p>
        </w:tc>
        <w:tc>
          <w:tcPr>
            <w:tcW w:w="1340" w:type="dxa"/>
            <w:vAlign w:val="bottom"/>
            <w:tcBorders>
              <w:top w:val="single" w:sz="8" w:color="auto"/>
              <w:bottom w:val="single" w:sz="8" w:color="E5FF61"/>
              <w:right w:val="single" w:sz="8" w:color="auto"/>
            </w:tcBorders>
            <w:shd w:val="clear" w:color="auto" w:fill="E5FF61"/>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2640" w:type="dxa"/>
            <w:vAlign w:val="bottom"/>
            <w:tcBorders>
              <w:top w:val="single" w:sz="8" w:color="auto"/>
              <w:left w:val="single" w:sz="8" w:color="auto"/>
            </w:tcBorders>
          </w:tcPr>
          <w:p>
            <w:pPr>
              <w:ind w:left="80"/>
              <w:spacing w:after="0" w:line="191" w:lineRule="exact"/>
              <w:rPr>
                <w:sz w:val="20"/>
                <w:szCs w:val="20"/>
                <w:color w:val="auto"/>
              </w:rPr>
            </w:pPr>
            <w:r>
              <w:rPr>
                <w:rFonts w:ascii="Calibri" w:cs="Calibri" w:eastAsia="Calibri" w:hAnsi="Calibri"/>
                <w:sz w:val="16"/>
                <w:szCs w:val="16"/>
                <w:b w:val="1"/>
                <w:bCs w:val="1"/>
                <w:color w:val="auto"/>
              </w:rPr>
              <w:t>Intercontnental Exchange Holdings,</w:t>
            </w:r>
          </w:p>
        </w:tc>
        <w:tc>
          <w:tcPr>
            <w:tcW w:w="1300" w:type="dxa"/>
            <w:vAlign w:val="bottom"/>
            <w:tcBorders>
              <w:top w:val="single" w:sz="8" w:color="auto"/>
            </w:tcBorders>
          </w:tcPr>
          <w:p>
            <w:pPr>
              <w:ind w:left="60"/>
              <w:spacing w:after="0" w:line="191" w:lineRule="exact"/>
              <w:rPr>
                <w:sz w:val="20"/>
                <w:szCs w:val="20"/>
                <w:color w:val="auto"/>
              </w:rPr>
            </w:pPr>
            <w:r>
              <w:rPr>
                <w:rFonts w:ascii="Calibri" w:cs="Calibri" w:eastAsia="Calibri" w:hAnsi="Calibri"/>
                <w:sz w:val="16"/>
                <w:szCs w:val="16"/>
                <w:color w:val="auto"/>
              </w:rPr>
              <w:t>7,476,345</w:t>
            </w:r>
          </w:p>
        </w:tc>
        <w:tc>
          <w:tcPr>
            <w:tcW w:w="1300" w:type="dxa"/>
            <w:vAlign w:val="bottom"/>
            <w:tcBorders>
              <w:top w:val="single" w:sz="8" w:color="auto"/>
            </w:tcBorders>
          </w:tcPr>
          <w:p>
            <w:pPr>
              <w:ind w:left="120"/>
              <w:spacing w:after="0" w:line="191" w:lineRule="exact"/>
              <w:rPr>
                <w:sz w:val="20"/>
                <w:szCs w:val="20"/>
                <w:color w:val="auto"/>
              </w:rPr>
            </w:pPr>
            <w:r>
              <w:rPr>
                <w:rFonts w:ascii="Calibri" w:cs="Calibri" w:eastAsia="Calibri" w:hAnsi="Calibri"/>
                <w:sz w:val="16"/>
                <w:szCs w:val="16"/>
                <w:color w:val="auto"/>
              </w:rPr>
              <w:t>5.27%</w:t>
            </w:r>
          </w:p>
        </w:tc>
        <w:tc>
          <w:tcPr>
            <w:tcW w:w="1520" w:type="dxa"/>
            <w:vAlign w:val="bottom"/>
            <w:tcBorders>
              <w:top w:val="single" w:sz="8" w:color="auto"/>
            </w:tcBorders>
          </w:tcPr>
          <w:p>
            <w:pPr>
              <w:ind w:left="120"/>
              <w:spacing w:after="0" w:line="191" w:lineRule="exact"/>
              <w:rPr>
                <w:sz w:val="20"/>
                <w:szCs w:val="20"/>
                <w:color w:val="auto"/>
              </w:rPr>
            </w:pPr>
            <w:r>
              <w:rPr>
                <w:rFonts w:ascii="Calibri" w:cs="Calibri" w:eastAsia="Calibri" w:hAnsi="Calibri"/>
                <w:sz w:val="16"/>
                <w:szCs w:val="16"/>
                <w:color w:val="auto"/>
              </w:rPr>
              <w:t>170,079,462</w:t>
            </w:r>
          </w:p>
        </w:tc>
        <w:tc>
          <w:tcPr>
            <w:tcW w:w="1160" w:type="dxa"/>
            <w:vAlign w:val="bottom"/>
            <w:tcBorders>
              <w:top w:val="single" w:sz="8" w:color="auto"/>
            </w:tcBorders>
          </w:tcPr>
          <w:p>
            <w:pPr>
              <w:ind w:left="140"/>
              <w:spacing w:after="0" w:line="191" w:lineRule="exact"/>
              <w:rPr>
                <w:sz w:val="20"/>
                <w:szCs w:val="20"/>
                <w:color w:val="auto"/>
              </w:rPr>
            </w:pPr>
            <w:r>
              <w:rPr>
                <w:rFonts w:ascii="Calibri" w:cs="Calibri" w:eastAsia="Calibri" w:hAnsi="Calibri"/>
                <w:sz w:val="16"/>
                <w:szCs w:val="16"/>
                <w:color w:val="auto"/>
              </w:rPr>
              <w:t>94.55%</w:t>
            </w:r>
          </w:p>
        </w:tc>
        <w:tc>
          <w:tcPr>
            <w:tcW w:w="2000" w:type="dxa"/>
            <w:vAlign w:val="bottom"/>
            <w:tcBorders>
              <w:top w:val="single" w:sz="8" w:color="auto"/>
            </w:tcBorders>
          </w:tcPr>
          <w:p>
            <w:pPr>
              <w:jc w:val="right"/>
              <w:spacing w:after="0" w:line="191" w:lineRule="exact"/>
              <w:rPr>
                <w:sz w:val="20"/>
                <w:szCs w:val="20"/>
                <w:color w:val="auto"/>
              </w:rPr>
            </w:pPr>
            <w:r>
              <w:rPr>
                <w:rFonts w:ascii="Calibri" w:cs="Calibri" w:eastAsia="Calibri" w:hAnsi="Calibri"/>
                <w:sz w:val="16"/>
                <w:szCs w:val="16"/>
                <w:color w:val="auto"/>
              </w:rPr>
              <w:t>177,555,807</w:t>
            </w:r>
          </w:p>
        </w:tc>
        <w:tc>
          <w:tcPr>
            <w:tcW w:w="1340" w:type="dxa"/>
            <w:vAlign w:val="bottom"/>
            <w:tcBorders>
              <w:top w:val="single" w:sz="8" w:color="auto"/>
              <w:right w:val="single" w:sz="8" w:color="auto"/>
            </w:tcBorders>
          </w:tcPr>
          <w:p>
            <w:pPr>
              <w:ind w:left="80"/>
              <w:spacing w:after="0" w:line="191" w:lineRule="exact"/>
              <w:rPr>
                <w:sz w:val="20"/>
                <w:szCs w:val="20"/>
                <w:color w:val="auto"/>
              </w:rPr>
            </w:pPr>
            <w:r>
              <w:rPr>
                <w:rFonts w:ascii="Calibri" w:cs="Calibri" w:eastAsia="Calibri" w:hAnsi="Calibri"/>
                <w:sz w:val="16"/>
                <w:szCs w:val="16"/>
                <w:color w:val="auto"/>
              </w:rPr>
              <w:t>55.20%</w:t>
            </w:r>
          </w:p>
        </w:tc>
        <w:tc>
          <w:tcPr>
            <w:tcW w:w="0" w:type="dxa"/>
            <w:vAlign w:val="bottom"/>
          </w:tcPr>
          <w:p>
            <w:pPr>
              <w:spacing w:after="0"/>
              <w:rPr>
                <w:sz w:val="1"/>
                <w:szCs w:val="1"/>
                <w:color w:val="auto"/>
              </w:rPr>
            </w:pPr>
          </w:p>
        </w:tc>
      </w:tr>
      <w:tr>
        <w:trPr>
          <w:trHeight w:val="246"/>
        </w:trPr>
        <w:tc>
          <w:tcPr>
            <w:tcW w:w="2640" w:type="dxa"/>
            <w:vAlign w:val="bottom"/>
            <w:tcBorders>
              <w:left w:val="single" w:sz="8" w:color="auto"/>
              <w:bottom w:val="single" w:sz="8" w:color="auto"/>
            </w:tcBorders>
          </w:tcPr>
          <w:p>
            <w:pPr>
              <w:ind w:left="80"/>
              <w:spacing w:after="0" w:line="244" w:lineRule="exact"/>
              <w:rPr>
                <w:sz w:val="20"/>
                <w:szCs w:val="20"/>
                <w:color w:val="auto"/>
              </w:rPr>
            </w:pPr>
            <w:r>
              <w:rPr>
                <w:rFonts w:ascii="Calibri" w:cs="Calibri" w:eastAsia="Calibri" w:hAnsi="Calibri"/>
                <w:sz w:val="16"/>
                <w:szCs w:val="16"/>
                <w:b w:val="1"/>
                <w:bCs w:val="1"/>
                <w:color w:val="auto"/>
              </w:rPr>
              <w:t>Inc.</w:t>
            </w:r>
            <w:r>
              <w:rPr>
                <w:rFonts w:ascii="Calibri" w:cs="Calibri" w:eastAsia="Calibri" w:hAnsi="Calibri"/>
                <w:sz w:val="21"/>
                <w:szCs w:val="21"/>
                <w:b w:val="1"/>
                <w:bCs w:val="1"/>
                <w:color w:val="auto"/>
                <w:vertAlign w:val="superscript"/>
              </w:rPr>
              <w:t>(4)</w:t>
            </w:r>
          </w:p>
        </w:tc>
        <w:tc>
          <w:tcPr>
            <w:tcW w:w="130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spacing w:after="0"/>
              <w:rPr>
                <w:sz w:val="21"/>
                <w:szCs w:val="21"/>
                <w:color w:val="auto"/>
              </w:rPr>
            </w:pPr>
          </w:p>
        </w:tc>
        <w:tc>
          <w:tcPr>
            <w:tcW w:w="152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spacing w:after="0"/>
              <w:rPr>
                <w:sz w:val="21"/>
                <w:szCs w:val="21"/>
                <w:color w:val="auto"/>
              </w:rPr>
            </w:pPr>
          </w:p>
        </w:tc>
        <w:tc>
          <w:tcPr>
            <w:tcW w:w="2000" w:type="dxa"/>
            <w:vAlign w:val="bottom"/>
            <w:tcBorders>
              <w:bottom w:val="single" w:sz="8" w:color="auto"/>
            </w:tcBorders>
          </w:tcPr>
          <w:p>
            <w:pPr>
              <w:spacing w:after="0"/>
              <w:rPr>
                <w:sz w:val="21"/>
                <w:szCs w:val="21"/>
                <w:color w:val="auto"/>
              </w:rPr>
            </w:pPr>
          </w:p>
        </w:tc>
        <w:tc>
          <w:tcPr>
            <w:tcW w:w="134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17"/>
        </w:trPr>
        <w:tc>
          <w:tcPr>
            <w:tcW w:w="3940" w:type="dxa"/>
            <w:vAlign w:val="bottom"/>
            <w:tcBorders>
              <w:left w:val="single" w:sz="8" w:color="auto"/>
              <w:bottom w:val="single" w:sz="8" w:color="E5FF61"/>
            </w:tcBorders>
            <w:gridSpan w:val="2"/>
            <w:shd w:val="clear" w:color="auto" w:fill="E5FF61"/>
          </w:tcPr>
          <w:p>
            <w:pPr>
              <w:ind w:left="80"/>
              <w:spacing w:after="0" w:line="189" w:lineRule="exact"/>
              <w:rPr>
                <w:sz w:val="20"/>
                <w:szCs w:val="20"/>
                <w:color w:val="auto"/>
              </w:rPr>
            </w:pPr>
            <w:r>
              <w:rPr>
                <w:rFonts w:ascii="Calibri" w:cs="Calibri" w:eastAsia="Calibri" w:hAnsi="Calibri"/>
                <w:sz w:val="16"/>
                <w:szCs w:val="16"/>
                <w:b w:val="1"/>
                <w:bCs w:val="1"/>
                <w:color w:val="auto"/>
              </w:rPr>
              <w:t>Named Executve Ofcers and Directors:</w:t>
            </w:r>
          </w:p>
        </w:tc>
        <w:tc>
          <w:tcPr>
            <w:tcW w:w="1300" w:type="dxa"/>
            <w:vAlign w:val="bottom"/>
            <w:tcBorders>
              <w:bottom w:val="single" w:sz="8" w:color="E5FF61"/>
            </w:tcBorders>
            <w:shd w:val="clear" w:color="auto" w:fill="E5FF61"/>
          </w:tcPr>
          <w:p>
            <w:pPr>
              <w:spacing w:after="0"/>
              <w:rPr>
                <w:sz w:val="18"/>
                <w:szCs w:val="18"/>
                <w:color w:val="auto"/>
              </w:rPr>
            </w:pPr>
          </w:p>
        </w:tc>
        <w:tc>
          <w:tcPr>
            <w:tcW w:w="1520" w:type="dxa"/>
            <w:vAlign w:val="bottom"/>
            <w:tcBorders>
              <w:bottom w:val="single" w:sz="8" w:color="E5FF61"/>
            </w:tcBorders>
            <w:shd w:val="clear" w:color="auto" w:fill="E5FF61"/>
          </w:tcPr>
          <w:p>
            <w:pPr>
              <w:spacing w:after="0"/>
              <w:rPr>
                <w:sz w:val="18"/>
                <w:szCs w:val="18"/>
                <w:color w:val="auto"/>
              </w:rPr>
            </w:pPr>
          </w:p>
        </w:tc>
        <w:tc>
          <w:tcPr>
            <w:tcW w:w="1160" w:type="dxa"/>
            <w:vAlign w:val="bottom"/>
            <w:tcBorders>
              <w:bottom w:val="single" w:sz="8" w:color="E5FF61"/>
            </w:tcBorders>
            <w:shd w:val="clear" w:color="auto" w:fill="E5FF61"/>
          </w:tcPr>
          <w:p>
            <w:pPr>
              <w:spacing w:after="0"/>
              <w:rPr>
                <w:sz w:val="18"/>
                <w:szCs w:val="18"/>
                <w:color w:val="auto"/>
              </w:rPr>
            </w:pPr>
          </w:p>
        </w:tc>
        <w:tc>
          <w:tcPr>
            <w:tcW w:w="2000" w:type="dxa"/>
            <w:vAlign w:val="bottom"/>
            <w:tcBorders>
              <w:bottom w:val="single" w:sz="8" w:color="E5FF61"/>
            </w:tcBorders>
            <w:shd w:val="clear" w:color="auto" w:fill="E5FF61"/>
          </w:tcPr>
          <w:p>
            <w:pPr>
              <w:spacing w:after="0"/>
              <w:rPr>
                <w:sz w:val="18"/>
                <w:szCs w:val="18"/>
                <w:color w:val="auto"/>
              </w:rPr>
            </w:pPr>
          </w:p>
        </w:tc>
        <w:tc>
          <w:tcPr>
            <w:tcW w:w="1340" w:type="dxa"/>
            <w:vAlign w:val="bottom"/>
            <w:tcBorders>
              <w:bottom w:val="single" w:sz="8" w:color="E5FF61"/>
              <w:right w:val="single" w:sz="8" w:color="auto"/>
            </w:tcBorders>
            <w:shd w:val="clear" w:color="auto" w:fill="E5FF61"/>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640" w:type="dxa"/>
            <w:vAlign w:val="bottom"/>
            <w:tcBorders>
              <w:top w:val="single" w:sz="8" w:color="auto"/>
              <w:left w:val="single" w:sz="8" w:color="auto"/>
              <w:bottom w:val="single" w:sz="8" w:color="auto"/>
            </w:tcBorders>
          </w:tcPr>
          <w:p>
            <w:pPr>
              <w:ind w:left="80"/>
              <w:spacing w:after="0" w:line="237" w:lineRule="exact"/>
              <w:rPr>
                <w:sz w:val="20"/>
                <w:szCs w:val="20"/>
                <w:color w:val="auto"/>
              </w:rPr>
            </w:pPr>
            <w:r>
              <w:rPr>
                <w:rFonts w:ascii="Calibri" w:cs="Calibri" w:eastAsia="Calibri" w:hAnsi="Calibri"/>
                <w:sz w:val="16"/>
                <w:szCs w:val="16"/>
                <w:b w:val="1"/>
                <w:bCs w:val="1"/>
                <w:color w:val="auto"/>
              </w:rPr>
              <w:t>Gavin Michael</w:t>
            </w:r>
            <w:r>
              <w:rPr>
                <w:rFonts w:ascii="Calibri" w:cs="Calibri" w:eastAsia="Calibri" w:hAnsi="Calibri"/>
                <w:sz w:val="21"/>
                <w:szCs w:val="21"/>
                <w:b w:val="1"/>
                <w:bCs w:val="1"/>
                <w:color w:val="auto"/>
                <w:vertAlign w:val="superscript"/>
              </w:rPr>
              <w:t>(5)</w:t>
            </w:r>
          </w:p>
        </w:tc>
        <w:tc>
          <w:tcPr>
            <w:tcW w:w="1300" w:type="dxa"/>
            <w:vAlign w:val="bottom"/>
            <w:tcBorders>
              <w:top w:val="single" w:sz="8" w:color="auto"/>
              <w:bottom w:val="single" w:sz="8" w:color="auto"/>
            </w:tcBorders>
          </w:tcPr>
          <w:p>
            <w:pPr>
              <w:ind w:left="60"/>
              <w:spacing w:after="0" w:line="193" w:lineRule="exact"/>
              <w:rPr>
                <w:sz w:val="20"/>
                <w:szCs w:val="20"/>
                <w:color w:val="auto"/>
              </w:rPr>
            </w:pPr>
            <w:r>
              <w:rPr>
                <w:rFonts w:ascii="Calibri" w:cs="Calibri" w:eastAsia="Calibri" w:hAnsi="Calibri"/>
                <w:sz w:val="16"/>
                <w:szCs w:val="16"/>
                <w:color w:val="auto"/>
              </w:rPr>
              <w:t>2,886,210</w:t>
            </w:r>
          </w:p>
        </w:tc>
        <w:tc>
          <w:tcPr>
            <w:tcW w:w="1300" w:type="dxa"/>
            <w:vAlign w:val="bottom"/>
            <w:tcBorders>
              <w:top w:val="single" w:sz="8" w:color="auto"/>
              <w:bottom w:val="single" w:sz="8" w:color="auto"/>
            </w:tcBorders>
          </w:tcPr>
          <w:p>
            <w:pPr>
              <w:ind w:left="100"/>
              <w:spacing w:after="0" w:line="193" w:lineRule="exact"/>
              <w:rPr>
                <w:sz w:val="20"/>
                <w:szCs w:val="20"/>
                <w:color w:val="auto"/>
              </w:rPr>
            </w:pPr>
            <w:r>
              <w:rPr>
                <w:rFonts w:ascii="Calibri" w:cs="Calibri" w:eastAsia="Calibri" w:hAnsi="Calibri"/>
                <w:sz w:val="16"/>
                <w:szCs w:val="16"/>
                <w:color w:val="auto"/>
              </w:rPr>
              <w:t>2.02%</w:t>
            </w:r>
          </w:p>
        </w:tc>
        <w:tc>
          <w:tcPr>
            <w:tcW w:w="1520" w:type="dxa"/>
            <w:vAlign w:val="bottom"/>
            <w:tcBorders>
              <w:top w:val="single" w:sz="8" w:color="auto"/>
              <w:bottom w:val="single" w:sz="8" w:color="auto"/>
            </w:tcBorders>
          </w:tcPr>
          <w:p>
            <w:pPr>
              <w:ind w:left="120"/>
              <w:spacing w:after="0" w:line="193" w:lineRule="exact"/>
              <w:rPr>
                <w:sz w:val="20"/>
                <w:szCs w:val="20"/>
                <w:color w:val="auto"/>
              </w:rPr>
            </w:pPr>
            <w:r>
              <w:rPr>
                <w:rFonts w:ascii="Calibri" w:cs="Calibri" w:eastAsia="Calibri" w:hAnsi="Calibri"/>
                <w:sz w:val="16"/>
                <w:szCs w:val="16"/>
                <w:color w:val="auto"/>
              </w:rPr>
              <w:t>—</w:t>
            </w:r>
          </w:p>
        </w:tc>
        <w:tc>
          <w:tcPr>
            <w:tcW w:w="1160" w:type="dxa"/>
            <w:vAlign w:val="bottom"/>
            <w:tcBorders>
              <w:top w:val="single" w:sz="8" w:color="auto"/>
              <w:bottom w:val="single" w:sz="8" w:color="auto"/>
            </w:tcBorders>
          </w:tcPr>
          <w:p>
            <w:pPr>
              <w:ind w:left="140"/>
              <w:spacing w:after="0" w:line="193" w:lineRule="exact"/>
              <w:rPr>
                <w:sz w:val="20"/>
                <w:szCs w:val="20"/>
                <w:color w:val="auto"/>
              </w:rPr>
            </w:pPr>
            <w:r>
              <w:rPr>
                <w:rFonts w:ascii="Calibri" w:cs="Calibri" w:eastAsia="Calibri" w:hAnsi="Calibri"/>
                <w:sz w:val="16"/>
                <w:szCs w:val="16"/>
                <w:color w:val="auto"/>
              </w:rPr>
              <w:t>—</w:t>
            </w:r>
          </w:p>
        </w:tc>
        <w:tc>
          <w:tcPr>
            <w:tcW w:w="2000" w:type="dxa"/>
            <w:vAlign w:val="bottom"/>
            <w:tcBorders>
              <w:top w:val="single" w:sz="8" w:color="auto"/>
              <w:bottom w:val="single" w:sz="8" w:color="auto"/>
            </w:tcBorders>
          </w:tcPr>
          <w:p>
            <w:pPr>
              <w:jc w:val="right"/>
              <w:spacing w:after="0" w:line="193" w:lineRule="exact"/>
              <w:rPr>
                <w:sz w:val="20"/>
                <w:szCs w:val="20"/>
                <w:color w:val="auto"/>
              </w:rPr>
            </w:pPr>
            <w:r>
              <w:rPr>
                <w:rFonts w:ascii="Calibri" w:cs="Calibri" w:eastAsia="Calibri" w:hAnsi="Calibri"/>
                <w:sz w:val="16"/>
                <w:szCs w:val="16"/>
                <w:color w:val="auto"/>
              </w:rPr>
              <w:t>2,886,210</w:t>
            </w:r>
          </w:p>
        </w:tc>
        <w:tc>
          <w:tcPr>
            <w:tcW w:w="1340" w:type="dxa"/>
            <w:vAlign w:val="bottom"/>
            <w:tcBorders>
              <w:top w:val="single" w:sz="8" w:color="auto"/>
              <w:bottom w:val="single" w:sz="8" w:color="auto"/>
              <w:right w:val="single" w:sz="8" w:color="auto"/>
            </w:tcBorders>
          </w:tcPr>
          <w:p>
            <w:pPr>
              <w:ind w:left="60"/>
              <w:spacing w:after="0" w:line="193" w:lineRule="exact"/>
              <w:rPr>
                <w:sz w:val="20"/>
                <w:szCs w:val="20"/>
                <w:color w:val="auto"/>
              </w:rPr>
            </w:pPr>
            <w:r>
              <w:rPr>
                <w:rFonts w:ascii="Calibri" w:cs="Calibri" w:eastAsia="Calibri" w:hAnsi="Calibri"/>
                <w:sz w:val="16"/>
                <w:szCs w:val="16"/>
                <w:color w:val="auto"/>
              </w:rPr>
              <w:t>*</w:t>
            </w:r>
          </w:p>
        </w:tc>
        <w:tc>
          <w:tcPr>
            <w:tcW w:w="0" w:type="dxa"/>
            <w:vAlign w:val="bottom"/>
          </w:tcPr>
          <w:p>
            <w:pPr>
              <w:spacing w:after="0"/>
              <w:rPr>
                <w:sz w:val="1"/>
                <w:szCs w:val="1"/>
                <w:color w:val="auto"/>
              </w:rPr>
            </w:pPr>
          </w:p>
        </w:tc>
      </w:tr>
      <w:tr>
        <w:trPr>
          <w:trHeight w:val="196"/>
        </w:trPr>
        <w:tc>
          <w:tcPr>
            <w:tcW w:w="2640" w:type="dxa"/>
            <w:vAlign w:val="bottom"/>
            <w:tcBorders>
              <w:left w:val="single" w:sz="8" w:color="auto"/>
            </w:tcBorders>
          </w:tcPr>
          <w:p>
            <w:pPr>
              <w:ind w:left="80"/>
              <w:spacing w:after="0"/>
              <w:rPr>
                <w:sz w:val="20"/>
                <w:szCs w:val="20"/>
                <w:color w:val="auto"/>
              </w:rPr>
            </w:pPr>
            <w:r>
              <w:rPr>
                <w:rFonts w:ascii="Calibri" w:cs="Calibri" w:eastAsia="Calibri" w:hAnsi="Calibri"/>
                <w:sz w:val="16"/>
                <w:szCs w:val="16"/>
                <w:b w:val="1"/>
                <w:bCs w:val="1"/>
                <w:color w:val="auto"/>
              </w:rPr>
              <w:t>Karen Alexander</w:t>
            </w:r>
          </w:p>
        </w:tc>
        <w:tc>
          <w:tcPr>
            <w:tcW w:w="1300" w:type="dxa"/>
            <w:vAlign w:val="bottom"/>
          </w:tcPr>
          <w:p>
            <w:pPr>
              <w:ind w:left="60"/>
              <w:spacing w:after="0" w:line="193" w:lineRule="exact"/>
              <w:rPr>
                <w:sz w:val="20"/>
                <w:szCs w:val="20"/>
                <w:color w:val="auto"/>
              </w:rPr>
            </w:pPr>
            <w:r>
              <w:rPr>
                <w:rFonts w:ascii="Calibri" w:cs="Calibri" w:eastAsia="Calibri" w:hAnsi="Calibri"/>
                <w:sz w:val="16"/>
                <w:szCs w:val="16"/>
                <w:color w:val="auto"/>
              </w:rPr>
              <w:t>136,970</w:t>
            </w:r>
          </w:p>
        </w:tc>
        <w:tc>
          <w:tcPr>
            <w:tcW w:w="1300" w:type="dxa"/>
            <w:vAlign w:val="bottom"/>
          </w:tcPr>
          <w:p>
            <w:pPr>
              <w:ind w:left="100"/>
              <w:spacing w:after="0" w:line="193" w:lineRule="exact"/>
              <w:rPr>
                <w:sz w:val="20"/>
                <w:szCs w:val="20"/>
                <w:color w:val="auto"/>
              </w:rPr>
            </w:pPr>
            <w:r>
              <w:rPr>
                <w:rFonts w:ascii="Calibri" w:cs="Calibri" w:eastAsia="Calibri" w:hAnsi="Calibri"/>
                <w:sz w:val="16"/>
                <w:szCs w:val="16"/>
                <w:color w:val="auto"/>
              </w:rPr>
              <w:t>*</w:t>
            </w:r>
          </w:p>
        </w:tc>
        <w:tc>
          <w:tcPr>
            <w:tcW w:w="1520" w:type="dxa"/>
            <w:vAlign w:val="bottom"/>
          </w:tcPr>
          <w:p>
            <w:pPr>
              <w:ind w:left="120"/>
              <w:spacing w:after="0" w:line="193" w:lineRule="exact"/>
              <w:rPr>
                <w:sz w:val="20"/>
                <w:szCs w:val="20"/>
                <w:color w:val="auto"/>
              </w:rPr>
            </w:pPr>
            <w:r>
              <w:rPr>
                <w:rFonts w:ascii="Calibri" w:cs="Calibri" w:eastAsia="Calibri" w:hAnsi="Calibri"/>
                <w:sz w:val="16"/>
                <w:szCs w:val="16"/>
                <w:color w:val="auto"/>
              </w:rPr>
              <w:t>—</w:t>
            </w:r>
          </w:p>
        </w:tc>
        <w:tc>
          <w:tcPr>
            <w:tcW w:w="1160" w:type="dxa"/>
            <w:vAlign w:val="bottom"/>
          </w:tcPr>
          <w:p>
            <w:pPr>
              <w:ind w:left="140"/>
              <w:spacing w:after="0" w:line="193" w:lineRule="exact"/>
              <w:rPr>
                <w:sz w:val="20"/>
                <w:szCs w:val="20"/>
                <w:color w:val="auto"/>
              </w:rPr>
            </w:pPr>
            <w:r>
              <w:rPr>
                <w:rFonts w:ascii="Calibri" w:cs="Calibri" w:eastAsia="Calibri" w:hAnsi="Calibri"/>
                <w:sz w:val="16"/>
                <w:szCs w:val="16"/>
                <w:color w:val="auto"/>
              </w:rPr>
              <w:t>—</w:t>
            </w:r>
          </w:p>
        </w:tc>
        <w:tc>
          <w:tcPr>
            <w:tcW w:w="2000" w:type="dxa"/>
            <w:vAlign w:val="bottom"/>
          </w:tcPr>
          <w:p>
            <w:pPr>
              <w:jc w:val="right"/>
              <w:spacing w:after="0" w:line="193" w:lineRule="exact"/>
              <w:rPr>
                <w:sz w:val="20"/>
                <w:szCs w:val="20"/>
                <w:color w:val="auto"/>
              </w:rPr>
            </w:pPr>
            <w:r>
              <w:rPr>
                <w:rFonts w:ascii="Calibri" w:cs="Calibri" w:eastAsia="Calibri" w:hAnsi="Calibri"/>
                <w:sz w:val="16"/>
                <w:szCs w:val="16"/>
                <w:color w:val="auto"/>
              </w:rPr>
              <w:t>136,970</w:t>
            </w:r>
          </w:p>
        </w:tc>
        <w:tc>
          <w:tcPr>
            <w:tcW w:w="1340" w:type="dxa"/>
            <w:vAlign w:val="bottom"/>
            <w:tcBorders>
              <w:right w:val="single" w:sz="8" w:color="auto"/>
            </w:tcBorders>
          </w:tcPr>
          <w:p>
            <w:pPr>
              <w:ind w:left="60"/>
              <w:spacing w:after="0" w:line="193" w:lineRule="exact"/>
              <w:rPr>
                <w:sz w:val="20"/>
                <w:szCs w:val="20"/>
                <w:color w:val="auto"/>
              </w:rPr>
            </w:pPr>
            <w:r>
              <w:rPr>
                <w:rFonts w:ascii="Calibri" w:cs="Calibri" w:eastAsia="Calibri" w:hAnsi="Calibri"/>
                <w:sz w:val="16"/>
                <w:szCs w:val="16"/>
                <w:color w:val="auto"/>
              </w:rPr>
              <w:t>*</w:t>
            </w:r>
          </w:p>
        </w:tc>
        <w:tc>
          <w:tcPr>
            <w:tcW w:w="0" w:type="dxa"/>
            <w:vAlign w:val="bottom"/>
          </w:tcPr>
          <w:p>
            <w:pPr>
              <w:spacing w:after="0"/>
              <w:rPr>
                <w:sz w:val="1"/>
                <w:szCs w:val="1"/>
                <w:color w:val="auto"/>
              </w:rPr>
            </w:pPr>
          </w:p>
        </w:tc>
      </w:tr>
      <w:tr>
        <w:trPr>
          <w:trHeight w:val="41"/>
        </w:trPr>
        <w:tc>
          <w:tcPr>
            <w:tcW w:w="2640" w:type="dxa"/>
            <w:vAlign w:val="bottom"/>
            <w:tcBorders>
              <w:left w:val="single" w:sz="8" w:color="auto"/>
              <w:bottom w:val="single" w:sz="8" w:color="auto"/>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c>
          <w:tcPr>
            <w:tcW w:w="152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2000" w:type="dxa"/>
            <w:vAlign w:val="bottom"/>
            <w:tcBorders>
              <w:bottom w:val="single" w:sz="8" w:color="auto"/>
            </w:tcBorders>
          </w:tcPr>
          <w:p>
            <w:pPr>
              <w:spacing w:after="0"/>
              <w:rPr>
                <w:sz w:val="3"/>
                <w:szCs w:val="3"/>
                <w:color w:val="auto"/>
              </w:rPr>
            </w:pPr>
          </w:p>
        </w:tc>
        <w:tc>
          <w:tcPr>
            <w:tcW w:w="134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7"/>
        </w:trPr>
        <w:tc>
          <w:tcPr>
            <w:tcW w:w="2640" w:type="dxa"/>
            <w:vAlign w:val="bottom"/>
            <w:tcBorders>
              <w:left w:val="single" w:sz="8" w:color="auto"/>
              <w:bottom w:val="single" w:sz="8" w:color="auto"/>
            </w:tcBorders>
          </w:tcPr>
          <w:p>
            <w:pPr>
              <w:ind w:left="80"/>
              <w:spacing w:after="0" w:line="237" w:lineRule="exact"/>
              <w:rPr>
                <w:sz w:val="20"/>
                <w:szCs w:val="20"/>
                <w:color w:val="auto"/>
              </w:rPr>
            </w:pPr>
            <w:r>
              <w:rPr>
                <w:rFonts w:ascii="Calibri" w:cs="Calibri" w:eastAsia="Calibri" w:hAnsi="Calibri"/>
                <w:sz w:val="16"/>
                <w:szCs w:val="16"/>
                <w:b w:val="1"/>
                <w:bCs w:val="1"/>
                <w:color w:val="auto"/>
              </w:rPr>
              <w:t>Marc D’Annunzio</w:t>
            </w:r>
            <w:r>
              <w:rPr>
                <w:rFonts w:ascii="Calibri" w:cs="Calibri" w:eastAsia="Calibri" w:hAnsi="Calibri"/>
                <w:sz w:val="21"/>
                <w:szCs w:val="21"/>
                <w:b w:val="1"/>
                <w:bCs w:val="1"/>
                <w:color w:val="auto"/>
                <w:vertAlign w:val="superscript"/>
              </w:rPr>
              <w:t>(6)</w:t>
            </w:r>
          </w:p>
        </w:tc>
        <w:tc>
          <w:tcPr>
            <w:tcW w:w="1300" w:type="dxa"/>
            <w:vAlign w:val="bottom"/>
            <w:tcBorders>
              <w:bottom w:val="single" w:sz="8" w:color="auto"/>
            </w:tcBorders>
          </w:tcPr>
          <w:p>
            <w:pPr>
              <w:ind w:left="60"/>
              <w:spacing w:after="0" w:line="193" w:lineRule="exact"/>
              <w:rPr>
                <w:sz w:val="20"/>
                <w:szCs w:val="20"/>
                <w:color w:val="auto"/>
              </w:rPr>
            </w:pPr>
            <w:r>
              <w:rPr>
                <w:rFonts w:ascii="Calibri" w:cs="Calibri" w:eastAsia="Calibri" w:hAnsi="Calibri"/>
                <w:sz w:val="16"/>
                <w:szCs w:val="16"/>
                <w:color w:val="auto"/>
              </w:rPr>
              <w:t>393,873</w:t>
            </w:r>
          </w:p>
        </w:tc>
        <w:tc>
          <w:tcPr>
            <w:tcW w:w="1300" w:type="dxa"/>
            <w:vAlign w:val="bottom"/>
            <w:tcBorders>
              <w:bottom w:val="single" w:sz="8" w:color="auto"/>
            </w:tcBorders>
          </w:tcPr>
          <w:p>
            <w:pPr>
              <w:ind w:left="100"/>
              <w:spacing w:after="0" w:line="193" w:lineRule="exact"/>
              <w:rPr>
                <w:sz w:val="20"/>
                <w:szCs w:val="20"/>
                <w:color w:val="auto"/>
              </w:rPr>
            </w:pPr>
            <w:r>
              <w:rPr>
                <w:rFonts w:ascii="Calibri" w:cs="Calibri" w:eastAsia="Calibri" w:hAnsi="Calibri"/>
                <w:sz w:val="16"/>
                <w:szCs w:val="16"/>
                <w:color w:val="auto"/>
              </w:rPr>
              <w:t>*</w:t>
            </w:r>
          </w:p>
        </w:tc>
        <w:tc>
          <w:tcPr>
            <w:tcW w:w="1520" w:type="dxa"/>
            <w:vAlign w:val="bottom"/>
            <w:tcBorders>
              <w:bottom w:val="single" w:sz="8" w:color="auto"/>
            </w:tcBorders>
          </w:tcPr>
          <w:p>
            <w:pPr>
              <w:ind w:left="120"/>
              <w:spacing w:after="0" w:line="193" w:lineRule="exact"/>
              <w:rPr>
                <w:sz w:val="20"/>
                <w:szCs w:val="20"/>
                <w:color w:val="auto"/>
              </w:rPr>
            </w:pPr>
            <w:r>
              <w:rPr>
                <w:rFonts w:ascii="Calibri" w:cs="Calibri" w:eastAsia="Calibri" w:hAnsi="Calibri"/>
                <w:sz w:val="16"/>
                <w:szCs w:val="16"/>
                <w:color w:val="auto"/>
              </w:rPr>
              <w:t>1,204,712</w:t>
            </w:r>
          </w:p>
        </w:tc>
        <w:tc>
          <w:tcPr>
            <w:tcW w:w="1160" w:type="dxa"/>
            <w:vAlign w:val="bottom"/>
            <w:tcBorders>
              <w:bottom w:val="single" w:sz="8" w:color="auto"/>
            </w:tcBorders>
          </w:tcPr>
          <w:p>
            <w:pPr>
              <w:ind w:left="140"/>
              <w:spacing w:after="0" w:line="193" w:lineRule="exact"/>
              <w:rPr>
                <w:sz w:val="20"/>
                <w:szCs w:val="20"/>
                <w:color w:val="auto"/>
              </w:rPr>
            </w:pPr>
            <w:r>
              <w:rPr>
                <w:rFonts w:ascii="Calibri" w:cs="Calibri" w:eastAsia="Calibri" w:hAnsi="Calibri"/>
                <w:sz w:val="16"/>
                <w:szCs w:val="16"/>
                <w:color w:val="auto"/>
              </w:rPr>
              <w:t>*</w:t>
            </w:r>
          </w:p>
        </w:tc>
        <w:tc>
          <w:tcPr>
            <w:tcW w:w="2000" w:type="dxa"/>
            <w:vAlign w:val="bottom"/>
            <w:tcBorders>
              <w:bottom w:val="single" w:sz="8" w:color="auto"/>
            </w:tcBorders>
          </w:tcPr>
          <w:p>
            <w:pPr>
              <w:jc w:val="right"/>
              <w:spacing w:after="0" w:line="193" w:lineRule="exact"/>
              <w:rPr>
                <w:sz w:val="20"/>
                <w:szCs w:val="20"/>
                <w:color w:val="auto"/>
              </w:rPr>
            </w:pPr>
            <w:r>
              <w:rPr>
                <w:rFonts w:ascii="Calibri" w:cs="Calibri" w:eastAsia="Calibri" w:hAnsi="Calibri"/>
                <w:sz w:val="16"/>
                <w:szCs w:val="16"/>
                <w:color w:val="auto"/>
              </w:rPr>
              <w:t>1,598,585</w:t>
            </w:r>
          </w:p>
        </w:tc>
        <w:tc>
          <w:tcPr>
            <w:tcW w:w="1340" w:type="dxa"/>
            <w:vAlign w:val="bottom"/>
            <w:tcBorders>
              <w:bottom w:val="single" w:sz="8" w:color="auto"/>
              <w:right w:val="single" w:sz="8" w:color="auto"/>
            </w:tcBorders>
          </w:tcPr>
          <w:p>
            <w:pPr>
              <w:ind w:left="60"/>
              <w:spacing w:after="0" w:line="193" w:lineRule="exact"/>
              <w:rPr>
                <w:sz w:val="20"/>
                <w:szCs w:val="20"/>
                <w:color w:val="auto"/>
              </w:rPr>
            </w:pPr>
            <w:r>
              <w:rPr>
                <w:rFonts w:ascii="Calibri" w:cs="Calibri" w:eastAsia="Calibri" w:hAnsi="Calibri"/>
                <w:sz w:val="16"/>
                <w:szCs w:val="16"/>
                <w:color w:val="auto"/>
              </w:rPr>
              <w:t>*</w:t>
            </w:r>
          </w:p>
        </w:tc>
        <w:tc>
          <w:tcPr>
            <w:tcW w:w="0" w:type="dxa"/>
            <w:vAlign w:val="bottom"/>
          </w:tcPr>
          <w:p>
            <w:pPr>
              <w:spacing w:after="0"/>
              <w:rPr>
                <w:sz w:val="1"/>
                <w:szCs w:val="1"/>
                <w:color w:val="auto"/>
              </w:rPr>
            </w:pPr>
          </w:p>
        </w:tc>
      </w:tr>
      <w:tr>
        <w:trPr>
          <w:trHeight w:val="195"/>
        </w:trPr>
        <w:tc>
          <w:tcPr>
            <w:tcW w:w="2640" w:type="dxa"/>
            <w:vAlign w:val="bottom"/>
            <w:tcBorders>
              <w:left w:val="single" w:sz="8" w:color="auto"/>
            </w:tcBorders>
          </w:tcPr>
          <w:p>
            <w:pPr>
              <w:ind w:left="80"/>
              <w:spacing w:after="0"/>
              <w:rPr>
                <w:sz w:val="20"/>
                <w:szCs w:val="20"/>
                <w:color w:val="auto"/>
              </w:rPr>
            </w:pPr>
            <w:r>
              <w:rPr>
                <w:rFonts w:ascii="Calibri" w:cs="Calibri" w:eastAsia="Calibri" w:hAnsi="Calibri"/>
                <w:sz w:val="16"/>
                <w:szCs w:val="16"/>
                <w:b w:val="1"/>
                <w:bCs w:val="1"/>
                <w:color w:val="auto"/>
              </w:rPr>
              <w:t>De’Ana Dow</w:t>
            </w:r>
          </w:p>
        </w:tc>
        <w:tc>
          <w:tcPr>
            <w:tcW w:w="1300" w:type="dxa"/>
            <w:vAlign w:val="bottom"/>
          </w:tcPr>
          <w:p>
            <w:pPr>
              <w:ind w:left="60"/>
              <w:spacing w:after="0" w:line="193" w:lineRule="exact"/>
              <w:rPr>
                <w:sz w:val="20"/>
                <w:szCs w:val="20"/>
                <w:color w:val="auto"/>
              </w:rPr>
            </w:pPr>
            <w:r>
              <w:rPr>
                <w:rFonts w:ascii="Calibri" w:cs="Calibri" w:eastAsia="Calibri" w:hAnsi="Calibri"/>
                <w:sz w:val="16"/>
                <w:szCs w:val="16"/>
                <w:color w:val="auto"/>
              </w:rPr>
              <w:t>194,320</w:t>
            </w:r>
          </w:p>
        </w:tc>
        <w:tc>
          <w:tcPr>
            <w:tcW w:w="1300" w:type="dxa"/>
            <w:vAlign w:val="bottom"/>
          </w:tcPr>
          <w:p>
            <w:pPr>
              <w:ind w:left="100"/>
              <w:spacing w:after="0" w:line="193" w:lineRule="exact"/>
              <w:rPr>
                <w:sz w:val="20"/>
                <w:szCs w:val="20"/>
                <w:color w:val="auto"/>
              </w:rPr>
            </w:pPr>
            <w:r>
              <w:rPr>
                <w:rFonts w:ascii="Calibri" w:cs="Calibri" w:eastAsia="Calibri" w:hAnsi="Calibri"/>
                <w:sz w:val="16"/>
                <w:szCs w:val="16"/>
                <w:color w:val="auto"/>
              </w:rPr>
              <w:t>*</w:t>
            </w:r>
          </w:p>
        </w:tc>
        <w:tc>
          <w:tcPr>
            <w:tcW w:w="1520" w:type="dxa"/>
            <w:vAlign w:val="bottom"/>
          </w:tcPr>
          <w:p>
            <w:pPr>
              <w:ind w:left="120"/>
              <w:spacing w:after="0" w:line="193" w:lineRule="exact"/>
              <w:rPr>
                <w:sz w:val="20"/>
                <w:szCs w:val="20"/>
                <w:color w:val="auto"/>
              </w:rPr>
            </w:pPr>
            <w:r>
              <w:rPr>
                <w:rFonts w:ascii="Calibri" w:cs="Calibri" w:eastAsia="Calibri" w:hAnsi="Calibri"/>
                <w:sz w:val="16"/>
                <w:szCs w:val="16"/>
                <w:color w:val="auto"/>
              </w:rPr>
              <w:t>—</w:t>
            </w:r>
          </w:p>
        </w:tc>
        <w:tc>
          <w:tcPr>
            <w:tcW w:w="1160" w:type="dxa"/>
            <w:vAlign w:val="bottom"/>
          </w:tcPr>
          <w:p>
            <w:pPr>
              <w:ind w:left="140"/>
              <w:spacing w:after="0" w:line="193" w:lineRule="exact"/>
              <w:rPr>
                <w:sz w:val="20"/>
                <w:szCs w:val="20"/>
                <w:color w:val="auto"/>
              </w:rPr>
            </w:pPr>
            <w:r>
              <w:rPr>
                <w:rFonts w:ascii="Calibri" w:cs="Calibri" w:eastAsia="Calibri" w:hAnsi="Calibri"/>
                <w:sz w:val="16"/>
                <w:szCs w:val="16"/>
                <w:color w:val="auto"/>
              </w:rPr>
              <w:t>—</w:t>
            </w:r>
          </w:p>
        </w:tc>
        <w:tc>
          <w:tcPr>
            <w:tcW w:w="2000" w:type="dxa"/>
            <w:vAlign w:val="bottom"/>
          </w:tcPr>
          <w:p>
            <w:pPr>
              <w:jc w:val="right"/>
              <w:spacing w:after="0" w:line="193" w:lineRule="exact"/>
              <w:rPr>
                <w:sz w:val="20"/>
                <w:szCs w:val="20"/>
                <w:color w:val="auto"/>
              </w:rPr>
            </w:pPr>
            <w:r>
              <w:rPr>
                <w:rFonts w:ascii="Calibri" w:cs="Calibri" w:eastAsia="Calibri" w:hAnsi="Calibri"/>
                <w:sz w:val="16"/>
                <w:szCs w:val="16"/>
                <w:color w:val="auto"/>
              </w:rPr>
              <w:t>194,320</w:t>
            </w:r>
          </w:p>
        </w:tc>
        <w:tc>
          <w:tcPr>
            <w:tcW w:w="1340" w:type="dxa"/>
            <w:vAlign w:val="bottom"/>
            <w:tcBorders>
              <w:right w:val="single" w:sz="8" w:color="auto"/>
            </w:tcBorders>
          </w:tcPr>
          <w:p>
            <w:pPr>
              <w:ind w:left="60"/>
              <w:spacing w:after="0" w:line="193" w:lineRule="exact"/>
              <w:rPr>
                <w:sz w:val="20"/>
                <w:szCs w:val="20"/>
                <w:color w:val="auto"/>
              </w:rPr>
            </w:pPr>
            <w:r>
              <w:rPr>
                <w:rFonts w:ascii="Calibri" w:cs="Calibri" w:eastAsia="Calibri" w:hAnsi="Calibri"/>
                <w:sz w:val="16"/>
                <w:szCs w:val="16"/>
                <w:color w:val="auto"/>
              </w:rPr>
              <w:t>*</w:t>
            </w:r>
          </w:p>
        </w:tc>
        <w:tc>
          <w:tcPr>
            <w:tcW w:w="0" w:type="dxa"/>
            <w:vAlign w:val="bottom"/>
          </w:tcPr>
          <w:p>
            <w:pPr>
              <w:spacing w:after="0"/>
              <w:rPr>
                <w:sz w:val="1"/>
                <w:szCs w:val="1"/>
                <w:color w:val="auto"/>
              </w:rPr>
            </w:pPr>
          </w:p>
        </w:tc>
      </w:tr>
      <w:tr>
        <w:trPr>
          <w:trHeight w:val="41"/>
        </w:trPr>
        <w:tc>
          <w:tcPr>
            <w:tcW w:w="2640" w:type="dxa"/>
            <w:vAlign w:val="bottom"/>
            <w:tcBorders>
              <w:left w:val="single" w:sz="8" w:color="auto"/>
              <w:bottom w:val="single" w:sz="8" w:color="auto"/>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c>
          <w:tcPr>
            <w:tcW w:w="152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2000" w:type="dxa"/>
            <w:vAlign w:val="bottom"/>
            <w:tcBorders>
              <w:bottom w:val="single" w:sz="8" w:color="auto"/>
            </w:tcBorders>
          </w:tcPr>
          <w:p>
            <w:pPr>
              <w:spacing w:after="0"/>
              <w:rPr>
                <w:sz w:val="3"/>
                <w:szCs w:val="3"/>
                <w:color w:val="auto"/>
              </w:rPr>
            </w:pPr>
          </w:p>
        </w:tc>
        <w:tc>
          <w:tcPr>
            <w:tcW w:w="134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95"/>
        </w:trPr>
        <w:tc>
          <w:tcPr>
            <w:tcW w:w="2640" w:type="dxa"/>
            <w:vAlign w:val="bottom"/>
            <w:tcBorders>
              <w:left w:val="single" w:sz="8" w:color="auto"/>
            </w:tcBorders>
          </w:tcPr>
          <w:p>
            <w:pPr>
              <w:ind w:left="80"/>
              <w:spacing w:after="0"/>
              <w:rPr>
                <w:sz w:val="20"/>
                <w:szCs w:val="20"/>
                <w:color w:val="auto"/>
              </w:rPr>
            </w:pPr>
            <w:r>
              <w:rPr>
                <w:rFonts w:ascii="Calibri" w:cs="Calibri" w:eastAsia="Calibri" w:hAnsi="Calibri"/>
                <w:sz w:val="16"/>
                <w:szCs w:val="16"/>
                <w:b w:val="1"/>
                <w:bCs w:val="1"/>
                <w:color w:val="auto"/>
              </w:rPr>
              <w:t>Michelle J. Goldberg</w:t>
            </w:r>
          </w:p>
        </w:tc>
        <w:tc>
          <w:tcPr>
            <w:tcW w:w="1300" w:type="dxa"/>
            <w:vAlign w:val="bottom"/>
          </w:tcPr>
          <w:p>
            <w:pPr>
              <w:ind w:left="60"/>
              <w:spacing w:after="0" w:line="193" w:lineRule="exact"/>
              <w:rPr>
                <w:sz w:val="20"/>
                <w:szCs w:val="20"/>
                <w:color w:val="auto"/>
              </w:rPr>
            </w:pPr>
            <w:r>
              <w:rPr>
                <w:rFonts w:ascii="Calibri" w:cs="Calibri" w:eastAsia="Calibri" w:hAnsi="Calibri"/>
                <w:sz w:val="16"/>
                <w:szCs w:val="16"/>
                <w:color w:val="auto"/>
              </w:rPr>
              <w:t>99,686</w:t>
            </w:r>
          </w:p>
        </w:tc>
        <w:tc>
          <w:tcPr>
            <w:tcW w:w="1300" w:type="dxa"/>
            <w:vAlign w:val="bottom"/>
          </w:tcPr>
          <w:p>
            <w:pPr>
              <w:ind w:left="100"/>
              <w:spacing w:after="0" w:line="193" w:lineRule="exact"/>
              <w:rPr>
                <w:sz w:val="20"/>
                <w:szCs w:val="20"/>
                <w:color w:val="auto"/>
              </w:rPr>
            </w:pPr>
            <w:r>
              <w:rPr>
                <w:rFonts w:ascii="Calibri" w:cs="Calibri" w:eastAsia="Calibri" w:hAnsi="Calibri"/>
                <w:sz w:val="16"/>
                <w:szCs w:val="16"/>
                <w:color w:val="auto"/>
              </w:rPr>
              <w:t>*</w:t>
            </w:r>
          </w:p>
        </w:tc>
        <w:tc>
          <w:tcPr>
            <w:tcW w:w="1520" w:type="dxa"/>
            <w:vAlign w:val="bottom"/>
          </w:tcPr>
          <w:p>
            <w:pPr>
              <w:ind w:left="120"/>
              <w:spacing w:after="0" w:line="193" w:lineRule="exact"/>
              <w:rPr>
                <w:sz w:val="20"/>
                <w:szCs w:val="20"/>
                <w:color w:val="auto"/>
              </w:rPr>
            </w:pPr>
            <w:r>
              <w:rPr>
                <w:rFonts w:ascii="Calibri" w:cs="Calibri" w:eastAsia="Calibri" w:hAnsi="Calibri"/>
                <w:sz w:val="16"/>
                <w:szCs w:val="16"/>
                <w:color w:val="auto"/>
              </w:rPr>
              <w:t>—</w:t>
            </w:r>
          </w:p>
        </w:tc>
        <w:tc>
          <w:tcPr>
            <w:tcW w:w="1160" w:type="dxa"/>
            <w:vAlign w:val="bottom"/>
          </w:tcPr>
          <w:p>
            <w:pPr>
              <w:ind w:left="140"/>
              <w:spacing w:after="0" w:line="193" w:lineRule="exact"/>
              <w:rPr>
                <w:sz w:val="20"/>
                <w:szCs w:val="20"/>
                <w:color w:val="auto"/>
              </w:rPr>
            </w:pPr>
            <w:r>
              <w:rPr>
                <w:rFonts w:ascii="Calibri" w:cs="Calibri" w:eastAsia="Calibri" w:hAnsi="Calibri"/>
                <w:sz w:val="16"/>
                <w:szCs w:val="16"/>
                <w:color w:val="auto"/>
              </w:rPr>
              <w:t>—</w:t>
            </w:r>
          </w:p>
        </w:tc>
        <w:tc>
          <w:tcPr>
            <w:tcW w:w="2000" w:type="dxa"/>
            <w:vAlign w:val="bottom"/>
          </w:tcPr>
          <w:p>
            <w:pPr>
              <w:jc w:val="right"/>
              <w:spacing w:after="0" w:line="193" w:lineRule="exact"/>
              <w:rPr>
                <w:sz w:val="20"/>
                <w:szCs w:val="20"/>
                <w:color w:val="auto"/>
              </w:rPr>
            </w:pPr>
            <w:r>
              <w:rPr>
                <w:rFonts w:ascii="Calibri" w:cs="Calibri" w:eastAsia="Calibri" w:hAnsi="Calibri"/>
                <w:sz w:val="16"/>
                <w:szCs w:val="16"/>
                <w:color w:val="auto"/>
              </w:rPr>
              <w:t>99,686</w:t>
            </w:r>
          </w:p>
        </w:tc>
        <w:tc>
          <w:tcPr>
            <w:tcW w:w="1340" w:type="dxa"/>
            <w:vAlign w:val="bottom"/>
            <w:tcBorders>
              <w:right w:val="single" w:sz="8" w:color="auto"/>
            </w:tcBorders>
          </w:tcPr>
          <w:p>
            <w:pPr>
              <w:ind w:left="60"/>
              <w:spacing w:after="0" w:line="193" w:lineRule="exact"/>
              <w:rPr>
                <w:sz w:val="20"/>
                <w:szCs w:val="20"/>
                <w:color w:val="auto"/>
              </w:rPr>
            </w:pPr>
            <w:r>
              <w:rPr>
                <w:rFonts w:ascii="Calibri" w:cs="Calibri" w:eastAsia="Calibri" w:hAnsi="Calibri"/>
                <w:sz w:val="16"/>
                <w:szCs w:val="16"/>
                <w:color w:val="auto"/>
              </w:rPr>
              <w:t>*</w:t>
            </w:r>
          </w:p>
        </w:tc>
        <w:tc>
          <w:tcPr>
            <w:tcW w:w="0" w:type="dxa"/>
            <w:vAlign w:val="bottom"/>
          </w:tcPr>
          <w:p>
            <w:pPr>
              <w:spacing w:after="0"/>
              <w:rPr>
                <w:sz w:val="1"/>
                <w:szCs w:val="1"/>
                <w:color w:val="auto"/>
              </w:rPr>
            </w:pPr>
          </w:p>
        </w:tc>
      </w:tr>
      <w:tr>
        <w:trPr>
          <w:trHeight w:val="41"/>
        </w:trPr>
        <w:tc>
          <w:tcPr>
            <w:tcW w:w="2640" w:type="dxa"/>
            <w:vAlign w:val="bottom"/>
            <w:tcBorders>
              <w:left w:val="single" w:sz="8" w:color="auto"/>
              <w:bottom w:val="single" w:sz="8" w:color="auto"/>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c>
          <w:tcPr>
            <w:tcW w:w="152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2000" w:type="dxa"/>
            <w:vAlign w:val="bottom"/>
            <w:tcBorders>
              <w:bottom w:val="single" w:sz="8" w:color="auto"/>
            </w:tcBorders>
          </w:tcPr>
          <w:p>
            <w:pPr>
              <w:spacing w:after="0"/>
              <w:rPr>
                <w:sz w:val="3"/>
                <w:szCs w:val="3"/>
                <w:color w:val="auto"/>
              </w:rPr>
            </w:pPr>
          </w:p>
        </w:tc>
        <w:tc>
          <w:tcPr>
            <w:tcW w:w="134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7"/>
        </w:trPr>
        <w:tc>
          <w:tcPr>
            <w:tcW w:w="2640" w:type="dxa"/>
            <w:vAlign w:val="bottom"/>
            <w:tcBorders>
              <w:left w:val="single" w:sz="8" w:color="auto"/>
              <w:bottom w:val="single" w:sz="8" w:color="auto"/>
            </w:tcBorders>
          </w:tcPr>
          <w:p>
            <w:pPr>
              <w:ind w:left="80"/>
              <w:spacing w:after="0" w:line="237" w:lineRule="exact"/>
              <w:rPr>
                <w:sz w:val="20"/>
                <w:szCs w:val="20"/>
                <w:color w:val="auto"/>
              </w:rPr>
            </w:pPr>
            <w:r>
              <w:rPr>
                <w:rFonts w:ascii="Calibri" w:cs="Calibri" w:eastAsia="Calibri" w:hAnsi="Calibri"/>
                <w:sz w:val="16"/>
                <w:szCs w:val="16"/>
                <w:b w:val="1"/>
                <w:bCs w:val="1"/>
                <w:color w:val="auto"/>
              </w:rPr>
              <w:t>David Clifon</w:t>
            </w:r>
            <w:r>
              <w:rPr>
                <w:rFonts w:ascii="Calibri" w:cs="Calibri" w:eastAsia="Calibri" w:hAnsi="Calibri"/>
                <w:sz w:val="21"/>
                <w:szCs w:val="21"/>
                <w:b w:val="1"/>
                <w:bCs w:val="1"/>
                <w:color w:val="auto"/>
                <w:vertAlign w:val="superscript"/>
              </w:rPr>
              <w:t>(6)</w:t>
            </w:r>
          </w:p>
        </w:tc>
        <w:tc>
          <w:tcPr>
            <w:tcW w:w="1300" w:type="dxa"/>
            <w:vAlign w:val="bottom"/>
            <w:tcBorders>
              <w:bottom w:val="single" w:sz="8" w:color="auto"/>
            </w:tcBorders>
          </w:tcPr>
          <w:p>
            <w:pPr>
              <w:ind w:left="60"/>
              <w:spacing w:after="0" w:line="193" w:lineRule="exact"/>
              <w:rPr>
                <w:sz w:val="20"/>
                <w:szCs w:val="20"/>
                <w:color w:val="auto"/>
              </w:rPr>
            </w:pPr>
            <w:r>
              <w:rPr>
                <w:rFonts w:ascii="Calibri" w:cs="Calibri" w:eastAsia="Calibri" w:hAnsi="Calibri"/>
                <w:sz w:val="16"/>
                <w:szCs w:val="16"/>
                <w:color w:val="auto"/>
              </w:rPr>
              <w:t>—</w:t>
            </w:r>
          </w:p>
        </w:tc>
        <w:tc>
          <w:tcPr>
            <w:tcW w:w="1300" w:type="dxa"/>
            <w:vAlign w:val="bottom"/>
            <w:tcBorders>
              <w:bottom w:val="single" w:sz="8" w:color="auto"/>
            </w:tcBorders>
          </w:tcPr>
          <w:p>
            <w:pPr>
              <w:ind w:left="100"/>
              <w:spacing w:after="0" w:line="193" w:lineRule="exact"/>
              <w:rPr>
                <w:sz w:val="20"/>
                <w:szCs w:val="20"/>
                <w:color w:val="auto"/>
              </w:rPr>
            </w:pPr>
            <w:r>
              <w:rPr>
                <w:rFonts w:ascii="Calibri" w:cs="Calibri" w:eastAsia="Calibri" w:hAnsi="Calibri"/>
                <w:sz w:val="16"/>
                <w:szCs w:val="16"/>
                <w:color w:val="auto"/>
              </w:rPr>
              <w:t>*</w:t>
            </w:r>
          </w:p>
        </w:tc>
        <w:tc>
          <w:tcPr>
            <w:tcW w:w="1520" w:type="dxa"/>
            <w:vAlign w:val="bottom"/>
            <w:tcBorders>
              <w:bottom w:val="single" w:sz="8" w:color="auto"/>
            </w:tcBorders>
          </w:tcPr>
          <w:p>
            <w:pPr>
              <w:ind w:left="120"/>
              <w:spacing w:after="0" w:line="193" w:lineRule="exact"/>
              <w:rPr>
                <w:sz w:val="20"/>
                <w:szCs w:val="20"/>
                <w:color w:val="auto"/>
              </w:rPr>
            </w:pPr>
            <w:r>
              <w:rPr>
                <w:rFonts w:ascii="Calibri" w:cs="Calibri" w:eastAsia="Calibri" w:hAnsi="Calibri"/>
                <w:sz w:val="16"/>
                <w:szCs w:val="16"/>
                <w:color w:val="auto"/>
              </w:rPr>
              <w:t>100,077</w:t>
            </w:r>
          </w:p>
        </w:tc>
        <w:tc>
          <w:tcPr>
            <w:tcW w:w="1160" w:type="dxa"/>
            <w:vAlign w:val="bottom"/>
            <w:tcBorders>
              <w:bottom w:val="single" w:sz="8" w:color="auto"/>
            </w:tcBorders>
          </w:tcPr>
          <w:p>
            <w:pPr>
              <w:ind w:left="140"/>
              <w:spacing w:after="0" w:line="193" w:lineRule="exact"/>
              <w:rPr>
                <w:sz w:val="20"/>
                <w:szCs w:val="20"/>
                <w:color w:val="auto"/>
              </w:rPr>
            </w:pPr>
            <w:r>
              <w:rPr>
                <w:rFonts w:ascii="Calibri" w:cs="Calibri" w:eastAsia="Calibri" w:hAnsi="Calibri"/>
                <w:sz w:val="16"/>
                <w:szCs w:val="16"/>
                <w:color w:val="auto"/>
              </w:rPr>
              <w:t>*</w:t>
            </w:r>
          </w:p>
        </w:tc>
        <w:tc>
          <w:tcPr>
            <w:tcW w:w="2000" w:type="dxa"/>
            <w:vAlign w:val="bottom"/>
            <w:tcBorders>
              <w:bottom w:val="single" w:sz="8" w:color="auto"/>
            </w:tcBorders>
          </w:tcPr>
          <w:p>
            <w:pPr>
              <w:jc w:val="right"/>
              <w:spacing w:after="0" w:line="193" w:lineRule="exact"/>
              <w:rPr>
                <w:sz w:val="20"/>
                <w:szCs w:val="20"/>
                <w:color w:val="auto"/>
              </w:rPr>
            </w:pPr>
            <w:r>
              <w:rPr>
                <w:rFonts w:ascii="Calibri" w:cs="Calibri" w:eastAsia="Calibri" w:hAnsi="Calibri"/>
                <w:sz w:val="16"/>
                <w:szCs w:val="16"/>
                <w:color w:val="auto"/>
              </w:rPr>
              <w:t>100,077</w:t>
            </w:r>
          </w:p>
        </w:tc>
        <w:tc>
          <w:tcPr>
            <w:tcW w:w="1340" w:type="dxa"/>
            <w:vAlign w:val="bottom"/>
            <w:tcBorders>
              <w:bottom w:val="single" w:sz="8" w:color="auto"/>
              <w:right w:val="single" w:sz="8" w:color="auto"/>
            </w:tcBorders>
          </w:tcPr>
          <w:p>
            <w:pPr>
              <w:ind w:left="60"/>
              <w:spacing w:after="0" w:line="193" w:lineRule="exact"/>
              <w:rPr>
                <w:sz w:val="20"/>
                <w:szCs w:val="20"/>
                <w:color w:val="auto"/>
              </w:rPr>
            </w:pPr>
            <w:r>
              <w:rPr>
                <w:rFonts w:ascii="Calibri" w:cs="Calibri" w:eastAsia="Calibri" w:hAnsi="Calibri"/>
                <w:sz w:val="16"/>
                <w:szCs w:val="16"/>
                <w:color w:val="auto"/>
              </w:rPr>
              <w:t>*</w:t>
            </w:r>
          </w:p>
        </w:tc>
        <w:tc>
          <w:tcPr>
            <w:tcW w:w="0" w:type="dxa"/>
            <w:vAlign w:val="bottom"/>
          </w:tcPr>
          <w:p>
            <w:pPr>
              <w:spacing w:after="0"/>
              <w:rPr>
                <w:sz w:val="1"/>
                <w:szCs w:val="1"/>
                <w:color w:val="auto"/>
              </w:rPr>
            </w:pPr>
          </w:p>
        </w:tc>
      </w:tr>
      <w:tr>
        <w:trPr>
          <w:trHeight w:val="196"/>
        </w:trPr>
        <w:tc>
          <w:tcPr>
            <w:tcW w:w="2640" w:type="dxa"/>
            <w:vAlign w:val="bottom"/>
            <w:tcBorders>
              <w:left w:val="single" w:sz="8" w:color="auto"/>
            </w:tcBorders>
          </w:tcPr>
          <w:p>
            <w:pPr>
              <w:ind w:left="80"/>
              <w:spacing w:after="0"/>
              <w:rPr>
                <w:sz w:val="20"/>
                <w:szCs w:val="20"/>
                <w:color w:val="auto"/>
              </w:rPr>
            </w:pPr>
            <w:r>
              <w:rPr>
                <w:rFonts w:ascii="Calibri" w:cs="Calibri" w:eastAsia="Calibri" w:hAnsi="Calibri"/>
                <w:sz w:val="16"/>
                <w:szCs w:val="16"/>
                <w:b w:val="1"/>
                <w:bCs w:val="1"/>
                <w:color w:val="auto"/>
              </w:rPr>
              <w:t>Gordon Watson</w:t>
            </w:r>
          </w:p>
        </w:tc>
        <w:tc>
          <w:tcPr>
            <w:tcW w:w="1300" w:type="dxa"/>
            <w:vAlign w:val="bottom"/>
          </w:tcPr>
          <w:p>
            <w:pPr>
              <w:ind w:left="60"/>
              <w:spacing w:after="0" w:line="193" w:lineRule="exact"/>
              <w:rPr>
                <w:sz w:val="20"/>
                <w:szCs w:val="20"/>
                <w:color w:val="auto"/>
              </w:rPr>
            </w:pPr>
            <w:r>
              <w:rPr>
                <w:rFonts w:ascii="Calibri" w:cs="Calibri" w:eastAsia="Calibri" w:hAnsi="Calibri"/>
                <w:sz w:val="16"/>
                <w:szCs w:val="16"/>
                <w:color w:val="auto"/>
              </w:rPr>
              <w:t>122,108</w:t>
            </w:r>
          </w:p>
        </w:tc>
        <w:tc>
          <w:tcPr>
            <w:tcW w:w="1300" w:type="dxa"/>
            <w:vAlign w:val="bottom"/>
          </w:tcPr>
          <w:p>
            <w:pPr>
              <w:ind w:left="100"/>
              <w:spacing w:after="0" w:line="193" w:lineRule="exact"/>
              <w:rPr>
                <w:sz w:val="20"/>
                <w:szCs w:val="20"/>
                <w:color w:val="auto"/>
              </w:rPr>
            </w:pPr>
            <w:r>
              <w:rPr>
                <w:rFonts w:ascii="Calibri" w:cs="Calibri" w:eastAsia="Calibri" w:hAnsi="Calibri"/>
                <w:sz w:val="16"/>
                <w:szCs w:val="16"/>
                <w:color w:val="auto"/>
              </w:rPr>
              <w:t>*</w:t>
            </w:r>
          </w:p>
        </w:tc>
        <w:tc>
          <w:tcPr>
            <w:tcW w:w="1520" w:type="dxa"/>
            <w:vAlign w:val="bottom"/>
          </w:tcPr>
          <w:p>
            <w:pPr>
              <w:ind w:left="120"/>
              <w:spacing w:after="0" w:line="193" w:lineRule="exact"/>
              <w:rPr>
                <w:sz w:val="20"/>
                <w:szCs w:val="20"/>
                <w:color w:val="auto"/>
              </w:rPr>
            </w:pPr>
            <w:r>
              <w:rPr>
                <w:rFonts w:ascii="Calibri" w:cs="Calibri" w:eastAsia="Calibri" w:hAnsi="Calibri"/>
                <w:sz w:val="16"/>
                <w:szCs w:val="16"/>
                <w:color w:val="auto"/>
              </w:rPr>
              <w:t>—</w:t>
            </w:r>
          </w:p>
        </w:tc>
        <w:tc>
          <w:tcPr>
            <w:tcW w:w="1160" w:type="dxa"/>
            <w:vAlign w:val="bottom"/>
          </w:tcPr>
          <w:p>
            <w:pPr>
              <w:ind w:left="140"/>
              <w:spacing w:after="0" w:line="193" w:lineRule="exact"/>
              <w:rPr>
                <w:sz w:val="20"/>
                <w:szCs w:val="20"/>
                <w:color w:val="auto"/>
              </w:rPr>
            </w:pPr>
            <w:r>
              <w:rPr>
                <w:rFonts w:ascii="Calibri" w:cs="Calibri" w:eastAsia="Calibri" w:hAnsi="Calibri"/>
                <w:sz w:val="16"/>
                <w:szCs w:val="16"/>
                <w:color w:val="auto"/>
              </w:rPr>
              <w:t>—</w:t>
            </w:r>
          </w:p>
        </w:tc>
        <w:tc>
          <w:tcPr>
            <w:tcW w:w="2000" w:type="dxa"/>
            <w:vAlign w:val="bottom"/>
          </w:tcPr>
          <w:p>
            <w:pPr>
              <w:jc w:val="right"/>
              <w:spacing w:after="0" w:line="193" w:lineRule="exact"/>
              <w:rPr>
                <w:sz w:val="20"/>
                <w:szCs w:val="20"/>
                <w:color w:val="auto"/>
              </w:rPr>
            </w:pPr>
            <w:r>
              <w:rPr>
                <w:rFonts w:ascii="Calibri" w:cs="Calibri" w:eastAsia="Calibri" w:hAnsi="Calibri"/>
                <w:sz w:val="16"/>
                <w:szCs w:val="16"/>
                <w:color w:val="auto"/>
              </w:rPr>
              <w:t>122,108</w:t>
            </w:r>
          </w:p>
        </w:tc>
        <w:tc>
          <w:tcPr>
            <w:tcW w:w="1340" w:type="dxa"/>
            <w:vAlign w:val="bottom"/>
            <w:tcBorders>
              <w:right w:val="single" w:sz="8" w:color="auto"/>
            </w:tcBorders>
          </w:tcPr>
          <w:p>
            <w:pPr>
              <w:ind w:left="60"/>
              <w:spacing w:after="0" w:line="193" w:lineRule="exact"/>
              <w:rPr>
                <w:sz w:val="20"/>
                <w:szCs w:val="20"/>
                <w:color w:val="auto"/>
              </w:rPr>
            </w:pPr>
            <w:r>
              <w:rPr>
                <w:rFonts w:ascii="Calibri" w:cs="Calibri" w:eastAsia="Calibri" w:hAnsi="Calibri"/>
                <w:sz w:val="16"/>
                <w:szCs w:val="16"/>
                <w:color w:val="auto"/>
              </w:rPr>
              <w:t>*</w:t>
            </w:r>
          </w:p>
        </w:tc>
        <w:tc>
          <w:tcPr>
            <w:tcW w:w="0" w:type="dxa"/>
            <w:vAlign w:val="bottom"/>
          </w:tcPr>
          <w:p>
            <w:pPr>
              <w:spacing w:after="0"/>
              <w:rPr>
                <w:sz w:val="1"/>
                <w:szCs w:val="1"/>
                <w:color w:val="auto"/>
              </w:rPr>
            </w:pPr>
          </w:p>
        </w:tc>
      </w:tr>
      <w:tr>
        <w:trPr>
          <w:trHeight w:val="41"/>
        </w:trPr>
        <w:tc>
          <w:tcPr>
            <w:tcW w:w="2640" w:type="dxa"/>
            <w:vAlign w:val="bottom"/>
            <w:tcBorders>
              <w:left w:val="single" w:sz="8" w:color="auto"/>
              <w:bottom w:val="single" w:sz="8" w:color="auto"/>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c>
          <w:tcPr>
            <w:tcW w:w="152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2000" w:type="dxa"/>
            <w:vAlign w:val="bottom"/>
            <w:tcBorders>
              <w:bottom w:val="single" w:sz="8" w:color="auto"/>
            </w:tcBorders>
          </w:tcPr>
          <w:p>
            <w:pPr>
              <w:spacing w:after="0"/>
              <w:rPr>
                <w:sz w:val="3"/>
                <w:szCs w:val="3"/>
                <w:color w:val="auto"/>
              </w:rPr>
            </w:pPr>
          </w:p>
        </w:tc>
        <w:tc>
          <w:tcPr>
            <w:tcW w:w="134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96"/>
        </w:trPr>
        <w:tc>
          <w:tcPr>
            <w:tcW w:w="2640" w:type="dxa"/>
            <w:vAlign w:val="bottom"/>
            <w:tcBorders>
              <w:left w:val="single" w:sz="8" w:color="auto"/>
            </w:tcBorders>
          </w:tcPr>
          <w:p>
            <w:pPr>
              <w:ind w:left="80"/>
              <w:spacing w:after="0"/>
              <w:rPr>
                <w:sz w:val="20"/>
                <w:szCs w:val="20"/>
                <w:color w:val="auto"/>
              </w:rPr>
            </w:pPr>
            <w:r>
              <w:rPr>
                <w:rFonts w:ascii="Calibri" w:cs="Calibri" w:eastAsia="Calibri" w:hAnsi="Calibri"/>
                <w:sz w:val="16"/>
                <w:szCs w:val="16"/>
                <w:b w:val="1"/>
                <w:bCs w:val="1"/>
                <w:color w:val="auto"/>
              </w:rPr>
              <w:t>Sean Collins</w:t>
            </w:r>
          </w:p>
        </w:tc>
        <w:tc>
          <w:tcPr>
            <w:tcW w:w="1300" w:type="dxa"/>
            <w:vAlign w:val="bottom"/>
          </w:tcPr>
          <w:p>
            <w:pPr>
              <w:ind w:left="60"/>
              <w:spacing w:after="0" w:line="193" w:lineRule="exact"/>
              <w:rPr>
                <w:sz w:val="20"/>
                <w:szCs w:val="20"/>
                <w:color w:val="auto"/>
              </w:rPr>
            </w:pPr>
            <w:r>
              <w:rPr>
                <w:rFonts w:ascii="Calibri" w:cs="Calibri" w:eastAsia="Calibri" w:hAnsi="Calibri"/>
                <w:sz w:val="16"/>
                <w:szCs w:val="16"/>
                <w:color w:val="auto"/>
              </w:rPr>
              <w:t>10,090</w:t>
            </w:r>
          </w:p>
        </w:tc>
        <w:tc>
          <w:tcPr>
            <w:tcW w:w="1300" w:type="dxa"/>
            <w:vAlign w:val="bottom"/>
          </w:tcPr>
          <w:p>
            <w:pPr>
              <w:ind w:left="100"/>
              <w:spacing w:after="0" w:line="193" w:lineRule="exact"/>
              <w:rPr>
                <w:sz w:val="20"/>
                <w:szCs w:val="20"/>
                <w:color w:val="auto"/>
              </w:rPr>
            </w:pPr>
            <w:r>
              <w:rPr>
                <w:rFonts w:ascii="Calibri" w:cs="Calibri" w:eastAsia="Calibri" w:hAnsi="Calibri"/>
                <w:sz w:val="16"/>
                <w:szCs w:val="16"/>
                <w:color w:val="auto"/>
              </w:rPr>
              <w:t>*</w:t>
            </w:r>
          </w:p>
        </w:tc>
        <w:tc>
          <w:tcPr>
            <w:tcW w:w="1520" w:type="dxa"/>
            <w:vAlign w:val="bottom"/>
          </w:tcPr>
          <w:p>
            <w:pPr>
              <w:ind w:left="120"/>
              <w:spacing w:after="0" w:line="193" w:lineRule="exact"/>
              <w:rPr>
                <w:sz w:val="20"/>
                <w:szCs w:val="20"/>
                <w:color w:val="auto"/>
              </w:rPr>
            </w:pPr>
            <w:r>
              <w:rPr>
                <w:rFonts w:ascii="Calibri" w:cs="Calibri" w:eastAsia="Calibri" w:hAnsi="Calibri"/>
                <w:sz w:val="16"/>
                <w:szCs w:val="16"/>
                <w:color w:val="auto"/>
              </w:rPr>
              <w:t>—</w:t>
            </w:r>
          </w:p>
        </w:tc>
        <w:tc>
          <w:tcPr>
            <w:tcW w:w="1160" w:type="dxa"/>
            <w:vAlign w:val="bottom"/>
          </w:tcPr>
          <w:p>
            <w:pPr>
              <w:ind w:left="140"/>
              <w:spacing w:after="0" w:line="193" w:lineRule="exact"/>
              <w:rPr>
                <w:sz w:val="20"/>
                <w:szCs w:val="20"/>
                <w:color w:val="auto"/>
              </w:rPr>
            </w:pPr>
            <w:r>
              <w:rPr>
                <w:rFonts w:ascii="Calibri" w:cs="Calibri" w:eastAsia="Calibri" w:hAnsi="Calibri"/>
                <w:sz w:val="16"/>
                <w:szCs w:val="16"/>
                <w:color w:val="auto"/>
              </w:rPr>
              <w:t>—</w:t>
            </w:r>
          </w:p>
        </w:tc>
        <w:tc>
          <w:tcPr>
            <w:tcW w:w="2000" w:type="dxa"/>
            <w:vAlign w:val="bottom"/>
          </w:tcPr>
          <w:p>
            <w:pPr>
              <w:jc w:val="right"/>
              <w:spacing w:after="0" w:line="193" w:lineRule="exact"/>
              <w:rPr>
                <w:sz w:val="20"/>
                <w:szCs w:val="20"/>
                <w:color w:val="auto"/>
              </w:rPr>
            </w:pPr>
            <w:r>
              <w:rPr>
                <w:rFonts w:ascii="Calibri" w:cs="Calibri" w:eastAsia="Calibri" w:hAnsi="Calibri"/>
                <w:sz w:val="16"/>
                <w:szCs w:val="16"/>
                <w:color w:val="auto"/>
              </w:rPr>
              <w:t>10,090</w:t>
            </w:r>
          </w:p>
        </w:tc>
        <w:tc>
          <w:tcPr>
            <w:tcW w:w="1340" w:type="dxa"/>
            <w:vAlign w:val="bottom"/>
            <w:tcBorders>
              <w:right w:val="single" w:sz="8" w:color="auto"/>
            </w:tcBorders>
          </w:tcPr>
          <w:p>
            <w:pPr>
              <w:ind w:left="60"/>
              <w:spacing w:after="0" w:line="193" w:lineRule="exact"/>
              <w:rPr>
                <w:sz w:val="20"/>
                <w:szCs w:val="20"/>
                <w:color w:val="auto"/>
              </w:rPr>
            </w:pPr>
            <w:r>
              <w:rPr>
                <w:rFonts w:ascii="Calibri" w:cs="Calibri" w:eastAsia="Calibri" w:hAnsi="Calibri"/>
                <w:sz w:val="16"/>
                <w:szCs w:val="16"/>
                <w:color w:val="auto"/>
              </w:rPr>
              <w:t>*</w:t>
            </w:r>
          </w:p>
        </w:tc>
        <w:tc>
          <w:tcPr>
            <w:tcW w:w="0" w:type="dxa"/>
            <w:vAlign w:val="bottom"/>
          </w:tcPr>
          <w:p>
            <w:pPr>
              <w:spacing w:after="0"/>
              <w:rPr>
                <w:sz w:val="1"/>
                <w:szCs w:val="1"/>
                <w:color w:val="auto"/>
              </w:rPr>
            </w:pPr>
          </w:p>
        </w:tc>
      </w:tr>
      <w:tr>
        <w:trPr>
          <w:trHeight w:val="41"/>
        </w:trPr>
        <w:tc>
          <w:tcPr>
            <w:tcW w:w="2640" w:type="dxa"/>
            <w:vAlign w:val="bottom"/>
            <w:tcBorders>
              <w:left w:val="single" w:sz="8" w:color="auto"/>
              <w:bottom w:val="single" w:sz="8" w:color="auto"/>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c>
          <w:tcPr>
            <w:tcW w:w="152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2000" w:type="dxa"/>
            <w:vAlign w:val="bottom"/>
            <w:tcBorders>
              <w:bottom w:val="single" w:sz="8" w:color="auto"/>
            </w:tcBorders>
          </w:tcPr>
          <w:p>
            <w:pPr>
              <w:spacing w:after="0"/>
              <w:rPr>
                <w:sz w:val="3"/>
                <w:szCs w:val="3"/>
                <w:color w:val="auto"/>
              </w:rPr>
            </w:pPr>
          </w:p>
        </w:tc>
        <w:tc>
          <w:tcPr>
            <w:tcW w:w="134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95"/>
        </w:trPr>
        <w:tc>
          <w:tcPr>
            <w:tcW w:w="2640" w:type="dxa"/>
            <w:vAlign w:val="bottom"/>
            <w:tcBorders>
              <w:left w:val="single" w:sz="8" w:color="auto"/>
            </w:tcBorders>
          </w:tcPr>
          <w:p>
            <w:pPr>
              <w:ind w:left="80"/>
              <w:spacing w:after="0"/>
              <w:rPr>
                <w:sz w:val="20"/>
                <w:szCs w:val="20"/>
                <w:color w:val="auto"/>
              </w:rPr>
            </w:pPr>
            <w:r>
              <w:rPr>
                <w:rFonts w:ascii="Calibri" w:cs="Calibri" w:eastAsia="Calibri" w:hAnsi="Calibri"/>
                <w:sz w:val="16"/>
                <w:szCs w:val="16"/>
                <w:b w:val="1"/>
                <w:bCs w:val="1"/>
                <w:color w:val="auto"/>
              </w:rPr>
              <w:t>Richard Lumb</w:t>
            </w:r>
          </w:p>
        </w:tc>
        <w:tc>
          <w:tcPr>
            <w:tcW w:w="1300" w:type="dxa"/>
            <w:vAlign w:val="bottom"/>
          </w:tcPr>
          <w:p>
            <w:pPr>
              <w:ind w:left="60"/>
              <w:spacing w:after="0" w:line="193" w:lineRule="exact"/>
              <w:rPr>
                <w:sz w:val="20"/>
                <w:szCs w:val="20"/>
                <w:color w:val="auto"/>
              </w:rPr>
            </w:pPr>
            <w:r>
              <w:rPr>
                <w:rFonts w:ascii="Calibri" w:cs="Calibri" w:eastAsia="Calibri" w:hAnsi="Calibri"/>
                <w:sz w:val="16"/>
                <w:szCs w:val="16"/>
                <w:color w:val="auto"/>
              </w:rPr>
              <w:t>99,686</w:t>
            </w:r>
          </w:p>
        </w:tc>
        <w:tc>
          <w:tcPr>
            <w:tcW w:w="1300" w:type="dxa"/>
            <w:vAlign w:val="bottom"/>
          </w:tcPr>
          <w:p>
            <w:pPr>
              <w:ind w:left="100"/>
              <w:spacing w:after="0" w:line="193" w:lineRule="exact"/>
              <w:rPr>
                <w:sz w:val="20"/>
                <w:szCs w:val="20"/>
                <w:color w:val="auto"/>
              </w:rPr>
            </w:pPr>
            <w:r>
              <w:rPr>
                <w:rFonts w:ascii="Calibri" w:cs="Calibri" w:eastAsia="Calibri" w:hAnsi="Calibri"/>
                <w:sz w:val="16"/>
                <w:szCs w:val="16"/>
                <w:color w:val="auto"/>
              </w:rPr>
              <w:t>*</w:t>
            </w:r>
          </w:p>
        </w:tc>
        <w:tc>
          <w:tcPr>
            <w:tcW w:w="1520" w:type="dxa"/>
            <w:vAlign w:val="bottom"/>
          </w:tcPr>
          <w:p>
            <w:pPr>
              <w:ind w:left="120"/>
              <w:spacing w:after="0" w:line="193" w:lineRule="exact"/>
              <w:rPr>
                <w:sz w:val="20"/>
                <w:szCs w:val="20"/>
                <w:color w:val="auto"/>
              </w:rPr>
            </w:pPr>
            <w:r>
              <w:rPr>
                <w:rFonts w:ascii="Calibri" w:cs="Calibri" w:eastAsia="Calibri" w:hAnsi="Calibri"/>
                <w:sz w:val="16"/>
                <w:szCs w:val="16"/>
                <w:color w:val="auto"/>
              </w:rPr>
              <w:t>—</w:t>
            </w:r>
          </w:p>
        </w:tc>
        <w:tc>
          <w:tcPr>
            <w:tcW w:w="1160" w:type="dxa"/>
            <w:vAlign w:val="bottom"/>
          </w:tcPr>
          <w:p>
            <w:pPr>
              <w:ind w:left="140"/>
              <w:spacing w:after="0" w:line="193" w:lineRule="exact"/>
              <w:rPr>
                <w:sz w:val="20"/>
                <w:szCs w:val="20"/>
                <w:color w:val="auto"/>
              </w:rPr>
            </w:pPr>
            <w:r>
              <w:rPr>
                <w:rFonts w:ascii="Calibri" w:cs="Calibri" w:eastAsia="Calibri" w:hAnsi="Calibri"/>
                <w:sz w:val="16"/>
                <w:szCs w:val="16"/>
                <w:color w:val="auto"/>
              </w:rPr>
              <w:t>—</w:t>
            </w:r>
          </w:p>
        </w:tc>
        <w:tc>
          <w:tcPr>
            <w:tcW w:w="2000" w:type="dxa"/>
            <w:vAlign w:val="bottom"/>
          </w:tcPr>
          <w:p>
            <w:pPr>
              <w:jc w:val="right"/>
              <w:spacing w:after="0" w:line="193" w:lineRule="exact"/>
              <w:rPr>
                <w:sz w:val="20"/>
                <w:szCs w:val="20"/>
                <w:color w:val="auto"/>
              </w:rPr>
            </w:pPr>
            <w:r>
              <w:rPr>
                <w:rFonts w:ascii="Calibri" w:cs="Calibri" w:eastAsia="Calibri" w:hAnsi="Calibri"/>
                <w:sz w:val="16"/>
                <w:szCs w:val="16"/>
                <w:color w:val="auto"/>
              </w:rPr>
              <w:t>99,686</w:t>
            </w:r>
          </w:p>
        </w:tc>
        <w:tc>
          <w:tcPr>
            <w:tcW w:w="1340" w:type="dxa"/>
            <w:vAlign w:val="bottom"/>
            <w:tcBorders>
              <w:right w:val="single" w:sz="8" w:color="auto"/>
            </w:tcBorders>
          </w:tcPr>
          <w:p>
            <w:pPr>
              <w:ind w:left="60"/>
              <w:spacing w:after="0" w:line="193" w:lineRule="exact"/>
              <w:rPr>
                <w:sz w:val="20"/>
                <w:szCs w:val="20"/>
                <w:color w:val="auto"/>
              </w:rPr>
            </w:pPr>
            <w:r>
              <w:rPr>
                <w:rFonts w:ascii="Calibri" w:cs="Calibri" w:eastAsia="Calibri" w:hAnsi="Calibri"/>
                <w:sz w:val="16"/>
                <w:szCs w:val="16"/>
                <w:color w:val="auto"/>
              </w:rPr>
              <w:t>*</w:t>
            </w:r>
          </w:p>
        </w:tc>
        <w:tc>
          <w:tcPr>
            <w:tcW w:w="0" w:type="dxa"/>
            <w:vAlign w:val="bottom"/>
          </w:tcPr>
          <w:p>
            <w:pPr>
              <w:spacing w:after="0"/>
              <w:rPr>
                <w:sz w:val="1"/>
                <w:szCs w:val="1"/>
                <w:color w:val="auto"/>
              </w:rPr>
            </w:pPr>
          </w:p>
        </w:tc>
      </w:tr>
      <w:tr>
        <w:trPr>
          <w:trHeight w:val="41"/>
        </w:trPr>
        <w:tc>
          <w:tcPr>
            <w:tcW w:w="2640" w:type="dxa"/>
            <w:vAlign w:val="bottom"/>
            <w:tcBorders>
              <w:left w:val="single" w:sz="8" w:color="auto"/>
              <w:bottom w:val="single" w:sz="8" w:color="auto"/>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c>
          <w:tcPr>
            <w:tcW w:w="152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2000" w:type="dxa"/>
            <w:vAlign w:val="bottom"/>
            <w:tcBorders>
              <w:bottom w:val="single" w:sz="8" w:color="auto"/>
            </w:tcBorders>
          </w:tcPr>
          <w:p>
            <w:pPr>
              <w:spacing w:after="0"/>
              <w:rPr>
                <w:sz w:val="3"/>
                <w:szCs w:val="3"/>
                <w:color w:val="auto"/>
              </w:rPr>
            </w:pPr>
          </w:p>
        </w:tc>
        <w:tc>
          <w:tcPr>
            <w:tcW w:w="134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95"/>
        </w:trPr>
        <w:tc>
          <w:tcPr>
            <w:tcW w:w="2640" w:type="dxa"/>
            <w:vAlign w:val="bottom"/>
            <w:tcBorders>
              <w:left w:val="single" w:sz="8" w:color="auto"/>
            </w:tcBorders>
          </w:tcPr>
          <w:p>
            <w:pPr>
              <w:ind w:left="80"/>
              <w:spacing w:after="0"/>
              <w:rPr>
                <w:sz w:val="20"/>
                <w:szCs w:val="20"/>
                <w:color w:val="auto"/>
              </w:rPr>
            </w:pPr>
            <w:r>
              <w:rPr>
                <w:rFonts w:ascii="Calibri" w:cs="Calibri" w:eastAsia="Calibri" w:hAnsi="Calibri"/>
                <w:sz w:val="16"/>
                <w:szCs w:val="16"/>
                <w:b w:val="1"/>
                <w:bCs w:val="1"/>
                <w:color w:val="auto"/>
              </w:rPr>
              <w:t>Andrew Main</w:t>
            </w:r>
          </w:p>
        </w:tc>
        <w:tc>
          <w:tcPr>
            <w:tcW w:w="1300" w:type="dxa"/>
            <w:vAlign w:val="bottom"/>
          </w:tcPr>
          <w:p>
            <w:pPr>
              <w:ind w:left="60"/>
              <w:spacing w:after="0" w:line="193" w:lineRule="exact"/>
              <w:rPr>
                <w:sz w:val="20"/>
                <w:szCs w:val="20"/>
                <w:color w:val="auto"/>
              </w:rPr>
            </w:pPr>
            <w:r>
              <w:rPr>
                <w:rFonts w:ascii="Calibri" w:cs="Calibri" w:eastAsia="Calibri" w:hAnsi="Calibri"/>
                <w:sz w:val="16"/>
                <w:szCs w:val="16"/>
                <w:color w:val="auto"/>
              </w:rPr>
              <w:t>311,462</w:t>
            </w:r>
          </w:p>
        </w:tc>
        <w:tc>
          <w:tcPr>
            <w:tcW w:w="1300" w:type="dxa"/>
            <w:vAlign w:val="bottom"/>
          </w:tcPr>
          <w:p>
            <w:pPr>
              <w:ind w:left="100"/>
              <w:spacing w:after="0" w:line="193" w:lineRule="exact"/>
              <w:rPr>
                <w:sz w:val="20"/>
                <w:szCs w:val="20"/>
                <w:color w:val="auto"/>
              </w:rPr>
            </w:pPr>
            <w:r>
              <w:rPr>
                <w:rFonts w:ascii="Calibri" w:cs="Calibri" w:eastAsia="Calibri" w:hAnsi="Calibri"/>
                <w:sz w:val="16"/>
                <w:szCs w:val="16"/>
                <w:color w:val="auto"/>
              </w:rPr>
              <w:t>*</w:t>
            </w:r>
          </w:p>
        </w:tc>
        <w:tc>
          <w:tcPr>
            <w:tcW w:w="1520" w:type="dxa"/>
            <w:vAlign w:val="bottom"/>
          </w:tcPr>
          <w:p>
            <w:pPr>
              <w:ind w:left="120"/>
              <w:spacing w:after="0" w:line="193" w:lineRule="exact"/>
              <w:rPr>
                <w:sz w:val="20"/>
                <w:szCs w:val="20"/>
                <w:color w:val="auto"/>
              </w:rPr>
            </w:pPr>
            <w:r>
              <w:rPr>
                <w:rFonts w:ascii="Calibri" w:cs="Calibri" w:eastAsia="Calibri" w:hAnsi="Calibri"/>
                <w:sz w:val="16"/>
                <w:szCs w:val="16"/>
                <w:color w:val="auto"/>
              </w:rPr>
              <w:t>—</w:t>
            </w:r>
          </w:p>
        </w:tc>
        <w:tc>
          <w:tcPr>
            <w:tcW w:w="1160" w:type="dxa"/>
            <w:vAlign w:val="bottom"/>
          </w:tcPr>
          <w:p>
            <w:pPr>
              <w:ind w:left="140"/>
              <w:spacing w:after="0" w:line="193" w:lineRule="exact"/>
              <w:rPr>
                <w:sz w:val="20"/>
                <w:szCs w:val="20"/>
                <w:color w:val="auto"/>
              </w:rPr>
            </w:pPr>
            <w:r>
              <w:rPr>
                <w:rFonts w:ascii="Calibri" w:cs="Calibri" w:eastAsia="Calibri" w:hAnsi="Calibri"/>
                <w:sz w:val="16"/>
                <w:szCs w:val="16"/>
                <w:color w:val="auto"/>
              </w:rPr>
              <w:t>—</w:t>
            </w:r>
          </w:p>
        </w:tc>
        <w:tc>
          <w:tcPr>
            <w:tcW w:w="2000" w:type="dxa"/>
            <w:vAlign w:val="bottom"/>
          </w:tcPr>
          <w:p>
            <w:pPr>
              <w:jc w:val="right"/>
              <w:spacing w:after="0" w:line="193" w:lineRule="exact"/>
              <w:rPr>
                <w:sz w:val="20"/>
                <w:szCs w:val="20"/>
                <w:color w:val="auto"/>
              </w:rPr>
            </w:pPr>
            <w:r>
              <w:rPr>
                <w:rFonts w:ascii="Calibri" w:cs="Calibri" w:eastAsia="Calibri" w:hAnsi="Calibri"/>
                <w:sz w:val="16"/>
                <w:szCs w:val="16"/>
                <w:color w:val="auto"/>
              </w:rPr>
              <w:t>311,462</w:t>
            </w:r>
          </w:p>
        </w:tc>
        <w:tc>
          <w:tcPr>
            <w:tcW w:w="1340" w:type="dxa"/>
            <w:vAlign w:val="bottom"/>
            <w:tcBorders>
              <w:right w:val="single" w:sz="8" w:color="auto"/>
            </w:tcBorders>
          </w:tcPr>
          <w:p>
            <w:pPr>
              <w:ind w:left="60"/>
              <w:spacing w:after="0" w:line="193" w:lineRule="exact"/>
              <w:rPr>
                <w:sz w:val="20"/>
                <w:szCs w:val="20"/>
                <w:color w:val="auto"/>
              </w:rPr>
            </w:pPr>
            <w:r>
              <w:rPr>
                <w:rFonts w:ascii="Calibri" w:cs="Calibri" w:eastAsia="Calibri" w:hAnsi="Calibri"/>
                <w:sz w:val="16"/>
                <w:szCs w:val="16"/>
                <w:color w:val="auto"/>
              </w:rPr>
              <w:t>*</w:t>
            </w:r>
          </w:p>
        </w:tc>
        <w:tc>
          <w:tcPr>
            <w:tcW w:w="0" w:type="dxa"/>
            <w:vAlign w:val="bottom"/>
          </w:tcPr>
          <w:p>
            <w:pPr>
              <w:spacing w:after="0"/>
              <w:rPr>
                <w:sz w:val="1"/>
                <w:szCs w:val="1"/>
                <w:color w:val="auto"/>
              </w:rPr>
            </w:pPr>
          </w:p>
        </w:tc>
      </w:tr>
      <w:tr>
        <w:trPr>
          <w:trHeight w:val="41"/>
        </w:trPr>
        <w:tc>
          <w:tcPr>
            <w:tcW w:w="2640" w:type="dxa"/>
            <w:vAlign w:val="bottom"/>
            <w:tcBorders>
              <w:left w:val="single" w:sz="8" w:color="auto"/>
              <w:bottom w:val="single" w:sz="8" w:color="auto"/>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c>
          <w:tcPr>
            <w:tcW w:w="152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2000" w:type="dxa"/>
            <w:vAlign w:val="bottom"/>
            <w:tcBorders>
              <w:bottom w:val="single" w:sz="8" w:color="auto"/>
            </w:tcBorders>
          </w:tcPr>
          <w:p>
            <w:pPr>
              <w:spacing w:after="0"/>
              <w:rPr>
                <w:sz w:val="3"/>
                <w:szCs w:val="3"/>
                <w:color w:val="auto"/>
              </w:rPr>
            </w:pPr>
          </w:p>
        </w:tc>
        <w:tc>
          <w:tcPr>
            <w:tcW w:w="134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96"/>
        </w:trPr>
        <w:tc>
          <w:tcPr>
            <w:tcW w:w="2640" w:type="dxa"/>
            <w:vAlign w:val="bottom"/>
            <w:tcBorders>
              <w:left w:val="single" w:sz="8" w:color="auto"/>
            </w:tcBorders>
          </w:tcPr>
          <w:p>
            <w:pPr>
              <w:ind w:left="80"/>
              <w:spacing w:after="0"/>
              <w:rPr>
                <w:sz w:val="20"/>
                <w:szCs w:val="20"/>
                <w:color w:val="auto"/>
              </w:rPr>
            </w:pPr>
            <w:r>
              <w:rPr>
                <w:rFonts w:ascii="Calibri" w:cs="Calibri" w:eastAsia="Calibri" w:hAnsi="Calibri"/>
                <w:sz w:val="16"/>
                <w:szCs w:val="16"/>
                <w:b w:val="1"/>
                <w:bCs w:val="1"/>
                <w:color w:val="auto"/>
              </w:rPr>
              <w:t>Jill Simeone</w:t>
            </w:r>
          </w:p>
        </w:tc>
        <w:tc>
          <w:tcPr>
            <w:tcW w:w="1300" w:type="dxa"/>
            <w:vAlign w:val="bottom"/>
          </w:tcPr>
          <w:p>
            <w:pPr>
              <w:ind w:left="60"/>
              <w:spacing w:after="0" w:line="193" w:lineRule="exact"/>
              <w:rPr>
                <w:sz w:val="20"/>
                <w:szCs w:val="20"/>
                <w:color w:val="auto"/>
              </w:rPr>
            </w:pPr>
            <w:r>
              <w:rPr>
                <w:rFonts w:ascii="Calibri" w:cs="Calibri" w:eastAsia="Calibri" w:hAnsi="Calibri"/>
                <w:sz w:val="16"/>
                <w:szCs w:val="16"/>
                <w:color w:val="auto"/>
              </w:rPr>
              <w:t>104,634</w:t>
            </w:r>
          </w:p>
        </w:tc>
        <w:tc>
          <w:tcPr>
            <w:tcW w:w="1300" w:type="dxa"/>
            <w:vAlign w:val="bottom"/>
          </w:tcPr>
          <w:p>
            <w:pPr>
              <w:ind w:left="100"/>
              <w:spacing w:after="0" w:line="193" w:lineRule="exact"/>
              <w:rPr>
                <w:sz w:val="20"/>
                <w:szCs w:val="20"/>
                <w:color w:val="auto"/>
              </w:rPr>
            </w:pPr>
            <w:r>
              <w:rPr>
                <w:rFonts w:ascii="Calibri" w:cs="Calibri" w:eastAsia="Calibri" w:hAnsi="Calibri"/>
                <w:sz w:val="16"/>
                <w:szCs w:val="16"/>
                <w:color w:val="auto"/>
              </w:rPr>
              <w:t>—</w:t>
            </w:r>
          </w:p>
        </w:tc>
        <w:tc>
          <w:tcPr>
            <w:tcW w:w="1520" w:type="dxa"/>
            <w:vAlign w:val="bottom"/>
          </w:tcPr>
          <w:p>
            <w:pPr>
              <w:ind w:left="120"/>
              <w:spacing w:after="0" w:line="193" w:lineRule="exact"/>
              <w:rPr>
                <w:sz w:val="20"/>
                <w:szCs w:val="20"/>
                <w:color w:val="auto"/>
              </w:rPr>
            </w:pPr>
            <w:r>
              <w:rPr>
                <w:rFonts w:ascii="Calibri" w:cs="Calibri" w:eastAsia="Calibri" w:hAnsi="Calibri"/>
                <w:sz w:val="16"/>
                <w:szCs w:val="16"/>
                <w:color w:val="auto"/>
              </w:rPr>
              <w:t>—</w:t>
            </w:r>
          </w:p>
        </w:tc>
        <w:tc>
          <w:tcPr>
            <w:tcW w:w="1160" w:type="dxa"/>
            <w:vAlign w:val="bottom"/>
          </w:tcPr>
          <w:p>
            <w:pPr>
              <w:ind w:left="140"/>
              <w:spacing w:after="0" w:line="193" w:lineRule="exact"/>
              <w:rPr>
                <w:sz w:val="20"/>
                <w:szCs w:val="20"/>
                <w:color w:val="auto"/>
              </w:rPr>
            </w:pPr>
            <w:r>
              <w:rPr>
                <w:rFonts w:ascii="Calibri" w:cs="Calibri" w:eastAsia="Calibri" w:hAnsi="Calibri"/>
                <w:sz w:val="16"/>
                <w:szCs w:val="16"/>
                <w:color w:val="auto"/>
              </w:rPr>
              <w:t>—</w:t>
            </w:r>
          </w:p>
        </w:tc>
        <w:tc>
          <w:tcPr>
            <w:tcW w:w="2000" w:type="dxa"/>
            <w:vAlign w:val="bottom"/>
          </w:tcPr>
          <w:p>
            <w:pPr>
              <w:jc w:val="right"/>
              <w:spacing w:after="0" w:line="193" w:lineRule="exact"/>
              <w:rPr>
                <w:sz w:val="20"/>
                <w:szCs w:val="20"/>
                <w:color w:val="auto"/>
              </w:rPr>
            </w:pPr>
            <w:r>
              <w:rPr>
                <w:rFonts w:ascii="Calibri" w:cs="Calibri" w:eastAsia="Calibri" w:hAnsi="Calibri"/>
                <w:sz w:val="16"/>
                <w:szCs w:val="16"/>
                <w:color w:val="auto"/>
              </w:rPr>
              <w:t>104,634</w:t>
            </w:r>
          </w:p>
        </w:tc>
        <w:tc>
          <w:tcPr>
            <w:tcW w:w="1340" w:type="dxa"/>
            <w:vAlign w:val="bottom"/>
            <w:tcBorders>
              <w:right w:val="single" w:sz="8" w:color="auto"/>
            </w:tcBorders>
          </w:tcPr>
          <w:p>
            <w:pPr>
              <w:ind w:left="60"/>
              <w:spacing w:after="0" w:line="193" w:lineRule="exact"/>
              <w:rPr>
                <w:sz w:val="20"/>
                <w:szCs w:val="20"/>
                <w:color w:val="auto"/>
              </w:rPr>
            </w:pPr>
            <w:r>
              <w:rPr>
                <w:rFonts w:ascii="Calibri" w:cs="Calibri" w:eastAsia="Calibri" w:hAnsi="Calibri"/>
                <w:sz w:val="16"/>
                <w:szCs w:val="16"/>
                <w:color w:val="auto"/>
              </w:rPr>
              <w:t>—</w:t>
            </w:r>
          </w:p>
        </w:tc>
        <w:tc>
          <w:tcPr>
            <w:tcW w:w="0" w:type="dxa"/>
            <w:vAlign w:val="bottom"/>
          </w:tcPr>
          <w:p>
            <w:pPr>
              <w:spacing w:after="0"/>
              <w:rPr>
                <w:sz w:val="1"/>
                <w:szCs w:val="1"/>
                <w:color w:val="auto"/>
              </w:rPr>
            </w:pPr>
          </w:p>
        </w:tc>
      </w:tr>
      <w:tr>
        <w:trPr>
          <w:trHeight w:val="41"/>
        </w:trPr>
        <w:tc>
          <w:tcPr>
            <w:tcW w:w="2640" w:type="dxa"/>
            <w:vAlign w:val="bottom"/>
            <w:tcBorders>
              <w:left w:val="single" w:sz="8" w:color="auto"/>
              <w:bottom w:val="single" w:sz="8" w:color="auto"/>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c>
          <w:tcPr>
            <w:tcW w:w="152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2000" w:type="dxa"/>
            <w:vAlign w:val="bottom"/>
            <w:tcBorders>
              <w:bottom w:val="single" w:sz="8" w:color="auto"/>
            </w:tcBorders>
          </w:tcPr>
          <w:p>
            <w:pPr>
              <w:spacing w:after="0"/>
              <w:rPr>
                <w:sz w:val="3"/>
                <w:szCs w:val="3"/>
                <w:color w:val="auto"/>
              </w:rPr>
            </w:pPr>
          </w:p>
        </w:tc>
        <w:tc>
          <w:tcPr>
            <w:tcW w:w="134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51"/>
        </w:trPr>
        <w:tc>
          <w:tcPr>
            <w:tcW w:w="2640" w:type="dxa"/>
            <w:vAlign w:val="bottom"/>
            <w:tcBorders>
              <w:left w:val="single" w:sz="8" w:color="auto"/>
            </w:tcBorders>
            <w:shd w:val="clear" w:color="auto" w:fill="E5FF61"/>
          </w:tcPr>
          <w:p>
            <w:pPr>
              <w:ind w:left="80"/>
              <w:spacing w:after="0" w:line="150" w:lineRule="exact"/>
              <w:rPr>
                <w:sz w:val="20"/>
                <w:szCs w:val="20"/>
                <w:color w:val="auto"/>
              </w:rPr>
            </w:pPr>
            <w:r>
              <w:rPr>
                <w:rFonts w:ascii="Calibri" w:cs="Calibri" w:eastAsia="Calibri" w:hAnsi="Calibri"/>
                <w:sz w:val="16"/>
                <w:szCs w:val="16"/>
                <w:b w:val="1"/>
                <w:bCs w:val="1"/>
                <w:color w:val="auto"/>
              </w:rPr>
              <w:t>All directors and executve ofcers as</w:t>
            </w:r>
          </w:p>
        </w:tc>
        <w:tc>
          <w:tcPr>
            <w:tcW w:w="1300" w:type="dxa"/>
            <w:vAlign w:val="bottom"/>
            <w:shd w:val="clear" w:color="auto" w:fill="E5FF61"/>
          </w:tcPr>
          <w:p>
            <w:pPr>
              <w:ind w:left="60"/>
              <w:spacing w:after="0" w:line="150" w:lineRule="exact"/>
              <w:rPr>
                <w:sz w:val="20"/>
                <w:szCs w:val="20"/>
                <w:color w:val="auto"/>
              </w:rPr>
            </w:pPr>
            <w:r>
              <w:rPr>
                <w:rFonts w:ascii="Calibri" w:cs="Calibri" w:eastAsia="Calibri" w:hAnsi="Calibri"/>
                <w:sz w:val="16"/>
                <w:szCs w:val="16"/>
                <w:color w:val="auto"/>
              </w:rPr>
              <w:t>4,359,039</w:t>
            </w:r>
          </w:p>
        </w:tc>
        <w:tc>
          <w:tcPr>
            <w:tcW w:w="1300" w:type="dxa"/>
            <w:vAlign w:val="bottom"/>
            <w:shd w:val="clear" w:color="auto" w:fill="E5FF61"/>
          </w:tcPr>
          <w:p>
            <w:pPr>
              <w:ind w:left="100"/>
              <w:spacing w:after="0" w:line="150" w:lineRule="exact"/>
              <w:rPr>
                <w:sz w:val="20"/>
                <w:szCs w:val="20"/>
                <w:color w:val="auto"/>
              </w:rPr>
            </w:pPr>
            <w:r>
              <w:rPr>
                <w:rFonts w:ascii="Calibri" w:cs="Calibri" w:eastAsia="Calibri" w:hAnsi="Calibri"/>
                <w:sz w:val="16"/>
                <w:szCs w:val="16"/>
                <w:color w:val="auto"/>
              </w:rPr>
              <w:t>3.05%</w:t>
            </w:r>
          </w:p>
        </w:tc>
        <w:tc>
          <w:tcPr>
            <w:tcW w:w="1520" w:type="dxa"/>
            <w:vAlign w:val="bottom"/>
            <w:shd w:val="clear" w:color="auto" w:fill="E5FF61"/>
          </w:tcPr>
          <w:p>
            <w:pPr>
              <w:ind w:left="120"/>
              <w:spacing w:after="0" w:line="150" w:lineRule="exact"/>
              <w:rPr>
                <w:sz w:val="20"/>
                <w:szCs w:val="20"/>
                <w:color w:val="auto"/>
              </w:rPr>
            </w:pPr>
            <w:r>
              <w:rPr>
                <w:rFonts w:ascii="Calibri" w:cs="Calibri" w:eastAsia="Calibri" w:hAnsi="Calibri"/>
                <w:sz w:val="16"/>
                <w:szCs w:val="16"/>
                <w:color w:val="auto"/>
              </w:rPr>
              <w:t>1,304,789</w:t>
            </w:r>
          </w:p>
        </w:tc>
        <w:tc>
          <w:tcPr>
            <w:tcW w:w="1160" w:type="dxa"/>
            <w:vAlign w:val="bottom"/>
            <w:shd w:val="clear" w:color="auto" w:fill="E5FF61"/>
          </w:tcPr>
          <w:p>
            <w:pPr>
              <w:ind w:left="140"/>
              <w:spacing w:after="0" w:line="150" w:lineRule="exact"/>
              <w:rPr>
                <w:sz w:val="20"/>
                <w:szCs w:val="20"/>
                <w:color w:val="auto"/>
              </w:rPr>
            </w:pPr>
            <w:r>
              <w:rPr>
                <w:rFonts w:ascii="Calibri" w:cs="Calibri" w:eastAsia="Calibri" w:hAnsi="Calibri"/>
                <w:sz w:val="16"/>
                <w:szCs w:val="16"/>
                <w:color w:val="auto"/>
              </w:rPr>
              <w:t>*</w:t>
            </w:r>
          </w:p>
        </w:tc>
        <w:tc>
          <w:tcPr>
            <w:tcW w:w="2000" w:type="dxa"/>
            <w:vAlign w:val="bottom"/>
            <w:shd w:val="clear" w:color="auto" w:fill="E5FF61"/>
          </w:tcPr>
          <w:p>
            <w:pPr>
              <w:jc w:val="right"/>
              <w:spacing w:after="0" w:line="150" w:lineRule="exact"/>
              <w:rPr>
                <w:sz w:val="20"/>
                <w:szCs w:val="20"/>
                <w:color w:val="auto"/>
              </w:rPr>
            </w:pPr>
            <w:r>
              <w:rPr>
                <w:rFonts w:ascii="Calibri" w:cs="Calibri" w:eastAsia="Calibri" w:hAnsi="Calibri"/>
                <w:sz w:val="16"/>
                <w:szCs w:val="16"/>
                <w:color w:val="auto"/>
              </w:rPr>
              <w:t>5,663,828</w:t>
            </w:r>
          </w:p>
        </w:tc>
        <w:tc>
          <w:tcPr>
            <w:tcW w:w="1340" w:type="dxa"/>
            <w:vAlign w:val="bottom"/>
            <w:tcBorders>
              <w:right w:val="single" w:sz="8" w:color="auto"/>
            </w:tcBorders>
            <w:shd w:val="clear" w:color="auto" w:fill="E5FF61"/>
          </w:tcPr>
          <w:p>
            <w:pPr>
              <w:ind w:left="60"/>
              <w:spacing w:after="0" w:line="150" w:lineRule="exact"/>
              <w:rPr>
                <w:sz w:val="20"/>
                <w:szCs w:val="20"/>
                <w:color w:val="auto"/>
              </w:rPr>
            </w:pPr>
            <w:r>
              <w:rPr>
                <w:rFonts w:ascii="Calibri" w:cs="Calibri" w:eastAsia="Calibri" w:hAnsi="Calibri"/>
                <w:sz w:val="16"/>
                <w:szCs w:val="16"/>
                <w:color w:val="auto"/>
              </w:rPr>
              <w:t>1.75%</w:t>
            </w:r>
          </w:p>
        </w:tc>
        <w:tc>
          <w:tcPr>
            <w:tcW w:w="0" w:type="dxa"/>
            <w:vAlign w:val="bottom"/>
          </w:tcPr>
          <w:p>
            <w:pPr>
              <w:spacing w:after="0"/>
              <w:rPr>
                <w:sz w:val="1"/>
                <w:szCs w:val="1"/>
                <w:color w:val="auto"/>
              </w:rPr>
            </w:pPr>
          </w:p>
        </w:tc>
      </w:tr>
      <w:tr>
        <w:trPr>
          <w:trHeight w:val="201"/>
        </w:trPr>
        <w:tc>
          <w:tcPr>
            <w:tcW w:w="2640" w:type="dxa"/>
            <w:vAlign w:val="bottom"/>
            <w:tcBorders>
              <w:left w:val="single" w:sz="8" w:color="auto"/>
              <w:bottom w:val="single" w:sz="8" w:color="E5FF61"/>
            </w:tcBorders>
            <w:shd w:val="clear" w:color="auto" w:fill="E5FF61"/>
          </w:tcPr>
          <w:p>
            <w:pPr>
              <w:ind w:left="80"/>
              <w:spacing w:after="0" w:line="193" w:lineRule="exact"/>
              <w:rPr>
                <w:sz w:val="20"/>
                <w:szCs w:val="20"/>
                <w:color w:val="auto"/>
              </w:rPr>
            </w:pPr>
            <w:r>
              <w:rPr>
                <w:rFonts w:ascii="Calibri" w:cs="Calibri" w:eastAsia="Calibri" w:hAnsi="Calibri"/>
                <w:sz w:val="16"/>
                <w:szCs w:val="16"/>
                <w:b w:val="1"/>
                <w:bCs w:val="1"/>
                <w:color w:val="auto"/>
              </w:rPr>
              <w:t>a group (11 persons)</w:t>
            </w:r>
          </w:p>
        </w:tc>
        <w:tc>
          <w:tcPr>
            <w:tcW w:w="1300" w:type="dxa"/>
            <w:vAlign w:val="bottom"/>
            <w:tcBorders>
              <w:bottom w:val="single" w:sz="8" w:color="E5FF61"/>
            </w:tcBorders>
            <w:shd w:val="clear" w:color="auto" w:fill="E5FF61"/>
          </w:tcPr>
          <w:p>
            <w:pPr>
              <w:spacing w:after="0"/>
              <w:rPr>
                <w:sz w:val="17"/>
                <w:szCs w:val="17"/>
                <w:color w:val="auto"/>
              </w:rPr>
            </w:pPr>
          </w:p>
        </w:tc>
        <w:tc>
          <w:tcPr>
            <w:tcW w:w="1300" w:type="dxa"/>
            <w:vAlign w:val="bottom"/>
            <w:tcBorders>
              <w:bottom w:val="single" w:sz="8" w:color="E5FF61"/>
            </w:tcBorders>
            <w:shd w:val="clear" w:color="auto" w:fill="E5FF61"/>
          </w:tcPr>
          <w:p>
            <w:pPr>
              <w:spacing w:after="0"/>
              <w:rPr>
                <w:sz w:val="17"/>
                <w:szCs w:val="17"/>
                <w:color w:val="auto"/>
              </w:rPr>
            </w:pPr>
          </w:p>
        </w:tc>
        <w:tc>
          <w:tcPr>
            <w:tcW w:w="1520" w:type="dxa"/>
            <w:vAlign w:val="bottom"/>
            <w:tcBorders>
              <w:bottom w:val="single" w:sz="8" w:color="E5FF61"/>
            </w:tcBorders>
            <w:shd w:val="clear" w:color="auto" w:fill="E5FF61"/>
          </w:tcPr>
          <w:p>
            <w:pPr>
              <w:spacing w:after="0"/>
              <w:rPr>
                <w:sz w:val="17"/>
                <w:szCs w:val="17"/>
                <w:color w:val="auto"/>
              </w:rPr>
            </w:pPr>
          </w:p>
        </w:tc>
        <w:tc>
          <w:tcPr>
            <w:tcW w:w="1160" w:type="dxa"/>
            <w:vAlign w:val="bottom"/>
            <w:tcBorders>
              <w:bottom w:val="single" w:sz="8" w:color="E5FF61"/>
            </w:tcBorders>
            <w:shd w:val="clear" w:color="auto" w:fill="E5FF61"/>
          </w:tcPr>
          <w:p>
            <w:pPr>
              <w:spacing w:after="0"/>
              <w:rPr>
                <w:sz w:val="17"/>
                <w:szCs w:val="17"/>
                <w:color w:val="auto"/>
              </w:rPr>
            </w:pPr>
          </w:p>
        </w:tc>
        <w:tc>
          <w:tcPr>
            <w:tcW w:w="2000" w:type="dxa"/>
            <w:vAlign w:val="bottom"/>
            <w:tcBorders>
              <w:bottom w:val="single" w:sz="8" w:color="E5FF61"/>
            </w:tcBorders>
            <w:shd w:val="clear" w:color="auto" w:fill="E5FF61"/>
          </w:tcPr>
          <w:p>
            <w:pPr>
              <w:spacing w:after="0"/>
              <w:rPr>
                <w:sz w:val="17"/>
                <w:szCs w:val="17"/>
                <w:color w:val="auto"/>
              </w:rPr>
            </w:pPr>
          </w:p>
        </w:tc>
        <w:tc>
          <w:tcPr>
            <w:tcW w:w="1340" w:type="dxa"/>
            <w:vAlign w:val="bottom"/>
            <w:tcBorders>
              <w:bottom w:val="single" w:sz="8" w:color="E5FF61"/>
              <w:right w:val="single" w:sz="8" w:color="auto"/>
            </w:tcBorders>
            <w:shd w:val="clear" w:color="auto" w:fill="E5FF61"/>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640" w:type="dxa"/>
            <w:vAlign w:val="bottom"/>
            <w:tcBorders>
              <w:left w:val="single" w:sz="8" w:color="auto"/>
            </w:tcBorders>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000" w:type="dxa"/>
            <w:vAlign w:val="bottom"/>
            <w:shd w:val="clear" w:color="auto" w:fill="000000"/>
          </w:tcPr>
          <w:p>
            <w:pPr>
              <w:spacing w:after="0" w:line="20" w:lineRule="exact"/>
              <w:rPr>
                <w:sz w:val="1"/>
                <w:szCs w:val="1"/>
                <w:color w:val="auto"/>
              </w:rPr>
            </w:pPr>
          </w:p>
        </w:tc>
        <w:tc>
          <w:tcPr>
            <w:tcW w:w="1340" w:type="dxa"/>
            <w:vAlign w:val="bottom"/>
            <w:tcBorders>
              <w:right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44" w:lineRule="exact"/>
        <w:rPr>
          <w:sz w:val="20"/>
          <w:szCs w:val="20"/>
          <w:color w:val="auto"/>
        </w:rPr>
      </w:pPr>
    </w:p>
    <w:p>
      <w:pPr>
        <w:spacing w:after="0"/>
        <w:tabs>
          <w:tab w:leader="none" w:pos="220" w:val="left"/>
        </w:tabs>
        <w:rPr>
          <w:sz w:val="20"/>
          <w:szCs w:val="20"/>
          <w:color w:val="auto"/>
        </w:rPr>
      </w:pPr>
      <w:r>
        <w:rPr>
          <w:rFonts w:ascii="Calibri" w:cs="Calibri" w:eastAsia="Calibri" w:hAnsi="Calibri"/>
          <w:sz w:val="16"/>
          <w:szCs w:val="16"/>
          <w:color w:val="auto"/>
        </w:rPr>
        <w:t>*</w:t>
        <w:tab/>
        <w:t>Represents less than 1%.</w:t>
      </w:r>
    </w:p>
    <w:p>
      <w:pPr>
        <w:spacing w:after="0" w:line="7" w:lineRule="exact"/>
        <w:rPr>
          <w:sz w:val="20"/>
          <w:szCs w:val="20"/>
          <w:color w:val="auto"/>
        </w:rPr>
      </w:pPr>
    </w:p>
    <w:p>
      <w:pPr>
        <w:ind w:left="360" w:hanging="352"/>
        <w:spacing w:after="0"/>
        <w:tabs>
          <w:tab w:leader="none" w:pos="360" w:val="left"/>
        </w:tabs>
        <w:numPr>
          <w:ilvl w:val="0"/>
          <w:numId w:val="44"/>
        </w:numPr>
        <w:rPr>
          <w:rFonts w:ascii="Calibri" w:cs="Calibri" w:eastAsia="Calibri" w:hAnsi="Calibri"/>
          <w:sz w:val="16"/>
          <w:szCs w:val="16"/>
          <w:color w:val="231F20"/>
        </w:rPr>
      </w:pPr>
      <w:r>
        <w:rPr>
          <w:rFonts w:ascii="Calibri" w:cs="Calibri" w:eastAsia="Calibri" w:hAnsi="Calibri"/>
          <w:sz w:val="16"/>
          <w:szCs w:val="16"/>
          <w:color w:val="auto"/>
        </w:rPr>
        <w:t>Each share of Class A Common Stock enttles the holder thereof to one vote per share.</w:t>
      </w:r>
    </w:p>
    <w:p>
      <w:pPr>
        <w:spacing w:after="0" w:line="8" w:lineRule="exact"/>
        <w:rPr>
          <w:rFonts w:ascii="Calibri" w:cs="Calibri" w:eastAsia="Calibri" w:hAnsi="Calibri"/>
          <w:sz w:val="16"/>
          <w:szCs w:val="16"/>
          <w:color w:val="231F20"/>
        </w:rPr>
      </w:pPr>
    </w:p>
    <w:p>
      <w:pPr>
        <w:jc w:val="both"/>
        <w:ind w:left="380" w:right="40" w:hanging="372"/>
        <w:spacing w:after="0" w:line="237" w:lineRule="auto"/>
        <w:tabs>
          <w:tab w:leader="none" w:pos="371" w:val="left"/>
        </w:tabs>
        <w:numPr>
          <w:ilvl w:val="0"/>
          <w:numId w:val="44"/>
        </w:numPr>
        <w:rPr>
          <w:rFonts w:ascii="Calibri" w:cs="Calibri" w:eastAsia="Calibri" w:hAnsi="Calibri"/>
          <w:sz w:val="16"/>
          <w:szCs w:val="16"/>
          <w:color w:val="231F20"/>
        </w:rPr>
      </w:pPr>
      <w:r>
        <w:rPr>
          <w:rFonts w:ascii="Calibri" w:cs="Calibri" w:eastAsia="Calibri" w:hAnsi="Calibri"/>
          <w:sz w:val="16"/>
          <w:szCs w:val="16"/>
          <w:color w:val="auto"/>
        </w:rPr>
        <w:t>Each Paired Interest consists of one common unit in Opco and one share of Class V Common Stock, the later of which enttles the holder to one vote per share of Class V Common Stock. Pursuant to the Exchange Agreement, each Paired Interest may be exchanged for a share of Class A Common Stock on a one-for-one rato basis, subject to the terms of the Exchange Agreement, including the Company’s right to elect to deliver cash in lieu of Class A Common Stock and, in certain cases, adjustments as set forth therein.</w:t>
      </w:r>
    </w:p>
    <w:p>
      <w:pPr>
        <w:spacing w:after="0" w:line="9" w:lineRule="exact"/>
        <w:rPr>
          <w:rFonts w:ascii="Calibri" w:cs="Calibri" w:eastAsia="Calibri" w:hAnsi="Calibri"/>
          <w:sz w:val="16"/>
          <w:szCs w:val="16"/>
          <w:color w:val="231F20"/>
        </w:rPr>
      </w:pPr>
    </w:p>
    <w:p>
      <w:pPr>
        <w:ind w:left="360" w:hanging="352"/>
        <w:spacing w:after="0"/>
        <w:tabs>
          <w:tab w:leader="none" w:pos="360" w:val="left"/>
        </w:tabs>
        <w:numPr>
          <w:ilvl w:val="0"/>
          <w:numId w:val="44"/>
        </w:numPr>
        <w:rPr>
          <w:rFonts w:ascii="Calibri" w:cs="Calibri" w:eastAsia="Calibri" w:hAnsi="Calibri"/>
          <w:sz w:val="16"/>
          <w:szCs w:val="16"/>
          <w:color w:val="231F20"/>
        </w:rPr>
      </w:pPr>
      <w:r>
        <w:rPr>
          <w:rFonts w:ascii="Calibri" w:cs="Calibri" w:eastAsia="Calibri" w:hAnsi="Calibri"/>
          <w:sz w:val="16"/>
          <w:szCs w:val="16"/>
          <w:color w:val="auto"/>
        </w:rPr>
        <w:t>Represents percentage of votng power of holders of Class A Common Stock and Class V Common Stock votng together as a single class.</w:t>
      </w:r>
    </w:p>
    <w:p>
      <w:pPr>
        <w:jc w:val="both"/>
        <w:ind w:left="380" w:right="40" w:hanging="372"/>
        <w:spacing w:after="0"/>
        <w:tabs>
          <w:tab w:leader="none" w:pos="371" w:val="left"/>
        </w:tabs>
        <w:numPr>
          <w:ilvl w:val="0"/>
          <w:numId w:val="44"/>
        </w:numPr>
        <w:rPr>
          <w:rFonts w:ascii="Calibri" w:cs="Calibri" w:eastAsia="Calibri" w:hAnsi="Calibri"/>
          <w:sz w:val="16"/>
          <w:szCs w:val="16"/>
          <w:color w:val="231F20"/>
        </w:rPr>
      </w:pPr>
      <w:r>
        <w:rPr>
          <w:rFonts w:ascii="Calibri" w:cs="Calibri" w:eastAsia="Calibri" w:hAnsi="Calibri"/>
          <w:sz w:val="16"/>
          <w:szCs w:val="16"/>
          <w:color w:val="auto"/>
        </w:rPr>
        <w:t>Based solely on a Schedule 13D/A fled with the SEC on March 4, 2024. Does not refect the shares underlying the currently outstanding Class 1 Warrants (as defned below) or Class 2 Warrants (as defned below), or 8,722,016 shares of Class A Common Stock that may be issuable pursuant to the ICE Purchase Agreement following receipt of stockholder approval at the Special Meetng and satsfacton of other closing conditons . ICE has entered into the Votng Agreement with the Company, pursuant to which, to the extent that ICE’s votng power as jointly calculated by ICE and the Company, and represented by the shares held by ICE as of the record date for a stockholder mater, exceeds 30% of the total votng power of all of outstanding Class A Common Stock and Class V Common Stock that are issued and outstanding and enttled to vote as of the record date, ICE will irrevocably appoint a proxy, designated by the Board, to vote the excess shares in the same percentages for and against such stockholder mater as votes were cast for and against such stockholder mater by all other stockholders of the Company. ICE is a wholly owned subsidiary of Intercontnental Exchange, Inc. ICE’s principal business address is 5660 New Northside Drive, Atlanta, GA 30328.</w:t>
      </w:r>
    </w:p>
    <w:p>
      <w:pPr>
        <w:spacing w:after="0" w:line="3" w:lineRule="exact"/>
        <w:rPr>
          <w:rFonts w:ascii="Calibri" w:cs="Calibri" w:eastAsia="Calibri" w:hAnsi="Calibri"/>
          <w:sz w:val="16"/>
          <w:szCs w:val="16"/>
          <w:color w:val="231F20"/>
        </w:rPr>
      </w:pPr>
    </w:p>
    <w:p>
      <w:pPr>
        <w:ind w:left="380" w:right="40" w:hanging="372"/>
        <w:spacing w:after="0"/>
        <w:tabs>
          <w:tab w:leader="none" w:pos="371" w:val="left"/>
        </w:tabs>
        <w:numPr>
          <w:ilvl w:val="0"/>
          <w:numId w:val="44"/>
        </w:numPr>
        <w:rPr>
          <w:rFonts w:ascii="Calibri" w:cs="Calibri" w:eastAsia="Calibri" w:hAnsi="Calibri"/>
          <w:sz w:val="16"/>
          <w:szCs w:val="16"/>
          <w:color w:val="231F20"/>
        </w:rPr>
      </w:pPr>
      <w:r>
        <w:rPr>
          <w:rFonts w:ascii="Calibri" w:cs="Calibri" w:eastAsia="Calibri" w:hAnsi="Calibri"/>
          <w:sz w:val="16"/>
          <w:szCs w:val="16"/>
          <w:color w:val="auto"/>
        </w:rPr>
        <w:t>On March 25, 2024, Mr. Michael resigned as President, Chief Executve Ofcer, as an employee of the Company and as a director. Includes (1) 614,920 shares of Class A Common Stock resultng from the acceleraton of PSUs, and (2) 1,131,800 shares of Class A Common Stock resultng from the acceleraton of RSUs.</w:t>
      </w:r>
    </w:p>
    <w:p>
      <w:pPr>
        <w:jc w:val="both"/>
        <w:ind w:left="380" w:right="20" w:hanging="372"/>
        <w:spacing w:after="0" w:line="261" w:lineRule="auto"/>
        <w:tabs>
          <w:tab w:leader="none" w:pos="371" w:val="left"/>
        </w:tabs>
        <w:numPr>
          <w:ilvl w:val="0"/>
          <w:numId w:val="44"/>
        </w:numPr>
        <w:rPr>
          <w:rFonts w:ascii="Calibri" w:cs="Calibri" w:eastAsia="Calibri" w:hAnsi="Calibri"/>
          <w:sz w:val="16"/>
          <w:szCs w:val="16"/>
          <w:color w:val="231F20"/>
        </w:rPr>
      </w:pPr>
      <w:r>
        <w:rPr>
          <w:rFonts w:ascii="Calibri" w:cs="Calibri" w:eastAsia="Calibri" w:hAnsi="Calibri"/>
          <w:sz w:val="16"/>
          <w:szCs w:val="16"/>
          <w:color w:val="auto"/>
        </w:rPr>
        <w:t>Includes Paired Interests directly held by Bakkt Management, LLC (“Bakkt Management”), corresponding to the vested porton of units in Bakkt Management directly held by each noted person. Subject to certain limitatons, units in Bakkt Management are, at the request of the holder, redeemable for an equal number of Paired Interests.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2760"/>
        <w:spacing w:after="0"/>
        <w:tabs>
          <w:tab w:leader="none" w:pos="7080" w:val="left"/>
          <w:tab w:leader="none" w:pos="8300" w:val="left"/>
        </w:tabs>
        <w:rPr>
          <w:sz w:val="20"/>
          <w:szCs w:val="20"/>
          <w:color w:val="auto"/>
        </w:rPr>
      </w:pPr>
      <w:r>
        <w:rPr>
          <w:rFonts w:ascii="Calibri" w:cs="Calibri" w:eastAsia="Calibri" w:hAnsi="Calibri"/>
          <w:sz w:val="16"/>
          <w:szCs w:val="16"/>
          <w:color w:val="auto"/>
        </w:rPr>
        <w:t>Alphareta, GA | New York, NY | Belfast, United Kingdom</w:t>
      </w:r>
      <w:r>
        <w:rPr>
          <w:sz w:val="20"/>
          <w:szCs w:val="20"/>
          <w:color w:val="auto"/>
        </w:rPr>
        <w:tab/>
      </w:r>
      <w:r>
        <w:rPr>
          <w:rFonts w:ascii="Calibri" w:cs="Calibri" w:eastAsia="Calibri" w:hAnsi="Calibri"/>
          <w:sz w:val="16"/>
          <w:szCs w:val="16"/>
          <w:color w:val="auto"/>
        </w:rPr>
        <w:t>www.bakkt.com</w:t>
      </w:r>
      <w:r>
        <w:rPr>
          <w:sz w:val="20"/>
          <w:szCs w:val="20"/>
          <w:color w:val="auto"/>
        </w:rPr>
        <w:tab/>
      </w:r>
      <w:r>
        <w:rPr>
          <w:rFonts w:ascii="Calibri" w:cs="Calibri" w:eastAsia="Calibri" w:hAnsi="Calibri"/>
          <w:sz w:val="17"/>
          <w:szCs w:val="17"/>
          <w:color w:val="auto"/>
        </w:rPr>
        <w:t>60</w:t>
      </w:r>
    </w:p>
    <w:p>
      <w:pPr>
        <w:sectPr>
          <w:pgSz w:w="11900" w:h="16838" w:orient="portrait"/>
          <w:cols w:equalWidth="0" w:num="1">
            <w:col w:w="11260"/>
          </w:cols>
          <w:pgMar w:left="320" w:top="1440" w:right="319" w:bottom="1440" w:gutter="0" w:footer="0" w:header="0"/>
        </w:sectPr>
      </w:pPr>
    </w:p>
    <w:bookmarkStart w:id="66" w:name="page67"/>
    <w:bookmarkEnd w:id="66"/>
    <w:p>
      <w:pPr>
        <w:spacing w:after="0" w:line="158" w:lineRule="exact"/>
        <w:rPr>
          <w:sz w:val="20"/>
          <w:szCs w:val="20"/>
          <w:color w:val="auto"/>
        </w:rPr>
      </w:pPr>
    </w:p>
    <w:p>
      <w:pPr>
        <w:spacing w:after="0"/>
        <w:rPr>
          <w:sz w:val="20"/>
          <w:szCs w:val="20"/>
          <w:color w:val="auto"/>
        </w:rPr>
      </w:pPr>
      <w:r>
        <w:rPr>
          <w:rFonts w:ascii="Calibri" w:cs="Calibri" w:eastAsia="Calibri" w:hAnsi="Calibri"/>
          <w:sz w:val="43"/>
          <w:szCs w:val="43"/>
          <w:color w:val="auto"/>
        </w:rPr>
        <w:t>Delinquent Secton 16(a) Reports</w:t>
      </w:r>
    </w:p>
    <w:p>
      <w:pPr>
        <w:spacing w:after="0" w:line="230" w:lineRule="exact"/>
        <w:rPr>
          <w:sz w:val="20"/>
          <w:szCs w:val="20"/>
          <w:color w:val="auto"/>
        </w:rPr>
      </w:pPr>
    </w:p>
    <w:p>
      <w:pPr>
        <w:jc w:val="both"/>
        <w:spacing w:after="0" w:line="232" w:lineRule="auto"/>
        <w:rPr>
          <w:sz w:val="20"/>
          <w:szCs w:val="20"/>
          <w:color w:val="auto"/>
        </w:rPr>
      </w:pPr>
      <w:r>
        <w:rPr>
          <w:rFonts w:ascii="Calibri" w:cs="Calibri" w:eastAsia="Calibri" w:hAnsi="Calibri"/>
          <w:sz w:val="22"/>
          <w:szCs w:val="22"/>
          <w:color w:val="auto"/>
        </w:rPr>
        <w:t>Under Secton 16(a) of the Exchange Act, each person serving as a director or executve ofcer during the last fscal year and any persons holding 10% or more of the common stock are required to report their ownership of common stock and any changes in that ownership to the SEC within a prescribed period of tme and to furnish the Company with copies of such reports. To the Company’s knowledge, based solely upon a review of copies of such reports received by the Company which were fled with the SEC for the fscal year ended December 31, 2023, and upon writen representatons from such persons that no other reports were required, except one report, including one transacton by Charles Goodroe, was fled late due to administratve error on April 11,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ind w:left="2760"/>
        <w:spacing w:after="0"/>
        <w:tabs>
          <w:tab w:leader="none" w:pos="7080" w:val="left"/>
          <w:tab w:leader="none" w:pos="8300" w:val="left"/>
        </w:tabs>
        <w:rPr>
          <w:sz w:val="20"/>
          <w:szCs w:val="20"/>
          <w:color w:val="auto"/>
        </w:rPr>
      </w:pPr>
      <w:r>
        <w:rPr>
          <w:rFonts w:ascii="Calibri" w:cs="Calibri" w:eastAsia="Calibri" w:hAnsi="Calibri"/>
          <w:sz w:val="16"/>
          <w:szCs w:val="16"/>
          <w:color w:val="auto"/>
        </w:rPr>
        <w:t>Alphareta, GA | New York, NY | Belfast, United Kingdom</w:t>
      </w:r>
      <w:r>
        <w:rPr>
          <w:sz w:val="20"/>
          <w:szCs w:val="20"/>
          <w:color w:val="auto"/>
        </w:rPr>
        <w:tab/>
      </w:r>
      <w:r>
        <w:rPr>
          <w:rFonts w:ascii="Calibri" w:cs="Calibri" w:eastAsia="Calibri" w:hAnsi="Calibri"/>
          <w:sz w:val="16"/>
          <w:szCs w:val="16"/>
          <w:color w:val="auto"/>
        </w:rPr>
        <w:t>www.bakkt.com</w:t>
      </w:r>
      <w:r>
        <w:rPr>
          <w:sz w:val="20"/>
          <w:szCs w:val="20"/>
          <w:color w:val="auto"/>
        </w:rPr>
        <w:tab/>
      </w:r>
      <w:r>
        <w:rPr>
          <w:rFonts w:ascii="Calibri" w:cs="Calibri" w:eastAsia="Calibri" w:hAnsi="Calibri"/>
          <w:sz w:val="17"/>
          <w:szCs w:val="17"/>
          <w:color w:val="auto"/>
        </w:rPr>
        <w:t>61</w:t>
      </w:r>
    </w:p>
    <w:p>
      <w:pPr>
        <w:sectPr>
          <w:pgSz w:w="11900" w:h="16838" w:orient="portrait"/>
          <w:cols w:equalWidth="0" w:num="1">
            <w:col w:w="11240"/>
          </w:cols>
          <w:pgMar w:left="320" w:top="1440" w:right="339" w:bottom="1440" w:gutter="0" w:footer="0" w:header="0"/>
        </w:sectPr>
      </w:pPr>
    </w:p>
    <w:bookmarkStart w:id="67" w:name="page68"/>
    <w:bookmarkEnd w:id="67"/>
    <w:p>
      <w:pPr>
        <w:spacing w:after="0" w:line="158" w:lineRule="exact"/>
        <w:rPr>
          <w:sz w:val="20"/>
          <w:szCs w:val="20"/>
          <w:color w:val="auto"/>
        </w:rPr>
      </w:pPr>
    </w:p>
    <w:p>
      <w:pPr>
        <w:spacing w:after="0"/>
        <w:rPr>
          <w:sz w:val="20"/>
          <w:szCs w:val="20"/>
          <w:color w:val="auto"/>
        </w:rPr>
      </w:pPr>
      <w:r>
        <w:rPr>
          <w:rFonts w:ascii="Calibri" w:cs="Calibri" w:eastAsia="Calibri" w:hAnsi="Calibri"/>
          <w:sz w:val="43"/>
          <w:szCs w:val="43"/>
          <w:color w:val="auto"/>
        </w:rPr>
        <w:t>Related Person Transactons</w:t>
      </w:r>
    </w:p>
    <w:p>
      <w:pPr>
        <w:spacing w:after="0" w:line="217" w:lineRule="exact"/>
        <w:rPr>
          <w:sz w:val="20"/>
          <w:szCs w:val="20"/>
          <w:color w:val="auto"/>
        </w:rPr>
      </w:pPr>
    </w:p>
    <w:p>
      <w:pPr>
        <w:spacing w:after="0"/>
        <w:rPr>
          <w:sz w:val="20"/>
          <w:szCs w:val="20"/>
          <w:color w:val="auto"/>
        </w:rPr>
      </w:pPr>
      <w:r>
        <w:rPr>
          <w:rFonts w:ascii="Calibri" w:cs="Calibri" w:eastAsia="Calibri" w:hAnsi="Calibri"/>
          <w:sz w:val="22"/>
          <w:szCs w:val="22"/>
          <w:color w:val="auto"/>
        </w:rPr>
        <w:t>The following is a descripton of each transacton since January 1, 2023, and each currently proposed transacton, in which:</w:t>
      </w:r>
    </w:p>
    <w:p>
      <w:pPr>
        <w:spacing w:after="0" w:line="136" w:lineRule="exact"/>
        <w:rPr>
          <w:sz w:val="20"/>
          <w:szCs w:val="20"/>
          <w:color w:val="auto"/>
        </w:rPr>
      </w:pPr>
    </w:p>
    <w:p>
      <w:pPr>
        <w:ind w:left="660" w:hanging="328"/>
        <w:spacing w:after="0"/>
        <w:tabs>
          <w:tab w:leader="none" w:pos="660" w:val="left"/>
        </w:tabs>
        <w:numPr>
          <w:ilvl w:val="0"/>
          <w:numId w:val="45"/>
        </w:numPr>
        <w:rPr>
          <w:rFonts w:ascii="Times New Roman" w:cs="Times New Roman" w:eastAsia="Times New Roman" w:hAnsi="Times New Roman"/>
          <w:sz w:val="22"/>
          <w:szCs w:val="22"/>
          <w:color w:val="auto"/>
        </w:rPr>
      </w:pPr>
      <w:r>
        <w:rPr>
          <w:rFonts w:ascii="Calibri" w:cs="Calibri" w:eastAsia="Calibri" w:hAnsi="Calibri"/>
          <w:sz w:val="22"/>
          <w:szCs w:val="22"/>
          <w:color w:val="auto"/>
        </w:rPr>
        <w:t>we were or are to be, or the Company or Opco was, a partcipant;</w:t>
      </w:r>
    </w:p>
    <w:p>
      <w:pPr>
        <w:spacing w:after="0" w:line="124" w:lineRule="exact"/>
        <w:rPr>
          <w:rFonts w:ascii="Times New Roman" w:cs="Times New Roman" w:eastAsia="Times New Roman" w:hAnsi="Times New Roman"/>
          <w:sz w:val="22"/>
          <w:szCs w:val="22"/>
          <w:color w:val="auto"/>
        </w:rPr>
      </w:pPr>
    </w:p>
    <w:p>
      <w:pPr>
        <w:ind w:left="660" w:hanging="328"/>
        <w:spacing w:after="0"/>
        <w:tabs>
          <w:tab w:leader="none" w:pos="660" w:val="left"/>
        </w:tabs>
        <w:numPr>
          <w:ilvl w:val="0"/>
          <w:numId w:val="45"/>
        </w:numPr>
        <w:rPr>
          <w:rFonts w:ascii="Times New Roman" w:cs="Times New Roman" w:eastAsia="Times New Roman" w:hAnsi="Times New Roman"/>
          <w:sz w:val="22"/>
          <w:szCs w:val="22"/>
          <w:color w:val="auto"/>
        </w:rPr>
      </w:pPr>
      <w:r>
        <w:rPr>
          <w:rFonts w:ascii="Calibri" w:cs="Calibri" w:eastAsia="Calibri" w:hAnsi="Calibri"/>
          <w:sz w:val="22"/>
          <w:szCs w:val="22"/>
          <w:color w:val="auto"/>
        </w:rPr>
        <w:t>the amount involved exceeded or exceeds $120,000;</w:t>
      </w:r>
    </w:p>
    <w:p>
      <w:pPr>
        <w:spacing w:after="0" w:line="133" w:lineRule="exact"/>
        <w:rPr>
          <w:rFonts w:ascii="Times New Roman" w:cs="Times New Roman" w:eastAsia="Times New Roman" w:hAnsi="Times New Roman"/>
          <w:sz w:val="22"/>
          <w:szCs w:val="22"/>
          <w:color w:val="auto"/>
        </w:rPr>
      </w:pPr>
    </w:p>
    <w:p>
      <w:pPr>
        <w:jc w:val="both"/>
        <w:ind w:left="660" w:hanging="328"/>
        <w:spacing w:after="0" w:line="229" w:lineRule="auto"/>
        <w:tabs>
          <w:tab w:leader="none" w:pos="655" w:val="left"/>
        </w:tabs>
        <w:numPr>
          <w:ilvl w:val="0"/>
          <w:numId w:val="45"/>
        </w:numPr>
        <w:rPr>
          <w:rFonts w:ascii="Times New Roman" w:cs="Times New Roman" w:eastAsia="Times New Roman" w:hAnsi="Times New Roman"/>
          <w:sz w:val="22"/>
          <w:szCs w:val="22"/>
          <w:color w:val="auto"/>
        </w:rPr>
      </w:pPr>
      <w:r>
        <w:rPr>
          <w:rFonts w:ascii="Calibri" w:cs="Calibri" w:eastAsia="Calibri" w:hAnsi="Calibri"/>
          <w:sz w:val="22"/>
          <w:szCs w:val="22"/>
          <w:color w:val="auto"/>
        </w:rPr>
        <w:t>any of the Company’s or Opco’s directors, executve ofcers, or benefcial holders of more than 5% of any class of our capital stock, or any immediate family member of, or person sharing the household with, any of these individuals or enttes, had or will have a direct or indirect material interest.</w:t>
      </w:r>
    </w:p>
    <w:p>
      <w:pPr>
        <w:spacing w:after="0" w:line="220" w:lineRule="exact"/>
        <w:rPr>
          <w:sz w:val="20"/>
          <w:szCs w:val="20"/>
          <w:color w:val="auto"/>
        </w:rPr>
      </w:pPr>
    </w:p>
    <w:p>
      <w:pPr>
        <w:spacing w:after="0"/>
        <w:rPr>
          <w:sz w:val="20"/>
          <w:szCs w:val="20"/>
          <w:color w:val="auto"/>
        </w:rPr>
      </w:pPr>
      <w:r>
        <w:rPr>
          <w:rFonts w:ascii="Calibri" w:cs="Calibri" w:eastAsia="Calibri" w:hAnsi="Calibri"/>
          <w:sz w:val="22"/>
          <w:szCs w:val="22"/>
          <w:b w:val="1"/>
          <w:bCs w:val="1"/>
          <w:color w:val="auto"/>
        </w:rPr>
        <w:t>Opco LLC Agreement</w:t>
      </w:r>
    </w:p>
    <w:p>
      <w:pPr>
        <w:spacing w:after="0" w:line="214" w:lineRule="exact"/>
        <w:rPr>
          <w:sz w:val="20"/>
          <w:szCs w:val="20"/>
          <w:color w:val="auto"/>
        </w:rPr>
      </w:pPr>
    </w:p>
    <w:p>
      <w:pPr>
        <w:jc w:val="both"/>
        <w:spacing w:after="0" w:line="230" w:lineRule="auto"/>
        <w:rPr>
          <w:sz w:val="20"/>
          <w:szCs w:val="20"/>
          <w:color w:val="auto"/>
        </w:rPr>
      </w:pPr>
      <w:r>
        <w:rPr>
          <w:rFonts w:ascii="Calibri" w:cs="Calibri" w:eastAsia="Calibri" w:hAnsi="Calibri"/>
          <w:sz w:val="22"/>
          <w:szCs w:val="22"/>
          <w:color w:val="auto"/>
        </w:rPr>
        <w:t>At the Closing, the existng second amended and restated limited liability company agreement of Opco was amended and restated in its entrety in accordance with its terms, and the Opco LLC Agreement was adopted. The Company, as the managing member of Opco, has the sole vote on maters that require a vote of members under the Opco LLC Agreement or applicable law, except that holders consttutng the Required Interest have certain consent rights. “Required Interest” means one or more members (excluding the managing member) holding a majority of the common units of Opco (“Opco Common Units”) then owned by all of the members, excluding the Opco Common Units held by the managing member or any members controlled by the managing member (unless no person other than the managing member holds Opco Common Units, then the Required Interest will be the managing member). For example, the managing member may not, without the prior writen consent of a Required Interest, engage in any transacton that results in the direct or indirect transfer of all or any porton of the managing member’s interest in Opco in connecton with (a) a merger, consolidaton or other combinaton involving the managing member, on the one hand, and any other person, on the other, or (b) a sale, lease, exchange or other transfer of all or substantally all of the assets of the managing member not in the ordinary course of its business, whether in a single transacton or a series of related transactons, or (c) a direct or indirect transfer of all or substantally all of the managing member’s interest in Opco, subject to certain exceptons.</w:t>
      </w:r>
    </w:p>
    <w:p>
      <w:pPr>
        <w:spacing w:after="0" w:line="231" w:lineRule="exact"/>
        <w:rPr>
          <w:sz w:val="20"/>
          <w:szCs w:val="20"/>
          <w:color w:val="auto"/>
        </w:rPr>
      </w:pPr>
    </w:p>
    <w:p>
      <w:pPr>
        <w:jc w:val="both"/>
        <w:spacing w:after="0" w:line="233" w:lineRule="auto"/>
        <w:rPr>
          <w:sz w:val="20"/>
          <w:szCs w:val="20"/>
          <w:color w:val="auto"/>
        </w:rPr>
      </w:pPr>
      <w:r>
        <w:rPr>
          <w:rFonts w:ascii="Calibri" w:cs="Calibri" w:eastAsia="Calibri" w:hAnsi="Calibri"/>
          <w:sz w:val="22"/>
          <w:szCs w:val="22"/>
          <w:color w:val="auto"/>
        </w:rPr>
        <w:t>We, as managing member of Opco, may, in our sole discreton, authorize distributons to the Opco members. All such distributons must be made pro rata in accordance with each member’s interest in Opco, which is based on the number of Opco Common Units held by a member bears to the total number of Opco Common Units owned by all of the members.</w:t>
      </w:r>
    </w:p>
    <w:p>
      <w:pPr>
        <w:spacing w:after="0" w:line="217" w:lineRule="exact"/>
        <w:rPr>
          <w:sz w:val="20"/>
          <w:szCs w:val="20"/>
          <w:color w:val="auto"/>
        </w:rPr>
      </w:pPr>
    </w:p>
    <w:p>
      <w:pPr>
        <w:jc w:val="both"/>
        <w:spacing w:after="0"/>
        <w:rPr>
          <w:sz w:val="20"/>
          <w:szCs w:val="20"/>
          <w:color w:val="auto"/>
        </w:rPr>
      </w:pPr>
      <w:r>
        <w:rPr>
          <w:rFonts w:ascii="Calibri" w:cs="Calibri" w:eastAsia="Calibri" w:hAnsi="Calibri"/>
          <w:sz w:val="21"/>
          <w:szCs w:val="21"/>
          <w:color w:val="auto"/>
        </w:rPr>
        <w:t>The Opco LLC Agreement provides for tax-related cash distributons to the holders of Opco Common Units (“tax distributons”). Generally, tax distributons will be the pro rata distributon amount necessary to permit the Company to receive an aggregate annual tax distributon that is not less than the sum of (a) our U.S. federal, state, local and non-U.S. income tax liabilites plus</w:t>
      </w:r>
    </w:p>
    <w:p>
      <w:pPr>
        <w:spacing w:after="0" w:line="229" w:lineRule="auto"/>
        <w:rPr>
          <w:sz w:val="20"/>
          <w:szCs w:val="20"/>
          <w:color w:val="auto"/>
        </w:rPr>
      </w:pPr>
      <w:r>
        <w:rPr>
          <w:rFonts w:ascii="Calibri" w:cs="Calibri" w:eastAsia="Calibri" w:hAnsi="Calibri"/>
          <w:sz w:val="22"/>
          <w:szCs w:val="22"/>
          <w:color w:val="auto"/>
        </w:rPr>
        <w:t>(b) the amount necessary to satsfy our payment obligatons pursuant to the Tax Receivable Agreement (as defned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2760"/>
        <w:spacing w:after="0"/>
        <w:tabs>
          <w:tab w:leader="none" w:pos="7080" w:val="left"/>
          <w:tab w:leader="none" w:pos="8300" w:val="left"/>
        </w:tabs>
        <w:rPr>
          <w:sz w:val="20"/>
          <w:szCs w:val="20"/>
          <w:color w:val="auto"/>
        </w:rPr>
      </w:pPr>
      <w:r>
        <w:rPr>
          <w:rFonts w:ascii="Calibri" w:cs="Calibri" w:eastAsia="Calibri" w:hAnsi="Calibri"/>
          <w:sz w:val="16"/>
          <w:szCs w:val="16"/>
          <w:color w:val="auto"/>
        </w:rPr>
        <w:t>Alphareta, GA | New York, NY | Belfast, United Kingdom</w:t>
      </w:r>
      <w:r>
        <w:rPr>
          <w:sz w:val="20"/>
          <w:szCs w:val="20"/>
          <w:color w:val="auto"/>
        </w:rPr>
        <w:tab/>
      </w:r>
      <w:r>
        <w:rPr>
          <w:rFonts w:ascii="Calibri" w:cs="Calibri" w:eastAsia="Calibri" w:hAnsi="Calibri"/>
          <w:sz w:val="16"/>
          <w:szCs w:val="16"/>
          <w:color w:val="auto"/>
        </w:rPr>
        <w:t>www.bakkt.com</w:t>
      </w:r>
      <w:r>
        <w:rPr>
          <w:sz w:val="20"/>
          <w:szCs w:val="20"/>
          <w:color w:val="auto"/>
        </w:rPr>
        <w:tab/>
      </w:r>
      <w:r>
        <w:rPr>
          <w:rFonts w:ascii="Calibri" w:cs="Calibri" w:eastAsia="Calibri" w:hAnsi="Calibri"/>
          <w:sz w:val="17"/>
          <w:szCs w:val="17"/>
          <w:color w:val="auto"/>
        </w:rPr>
        <w:t>62</w:t>
      </w:r>
    </w:p>
    <w:p>
      <w:pPr>
        <w:sectPr>
          <w:pgSz w:w="11900" w:h="16838" w:orient="portrait"/>
          <w:cols w:equalWidth="0" w:num="1">
            <w:col w:w="11240"/>
          </w:cols>
          <w:pgMar w:left="320" w:top="1440" w:right="339" w:bottom="1440" w:gutter="0" w:footer="0" w:header="0"/>
        </w:sectPr>
      </w:pPr>
    </w:p>
    <w:bookmarkStart w:id="68" w:name="page69"/>
    <w:bookmarkEnd w:id="68"/>
    <w:p>
      <w:pPr>
        <w:spacing w:after="0" w:line="173" w:lineRule="exact"/>
        <w:rPr>
          <w:sz w:val="20"/>
          <w:szCs w:val="20"/>
          <w:color w:val="auto"/>
        </w:rPr>
      </w:pPr>
    </w:p>
    <w:p>
      <w:pPr>
        <w:spacing w:after="0"/>
        <w:rPr>
          <w:sz w:val="20"/>
          <w:szCs w:val="20"/>
          <w:color w:val="auto"/>
        </w:rPr>
      </w:pPr>
      <w:r>
        <w:rPr>
          <w:rFonts w:ascii="Calibri" w:cs="Calibri" w:eastAsia="Calibri" w:hAnsi="Calibri"/>
          <w:sz w:val="22"/>
          <w:szCs w:val="22"/>
          <w:b w:val="1"/>
          <w:bCs w:val="1"/>
          <w:color w:val="auto"/>
        </w:rPr>
        <w:t>Registraton Rights Agreement</w:t>
      </w:r>
    </w:p>
    <w:p>
      <w:pPr>
        <w:spacing w:after="0" w:line="215" w:lineRule="exact"/>
        <w:rPr>
          <w:sz w:val="20"/>
          <w:szCs w:val="20"/>
          <w:color w:val="auto"/>
        </w:rPr>
      </w:pPr>
    </w:p>
    <w:p>
      <w:pPr>
        <w:jc w:val="both"/>
        <w:spacing w:after="0" w:line="243" w:lineRule="auto"/>
        <w:rPr>
          <w:sz w:val="20"/>
          <w:szCs w:val="20"/>
          <w:color w:val="auto"/>
        </w:rPr>
      </w:pPr>
      <w:r>
        <w:rPr>
          <w:rFonts w:ascii="Calibri" w:cs="Calibri" w:eastAsia="Calibri" w:hAnsi="Calibri"/>
          <w:sz w:val="21"/>
          <w:szCs w:val="21"/>
          <w:color w:val="auto"/>
        </w:rPr>
        <w:t>Concurrently with the Closing, we entered into a Registraton Rights Agreement (the “Registraton Rights Agreement”) with the Sponsor, the Opco equity holders (“Opco Equity Holders”) and certain other partes named therein. Pursuant to the Registraton Rights Agreement, we are obligated to fle a registraton statement covering the resale of registrable securites held by the Opco Equity Holders as soon as practcable afer the Closing, but in any event within 30 days afer the Closing, such that the holders of such registrable securites may from tme to tme sell such securites. We have provided the holders of registrable securites under the Registraton Rights Agreement with certain underwriten ofering demand rights, provided that the demanding holders in the aggregate hold at least $50.0 million of registrable securites. The holders of registrable securites will have certain rights to require us to register the resale of registrable securites on Form S-3, if available for use by us. The holders of registrable securites will be enttled to certain customary “piggyback” registraton rights on all registraton statements of ours.</w:t>
      </w:r>
    </w:p>
    <w:p>
      <w:pPr>
        <w:spacing w:after="0" w:line="215" w:lineRule="exact"/>
        <w:rPr>
          <w:sz w:val="20"/>
          <w:szCs w:val="20"/>
          <w:color w:val="auto"/>
        </w:rPr>
      </w:pPr>
    </w:p>
    <w:p>
      <w:pPr>
        <w:jc w:val="both"/>
        <w:spacing w:after="0" w:line="231" w:lineRule="auto"/>
        <w:rPr>
          <w:sz w:val="20"/>
          <w:szCs w:val="20"/>
          <w:color w:val="auto"/>
        </w:rPr>
      </w:pPr>
      <w:r>
        <w:rPr>
          <w:rFonts w:ascii="Calibri" w:cs="Calibri" w:eastAsia="Calibri" w:hAnsi="Calibri"/>
          <w:sz w:val="22"/>
          <w:szCs w:val="22"/>
          <w:color w:val="auto"/>
        </w:rPr>
        <w:t>Under the Registraton Rights Agreement, we agreed to indemnify the holders of registrable securites and certain third partes against any losses or damages resultng from any untrue statement or omission of a material fact in any registraton statement or prospectus pursuant to which they sell shares of the Company. Holders of registrable securites agreed to indemnify us and our ofcers and directors and controlling persons against all losses caused by their misstatements or omissions in any such registraton statement or prospectus.</w:t>
      </w:r>
    </w:p>
    <w:p>
      <w:pPr>
        <w:spacing w:after="0" w:line="209" w:lineRule="exact"/>
        <w:rPr>
          <w:sz w:val="20"/>
          <w:szCs w:val="20"/>
          <w:color w:val="auto"/>
        </w:rPr>
      </w:pPr>
    </w:p>
    <w:p>
      <w:pPr>
        <w:spacing w:after="0"/>
        <w:rPr>
          <w:sz w:val="20"/>
          <w:szCs w:val="20"/>
          <w:color w:val="auto"/>
        </w:rPr>
      </w:pPr>
      <w:r>
        <w:rPr>
          <w:rFonts w:ascii="Calibri" w:cs="Calibri" w:eastAsia="Calibri" w:hAnsi="Calibri"/>
          <w:sz w:val="22"/>
          <w:szCs w:val="22"/>
          <w:b w:val="1"/>
          <w:bCs w:val="1"/>
          <w:color w:val="auto"/>
        </w:rPr>
        <w:t>Votng Agreement</w:t>
      </w:r>
    </w:p>
    <w:p>
      <w:pPr>
        <w:spacing w:after="0" w:line="214" w:lineRule="exact"/>
        <w:rPr>
          <w:sz w:val="20"/>
          <w:szCs w:val="20"/>
          <w:color w:val="auto"/>
        </w:rPr>
      </w:pPr>
    </w:p>
    <w:p>
      <w:pPr>
        <w:jc w:val="both"/>
        <w:spacing w:after="0" w:line="232" w:lineRule="auto"/>
        <w:rPr>
          <w:sz w:val="20"/>
          <w:szCs w:val="20"/>
          <w:color w:val="auto"/>
        </w:rPr>
      </w:pPr>
      <w:r>
        <w:rPr>
          <w:rFonts w:ascii="Calibri" w:cs="Calibri" w:eastAsia="Calibri" w:hAnsi="Calibri"/>
          <w:sz w:val="22"/>
          <w:szCs w:val="22"/>
          <w:color w:val="auto"/>
        </w:rPr>
        <w:t>At the Closing, we entered into a Votng Agreement (the “Votng Agreement”) with ICE, pursuant to which ICE agreed, subject to certain exceptons, to irrevocably appoint a proxy, designated by the Board, to vote the number of its shares of common stock that exceeds 30% of the shares enttled to vote on such mater in the same percentages for and against such mater as votes were cast for and against such mater by all other stockholders of ours.</w:t>
      </w:r>
    </w:p>
    <w:p>
      <w:pPr>
        <w:spacing w:after="0" w:line="217" w:lineRule="exact"/>
        <w:rPr>
          <w:sz w:val="20"/>
          <w:szCs w:val="20"/>
          <w:color w:val="auto"/>
        </w:rPr>
      </w:pPr>
    </w:p>
    <w:p>
      <w:pPr>
        <w:jc w:val="both"/>
        <w:spacing w:after="0" w:line="229" w:lineRule="auto"/>
        <w:rPr>
          <w:sz w:val="20"/>
          <w:szCs w:val="20"/>
          <w:color w:val="auto"/>
        </w:rPr>
      </w:pPr>
      <w:r>
        <w:rPr>
          <w:rFonts w:ascii="Calibri" w:cs="Calibri" w:eastAsia="Calibri" w:hAnsi="Calibri"/>
          <w:sz w:val="22"/>
          <w:szCs w:val="22"/>
          <w:color w:val="auto"/>
        </w:rPr>
        <w:t>The Votng Agreement will terminate if the votng power represented by the shares of Class A Common Stock and shares of Class V Common Stock benefcially owned by ICE and its afliates falls below 50% of the total votng power of the common stock issued and outstanding and enttled to vote at any tme.</w:t>
      </w:r>
    </w:p>
    <w:p>
      <w:pPr>
        <w:spacing w:after="0" w:line="206" w:lineRule="exact"/>
        <w:rPr>
          <w:sz w:val="20"/>
          <w:szCs w:val="20"/>
          <w:color w:val="auto"/>
        </w:rPr>
      </w:pPr>
    </w:p>
    <w:p>
      <w:pPr>
        <w:spacing w:after="0"/>
        <w:rPr>
          <w:sz w:val="20"/>
          <w:szCs w:val="20"/>
          <w:color w:val="auto"/>
        </w:rPr>
      </w:pPr>
      <w:r>
        <w:rPr>
          <w:rFonts w:ascii="Calibri" w:cs="Calibri" w:eastAsia="Calibri" w:hAnsi="Calibri"/>
          <w:sz w:val="22"/>
          <w:szCs w:val="22"/>
          <w:b w:val="1"/>
          <w:bCs w:val="1"/>
          <w:color w:val="auto"/>
        </w:rPr>
        <w:t>ICE Ofering</w:t>
      </w:r>
    </w:p>
    <w:p>
      <w:pPr>
        <w:spacing w:after="0" w:line="228" w:lineRule="exact"/>
        <w:rPr>
          <w:sz w:val="20"/>
          <w:szCs w:val="20"/>
          <w:color w:val="auto"/>
        </w:rPr>
      </w:pPr>
    </w:p>
    <w:p>
      <w:pPr>
        <w:jc w:val="both"/>
        <w:spacing w:after="0" w:line="229" w:lineRule="auto"/>
        <w:rPr>
          <w:sz w:val="20"/>
          <w:szCs w:val="20"/>
          <w:color w:val="auto"/>
        </w:rPr>
      </w:pPr>
      <w:r>
        <w:rPr>
          <w:rFonts w:ascii="Calibri" w:cs="Calibri" w:eastAsia="Calibri" w:hAnsi="Calibri"/>
          <w:sz w:val="22"/>
          <w:szCs w:val="22"/>
          <w:color w:val="auto"/>
        </w:rPr>
        <w:t>In the ICE Ofering, on February 29, 2024, the Company entered into the ICE Purchase Agreement with ICE, pursuant to which the Company agreed to sell to ICE up to 11,534,025 shares of Class A Common Stock, Class 1 Warrants to purchase up to 5,767,012 shares of Class A Common Stock (“Class 1 Warrants”), and Class 2 Warrants to purchase up to 5,767,012 shares of Class A Common Stock (“Class 2 Warrants”). The purchase price of each share of Class A Common Stock, Class 1 Warrant and Class 2 Warrant in the ICE Ofering was $0.8670.</w:t>
      </w:r>
    </w:p>
    <w:p>
      <w:pPr>
        <w:spacing w:after="0" w:line="217" w:lineRule="exact"/>
        <w:rPr>
          <w:sz w:val="20"/>
          <w:szCs w:val="20"/>
          <w:color w:val="auto"/>
        </w:rPr>
      </w:pPr>
    </w:p>
    <w:p>
      <w:pPr>
        <w:jc w:val="both"/>
        <w:spacing w:after="0" w:line="235" w:lineRule="auto"/>
        <w:rPr>
          <w:sz w:val="20"/>
          <w:szCs w:val="20"/>
          <w:color w:val="auto"/>
        </w:rPr>
      </w:pPr>
      <w:r>
        <w:rPr>
          <w:rFonts w:ascii="Calibri" w:cs="Calibri" w:eastAsia="Calibri" w:hAnsi="Calibri"/>
          <w:sz w:val="22"/>
          <w:szCs w:val="22"/>
          <w:color w:val="auto"/>
        </w:rPr>
        <w:t>On March 4, 2024, the Company closed the sale and issuance to ICE of 2,762,009 shares of Class A Common Stock, Class 1 Warrants to purchase up to 1,381,004 shares of Class A Common Stock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left="2760"/>
        <w:spacing w:after="0"/>
        <w:tabs>
          <w:tab w:leader="none" w:pos="7080" w:val="left"/>
          <w:tab w:leader="none" w:pos="8300" w:val="left"/>
        </w:tabs>
        <w:rPr>
          <w:sz w:val="20"/>
          <w:szCs w:val="20"/>
          <w:color w:val="auto"/>
        </w:rPr>
      </w:pPr>
      <w:r>
        <w:rPr>
          <w:rFonts w:ascii="Calibri" w:cs="Calibri" w:eastAsia="Calibri" w:hAnsi="Calibri"/>
          <w:sz w:val="16"/>
          <w:szCs w:val="16"/>
          <w:color w:val="auto"/>
        </w:rPr>
        <w:t>Alphareta, GA | New York, NY | Belfast, United Kingdom</w:t>
      </w:r>
      <w:r>
        <w:rPr>
          <w:sz w:val="20"/>
          <w:szCs w:val="20"/>
          <w:color w:val="auto"/>
        </w:rPr>
        <w:tab/>
      </w:r>
      <w:r>
        <w:rPr>
          <w:rFonts w:ascii="Calibri" w:cs="Calibri" w:eastAsia="Calibri" w:hAnsi="Calibri"/>
          <w:sz w:val="16"/>
          <w:szCs w:val="16"/>
          <w:color w:val="auto"/>
        </w:rPr>
        <w:t>www.bakkt.com</w:t>
      </w:r>
      <w:r>
        <w:rPr>
          <w:sz w:val="20"/>
          <w:szCs w:val="20"/>
          <w:color w:val="auto"/>
        </w:rPr>
        <w:tab/>
      </w:r>
      <w:r>
        <w:rPr>
          <w:rFonts w:ascii="Calibri" w:cs="Calibri" w:eastAsia="Calibri" w:hAnsi="Calibri"/>
          <w:sz w:val="17"/>
          <w:szCs w:val="17"/>
          <w:color w:val="auto"/>
        </w:rPr>
        <w:t>63</w:t>
      </w:r>
    </w:p>
    <w:p>
      <w:pPr>
        <w:sectPr>
          <w:pgSz w:w="11900" w:h="16838" w:orient="portrait"/>
          <w:cols w:equalWidth="0" w:num="1">
            <w:col w:w="11240"/>
          </w:cols>
          <w:pgMar w:left="320" w:top="1440" w:right="339" w:bottom="1440" w:gutter="0" w:footer="0" w:header="0"/>
        </w:sectPr>
      </w:pPr>
    </w:p>
    <w:bookmarkStart w:id="69" w:name="page70"/>
    <w:bookmarkEnd w:id="69"/>
    <w:p>
      <w:pPr>
        <w:spacing w:after="0" w:line="184" w:lineRule="exact"/>
        <w:rPr>
          <w:sz w:val="20"/>
          <w:szCs w:val="20"/>
          <w:color w:val="auto"/>
        </w:rPr>
      </w:pPr>
    </w:p>
    <w:p>
      <w:pPr>
        <w:jc w:val="both"/>
        <w:spacing w:after="0" w:line="231" w:lineRule="auto"/>
        <w:rPr>
          <w:sz w:val="20"/>
          <w:szCs w:val="20"/>
          <w:color w:val="auto"/>
        </w:rPr>
      </w:pPr>
      <w:r>
        <w:rPr>
          <w:rFonts w:ascii="Calibri" w:cs="Calibri" w:eastAsia="Calibri" w:hAnsi="Calibri"/>
          <w:sz w:val="22"/>
          <w:szCs w:val="22"/>
          <w:color w:val="auto"/>
        </w:rPr>
        <w:t>Class 2 Warrants to purchase up to 1,381,004 shares of Class A Common Stock. The closing of the issuance and sale of the remaining 8,772,016 shares of Class A Common Stock, Class 1 Warrants to purchase up to 4,386,008 shares of Class A Common Stock and Class 2 Warrants to purchase up to 4,386,008 shares of Class A Common Stock in the ICE Ofering is conditoned on the Company obtaining stockholder approval for such issuances, which is being sought as Proposal 1 to the Special Meetng Proxy.</w:t>
      </w:r>
    </w:p>
    <w:p>
      <w:pPr>
        <w:spacing w:after="0" w:line="220" w:lineRule="exact"/>
        <w:rPr>
          <w:sz w:val="20"/>
          <w:szCs w:val="20"/>
          <w:color w:val="auto"/>
        </w:rPr>
      </w:pPr>
    </w:p>
    <w:p>
      <w:pPr>
        <w:jc w:val="both"/>
        <w:spacing w:after="0" w:line="229" w:lineRule="auto"/>
        <w:rPr>
          <w:sz w:val="20"/>
          <w:szCs w:val="20"/>
          <w:color w:val="auto"/>
        </w:rPr>
      </w:pPr>
      <w:r>
        <w:rPr>
          <w:rFonts w:ascii="Calibri" w:cs="Calibri" w:eastAsia="Calibri" w:hAnsi="Calibri"/>
          <w:sz w:val="22"/>
          <w:szCs w:val="22"/>
          <w:color w:val="auto"/>
        </w:rPr>
        <w:t>The shares of Class A Common Stock reported above and the purchase price of the accompanying Warrant has not been adjusted to refect the proposed 25:1 reverse stock split as proposed in Proposal 2 of the Special Meetng Proxy.</w:t>
      </w:r>
    </w:p>
    <w:p>
      <w:pPr>
        <w:spacing w:after="0" w:line="206" w:lineRule="exact"/>
        <w:rPr>
          <w:sz w:val="20"/>
          <w:szCs w:val="20"/>
          <w:color w:val="auto"/>
        </w:rPr>
      </w:pPr>
    </w:p>
    <w:p>
      <w:pPr>
        <w:spacing w:after="0"/>
        <w:rPr>
          <w:sz w:val="20"/>
          <w:szCs w:val="20"/>
          <w:color w:val="auto"/>
        </w:rPr>
      </w:pPr>
      <w:r>
        <w:rPr>
          <w:rFonts w:ascii="Calibri" w:cs="Calibri" w:eastAsia="Calibri" w:hAnsi="Calibri"/>
          <w:sz w:val="22"/>
          <w:szCs w:val="22"/>
          <w:b w:val="1"/>
          <w:bCs w:val="1"/>
          <w:color w:val="auto"/>
        </w:rPr>
        <w:t>Votng Support Agreement</w:t>
      </w:r>
    </w:p>
    <w:p>
      <w:pPr>
        <w:spacing w:after="0" w:line="228" w:lineRule="exact"/>
        <w:rPr>
          <w:sz w:val="20"/>
          <w:szCs w:val="20"/>
          <w:color w:val="auto"/>
        </w:rPr>
      </w:pPr>
    </w:p>
    <w:p>
      <w:pPr>
        <w:jc w:val="both"/>
        <w:spacing w:after="0" w:line="230" w:lineRule="auto"/>
        <w:rPr>
          <w:sz w:val="20"/>
          <w:szCs w:val="20"/>
          <w:color w:val="auto"/>
        </w:rPr>
      </w:pPr>
      <w:r>
        <w:rPr>
          <w:rFonts w:ascii="Calibri" w:cs="Calibri" w:eastAsia="Calibri" w:hAnsi="Calibri"/>
          <w:sz w:val="22"/>
          <w:szCs w:val="22"/>
          <w:color w:val="auto"/>
        </w:rPr>
        <w:t>In connecton with the ICE Ofering, ICE entered into a votng support agreement with the Company (the “Votng Support Agreement”), pursuant to which ICE agreed, among other things, to vote in favor of Proposal 1 as set forth the Special Meetng Proxy, subject to the limitatons set forth in the Votng Agreement. Under the Votng Agreement, ICE agreed, subject to certain exceptons, to irrevocably appoint a proxy, designated by the Board, to vote the number of its shares of common stock that exceeds 30% of the shares enttled to vote on such mater in the same percentages for and against such mater as votes were cast for and against such mater by all of the Company’s other stockholders. As such, under the Votng Support Agreement and the Votng Agreement, ICE has agreed (i) to vote the shares of common stock that it owns consttutng 30% of the outstanding common stock in favor of Proposal 1 as set forth in the Special Meetng Proxy and (ii) to vote the remainder of its shares of common stock for and against this Proposal 1 as set forth in the Special Meetng Proxy as votes are cast for and against Proposal 1 as set forth in the Special Meetng Proxy by all of the Company’s other stockholders.</w:t>
      </w:r>
    </w:p>
    <w:p>
      <w:pPr>
        <w:spacing w:after="0" w:line="208" w:lineRule="exact"/>
        <w:rPr>
          <w:sz w:val="20"/>
          <w:szCs w:val="20"/>
          <w:color w:val="auto"/>
        </w:rPr>
      </w:pPr>
    </w:p>
    <w:p>
      <w:pPr>
        <w:spacing w:after="0"/>
        <w:rPr>
          <w:sz w:val="20"/>
          <w:szCs w:val="20"/>
          <w:color w:val="auto"/>
        </w:rPr>
      </w:pPr>
      <w:r>
        <w:rPr>
          <w:rFonts w:ascii="Calibri" w:cs="Calibri" w:eastAsia="Calibri" w:hAnsi="Calibri"/>
          <w:sz w:val="22"/>
          <w:szCs w:val="22"/>
          <w:b w:val="1"/>
          <w:bCs w:val="1"/>
          <w:color w:val="auto"/>
        </w:rPr>
        <w:t>Exchange Agreement</w:t>
      </w:r>
    </w:p>
    <w:p>
      <w:pPr>
        <w:spacing w:after="0" w:line="230" w:lineRule="exact"/>
        <w:rPr>
          <w:sz w:val="20"/>
          <w:szCs w:val="20"/>
          <w:color w:val="auto"/>
        </w:rPr>
      </w:pPr>
    </w:p>
    <w:p>
      <w:pPr>
        <w:jc w:val="both"/>
        <w:spacing w:after="0" w:line="229" w:lineRule="auto"/>
        <w:rPr>
          <w:sz w:val="20"/>
          <w:szCs w:val="20"/>
          <w:color w:val="auto"/>
        </w:rPr>
      </w:pPr>
      <w:r>
        <w:rPr>
          <w:rFonts w:ascii="Calibri" w:cs="Calibri" w:eastAsia="Calibri" w:hAnsi="Calibri"/>
          <w:sz w:val="22"/>
          <w:szCs w:val="22"/>
          <w:color w:val="auto"/>
        </w:rPr>
        <w:t>At the Closing, we, Opco and certain Opco Equity Holders entered into an Exchange Agreement, which provides for the exchange of Opco Common Units and a corresponding number of shares of Class V Common Stock into shares of Class A Common Stock or an amount in cash equal to the value of the shares.</w:t>
      </w:r>
    </w:p>
    <w:p>
      <w:pPr>
        <w:spacing w:after="0" w:line="217" w:lineRule="exact"/>
        <w:rPr>
          <w:sz w:val="20"/>
          <w:szCs w:val="20"/>
          <w:color w:val="auto"/>
        </w:rPr>
      </w:pPr>
    </w:p>
    <w:p>
      <w:pPr>
        <w:jc w:val="both"/>
        <w:spacing w:after="0" w:line="232" w:lineRule="auto"/>
        <w:rPr>
          <w:sz w:val="20"/>
          <w:szCs w:val="20"/>
          <w:color w:val="auto"/>
        </w:rPr>
      </w:pPr>
      <w:r>
        <w:rPr>
          <w:rFonts w:ascii="Calibri" w:cs="Calibri" w:eastAsia="Calibri" w:hAnsi="Calibri"/>
          <w:sz w:val="22"/>
          <w:szCs w:val="22"/>
          <w:color w:val="auto"/>
        </w:rPr>
        <w:t>Pursuant to the terms of the Exchange Agreement, the Opco Equity Holders may, afer the six-month anniversary of the Closing, on certain dates set forth in the Exchange Agreement, but no more than once per calendar month without our or Opco’s prior writen consent, exchange all or any porton of their vested Opco Common Units (along with the cancelaton of the paired shares of Class V Common Stock) for the same number of shares of Class A Common Stock, provided that no holder of Opco Common Units may exchange less than 25,000 Opco Common Units in any single exchange unless such Opco Equity Holder is exchanging all of his, her or its Opco Common Units. We may, in lieu of delivering shares of Class A Common Stock for any Opco Common Units surrendered for exchange, pay an amount in cash per Opco Common Units equal to the volume weighted average price per share of Class A Common Stock over the fve consecutve full trading days ending on and including the last full trading day immediately prior to the date of the receipt of the writen notce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2760"/>
        <w:spacing w:after="0"/>
        <w:tabs>
          <w:tab w:leader="none" w:pos="7080" w:val="left"/>
          <w:tab w:leader="none" w:pos="8300" w:val="left"/>
        </w:tabs>
        <w:rPr>
          <w:sz w:val="20"/>
          <w:szCs w:val="20"/>
          <w:color w:val="auto"/>
        </w:rPr>
      </w:pPr>
      <w:r>
        <w:rPr>
          <w:rFonts w:ascii="Calibri" w:cs="Calibri" w:eastAsia="Calibri" w:hAnsi="Calibri"/>
          <w:sz w:val="16"/>
          <w:szCs w:val="16"/>
          <w:color w:val="auto"/>
        </w:rPr>
        <w:t>Alphareta, GA | New York, NY | Belfast, United Kingdom</w:t>
      </w:r>
      <w:r>
        <w:rPr>
          <w:sz w:val="20"/>
          <w:szCs w:val="20"/>
          <w:color w:val="auto"/>
        </w:rPr>
        <w:tab/>
      </w:r>
      <w:r>
        <w:rPr>
          <w:rFonts w:ascii="Calibri" w:cs="Calibri" w:eastAsia="Calibri" w:hAnsi="Calibri"/>
          <w:sz w:val="16"/>
          <w:szCs w:val="16"/>
          <w:color w:val="auto"/>
        </w:rPr>
        <w:t>www.bakkt.com</w:t>
      </w:r>
      <w:r>
        <w:rPr>
          <w:sz w:val="20"/>
          <w:szCs w:val="20"/>
          <w:color w:val="auto"/>
        </w:rPr>
        <w:tab/>
      </w:r>
      <w:r>
        <w:rPr>
          <w:rFonts w:ascii="Calibri" w:cs="Calibri" w:eastAsia="Calibri" w:hAnsi="Calibri"/>
          <w:sz w:val="17"/>
          <w:szCs w:val="17"/>
          <w:color w:val="auto"/>
        </w:rPr>
        <w:t>64</w:t>
      </w:r>
    </w:p>
    <w:p>
      <w:pPr>
        <w:sectPr>
          <w:pgSz w:w="11900" w:h="16838" w:orient="portrait"/>
          <w:cols w:equalWidth="0" w:num="1">
            <w:col w:w="11240"/>
          </w:cols>
          <w:pgMar w:left="320" w:top="1440" w:right="339" w:bottom="1440" w:gutter="0" w:footer="0" w:header="0"/>
        </w:sectPr>
      </w:pPr>
    </w:p>
    <w:bookmarkStart w:id="70" w:name="page71"/>
    <w:bookmarkEnd w:id="70"/>
    <w:p>
      <w:pPr>
        <w:spacing w:after="0" w:line="184" w:lineRule="exact"/>
        <w:rPr>
          <w:sz w:val="20"/>
          <w:szCs w:val="20"/>
          <w:color w:val="auto"/>
        </w:rPr>
      </w:pPr>
    </w:p>
    <w:p>
      <w:pPr>
        <w:jc w:val="both"/>
        <w:spacing w:after="0" w:line="229" w:lineRule="auto"/>
        <w:rPr>
          <w:sz w:val="20"/>
          <w:szCs w:val="20"/>
          <w:color w:val="auto"/>
        </w:rPr>
      </w:pPr>
      <w:r>
        <w:rPr>
          <w:rFonts w:ascii="Calibri" w:cs="Calibri" w:eastAsia="Calibri" w:hAnsi="Calibri"/>
          <w:sz w:val="22"/>
          <w:szCs w:val="22"/>
          <w:color w:val="auto"/>
        </w:rPr>
        <w:t>the exchange. The inital exchange rate will be one Opco Common Unit and the cancellaton of one share of Class V Common Stock for one share of Class A Common Stock.</w:t>
      </w:r>
    </w:p>
    <w:p>
      <w:pPr>
        <w:spacing w:after="0" w:line="206" w:lineRule="exact"/>
        <w:rPr>
          <w:sz w:val="20"/>
          <w:szCs w:val="20"/>
          <w:color w:val="auto"/>
        </w:rPr>
      </w:pPr>
    </w:p>
    <w:p>
      <w:pPr>
        <w:spacing w:after="0"/>
        <w:rPr>
          <w:sz w:val="20"/>
          <w:szCs w:val="20"/>
          <w:color w:val="auto"/>
        </w:rPr>
      </w:pPr>
      <w:r>
        <w:rPr>
          <w:rFonts w:ascii="Calibri" w:cs="Calibri" w:eastAsia="Calibri" w:hAnsi="Calibri"/>
          <w:sz w:val="22"/>
          <w:szCs w:val="22"/>
          <w:b w:val="1"/>
          <w:bCs w:val="1"/>
          <w:color w:val="auto"/>
        </w:rPr>
        <w:t>Tax Receivable Agreement</w:t>
      </w:r>
    </w:p>
    <w:p>
      <w:pPr>
        <w:spacing w:after="0" w:line="228" w:lineRule="exact"/>
        <w:rPr>
          <w:sz w:val="20"/>
          <w:szCs w:val="20"/>
          <w:color w:val="auto"/>
        </w:rPr>
      </w:pPr>
    </w:p>
    <w:p>
      <w:pPr>
        <w:jc w:val="both"/>
        <w:spacing w:after="0" w:line="231" w:lineRule="auto"/>
        <w:rPr>
          <w:sz w:val="20"/>
          <w:szCs w:val="20"/>
          <w:color w:val="auto"/>
        </w:rPr>
      </w:pPr>
      <w:r>
        <w:rPr>
          <w:rFonts w:ascii="Calibri" w:cs="Calibri" w:eastAsia="Calibri" w:hAnsi="Calibri"/>
          <w:sz w:val="22"/>
          <w:szCs w:val="22"/>
          <w:color w:val="auto"/>
        </w:rPr>
        <w:t>At the Closing, we, and certain Opco Equity Holders entered into a Tax Receivable Agreement (the “Tax Receivable Agreement”). Pursuant to the Tax Receivable Agreement, among other things, Opco Equity Holders may, subject to certain conditons exchange the Opco Common Units held by them (along with a corresponding number of shares of Class V Common Stock), for Class A Common Stock on a one-for-one basis, subject to the terms of the Exchange Agreement, including our right to elect to deliver cash in lieu of Class A Common Stock and, in certain cases, adjustments as set forth therein. Opco will have in efect an electon under Secton 754 of the Code for each taxable year in which an exchange of Opco Common Units for Class A Common Stock (or cash) occurs.</w:t>
      </w:r>
    </w:p>
    <w:p>
      <w:pPr>
        <w:spacing w:after="0" w:line="216" w:lineRule="exact"/>
        <w:rPr>
          <w:sz w:val="20"/>
          <w:szCs w:val="20"/>
          <w:color w:val="auto"/>
        </w:rPr>
      </w:pPr>
    </w:p>
    <w:p>
      <w:pPr>
        <w:jc w:val="both"/>
        <w:spacing w:after="0" w:line="229" w:lineRule="auto"/>
        <w:rPr>
          <w:sz w:val="20"/>
          <w:szCs w:val="20"/>
          <w:color w:val="auto"/>
        </w:rPr>
      </w:pPr>
      <w:r>
        <w:rPr>
          <w:rFonts w:ascii="Calibri" w:cs="Calibri" w:eastAsia="Calibri" w:hAnsi="Calibri"/>
          <w:sz w:val="22"/>
          <w:szCs w:val="22"/>
          <w:color w:val="auto"/>
        </w:rPr>
        <w:t>The exchanges are expected to result in increases in the tax basis of the tangible and intangible assets of Opco. These increases in tax basis may reduce the amount of tax that we would otherwise be required to pay in the future. These increases in tax basis may also decrease gains (or increase losses) on future dispositons of certain capital assets to the extent tax basis is allocated to those capital assets.</w:t>
      </w:r>
    </w:p>
    <w:p>
      <w:pPr>
        <w:spacing w:after="0" w:line="231" w:lineRule="exact"/>
        <w:rPr>
          <w:sz w:val="20"/>
          <w:szCs w:val="20"/>
          <w:color w:val="auto"/>
        </w:rPr>
      </w:pPr>
    </w:p>
    <w:p>
      <w:pPr>
        <w:jc w:val="both"/>
        <w:spacing w:after="0" w:line="231" w:lineRule="auto"/>
        <w:rPr>
          <w:sz w:val="20"/>
          <w:szCs w:val="20"/>
          <w:color w:val="auto"/>
        </w:rPr>
      </w:pPr>
      <w:r>
        <w:rPr>
          <w:rFonts w:ascii="Calibri" w:cs="Calibri" w:eastAsia="Calibri" w:hAnsi="Calibri"/>
          <w:sz w:val="22"/>
          <w:szCs w:val="22"/>
          <w:color w:val="auto"/>
        </w:rPr>
        <w:t>The Tax Receivable Agreement provides for the payment by us to exchanging Opco Equity Holders of 85% of certain net income tax benefts, if any, that we realize (or in certain cases are deemed to realize) as a result of these increases in tax basis and certain other tax atributes of Opco and tax benefts related to entering into the Tax Receivable Agreement, including tax benefts atributable to payments under the Tax Receivable Agreement. This payment obligaton is an obligaton of ours and not of Opco. For purposes of the Tax Receivable Agreement, the cash tax savings in income tax will be computed by comparing the actual income tax liability of ours (calculated with certain assumptons) to the amount of such taxes that we would have been required to pay had there been no increase (or decrease) to the tax basis of the assets of Opco as a result of Opco having an electon in efect under Secton 754 of the Code for each taxable year in which an exchange of Opco Common Units for Class A Common Stock occurs and had we not entered into the Tax Receivable Agreement. Such increase or decrease will be calculated under the Tax Receivable Agreement without regard to any transfers of Opco Common Units or distributons with respect to such Opco Common Units before the exchange under the Exchange Agreement to which Secton 743(b) or 734(b) of the Code applies.</w:t>
      </w:r>
    </w:p>
    <w:p>
      <w:pPr>
        <w:spacing w:after="0" w:line="209" w:lineRule="exact"/>
        <w:rPr>
          <w:sz w:val="20"/>
          <w:szCs w:val="20"/>
          <w:color w:val="auto"/>
        </w:rPr>
      </w:pPr>
    </w:p>
    <w:p>
      <w:pPr>
        <w:spacing w:after="0"/>
        <w:rPr>
          <w:sz w:val="20"/>
          <w:szCs w:val="20"/>
          <w:color w:val="auto"/>
        </w:rPr>
      </w:pPr>
      <w:r>
        <w:rPr>
          <w:rFonts w:ascii="Calibri" w:cs="Calibri" w:eastAsia="Calibri" w:hAnsi="Calibri"/>
          <w:sz w:val="22"/>
          <w:szCs w:val="22"/>
          <w:b w:val="1"/>
          <w:bCs w:val="1"/>
          <w:color w:val="auto"/>
        </w:rPr>
        <w:t>Cooperaton Agreement</w:t>
      </w:r>
    </w:p>
    <w:p>
      <w:pPr>
        <w:spacing w:after="0" w:line="214" w:lineRule="exact"/>
        <w:rPr>
          <w:sz w:val="20"/>
          <w:szCs w:val="20"/>
          <w:color w:val="auto"/>
        </w:rPr>
      </w:pPr>
    </w:p>
    <w:p>
      <w:pPr>
        <w:jc w:val="both"/>
        <w:spacing w:after="0" w:line="229" w:lineRule="auto"/>
        <w:rPr>
          <w:sz w:val="20"/>
          <w:szCs w:val="20"/>
          <w:color w:val="auto"/>
        </w:rPr>
      </w:pPr>
      <w:r>
        <w:rPr>
          <w:rFonts w:ascii="Calibri" w:cs="Calibri" w:eastAsia="Calibri" w:hAnsi="Calibri"/>
          <w:sz w:val="22"/>
          <w:szCs w:val="22"/>
          <w:color w:val="auto"/>
        </w:rPr>
        <w:t>At the Closing, we and ICE entered into a cooperaton agreement, which contains certain cooperaton, informaton sharing and related provisions that facilitate compliance by ICE and its afliates with its accountng, fnancial reportng, public disclosure and similar requirements insofar as they relate ICE’s ownership interest in us and Opco.</w:t>
      </w:r>
    </w:p>
    <w:p>
      <w:pPr>
        <w:spacing w:after="0" w:line="218" w:lineRule="exact"/>
        <w:rPr>
          <w:sz w:val="20"/>
          <w:szCs w:val="20"/>
          <w:color w:val="auto"/>
        </w:rPr>
      </w:pPr>
    </w:p>
    <w:p>
      <w:pPr>
        <w:spacing w:after="0"/>
        <w:rPr>
          <w:sz w:val="20"/>
          <w:szCs w:val="20"/>
          <w:color w:val="auto"/>
        </w:rPr>
      </w:pPr>
      <w:r>
        <w:rPr>
          <w:rFonts w:ascii="Calibri" w:cs="Calibri" w:eastAsia="Calibri" w:hAnsi="Calibri"/>
          <w:sz w:val="22"/>
          <w:szCs w:val="22"/>
          <w:b w:val="1"/>
          <w:bCs w:val="1"/>
          <w:color w:val="auto"/>
        </w:rPr>
        <w:t>Policies and Procedures for Related Person Transactons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left="2760"/>
        <w:spacing w:after="0"/>
        <w:tabs>
          <w:tab w:leader="none" w:pos="7080" w:val="left"/>
          <w:tab w:leader="none" w:pos="8300" w:val="left"/>
        </w:tabs>
        <w:rPr>
          <w:sz w:val="20"/>
          <w:szCs w:val="20"/>
          <w:color w:val="auto"/>
        </w:rPr>
      </w:pPr>
      <w:r>
        <w:rPr>
          <w:rFonts w:ascii="Calibri" w:cs="Calibri" w:eastAsia="Calibri" w:hAnsi="Calibri"/>
          <w:sz w:val="16"/>
          <w:szCs w:val="16"/>
          <w:color w:val="auto"/>
        </w:rPr>
        <w:t>Alphareta, GA | New York, NY | Belfast, United Kingdom</w:t>
      </w:r>
      <w:r>
        <w:rPr>
          <w:sz w:val="20"/>
          <w:szCs w:val="20"/>
          <w:color w:val="auto"/>
        </w:rPr>
        <w:tab/>
      </w:r>
      <w:r>
        <w:rPr>
          <w:rFonts w:ascii="Calibri" w:cs="Calibri" w:eastAsia="Calibri" w:hAnsi="Calibri"/>
          <w:sz w:val="16"/>
          <w:szCs w:val="16"/>
          <w:color w:val="auto"/>
        </w:rPr>
        <w:t>www.bakkt.com</w:t>
      </w:r>
      <w:r>
        <w:rPr>
          <w:sz w:val="20"/>
          <w:szCs w:val="20"/>
          <w:color w:val="auto"/>
        </w:rPr>
        <w:tab/>
      </w:r>
      <w:r>
        <w:rPr>
          <w:rFonts w:ascii="Calibri" w:cs="Calibri" w:eastAsia="Calibri" w:hAnsi="Calibri"/>
          <w:sz w:val="17"/>
          <w:szCs w:val="17"/>
          <w:color w:val="auto"/>
        </w:rPr>
        <w:t>65</w:t>
      </w:r>
    </w:p>
    <w:p>
      <w:pPr>
        <w:sectPr>
          <w:pgSz w:w="11900" w:h="16838" w:orient="portrait"/>
          <w:cols w:equalWidth="0" w:num="1">
            <w:col w:w="11240"/>
          </w:cols>
          <w:pgMar w:left="320" w:top="1440" w:right="339" w:bottom="1440" w:gutter="0" w:footer="0" w:header="0"/>
        </w:sectPr>
      </w:pPr>
    </w:p>
    <w:bookmarkStart w:id="71" w:name="page72"/>
    <w:bookmarkEnd w:id="71"/>
    <w:p>
      <w:pPr>
        <w:spacing w:after="0" w:line="184" w:lineRule="exact"/>
        <w:rPr>
          <w:sz w:val="20"/>
          <w:szCs w:val="20"/>
          <w:color w:val="auto"/>
        </w:rPr>
      </w:pPr>
    </w:p>
    <w:p>
      <w:pPr>
        <w:jc w:val="both"/>
        <w:spacing w:after="0" w:line="231" w:lineRule="auto"/>
        <w:rPr>
          <w:sz w:val="20"/>
          <w:szCs w:val="20"/>
          <w:color w:val="auto"/>
        </w:rPr>
      </w:pPr>
      <w:r>
        <w:rPr>
          <w:rFonts w:ascii="Calibri" w:cs="Calibri" w:eastAsia="Calibri" w:hAnsi="Calibri"/>
          <w:sz w:val="22"/>
          <w:szCs w:val="22"/>
          <w:color w:val="auto"/>
        </w:rPr>
        <w:t>We have adopted a formal writen policy providing that our ofcers, directors, nominees for electon as directors, benefcial owners of more than 5% of any class of its capital stock, any member of the immediate family of any of the foregoing persons and any frm, corporaton or other entty in which any of the foregoing persons is employed or is a general partner or principal or in a similar positon or in which such person has a 5% or greater benefcial ownership interest, are not permited to enter into a related party transacton with us without the approval of our audit and risk commitee, subject to the exceptons described below.</w:t>
      </w:r>
    </w:p>
    <w:p>
      <w:pPr>
        <w:spacing w:after="0" w:line="218" w:lineRule="exact"/>
        <w:rPr>
          <w:sz w:val="20"/>
          <w:szCs w:val="20"/>
          <w:color w:val="auto"/>
        </w:rPr>
      </w:pPr>
    </w:p>
    <w:p>
      <w:pPr>
        <w:jc w:val="both"/>
        <w:spacing w:after="0" w:line="233" w:lineRule="auto"/>
        <w:rPr>
          <w:sz w:val="20"/>
          <w:szCs w:val="20"/>
          <w:color w:val="auto"/>
        </w:rPr>
      </w:pPr>
      <w:r>
        <w:rPr>
          <w:rFonts w:ascii="Calibri" w:cs="Calibri" w:eastAsia="Calibri" w:hAnsi="Calibri"/>
          <w:sz w:val="22"/>
          <w:szCs w:val="22"/>
          <w:color w:val="auto"/>
        </w:rPr>
        <w:t>A related person transacton is a transacton, arrangement or relatonship, or any series of similar transactons, arrangements or relatonships, in which we and any related person are, were or will be partcipants. Transactons involving compensaton for services provided to us as an employee or director are not covered by this policy.</w:t>
      </w:r>
    </w:p>
    <w:p>
      <w:pPr>
        <w:spacing w:after="0" w:line="217" w:lineRule="exact"/>
        <w:rPr>
          <w:sz w:val="20"/>
          <w:szCs w:val="20"/>
          <w:color w:val="auto"/>
        </w:rPr>
      </w:pPr>
    </w:p>
    <w:p>
      <w:pPr>
        <w:jc w:val="both"/>
        <w:spacing w:after="0" w:line="229" w:lineRule="auto"/>
        <w:rPr>
          <w:sz w:val="20"/>
          <w:szCs w:val="20"/>
          <w:color w:val="auto"/>
        </w:rPr>
      </w:pPr>
      <w:r>
        <w:rPr>
          <w:rFonts w:ascii="Calibri" w:cs="Calibri" w:eastAsia="Calibri" w:hAnsi="Calibri"/>
          <w:sz w:val="22"/>
          <w:szCs w:val="22"/>
          <w:color w:val="auto"/>
        </w:rPr>
        <w:t>Under the policy, we collect informaton that we deem reasonably necessary from each director, executve ofcer and, to the extent feasible, signifcant stockholder, to enable it to identfy any existng or potental related-person transactons and to efectuate the terms of the policy. In additon, under its code of conduct and ethics, employees and directors have an afrmatve responsibility to disclose any transacton or relatonship that reasonably could be expected to give rise to a confict of interest.</w:t>
      </w:r>
    </w:p>
    <w:p>
      <w:pPr>
        <w:spacing w:after="0" w:line="217" w:lineRule="exact"/>
        <w:rPr>
          <w:sz w:val="20"/>
          <w:szCs w:val="20"/>
          <w:color w:val="auto"/>
        </w:rPr>
      </w:pPr>
    </w:p>
    <w:p>
      <w:pPr>
        <w:jc w:val="both"/>
        <w:spacing w:after="0" w:line="232" w:lineRule="auto"/>
        <w:rPr>
          <w:sz w:val="20"/>
          <w:szCs w:val="20"/>
          <w:color w:val="auto"/>
        </w:rPr>
      </w:pPr>
      <w:r>
        <w:rPr>
          <w:rFonts w:ascii="Calibri" w:cs="Calibri" w:eastAsia="Calibri" w:hAnsi="Calibri"/>
          <w:sz w:val="22"/>
          <w:szCs w:val="22"/>
          <w:color w:val="auto"/>
        </w:rPr>
        <w:t>The policy requires that, in determining whether to approve, ratfy or reject a related person transacton, our audit and risk commitee, or other independent body of the Board, must consider, in light of known circumstances, whether the transacton is in, or is not inconsistent with, its best interests and those of its stockholders, as its audit and risk commitee, or other independent body of the Board, determines in the good faith exercise of its discreton.</w:t>
      </w:r>
    </w:p>
    <w:p>
      <w:pPr>
        <w:spacing w:after="0" w:line="217" w:lineRule="exact"/>
        <w:rPr>
          <w:sz w:val="20"/>
          <w:szCs w:val="20"/>
          <w:color w:val="auto"/>
        </w:rPr>
      </w:pPr>
    </w:p>
    <w:p>
      <w:pPr>
        <w:jc w:val="both"/>
        <w:spacing w:after="0" w:line="231" w:lineRule="auto"/>
        <w:rPr>
          <w:sz w:val="20"/>
          <w:szCs w:val="20"/>
          <w:color w:val="auto"/>
        </w:rPr>
      </w:pPr>
      <w:r>
        <w:rPr>
          <w:rFonts w:ascii="Calibri" w:cs="Calibri" w:eastAsia="Calibri" w:hAnsi="Calibri"/>
          <w:sz w:val="22"/>
          <w:szCs w:val="22"/>
          <w:color w:val="auto"/>
        </w:rPr>
        <w:t xml:space="preserve">Our audit and risk commitee has determined that certain transactons will not require their approval, including certain employment arrangements of ofcers, director compensaton, transactons with another company at which a related party’s only relatonship is as a director, non-executve employee or benefcial owner of less than 10% of that company’s outstanding capital stock, transactons where a related party’s interest arises solely from the ownership of our securites and all holders of our securites received the same beneft on a </w:t>
      </w:r>
      <w:r>
        <w:rPr>
          <w:rFonts w:ascii="Calibri" w:cs="Calibri" w:eastAsia="Calibri" w:hAnsi="Calibri"/>
          <w:sz w:val="22"/>
          <w:szCs w:val="22"/>
          <w:i w:val="1"/>
          <w:iCs w:val="1"/>
          <w:color w:val="auto"/>
        </w:rPr>
        <w:t>pro rata</w:t>
      </w:r>
      <w:r>
        <w:rPr>
          <w:rFonts w:ascii="Calibri" w:cs="Calibri" w:eastAsia="Calibri" w:hAnsi="Calibri"/>
          <w:sz w:val="22"/>
          <w:szCs w:val="22"/>
          <w:color w:val="auto"/>
        </w:rPr>
        <w:t xml:space="preserve"> basis and transactons available to all employees generally.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ind w:left="2760"/>
        <w:spacing w:after="0"/>
        <w:tabs>
          <w:tab w:leader="none" w:pos="7080" w:val="left"/>
          <w:tab w:leader="none" w:pos="8300" w:val="left"/>
        </w:tabs>
        <w:rPr>
          <w:sz w:val="20"/>
          <w:szCs w:val="20"/>
          <w:color w:val="auto"/>
        </w:rPr>
      </w:pPr>
      <w:r>
        <w:rPr>
          <w:rFonts w:ascii="Calibri" w:cs="Calibri" w:eastAsia="Calibri" w:hAnsi="Calibri"/>
          <w:sz w:val="16"/>
          <w:szCs w:val="16"/>
          <w:color w:val="auto"/>
        </w:rPr>
        <w:t>Alphareta, GA | New York, NY | Belfast, United Kingdom</w:t>
      </w:r>
      <w:r>
        <w:rPr>
          <w:sz w:val="20"/>
          <w:szCs w:val="20"/>
          <w:color w:val="auto"/>
        </w:rPr>
        <w:tab/>
      </w:r>
      <w:r>
        <w:rPr>
          <w:rFonts w:ascii="Calibri" w:cs="Calibri" w:eastAsia="Calibri" w:hAnsi="Calibri"/>
          <w:sz w:val="16"/>
          <w:szCs w:val="16"/>
          <w:color w:val="auto"/>
        </w:rPr>
        <w:t>www.bakkt.com</w:t>
      </w:r>
      <w:r>
        <w:rPr>
          <w:sz w:val="20"/>
          <w:szCs w:val="20"/>
          <w:color w:val="auto"/>
        </w:rPr>
        <w:tab/>
      </w:r>
      <w:r>
        <w:rPr>
          <w:rFonts w:ascii="Calibri" w:cs="Calibri" w:eastAsia="Calibri" w:hAnsi="Calibri"/>
          <w:sz w:val="17"/>
          <w:szCs w:val="17"/>
          <w:color w:val="auto"/>
        </w:rPr>
        <w:t>66</w:t>
      </w:r>
    </w:p>
    <w:p>
      <w:pPr>
        <w:sectPr>
          <w:pgSz w:w="11900" w:h="16838" w:orient="portrait"/>
          <w:cols w:equalWidth="0" w:num="1">
            <w:col w:w="11240"/>
          </w:cols>
          <w:pgMar w:left="320" w:top="1440" w:right="339" w:bottom="1440" w:gutter="0" w:footer="0" w:header="0"/>
        </w:sectPr>
      </w:pPr>
    </w:p>
    <w:bookmarkStart w:id="72" w:name="page73"/>
    <w:bookmarkEnd w:id="72"/>
    <w:p>
      <w:pPr>
        <w:spacing w:after="0" w:line="158" w:lineRule="exact"/>
        <w:rPr>
          <w:sz w:val="20"/>
          <w:szCs w:val="20"/>
          <w:color w:val="auto"/>
        </w:rPr>
      </w:pPr>
    </w:p>
    <w:p>
      <w:pPr>
        <w:spacing w:after="0"/>
        <w:rPr>
          <w:sz w:val="20"/>
          <w:szCs w:val="20"/>
          <w:color w:val="auto"/>
        </w:rPr>
      </w:pPr>
      <w:r>
        <w:rPr>
          <w:rFonts w:ascii="Calibri" w:cs="Calibri" w:eastAsia="Calibri" w:hAnsi="Calibri"/>
          <w:sz w:val="43"/>
          <w:szCs w:val="43"/>
          <w:color w:val="auto"/>
        </w:rPr>
        <w:t>Other Maters</w:t>
      </w:r>
    </w:p>
    <w:p>
      <w:pPr>
        <w:spacing w:after="0" w:line="217" w:lineRule="exact"/>
        <w:rPr>
          <w:sz w:val="20"/>
          <w:szCs w:val="20"/>
          <w:color w:val="auto"/>
        </w:rPr>
      </w:pPr>
    </w:p>
    <w:p>
      <w:pPr>
        <w:spacing w:after="0"/>
        <w:rPr>
          <w:sz w:val="20"/>
          <w:szCs w:val="20"/>
          <w:color w:val="auto"/>
        </w:rPr>
      </w:pPr>
      <w:r>
        <w:rPr>
          <w:rFonts w:ascii="Calibri" w:cs="Calibri" w:eastAsia="Calibri" w:hAnsi="Calibri"/>
          <w:sz w:val="29"/>
          <w:szCs w:val="29"/>
          <w:b w:val="1"/>
          <w:bCs w:val="1"/>
          <w:color w:val="auto"/>
        </w:rPr>
        <w:t>Stockholder Proposals or Director Nominatons for 2025 Annual Meetng</w:t>
      </w:r>
    </w:p>
    <w:p>
      <w:pPr>
        <w:spacing w:after="0" w:line="226" w:lineRule="exact"/>
        <w:rPr>
          <w:sz w:val="20"/>
          <w:szCs w:val="20"/>
          <w:color w:val="auto"/>
        </w:rPr>
      </w:pPr>
    </w:p>
    <w:p>
      <w:pPr>
        <w:jc w:val="both"/>
        <w:spacing w:after="0" w:line="232" w:lineRule="auto"/>
        <w:rPr>
          <w:sz w:val="20"/>
          <w:szCs w:val="20"/>
          <w:color w:val="auto"/>
        </w:rPr>
      </w:pPr>
      <w:r>
        <w:rPr>
          <w:rFonts w:ascii="Calibri" w:cs="Calibri" w:eastAsia="Calibri" w:hAnsi="Calibri"/>
          <w:sz w:val="22"/>
          <w:szCs w:val="22"/>
          <w:color w:val="auto"/>
        </w:rPr>
        <w:t>If a stockholder would like us to consider including a proposal in our proxy statement for our 2025 annual meetng pursuant to Rule 14a-8 of the Exchange Act, then the proposal must be received by our corporate secretary at our principal executve ofces on or before March 2, 2025. In additon, stockholder proposals must comply with the requirements of Rule 14a-8 regarding the inclusion of stockholder proposals in company-sponsored proxy materials. Proposals should be addressed to:</w:t>
      </w:r>
    </w:p>
    <w:p>
      <w:pPr>
        <w:spacing w:after="0" w:line="205" w:lineRule="exact"/>
        <w:rPr>
          <w:sz w:val="20"/>
          <w:szCs w:val="20"/>
          <w:color w:val="auto"/>
        </w:rPr>
      </w:pPr>
    </w:p>
    <w:p>
      <w:pPr>
        <w:spacing w:after="0"/>
        <w:rPr>
          <w:sz w:val="20"/>
          <w:szCs w:val="20"/>
          <w:color w:val="auto"/>
        </w:rPr>
      </w:pPr>
      <w:r>
        <w:rPr>
          <w:rFonts w:ascii="Calibri" w:cs="Calibri" w:eastAsia="Calibri" w:hAnsi="Calibri"/>
          <w:sz w:val="22"/>
          <w:szCs w:val="22"/>
          <w:color w:val="auto"/>
        </w:rPr>
        <w:t>Bakkt Holdings, Inc.</w:t>
      </w:r>
    </w:p>
    <w:p>
      <w:pPr>
        <w:spacing w:after="0" w:line="231" w:lineRule="auto"/>
        <w:rPr>
          <w:sz w:val="20"/>
          <w:szCs w:val="20"/>
          <w:color w:val="auto"/>
        </w:rPr>
      </w:pPr>
      <w:r>
        <w:rPr>
          <w:rFonts w:ascii="Calibri" w:cs="Calibri" w:eastAsia="Calibri" w:hAnsi="Calibri"/>
          <w:sz w:val="22"/>
          <w:szCs w:val="22"/>
          <w:color w:val="auto"/>
        </w:rPr>
        <w:t>Atenton: Corporate Secretary</w:t>
      </w:r>
    </w:p>
    <w:p>
      <w:pPr>
        <w:spacing w:after="0" w:line="229" w:lineRule="auto"/>
        <w:rPr>
          <w:sz w:val="20"/>
          <w:szCs w:val="20"/>
          <w:color w:val="auto"/>
        </w:rPr>
      </w:pPr>
      <w:r>
        <w:rPr>
          <w:rFonts w:ascii="Calibri" w:cs="Calibri" w:eastAsia="Calibri" w:hAnsi="Calibri"/>
          <w:sz w:val="22"/>
          <w:szCs w:val="22"/>
          <w:color w:val="auto"/>
        </w:rPr>
        <w:t>10000 Avalon Boulevard, Suite 1000</w:t>
      </w:r>
    </w:p>
    <w:p>
      <w:pPr>
        <w:spacing w:after="0" w:line="229" w:lineRule="auto"/>
        <w:rPr>
          <w:sz w:val="20"/>
          <w:szCs w:val="20"/>
          <w:color w:val="auto"/>
        </w:rPr>
      </w:pPr>
      <w:r>
        <w:rPr>
          <w:rFonts w:ascii="Calibri" w:cs="Calibri" w:eastAsia="Calibri" w:hAnsi="Calibri"/>
          <w:sz w:val="22"/>
          <w:szCs w:val="22"/>
          <w:color w:val="auto"/>
        </w:rPr>
        <w:t>Alphareta, Georgia 30009</w:t>
      </w:r>
    </w:p>
    <w:p>
      <w:pPr>
        <w:spacing w:after="0" w:line="215" w:lineRule="exact"/>
        <w:rPr>
          <w:sz w:val="20"/>
          <w:szCs w:val="20"/>
          <w:color w:val="auto"/>
        </w:rPr>
      </w:pPr>
    </w:p>
    <w:p>
      <w:pPr>
        <w:jc w:val="both"/>
        <w:spacing w:after="0" w:line="231" w:lineRule="auto"/>
        <w:rPr>
          <w:sz w:val="20"/>
          <w:szCs w:val="20"/>
          <w:color w:val="auto"/>
        </w:rPr>
      </w:pPr>
      <w:r>
        <w:rPr>
          <w:rFonts w:ascii="Calibri" w:cs="Calibri" w:eastAsia="Calibri" w:hAnsi="Calibri"/>
          <w:sz w:val="22"/>
          <w:szCs w:val="22"/>
          <w:color w:val="auto"/>
        </w:rPr>
        <w:t>Our bylaws also establish an advance notce procedure for stockholders who wish to present a proposal or nominate a director at an annual meetng, but do not seek to include the proposal or director nominee in our proxy statement. In order to be properly brought before our 2024 annual meetng, the stockholder must provide tmely writen notce to our corporate secretary, at our principal executve ofces, and any such proposal or nominaton must consttute a proper mater for stockholder acton. The writen notce must contain the informaton specifed in our bylaws. To be tmely, a stockholder’s writen notce must be received by our corporate secretary at our principal executve ofces:</w:t>
      </w:r>
    </w:p>
    <w:p>
      <w:pPr>
        <w:spacing w:after="0" w:line="140" w:lineRule="exact"/>
        <w:rPr>
          <w:sz w:val="20"/>
          <w:szCs w:val="20"/>
          <w:color w:val="auto"/>
        </w:rPr>
      </w:pPr>
    </w:p>
    <w:p>
      <w:pPr>
        <w:ind w:left="660" w:hanging="328"/>
        <w:spacing w:after="0"/>
        <w:tabs>
          <w:tab w:leader="none" w:pos="660" w:val="left"/>
        </w:tabs>
        <w:numPr>
          <w:ilvl w:val="0"/>
          <w:numId w:val="46"/>
        </w:numPr>
        <w:rPr>
          <w:rFonts w:ascii="Times New Roman" w:cs="Times New Roman" w:eastAsia="Times New Roman" w:hAnsi="Times New Roman"/>
          <w:sz w:val="22"/>
          <w:szCs w:val="22"/>
          <w:color w:val="auto"/>
        </w:rPr>
      </w:pPr>
      <w:r>
        <w:rPr>
          <w:rFonts w:ascii="Calibri" w:cs="Calibri" w:eastAsia="Calibri" w:hAnsi="Calibri"/>
          <w:sz w:val="22"/>
          <w:szCs w:val="22"/>
          <w:color w:val="auto"/>
        </w:rPr>
        <w:t>no earlier than January 31, 2025, and</w:t>
      </w:r>
    </w:p>
    <w:p>
      <w:pPr>
        <w:spacing w:after="0" w:line="120" w:lineRule="exact"/>
        <w:rPr>
          <w:rFonts w:ascii="Times New Roman" w:cs="Times New Roman" w:eastAsia="Times New Roman" w:hAnsi="Times New Roman"/>
          <w:sz w:val="22"/>
          <w:szCs w:val="22"/>
          <w:color w:val="auto"/>
        </w:rPr>
      </w:pPr>
    </w:p>
    <w:p>
      <w:pPr>
        <w:ind w:left="660" w:hanging="328"/>
        <w:spacing w:after="0"/>
        <w:tabs>
          <w:tab w:leader="none" w:pos="660" w:val="left"/>
        </w:tabs>
        <w:numPr>
          <w:ilvl w:val="0"/>
          <w:numId w:val="46"/>
        </w:numPr>
        <w:rPr>
          <w:rFonts w:ascii="Times New Roman" w:cs="Times New Roman" w:eastAsia="Times New Roman" w:hAnsi="Times New Roman"/>
          <w:sz w:val="22"/>
          <w:szCs w:val="22"/>
          <w:color w:val="auto"/>
        </w:rPr>
      </w:pPr>
      <w:r>
        <w:rPr>
          <w:rFonts w:ascii="Calibri" w:cs="Calibri" w:eastAsia="Calibri" w:hAnsi="Calibri"/>
          <w:sz w:val="22"/>
          <w:szCs w:val="22"/>
          <w:color w:val="auto"/>
        </w:rPr>
        <w:t>no later than March 2, 2025.</w:t>
      </w:r>
    </w:p>
    <w:p>
      <w:pPr>
        <w:spacing w:after="0" w:line="216" w:lineRule="exact"/>
        <w:rPr>
          <w:sz w:val="20"/>
          <w:szCs w:val="20"/>
          <w:color w:val="auto"/>
        </w:rPr>
      </w:pPr>
    </w:p>
    <w:p>
      <w:pPr>
        <w:jc w:val="both"/>
        <w:spacing w:after="0" w:line="229" w:lineRule="auto"/>
        <w:rPr>
          <w:sz w:val="20"/>
          <w:szCs w:val="20"/>
          <w:color w:val="auto"/>
        </w:rPr>
      </w:pPr>
      <w:r>
        <w:rPr>
          <w:rFonts w:ascii="Calibri" w:cs="Calibri" w:eastAsia="Calibri" w:hAnsi="Calibri"/>
          <w:sz w:val="22"/>
          <w:szCs w:val="22"/>
          <w:color w:val="auto"/>
        </w:rPr>
        <w:t>In the event that we hold our 2024 annual meetng more than 30 days before, or more than 70 days following, the one-year anniversary of this year’s annual meetng, then such writen notce must be received by our corporate secretary at our principal executve ofces:</w:t>
      </w:r>
    </w:p>
    <w:p>
      <w:pPr>
        <w:spacing w:after="0" w:line="139" w:lineRule="exact"/>
        <w:rPr>
          <w:sz w:val="20"/>
          <w:szCs w:val="20"/>
          <w:color w:val="auto"/>
        </w:rPr>
      </w:pPr>
    </w:p>
    <w:p>
      <w:pPr>
        <w:ind w:left="660" w:hanging="328"/>
        <w:spacing w:after="0"/>
        <w:tabs>
          <w:tab w:leader="none" w:pos="660" w:val="left"/>
        </w:tabs>
        <w:numPr>
          <w:ilvl w:val="0"/>
          <w:numId w:val="47"/>
        </w:numPr>
        <w:rPr>
          <w:rFonts w:ascii="Times New Roman" w:cs="Times New Roman" w:eastAsia="Times New Roman" w:hAnsi="Times New Roman"/>
          <w:sz w:val="22"/>
          <w:szCs w:val="22"/>
          <w:color w:val="auto"/>
        </w:rPr>
      </w:pPr>
      <w:r>
        <w:rPr>
          <w:rFonts w:ascii="Calibri" w:cs="Calibri" w:eastAsia="Calibri" w:hAnsi="Calibri"/>
          <w:sz w:val="22"/>
          <w:szCs w:val="22"/>
          <w:color w:val="auto"/>
        </w:rPr>
        <w:t>no earlier than the 120th day prior to the day of our 2025 annual meetng, and</w:t>
      </w:r>
    </w:p>
    <w:p>
      <w:pPr>
        <w:spacing w:after="0" w:line="133" w:lineRule="exact"/>
        <w:rPr>
          <w:rFonts w:ascii="Times New Roman" w:cs="Times New Roman" w:eastAsia="Times New Roman" w:hAnsi="Times New Roman"/>
          <w:sz w:val="22"/>
          <w:szCs w:val="22"/>
          <w:color w:val="auto"/>
        </w:rPr>
      </w:pPr>
    </w:p>
    <w:p>
      <w:pPr>
        <w:ind w:left="660" w:hanging="328"/>
        <w:spacing w:after="0" w:line="229" w:lineRule="auto"/>
        <w:tabs>
          <w:tab w:leader="none" w:pos="655" w:val="left"/>
        </w:tabs>
        <w:numPr>
          <w:ilvl w:val="0"/>
          <w:numId w:val="47"/>
        </w:numPr>
        <w:rPr>
          <w:rFonts w:ascii="Times New Roman" w:cs="Times New Roman" w:eastAsia="Times New Roman" w:hAnsi="Times New Roman"/>
          <w:sz w:val="22"/>
          <w:szCs w:val="22"/>
          <w:color w:val="auto"/>
        </w:rPr>
      </w:pPr>
      <w:r>
        <w:rPr>
          <w:rFonts w:ascii="Calibri" w:cs="Calibri" w:eastAsia="Calibri" w:hAnsi="Calibri"/>
          <w:sz w:val="22"/>
          <w:szCs w:val="22"/>
          <w:color w:val="auto"/>
        </w:rPr>
        <w:t>no later than the later of (x) the 90th day before the meetng or (y) the 10th day following the day on which public announcement of the date of the annual meetng is frst made by us.</w:t>
      </w:r>
    </w:p>
    <w:p>
      <w:pPr>
        <w:spacing w:after="0" w:line="217" w:lineRule="exact"/>
        <w:rPr>
          <w:sz w:val="20"/>
          <w:szCs w:val="20"/>
          <w:color w:val="auto"/>
        </w:rPr>
      </w:pPr>
    </w:p>
    <w:p>
      <w:pPr>
        <w:jc w:val="both"/>
        <w:spacing w:after="0" w:line="229" w:lineRule="auto"/>
        <w:rPr>
          <w:sz w:val="20"/>
          <w:szCs w:val="20"/>
          <w:color w:val="auto"/>
        </w:rPr>
      </w:pPr>
      <w:r>
        <w:rPr>
          <w:rFonts w:ascii="Calibri" w:cs="Calibri" w:eastAsia="Calibri" w:hAnsi="Calibri"/>
          <w:sz w:val="22"/>
          <w:szCs w:val="22"/>
          <w:color w:val="auto"/>
        </w:rPr>
        <w:t>If a stockholder who has notfed us of his, her or its intenton to present a proposal at an annual meetng of stockholders does not appear to present his, her or its proposal at such annual meetng, then we are not required to present the proposal for a vote at such annual meetng.</w:t>
      </w:r>
    </w:p>
    <w:p>
      <w:pPr>
        <w:spacing w:after="0" w:line="230" w:lineRule="exact"/>
        <w:rPr>
          <w:sz w:val="20"/>
          <w:szCs w:val="20"/>
          <w:color w:val="auto"/>
        </w:rPr>
      </w:pPr>
    </w:p>
    <w:p>
      <w:pPr>
        <w:jc w:val="both"/>
        <w:spacing w:after="0" w:line="229" w:lineRule="auto"/>
        <w:rPr>
          <w:sz w:val="20"/>
          <w:szCs w:val="20"/>
          <w:color w:val="auto"/>
        </w:rPr>
      </w:pPr>
      <w:r>
        <w:rPr>
          <w:rFonts w:ascii="Calibri" w:cs="Calibri" w:eastAsia="Calibri" w:hAnsi="Calibri"/>
          <w:sz w:val="22"/>
          <w:szCs w:val="22"/>
          <w:color w:val="auto"/>
        </w:rPr>
        <w:t>In additon to satsfying the foregoing requirements under our bylaws, to comply with the universal proxy rules, stockholders who intend to solicit proxies in support of director nominees other than our nominees must also comply with all applicable requirements of Rule 14a-19 under the Exchange Act. The advance notce requirement under Rule 14a-19 does not override or supersede the longer advance notce requirement under our bylaws.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left="2760"/>
        <w:spacing w:after="0"/>
        <w:tabs>
          <w:tab w:leader="none" w:pos="7080" w:val="left"/>
          <w:tab w:leader="none" w:pos="8300" w:val="left"/>
        </w:tabs>
        <w:rPr>
          <w:sz w:val="20"/>
          <w:szCs w:val="20"/>
          <w:color w:val="auto"/>
        </w:rPr>
      </w:pPr>
      <w:r>
        <w:rPr>
          <w:rFonts w:ascii="Calibri" w:cs="Calibri" w:eastAsia="Calibri" w:hAnsi="Calibri"/>
          <w:sz w:val="16"/>
          <w:szCs w:val="16"/>
          <w:color w:val="auto"/>
        </w:rPr>
        <w:t>Alphareta, GA | New York, NY | Belfast, United Kingdom</w:t>
      </w:r>
      <w:r>
        <w:rPr>
          <w:sz w:val="20"/>
          <w:szCs w:val="20"/>
          <w:color w:val="auto"/>
        </w:rPr>
        <w:tab/>
      </w:r>
      <w:r>
        <w:rPr>
          <w:rFonts w:ascii="Calibri" w:cs="Calibri" w:eastAsia="Calibri" w:hAnsi="Calibri"/>
          <w:sz w:val="16"/>
          <w:szCs w:val="16"/>
          <w:color w:val="auto"/>
        </w:rPr>
        <w:t>www.bakkt.com</w:t>
      </w:r>
      <w:r>
        <w:rPr>
          <w:sz w:val="20"/>
          <w:szCs w:val="20"/>
          <w:color w:val="auto"/>
        </w:rPr>
        <w:tab/>
      </w:r>
      <w:r>
        <w:rPr>
          <w:rFonts w:ascii="Calibri" w:cs="Calibri" w:eastAsia="Calibri" w:hAnsi="Calibri"/>
          <w:sz w:val="17"/>
          <w:szCs w:val="17"/>
          <w:color w:val="auto"/>
        </w:rPr>
        <w:t>67</w:t>
      </w:r>
    </w:p>
    <w:p>
      <w:pPr>
        <w:sectPr>
          <w:pgSz w:w="11900" w:h="16838" w:orient="portrait"/>
          <w:cols w:equalWidth="0" w:num="1">
            <w:col w:w="11240"/>
          </w:cols>
          <w:pgMar w:left="320" w:top="1440" w:right="339" w:bottom="1440" w:gutter="0" w:footer="0" w:header="0"/>
        </w:sectPr>
      </w:pPr>
    </w:p>
    <w:bookmarkStart w:id="73" w:name="page74"/>
    <w:bookmarkEnd w:id="73"/>
    <w:p>
      <w:pPr>
        <w:spacing w:after="0" w:line="184" w:lineRule="exact"/>
        <w:rPr>
          <w:sz w:val="20"/>
          <w:szCs w:val="20"/>
          <w:color w:val="auto"/>
        </w:rPr>
      </w:pPr>
    </w:p>
    <w:p>
      <w:pPr>
        <w:jc w:val="both"/>
        <w:spacing w:after="0" w:line="209" w:lineRule="auto"/>
        <w:rPr>
          <w:sz w:val="20"/>
          <w:szCs w:val="20"/>
          <w:color w:val="auto"/>
        </w:rPr>
      </w:pPr>
      <w:r>
        <w:rPr>
          <w:rFonts w:ascii="Calibri" w:cs="Calibri" w:eastAsia="Calibri" w:hAnsi="Calibri"/>
          <w:sz w:val="22"/>
          <w:szCs w:val="22"/>
          <w:color w:val="auto"/>
        </w:rPr>
        <w:t>Pursuant to Rule 14a-19, stockholders who intend to solicit proxies in support of director nominees (other than our nominees) in connecton with our 2025 annual meetng of stockholders must provide the informaton required by Rule 14a-19 no later than April 1, 2025. However, if the date of next year’s annual meetng is more than 30 days before or more than 30 days afer May 31, 2025, then we must receive your notce by the close of business on the later of the 60</w:t>
      </w:r>
      <w:r>
        <w:rPr>
          <w:rFonts w:ascii="Calibri" w:cs="Calibri" w:eastAsia="Calibri" w:hAnsi="Calibri"/>
          <w:sz w:val="28"/>
          <w:szCs w:val="28"/>
          <w:color w:val="auto"/>
          <w:vertAlign w:val="superscript"/>
        </w:rPr>
        <w:t>th</w:t>
      </w:r>
      <w:r>
        <w:rPr>
          <w:rFonts w:ascii="Calibri" w:cs="Calibri" w:eastAsia="Calibri" w:hAnsi="Calibri"/>
          <w:sz w:val="22"/>
          <w:szCs w:val="22"/>
          <w:color w:val="auto"/>
        </w:rPr>
        <w:t xml:space="preserve"> day prior to such meetng or the 10</w:t>
      </w:r>
      <w:r>
        <w:rPr>
          <w:rFonts w:ascii="Calibri" w:cs="Calibri" w:eastAsia="Calibri" w:hAnsi="Calibri"/>
          <w:sz w:val="28"/>
          <w:szCs w:val="28"/>
          <w:color w:val="auto"/>
          <w:vertAlign w:val="superscript"/>
        </w:rPr>
        <w:t>th</w:t>
      </w:r>
      <w:r>
        <w:rPr>
          <w:rFonts w:ascii="Calibri" w:cs="Calibri" w:eastAsia="Calibri" w:hAnsi="Calibri"/>
          <w:sz w:val="22"/>
          <w:szCs w:val="22"/>
          <w:color w:val="auto"/>
        </w:rPr>
        <w:t xml:space="preserve"> day following the day in which the public announcement of the date of such meetng is frst made.</w:t>
      </w:r>
    </w:p>
    <w:p>
      <w:pPr>
        <w:spacing w:after="0" w:line="215" w:lineRule="exact"/>
        <w:rPr>
          <w:sz w:val="20"/>
          <w:szCs w:val="20"/>
          <w:color w:val="auto"/>
        </w:rPr>
      </w:pPr>
    </w:p>
    <w:p>
      <w:pPr>
        <w:jc w:val="both"/>
        <w:ind w:right="20"/>
        <w:spacing w:after="0" w:line="229" w:lineRule="auto"/>
        <w:rPr>
          <w:sz w:val="20"/>
          <w:szCs w:val="20"/>
          <w:color w:val="auto"/>
        </w:rPr>
      </w:pPr>
      <w:r>
        <w:rPr>
          <w:rFonts w:ascii="Calibri" w:cs="Calibri" w:eastAsia="Calibri" w:hAnsi="Calibri"/>
          <w:sz w:val="22"/>
          <w:szCs w:val="22"/>
          <w:color w:val="auto"/>
        </w:rPr>
        <w:t>You are also advised to review our bylaws, which contain additonal requirements regarding advance notce of stockholder proposals and director nominatons.</w:t>
      </w:r>
    </w:p>
    <w:p>
      <w:pPr>
        <w:spacing w:after="0" w:line="204" w:lineRule="exact"/>
        <w:rPr>
          <w:sz w:val="20"/>
          <w:szCs w:val="20"/>
          <w:color w:val="auto"/>
        </w:rPr>
      </w:pPr>
    </w:p>
    <w:p>
      <w:pPr>
        <w:spacing w:after="0"/>
        <w:rPr>
          <w:sz w:val="20"/>
          <w:szCs w:val="20"/>
          <w:color w:val="auto"/>
        </w:rPr>
      </w:pPr>
      <w:r>
        <w:rPr>
          <w:rFonts w:ascii="Calibri" w:cs="Calibri" w:eastAsia="Calibri" w:hAnsi="Calibri"/>
          <w:sz w:val="29"/>
          <w:szCs w:val="29"/>
          <w:b w:val="1"/>
          <w:bCs w:val="1"/>
          <w:color w:val="auto"/>
        </w:rPr>
        <w:t>Availability of Bylaws</w:t>
      </w:r>
    </w:p>
    <w:p>
      <w:pPr>
        <w:spacing w:after="0" w:line="226" w:lineRule="exact"/>
        <w:rPr>
          <w:sz w:val="20"/>
          <w:szCs w:val="20"/>
          <w:color w:val="auto"/>
        </w:rPr>
      </w:pPr>
    </w:p>
    <w:p>
      <w:pPr>
        <w:jc w:val="both"/>
        <w:spacing w:after="0" w:line="229" w:lineRule="auto"/>
        <w:rPr>
          <w:sz w:val="20"/>
          <w:szCs w:val="20"/>
          <w:color w:val="auto"/>
        </w:rPr>
      </w:pPr>
      <w:r>
        <w:rPr>
          <w:rFonts w:ascii="Calibri" w:cs="Calibri" w:eastAsia="Calibri" w:hAnsi="Calibri"/>
          <w:sz w:val="22"/>
          <w:szCs w:val="22"/>
          <w:color w:val="auto"/>
        </w:rPr>
        <w:t xml:space="preserve">A copy of our bylaws may be obtained by accessing our flings on the SEC’s website at </w:t>
      </w:r>
      <w:r>
        <w:rPr>
          <w:rFonts w:ascii="Calibri" w:cs="Calibri" w:eastAsia="Calibri" w:hAnsi="Calibri"/>
          <w:sz w:val="22"/>
          <w:szCs w:val="22"/>
          <w:i w:val="1"/>
          <w:iCs w:val="1"/>
          <w:color w:val="auto"/>
        </w:rPr>
        <w:t>www.sec.gov</w:t>
      </w:r>
      <w:r>
        <w:rPr>
          <w:rFonts w:ascii="Calibri" w:cs="Calibri" w:eastAsia="Calibri" w:hAnsi="Calibri"/>
          <w:sz w:val="22"/>
          <w:szCs w:val="22"/>
          <w:color w:val="auto"/>
        </w:rPr>
        <w:t>. You may also contact our corporate secretary at our principal executve ofces for a copy of the relevant bylaw provisions regarding the requirements for making stockholder proposals and nominatng director candidates.</w:t>
      </w:r>
    </w:p>
    <w:p>
      <w:pPr>
        <w:spacing w:after="0" w:line="204" w:lineRule="exact"/>
        <w:rPr>
          <w:sz w:val="20"/>
          <w:szCs w:val="20"/>
          <w:color w:val="auto"/>
        </w:rPr>
      </w:pPr>
    </w:p>
    <w:p>
      <w:pPr>
        <w:spacing w:after="0"/>
        <w:rPr>
          <w:sz w:val="20"/>
          <w:szCs w:val="20"/>
          <w:color w:val="auto"/>
        </w:rPr>
      </w:pPr>
      <w:r>
        <w:rPr>
          <w:rFonts w:ascii="Calibri" w:cs="Calibri" w:eastAsia="Calibri" w:hAnsi="Calibri"/>
          <w:sz w:val="29"/>
          <w:szCs w:val="29"/>
          <w:b w:val="1"/>
          <w:bCs w:val="1"/>
          <w:color w:val="auto"/>
        </w:rPr>
        <w:t>2023 Annual Report</w:t>
      </w:r>
    </w:p>
    <w:p>
      <w:pPr>
        <w:spacing w:after="0" w:line="226" w:lineRule="exact"/>
        <w:rPr>
          <w:sz w:val="20"/>
          <w:szCs w:val="20"/>
          <w:color w:val="auto"/>
        </w:rPr>
      </w:pPr>
    </w:p>
    <w:p>
      <w:pPr>
        <w:jc w:val="both"/>
        <w:ind w:right="20"/>
        <w:spacing w:after="0" w:line="229" w:lineRule="auto"/>
        <w:rPr>
          <w:sz w:val="20"/>
          <w:szCs w:val="20"/>
          <w:color w:val="auto"/>
        </w:rPr>
      </w:pPr>
      <w:r>
        <w:rPr>
          <w:rFonts w:ascii="Calibri" w:cs="Calibri" w:eastAsia="Calibri" w:hAnsi="Calibri"/>
          <w:sz w:val="22"/>
          <w:szCs w:val="22"/>
          <w:color w:val="auto"/>
        </w:rPr>
        <w:t>Our fnancial statements for our fscal year ended December 31, 2023 are included in our annual report, which we will make available to stockholders at the same tme as this proxy statement. Our proxy materials and our annual report are available at www.proxyvote.com.</w:t>
      </w:r>
    </w:p>
    <w:p>
      <w:pPr>
        <w:spacing w:after="0" w:line="230" w:lineRule="exact"/>
        <w:rPr>
          <w:sz w:val="20"/>
          <w:szCs w:val="20"/>
          <w:color w:val="auto"/>
        </w:rPr>
      </w:pPr>
    </w:p>
    <w:p>
      <w:pPr>
        <w:jc w:val="both"/>
        <w:spacing w:after="0" w:line="229" w:lineRule="auto"/>
        <w:rPr>
          <w:sz w:val="20"/>
          <w:szCs w:val="20"/>
          <w:color w:val="auto"/>
        </w:rPr>
      </w:pPr>
      <w:r>
        <w:rPr>
          <w:rFonts w:ascii="Calibri" w:cs="Calibri" w:eastAsia="Calibri" w:hAnsi="Calibri"/>
          <w:sz w:val="22"/>
          <w:szCs w:val="22"/>
          <w:b w:val="1"/>
          <w:bCs w:val="1"/>
          <w:color w:val="auto"/>
        </w:rPr>
        <w:t>You may also obtain a copy of our annual report, free of charge, by sending a writen request to Bakkt Holdings, Inc., 10000 Avalon Boulevard, Suite 1000, Alphareta, Georgia 30009, Atenton: Investor Relatons.</w:t>
      </w:r>
    </w:p>
    <w:p>
      <w:pPr>
        <w:spacing w:after="0" w:line="217" w:lineRule="exact"/>
        <w:rPr>
          <w:sz w:val="20"/>
          <w:szCs w:val="20"/>
          <w:color w:val="auto"/>
        </w:rPr>
      </w:pPr>
    </w:p>
    <w:p>
      <w:pPr>
        <w:jc w:val="both"/>
        <w:spacing w:after="0" w:line="229" w:lineRule="auto"/>
        <w:rPr>
          <w:sz w:val="20"/>
          <w:szCs w:val="20"/>
          <w:color w:val="auto"/>
        </w:rPr>
      </w:pPr>
      <w:r>
        <w:rPr>
          <w:rFonts w:ascii="Calibri" w:cs="Calibri" w:eastAsia="Calibri" w:hAnsi="Calibri"/>
          <w:sz w:val="22"/>
          <w:szCs w:val="22"/>
          <w:color w:val="auto"/>
        </w:rPr>
        <w:t>Informaton contained on, or that can be accessed through, our website is not intended to be incorporated by reference into this proxy statement, and references to our website address in this proxy statement are inactve textual references only.</w:t>
      </w:r>
    </w:p>
    <w:p>
      <w:pPr>
        <w:spacing w:after="0" w:line="204" w:lineRule="exact"/>
        <w:rPr>
          <w:sz w:val="20"/>
          <w:szCs w:val="20"/>
          <w:color w:val="auto"/>
        </w:rPr>
      </w:pPr>
    </w:p>
    <w:p>
      <w:pPr>
        <w:spacing w:after="0"/>
        <w:rPr>
          <w:sz w:val="20"/>
          <w:szCs w:val="20"/>
          <w:color w:val="auto"/>
        </w:rPr>
      </w:pPr>
      <w:r>
        <w:rPr>
          <w:rFonts w:ascii="Calibri" w:cs="Calibri" w:eastAsia="Calibri" w:hAnsi="Calibri"/>
          <w:sz w:val="29"/>
          <w:szCs w:val="29"/>
          <w:b w:val="1"/>
          <w:bCs w:val="1"/>
          <w:color w:val="auto"/>
        </w:rPr>
        <w:t>Householding of Proxy Materials</w:t>
      </w:r>
    </w:p>
    <w:p>
      <w:pPr>
        <w:spacing w:after="0" w:line="225" w:lineRule="exact"/>
        <w:rPr>
          <w:sz w:val="20"/>
          <w:szCs w:val="20"/>
          <w:color w:val="auto"/>
        </w:rPr>
      </w:pPr>
    </w:p>
    <w:p>
      <w:pPr>
        <w:jc w:val="both"/>
        <w:spacing w:after="0" w:line="231" w:lineRule="auto"/>
        <w:rPr>
          <w:sz w:val="20"/>
          <w:szCs w:val="20"/>
          <w:color w:val="auto"/>
        </w:rPr>
      </w:pPr>
      <w:r>
        <w:rPr>
          <w:rFonts w:ascii="Calibri" w:cs="Calibri" w:eastAsia="Calibri" w:hAnsi="Calibri"/>
          <w:sz w:val="22"/>
          <w:szCs w:val="22"/>
          <w:color w:val="auto"/>
        </w:rPr>
        <w:t>The SEC has adopted rules that permit companies and intermediaries (e.g., brokers) to satsfy the delivery requirements for Notce of Internet Availability of Proxy Materials or other annual meetng materials with respect to two or more stockholders sharing the same address by delivering a single Notce of Internet Availability of Proxy Materials or other annual meetng materials addressed to those stockholders. This process, which is commonly referred to as “householding,” potentally means extra convenience for stockholders and cost savings for companies.</w:t>
      </w:r>
    </w:p>
    <w:p>
      <w:pPr>
        <w:spacing w:after="0" w:line="220" w:lineRule="exact"/>
        <w:rPr>
          <w:sz w:val="20"/>
          <w:szCs w:val="20"/>
          <w:color w:val="auto"/>
        </w:rPr>
      </w:pPr>
    </w:p>
    <w:p>
      <w:pPr>
        <w:jc w:val="both"/>
        <w:spacing w:after="0" w:line="229" w:lineRule="auto"/>
        <w:rPr>
          <w:sz w:val="20"/>
          <w:szCs w:val="20"/>
          <w:color w:val="auto"/>
        </w:rPr>
      </w:pPr>
      <w:r>
        <w:rPr>
          <w:rFonts w:ascii="Calibri" w:cs="Calibri" w:eastAsia="Calibri" w:hAnsi="Calibri"/>
          <w:sz w:val="22"/>
          <w:szCs w:val="22"/>
          <w:color w:val="auto"/>
        </w:rPr>
        <w:t>This year, a number of brokers with account holders who are stockholders will be “householding” our proxy materials. A single Notce of Internet Availability of Proxy Materials or other annual meetng materials will be delivered to multple stockholders sharing an address unless contrary instructons have been received from the afected stockholders. Once you have received notce from your broker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2760"/>
        <w:spacing w:after="0"/>
        <w:tabs>
          <w:tab w:leader="none" w:pos="7080" w:val="left"/>
          <w:tab w:leader="none" w:pos="8300" w:val="left"/>
        </w:tabs>
        <w:rPr>
          <w:sz w:val="20"/>
          <w:szCs w:val="20"/>
          <w:color w:val="auto"/>
        </w:rPr>
      </w:pPr>
      <w:r>
        <w:rPr>
          <w:rFonts w:ascii="Calibri" w:cs="Calibri" w:eastAsia="Calibri" w:hAnsi="Calibri"/>
          <w:sz w:val="16"/>
          <w:szCs w:val="16"/>
          <w:color w:val="auto"/>
        </w:rPr>
        <w:t>Alphareta, GA | New York, NY | Belfast, United Kingdom</w:t>
      </w:r>
      <w:r>
        <w:rPr>
          <w:sz w:val="20"/>
          <w:szCs w:val="20"/>
          <w:color w:val="auto"/>
        </w:rPr>
        <w:tab/>
      </w:r>
      <w:r>
        <w:rPr>
          <w:rFonts w:ascii="Calibri" w:cs="Calibri" w:eastAsia="Calibri" w:hAnsi="Calibri"/>
          <w:sz w:val="16"/>
          <w:szCs w:val="16"/>
          <w:color w:val="auto"/>
        </w:rPr>
        <w:t>www.bakkt.com</w:t>
      </w:r>
      <w:r>
        <w:rPr>
          <w:sz w:val="20"/>
          <w:szCs w:val="20"/>
          <w:color w:val="auto"/>
        </w:rPr>
        <w:tab/>
      </w:r>
      <w:r>
        <w:rPr>
          <w:rFonts w:ascii="Calibri" w:cs="Calibri" w:eastAsia="Calibri" w:hAnsi="Calibri"/>
          <w:sz w:val="17"/>
          <w:szCs w:val="17"/>
          <w:color w:val="auto"/>
        </w:rPr>
        <w:t>68</w:t>
      </w:r>
    </w:p>
    <w:p>
      <w:pPr>
        <w:sectPr>
          <w:pgSz w:w="11900" w:h="16838" w:orient="portrait"/>
          <w:cols w:equalWidth="0" w:num="1">
            <w:col w:w="11240"/>
          </w:cols>
          <w:pgMar w:left="320" w:top="1440" w:right="339" w:bottom="1440" w:gutter="0" w:footer="0" w:header="0"/>
        </w:sectPr>
      </w:pPr>
    </w:p>
    <w:bookmarkStart w:id="74" w:name="page75"/>
    <w:bookmarkEnd w:id="74"/>
    <w:p>
      <w:pPr>
        <w:spacing w:after="0" w:line="184" w:lineRule="exact"/>
        <w:rPr>
          <w:sz w:val="20"/>
          <w:szCs w:val="20"/>
          <w:color w:val="auto"/>
        </w:rPr>
      </w:pPr>
    </w:p>
    <w:p>
      <w:pPr>
        <w:jc w:val="both"/>
        <w:spacing w:after="0" w:line="231" w:lineRule="auto"/>
        <w:rPr>
          <w:sz w:val="20"/>
          <w:szCs w:val="20"/>
          <w:color w:val="auto"/>
        </w:rPr>
      </w:pPr>
      <w:r>
        <w:rPr>
          <w:rFonts w:ascii="Calibri" w:cs="Calibri" w:eastAsia="Calibri" w:hAnsi="Calibri"/>
          <w:sz w:val="22"/>
          <w:szCs w:val="22"/>
          <w:color w:val="auto"/>
        </w:rPr>
        <w:t>that they will be “householding” communicatons to your address, “householding” will contnue untl you are notfed otherwise or untl you revoke your consent. If, at any tme, you no longer wish to partcipate in “householding” and would prefer to receive a separate proxy statement and annual report, please notfy your broker. Stockholders who currently receive multple copies of the proxy statement and annual report at their addresses and would like to request “householding” of their communicatons should contact their brokers.</w:t>
      </w:r>
    </w:p>
    <w:p>
      <w:pPr>
        <w:spacing w:after="0" w:line="207" w:lineRule="exact"/>
        <w:rPr>
          <w:sz w:val="20"/>
          <w:szCs w:val="20"/>
          <w:color w:val="auto"/>
        </w:rPr>
      </w:pPr>
    </w:p>
    <w:p>
      <w:pPr>
        <w:spacing w:after="0"/>
        <w:rPr>
          <w:sz w:val="20"/>
          <w:szCs w:val="20"/>
          <w:color w:val="auto"/>
        </w:rPr>
      </w:pPr>
      <w:r>
        <w:rPr>
          <w:rFonts w:ascii="Calibri" w:cs="Calibri" w:eastAsia="Calibri" w:hAnsi="Calibri"/>
          <w:sz w:val="29"/>
          <w:szCs w:val="29"/>
          <w:b w:val="1"/>
          <w:bCs w:val="1"/>
          <w:color w:val="auto"/>
        </w:rPr>
        <w:t>Other Business</w:t>
      </w:r>
    </w:p>
    <w:p>
      <w:pPr>
        <w:spacing w:after="0" w:line="226" w:lineRule="exact"/>
        <w:rPr>
          <w:sz w:val="20"/>
          <w:szCs w:val="20"/>
          <w:color w:val="auto"/>
        </w:rPr>
      </w:pPr>
    </w:p>
    <w:p>
      <w:pPr>
        <w:jc w:val="both"/>
        <w:spacing w:after="0" w:line="229" w:lineRule="auto"/>
        <w:rPr>
          <w:sz w:val="20"/>
          <w:szCs w:val="20"/>
          <w:color w:val="auto"/>
        </w:rPr>
      </w:pPr>
      <w:r>
        <w:rPr>
          <w:rFonts w:ascii="Calibri" w:cs="Calibri" w:eastAsia="Calibri" w:hAnsi="Calibri"/>
          <w:sz w:val="22"/>
          <w:szCs w:val="22"/>
          <w:color w:val="auto"/>
        </w:rPr>
        <w:t>The Board does not know of any other maters to be presented at the annual meetng. If any additonal maters are properly presented at the annual meetng, the persons named in the proxy will have discreton to vote the shares of our common stock they represent in accordance with their own judgment on such maters.</w:t>
      </w:r>
    </w:p>
    <w:p>
      <w:pPr>
        <w:spacing w:after="0" w:line="206" w:lineRule="exact"/>
        <w:rPr>
          <w:sz w:val="20"/>
          <w:szCs w:val="20"/>
          <w:color w:val="auto"/>
        </w:rPr>
      </w:pPr>
    </w:p>
    <w:p>
      <w:pPr>
        <w:spacing w:after="0"/>
        <w:rPr>
          <w:sz w:val="20"/>
          <w:szCs w:val="20"/>
          <w:color w:val="auto"/>
        </w:rPr>
      </w:pPr>
      <w:r>
        <w:rPr>
          <w:rFonts w:ascii="Calibri" w:cs="Calibri" w:eastAsia="Calibri" w:hAnsi="Calibri"/>
          <w:sz w:val="22"/>
          <w:szCs w:val="22"/>
          <w:color w:val="auto"/>
        </w:rPr>
        <w:t>It is important that your shares be represented at the annual meetng, regardless of the number of shares that you hold.</w:t>
      </w:r>
    </w:p>
    <w:p>
      <w:pPr>
        <w:spacing w:after="0" w:line="229" w:lineRule="auto"/>
        <w:rPr>
          <w:sz w:val="20"/>
          <w:szCs w:val="20"/>
          <w:color w:val="auto"/>
        </w:rPr>
      </w:pPr>
      <w:r>
        <w:rPr>
          <w:rFonts w:ascii="Calibri" w:cs="Calibri" w:eastAsia="Calibri" w:hAnsi="Calibri"/>
          <w:sz w:val="22"/>
          <w:szCs w:val="22"/>
          <w:color w:val="auto"/>
        </w:rPr>
        <w:t>Therefore, we urge you to vote as promptly as possible to ensure your vote is recorded.</w:t>
      </w: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Calibri" w:cs="Calibri" w:eastAsia="Calibri" w:hAnsi="Calibri"/>
          <w:sz w:val="22"/>
          <w:szCs w:val="22"/>
          <w:b w:val="1"/>
          <w:bCs w:val="1"/>
          <w:color w:val="auto"/>
        </w:rPr>
        <w:t>The Board of Directors of Bakkt Holdings, Inc.</w:t>
      </w:r>
    </w:p>
    <w:p>
      <w:pPr>
        <w:spacing w:after="0" w:line="1" w:lineRule="exact"/>
        <w:rPr>
          <w:sz w:val="20"/>
          <w:szCs w:val="20"/>
          <w:color w:val="auto"/>
        </w:rPr>
      </w:pPr>
    </w:p>
    <w:p>
      <w:pPr>
        <w:spacing w:after="0"/>
        <w:rPr>
          <w:sz w:val="20"/>
          <w:szCs w:val="20"/>
          <w:color w:val="auto"/>
        </w:rPr>
      </w:pPr>
      <w:r>
        <w:rPr>
          <w:rFonts w:ascii="Calibri" w:cs="Calibri" w:eastAsia="Calibri" w:hAnsi="Calibri"/>
          <w:sz w:val="22"/>
          <w:szCs w:val="22"/>
          <w:color w:val="auto"/>
        </w:rPr>
        <w:t>Alphareta, Georgia</w:t>
      </w:r>
    </w:p>
    <w:p>
      <w:pPr>
        <w:spacing w:after="0" w:line="229" w:lineRule="auto"/>
        <w:rPr>
          <w:sz w:val="20"/>
          <w:szCs w:val="20"/>
          <w:color w:val="auto"/>
        </w:rPr>
      </w:pPr>
      <w:r>
        <w:rPr>
          <w:rFonts w:ascii="Calibri" w:cs="Calibri" w:eastAsia="Calibri" w:hAnsi="Calibri"/>
          <w:sz w:val="22"/>
          <w:szCs w:val="22"/>
          <w:color w:val="auto"/>
        </w:rPr>
        <w:t>April 19,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left="2760"/>
        <w:spacing w:after="0"/>
        <w:tabs>
          <w:tab w:leader="none" w:pos="7080" w:val="left"/>
          <w:tab w:leader="none" w:pos="8300" w:val="left"/>
        </w:tabs>
        <w:rPr>
          <w:sz w:val="20"/>
          <w:szCs w:val="20"/>
          <w:color w:val="auto"/>
        </w:rPr>
      </w:pPr>
      <w:r>
        <w:rPr>
          <w:rFonts w:ascii="Calibri" w:cs="Calibri" w:eastAsia="Calibri" w:hAnsi="Calibri"/>
          <w:sz w:val="16"/>
          <w:szCs w:val="16"/>
          <w:color w:val="auto"/>
        </w:rPr>
        <w:t>Alphareta, GA | New York, NY | Belfast, United Kingdom</w:t>
      </w:r>
      <w:r>
        <w:rPr>
          <w:sz w:val="20"/>
          <w:szCs w:val="20"/>
          <w:color w:val="auto"/>
        </w:rPr>
        <w:tab/>
      </w:r>
      <w:r>
        <w:rPr>
          <w:rFonts w:ascii="Calibri" w:cs="Calibri" w:eastAsia="Calibri" w:hAnsi="Calibri"/>
          <w:sz w:val="16"/>
          <w:szCs w:val="16"/>
          <w:color w:val="auto"/>
        </w:rPr>
        <w:t>www.bakkt.com</w:t>
      </w:r>
      <w:r>
        <w:rPr>
          <w:sz w:val="20"/>
          <w:szCs w:val="20"/>
          <w:color w:val="auto"/>
        </w:rPr>
        <w:tab/>
      </w:r>
      <w:r>
        <w:rPr>
          <w:rFonts w:ascii="Calibri" w:cs="Calibri" w:eastAsia="Calibri" w:hAnsi="Calibri"/>
          <w:sz w:val="17"/>
          <w:szCs w:val="17"/>
          <w:color w:val="auto"/>
        </w:rPr>
        <w:t>69</w:t>
      </w:r>
    </w:p>
    <w:p>
      <w:pPr>
        <w:sectPr>
          <w:pgSz w:w="11900" w:h="16838" w:orient="portrait"/>
          <w:cols w:equalWidth="0" w:num="1">
            <w:col w:w="11240"/>
          </w:cols>
          <w:pgMar w:left="320" w:top="1440" w:right="339" w:bottom="1440" w:gutter="0" w:footer="0" w:header="0"/>
        </w:sectPr>
      </w:pPr>
    </w:p>
    <w:bookmarkStart w:id="75" w:name="page76"/>
    <w:bookmarkEnd w:id="75"/>
    <w:p>
      <w:pPr>
        <w:jc w:val="center"/>
        <w:spacing w:after="0"/>
        <w:rPr>
          <w:sz w:val="20"/>
          <w:szCs w:val="20"/>
          <w:color w:val="auto"/>
        </w:rPr>
      </w:pPr>
      <w:r>
        <w:rPr>
          <w:rFonts w:ascii="Calibri" w:cs="Calibri" w:eastAsia="Calibri" w:hAnsi="Calibri"/>
          <w:sz w:val="22"/>
          <w:szCs w:val="22"/>
          <w:b w:val="1"/>
          <w:bCs w:val="1"/>
          <w:u w:val="single" w:color="auto"/>
          <w:color w:val="auto"/>
        </w:rPr>
        <w:t>ANNEX A</w:t>
      </w:r>
    </w:p>
    <w:p>
      <w:pPr>
        <w:spacing w:after="0" w:line="231" w:lineRule="exact"/>
        <w:rPr>
          <w:sz w:val="20"/>
          <w:szCs w:val="20"/>
          <w:color w:val="auto"/>
        </w:rPr>
      </w:pPr>
    </w:p>
    <w:p>
      <w:pPr>
        <w:jc w:val="center"/>
        <w:spacing w:after="0"/>
        <w:rPr>
          <w:sz w:val="20"/>
          <w:szCs w:val="20"/>
          <w:color w:val="auto"/>
        </w:rPr>
      </w:pPr>
      <w:r>
        <w:rPr>
          <w:rFonts w:ascii="Calibri" w:cs="Calibri" w:eastAsia="Calibri" w:hAnsi="Calibri"/>
          <w:sz w:val="22"/>
          <w:szCs w:val="22"/>
          <w:b w:val="1"/>
          <w:bCs w:val="1"/>
          <w:u w:val="single" w:color="auto"/>
          <w:color w:val="auto"/>
        </w:rPr>
        <w:t>Amendment No. 2</w:t>
      </w:r>
    </w:p>
    <w:p>
      <w:pPr>
        <w:jc w:val="center"/>
        <w:spacing w:after="0" w:line="229" w:lineRule="auto"/>
        <w:rPr>
          <w:sz w:val="20"/>
          <w:szCs w:val="20"/>
          <w:color w:val="auto"/>
        </w:rPr>
      </w:pPr>
      <w:r>
        <w:rPr>
          <w:rFonts w:ascii="Calibri" w:cs="Calibri" w:eastAsia="Calibri" w:hAnsi="Calibri"/>
          <w:sz w:val="22"/>
          <w:szCs w:val="22"/>
          <w:b w:val="1"/>
          <w:bCs w:val="1"/>
          <w:u w:val="single" w:color="auto"/>
          <w:color w:val="auto"/>
        </w:rPr>
        <w:t>To</w:t>
      </w:r>
    </w:p>
    <w:p>
      <w:pPr>
        <w:spacing w:after="0" w:line="2" w:lineRule="exact"/>
        <w:rPr>
          <w:sz w:val="20"/>
          <w:szCs w:val="20"/>
          <w:color w:val="auto"/>
        </w:rPr>
      </w:pPr>
    </w:p>
    <w:p>
      <w:pPr>
        <w:jc w:val="center"/>
        <w:spacing w:after="0"/>
        <w:rPr>
          <w:sz w:val="20"/>
          <w:szCs w:val="20"/>
          <w:color w:val="auto"/>
        </w:rPr>
      </w:pPr>
      <w:r>
        <w:rPr>
          <w:rFonts w:ascii="Calibri" w:cs="Calibri" w:eastAsia="Calibri" w:hAnsi="Calibri"/>
          <w:sz w:val="22"/>
          <w:szCs w:val="22"/>
          <w:b w:val="1"/>
          <w:bCs w:val="1"/>
          <w:u w:val="single" w:color="auto"/>
          <w:color w:val="auto"/>
        </w:rPr>
        <w:t>2021 Omnibus Incentve Plan</w:t>
      </w:r>
    </w:p>
    <w:p>
      <w:pPr>
        <w:spacing w:after="0" w:line="200" w:lineRule="exact"/>
        <w:rPr>
          <w:sz w:val="20"/>
          <w:szCs w:val="20"/>
          <w:color w:val="auto"/>
        </w:rPr>
      </w:pPr>
    </w:p>
    <w:p>
      <w:pPr>
        <w:spacing w:after="0" w:line="258" w:lineRule="exact"/>
        <w:rPr>
          <w:sz w:val="20"/>
          <w:szCs w:val="20"/>
          <w:color w:val="auto"/>
        </w:rPr>
      </w:pPr>
    </w:p>
    <w:p>
      <w:pPr>
        <w:jc w:val="both"/>
        <w:spacing w:after="0" w:line="229" w:lineRule="auto"/>
        <w:rPr>
          <w:sz w:val="20"/>
          <w:szCs w:val="20"/>
          <w:color w:val="auto"/>
        </w:rPr>
      </w:pPr>
      <w:r>
        <w:rPr>
          <w:rFonts w:ascii="Calibri" w:cs="Calibri" w:eastAsia="Calibri" w:hAnsi="Calibri"/>
          <w:sz w:val="22"/>
          <w:szCs w:val="22"/>
          <w:color w:val="auto"/>
        </w:rPr>
        <w:t>This Amendment No. 2 dated April 15, 2024 (this “Amendment”) amends the 2021 Omnibus Incentve Plan, as amended (the “Plan”), of Bakkt Holdings, Inc. (the “Company”). Except as otherwise explicitly set forth herein, all provisions of the Plan shall remain in full force and efect. Capitalized terms used in the Amendment without defniton shall have meanings set forth in the Plan.</w:t>
      </w:r>
    </w:p>
    <w:p>
      <w:pPr>
        <w:spacing w:after="0" w:line="231" w:lineRule="exact"/>
        <w:rPr>
          <w:sz w:val="20"/>
          <w:szCs w:val="20"/>
          <w:color w:val="auto"/>
        </w:rPr>
      </w:pPr>
    </w:p>
    <w:p>
      <w:pPr>
        <w:jc w:val="both"/>
        <w:spacing w:after="0" w:line="229" w:lineRule="auto"/>
        <w:rPr>
          <w:sz w:val="20"/>
          <w:szCs w:val="20"/>
          <w:color w:val="auto"/>
        </w:rPr>
      </w:pPr>
      <w:r>
        <w:rPr>
          <w:rFonts w:ascii="Calibri" w:cs="Calibri" w:eastAsia="Calibri" w:hAnsi="Calibri"/>
          <w:sz w:val="22"/>
          <w:szCs w:val="22"/>
          <w:color w:val="auto"/>
        </w:rPr>
        <w:t>WHEREAS, the Company desires to amend the Plan as hereinafer provided in order to increase the number of shares of Common Stock issuable under the Plan from 52,407,412 to either (i) 75,873,051 or (ii) to the extent the Company efects the reverse stock split to be considered at the Company’s special meetng of stockholders expected to be held on April 23, 2024, 3,034,922; and</w:t>
      </w:r>
    </w:p>
    <w:p>
      <w:pPr>
        <w:spacing w:after="0" w:line="217" w:lineRule="exact"/>
        <w:rPr>
          <w:sz w:val="20"/>
          <w:szCs w:val="20"/>
          <w:color w:val="auto"/>
        </w:rPr>
      </w:pPr>
    </w:p>
    <w:p>
      <w:pPr>
        <w:jc w:val="both"/>
        <w:spacing w:after="0" w:line="229" w:lineRule="auto"/>
        <w:rPr>
          <w:sz w:val="20"/>
          <w:szCs w:val="20"/>
          <w:color w:val="auto"/>
        </w:rPr>
      </w:pPr>
      <w:r>
        <w:rPr>
          <w:rFonts w:ascii="Calibri" w:cs="Calibri" w:eastAsia="Calibri" w:hAnsi="Calibri"/>
          <w:sz w:val="22"/>
          <w:szCs w:val="22"/>
          <w:color w:val="auto"/>
        </w:rPr>
        <w:t>WHEREAS, the Board of Directors approved the substance of this Amendment as of April 15, 2024, and accordingly, the Company desires to amend the Plan as hereinafer provided.</w:t>
      </w:r>
    </w:p>
    <w:p>
      <w:pPr>
        <w:spacing w:after="0" w:line="219" w:lineRule="exact"/>
        <w:rPr>
          <w:sz w:val="20"/>
          <w:szCs w:val="20"/>
          <w:color w:val="auto"/>
        </w:rPr>
      </w:pPr>
    </w:p>
    <w:p>
      <w:pPr>
        <w:spacing w:after="0"/>
        <w:rPr>
          <w:sz w:val="20"/>
          <w:szCs w:val="20"/>
          <w:color w:val="auto"/>
        </w:rPr>
      </w:pPr>
      <w:r>
        <w:rPr>
          <w:rFonts w:ascii="Calibri" w:cs="Calibri" w:eastAsia="Calibri" w:hAnsi="Calibri"/>
          <w:sz w:val="22"/>
          <w:szCs w:val="22"/>
          <w:color w:val="auto"/>
        </w:rPr>
        <w:t>NOW, THEREFORE, the Plan is hereby amended as follows:</w:t>
      </w:r>
    </w:p>
    <w:p>
      <w:pPr>
        <w:spacing w:after="0" w:line="202" w:lineRule="exact"/>
        <w:rPr>
          <w:sz w:val="20"/>
          <w:szCs w:val="20"/>
          <w:color w:val="auto"/>
        </w:rPr>
      </w:pPr>
    </w:p>
    <w:p>
      <w:pPr>
        <w:spacing w:after="0"/>
        <w:tabs>
          <w:tab w:leader="none" w:pos="340" w:val="left"/>
        </w:tabs>
        <w:rPr>
          <w:sz w:val="20"/>
          <w:szCs w:val="20"/>
          <w:color w:val="auto"/>
        </w:rPr>
      </w:pPr>
      <w:r>
        <w:rPr>
          <w:rFonts w:ascii="Calibri" w:cs="Calibri" w:eastAsia="Calibri" w:hAnsi="Calibri"/>
          <w:sz w:val="22"/>
          <w:szCs w:val="22"/>
          <w:color w:val="auto"/>
        </w:rPr>
        <w:t>1.</w:t>
      </w:r>
      <w:r>
        <w:rPr>
          <w:sz w:val="20"/>
          <w:szCs w:val="20"/>
          <w:color w:val="auto"/>
        </w:rPr>
        <w:tab/>
      </w:r>
      <w:r>
        <w:rPr>
          <w:rFonts w:ascii="Calibri" w:cs="Calibri" w:eastAsia="Calibri" w:hAnsi="Calibri"/>
          <w:sz w:val="21"/>
          <w:szCs w:val="21"/>
          <w:color w:val="auto"/>
        </w:rPr>
        <w:t>Increase in Number of Shares Subject to the Plan. Secton 1.3.1 of the Plan is amended to read in its entrety as follows:</w:t>
      </w:r>
    </w:p>
    <w:p>
      <w:pPr>
        <w:spacing w:after="0" w:line="216" w:lineRule="exact"/>
        <w:rPr>
          <w:sz w:val="20"/>
          <w:szCs w:val="20"/>
          <w:color w:val="auto"/>
        </w:rPr>
      </w:pPr>
    </w:p>
    <w:p>
      <w:pPr>
        <w:spacing w:after="0"/>
        <w:rPr>
          <w:sz w:val="20"/>
          <w:szCs w:val="20"/>
          <w:color w:val="auto"/>
        </w:rPr>
      </w:pPr>
      <w:r>
        <w:rPr>
          <w:rFonts w:ascii="Calibri" w:cs="Calibri" w:eastAsia="Calibri" w:hAnsi="Calibri"/>
          <w:sz w:val="21"/>
          <w:szCs w:val="21"/>
          <w:color w:val="auto"/>
        </w:rPr>
        <w:t>Subject to the other provisions of this Secton 1.3, the total number of Shares that may be granted under the Plan will be either</w:t>
      </w:r>
    </w:p>
    <w:p>
      <w:pPr>
        <w:jc w:val="both"/>
        <w:ind w:firstLine="8"/>
        <w:spacing w:after="0" w:line="231" w:lineRule="auto"/>
        <w:tabs>
          <w:tab w:leader="none" w:pos="229" w:val="left"/>
        </w:tabs>
        <w:numPr>
          <w:ilvl w:val="0"/>
          <w:numId w:val="48"/>
        </w:numPr>
        <w:rPr>
          <w:rFonts w:ascii="Calibri" w:cs="Calibri" w:eastAsia="Calibri" w:hAnsi="Calibri"/>
          <w:sz w:val="22"/>
          <w:szCs w:val="22"/>
          <w:color w:val="auto"/>
        </w:rPr>
      </w:pPr>
      <w:r>
        <w:rPr>
          <w:rFonts w:ascii="Calibri" w:cs="Calibri" w:eastAsia="Calibri" w:hAnsi="Calibri"/>
          <w:sz w:val="22"/>
          <w:szCs w:val="22"/>
          <w:color w:val="auto"/>
        </w:rPr>
        <w:t>75,873,051 or (ii) to the extent the Company efects the reverse stock split to be considered at the Company’s special meetng of stockholders expected to be held on April 23, 2024, 3,034,922 (the “Share Limit”). Such Shares may, in the discreton of the Commitee, be either authorized but unissued Shares or Shares previously issued and reacquired by the Company. In the case of a grant of a stock-setled stock appreciaton right, the number of Shares available for grant under the Plan will be reduced by the full number of Shares granted under such stock appreciaton right. Shares subject to awards that are assumed, converted or substtuted under the Plan as a result of the Company’s acquisiton of another company (including by way of merger, combinaton or similar transacton) (“Acquisiton Awards”) will not count against the number of Shares that may be granted under the Plan or be subject to the minimum vestng provisions in Secton 2.4. Available shares under a stockholder approved plan of an acquired company (as appropriately adjusted to refect the transacton) may be used for Awards under the Plan (subject to New York Stock Exchange rules) and do not reduce the maximum number of shares available for grant under the Plan, subject to applicable stock exchange requirements. All Shares that can be delivered under the Plan (as adjusted pursuant to Secton 1.3.3) may be delivered through Incentve Stock Optons.</w:t>
      </w:r>
    </w:p>
    <w:p>
      <w:pPr>
        <w:sectPr>
          <w:pgSz w:w="11900" w:h="16838" w:orient="portrait"/>
          <w:cols w:equalWidth="0" w:num="1">
            <w:col w:w="11240"/>
          </w:cols>
          <w:pgMar w:left="320" w:top="1396" w:right="339" w:bottom="1440" w:gutter="0" w:footer="0" w:header="0"/>
        </w:sectPr>
      </w:pPr>
    </w:p>
    <w:bookmarkStart w:id="76" w:name="page77"/>
    <w:bookmarkEnd w:id="76"/>
    <w:p>
      <w:pPr>
        <w:spacing w:after="0" w:line="184" w:lineRule="exact"/>
        <w:rPr>
          <w:sz w:val="20"/>
          <w:szCs w:val="20"/>
          <w:color w:val="auto"/>
        </w:rPr>
      </w:pPr>
    </w:p>
    <w:p>
      <w:pPr>
        <w:jc w:val="both"/>
        <w:ind w:left="-8" w:firstLine="8"/>
        <w:spacing w:after="0" w:line="229" w:lineRule="auto"/>
        <w:tabs>
          <w:tab w:leader="none" w:pos="431" w:val="left"/>
        </w:tabs>
        <w:numPr>
          <w:ilvl w:val="0"/>
          <w:numId w:val="49"/>
        </w:numPr>
        <w:rPr>
          <w:rFonts w:ascii="Calibri" w:cs="Calibri" w:eastAsia="Calibri" w:hAnsi="Calibri"/>
          <w:sz w:val="22"/>
          <w:szCs w:val="22"/>
          <w:color w:val="auto"/>
        </w:rPr>
      </w:pPr>
      <w:r>
        <w:rPr>
          <w:rFonts w:ascii="Calibri" w:cs="Calibri" w:eastAsia="Calibri" w:hAnsi="Calibri"/>
          <w:sz w:val="22"/>
          <w:szCs w:val="22"/>
          <w:color w:val="auto"/>
        </w:rPr>
        <w:t>Efectve Date. The amendments to the Plan pursuant to Secton 1 of this Amendment shall be efectve upon receipt of approval of such amendments by the Company’s stockholders, and shall be subject to and contngent upon receipt of such approval.</w:t>
      </w:r>
    </w:p>
    <w:p>
      <w:pPr>
        <w:sectPr>
          <w:pgSz w:w="11900" w:h="16838" w:orient="portrait"/>
          <w:cols w:equalWidth="0" w:num="1">
            <w:col w:w="11232"/>
          </w:cols>
          <w:pgMar w:left="328" w:top="1440" w:right="339" w:bottom="1440" w:gutter="0" w:footer="0" w:header="0"/>
        </w:sectPr>
      </w:pPr>
    </w:p>
    <w:bookmarkStart w:id="77" w:name="page78"/>
    <w:bookmarkEnd w:id="77"/>
    <w:p>
      <w:pPr>
        <w:jc w:val="both"/>
        <w:spacing w:after="0" w:line="229" w:lineRule="auto"/>
        <w:tabs>
          <w:tab w:leader="none" w:pos="431"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380365</wp:posOffset>
            </wp:positionV>
            <wp:extent cx="6995160" cy="904367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clrChange>
                        <a:clrFrom>
                          <a:srgbClr val="FFFFFF"/>
                        </a:clrFrom>
                        <a:clrTo>
                          <a:srgbClr val="FFFFFF">
                            <a:alpha val="0"/>
                          </a:srgbClr>
                        </a:clrTo>
                      </a:clrChange>
                      <a:extLst>
                        <a:ext uri="{28A0092B-C50C-407E-A947-70E740481C1C}"/>
                      </a:extLst>
                    </a:blip>
                    <a:srcRect/>
                    <a:stretch>
                      <a:fillRect/>
                    </a:stretch>
                  </pic:blipFill>
                  <pic:spPr bwMode="auto">
                    <a:xfrm>
                      <a:off x="0" y="0"/>
                      <a:ext cx="6995160" cy="90436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8" w:name="page79"/>
    <w:bookmarkEnd w:id="78"/>
    <w:p>
      <w:pPr>
        <w:jc w:val="both"/>
        <w:spacing w:after="0" w:line="229" w:lineRule="auto"/>
        <w:tabs>
          <w:tab w:leader="none" w:pos="431"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380365</wp:posOffset>
            </wp:positionV>
            <wp:extent cx="6986270" cy="905256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clrChange>
                        <a:clrFrom>
                          <a:srgbClr val="FFFFFF"/>
                        </a:clrFrom>
                        <a:clrTo>
                          <a:srgbClr val="FFFFFF">
                            <a:alpha val="0"/>
                          </a:srgbClr>
                        </a:clrTo>
                      </a:clrChange>
                      <a:extLst>
                        <a:ext uri="{28A0092B-C50C-407E-A947-70E740481C1C}"/>
                      </a:extLst>
                    </a:blip>
                    <a:srcRect/>
                    <a:stretch>
                      <a:fillRect/>
                    </a:stretch>
                  </pic:blipFill>
                  <pic:spPr bwMode="auto">
                    <a:xfrm>
                      <a:off x="0" y="0"/>
                      <a:ext cx="6986270" cy="9052560"/>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9838CB2"/>
    <w:multiLevelType w:val="hybridMultilevel"/>
    <w:lvl w:ilvl="0">
      <w:lvlJc w:val="left"/>
      <w:lvlText w:val="☐"/>
      <w:numFmt w:val="bullet"/>
      <w:start w:val="1"/>
    </w:lvl>
  </w:abstractNum>
  <w:abstractNum w:abstractNumId="1">
    <w:nsid w:val="4353D0CD"/>
    <w:multiLevelType w:val="hybridMultilevel"/>
    <w:lvl w:ilvl="0">
      <w:lvlJc w:val="left"/>
      <w:lvlText w:val="☒"/>
      <w:numFmt w:val="bullet"/>
      <w:start w:val="1"/>
    </w:lvl>
  </w:abstractNum>
  <w:abstractNum w:abstractNumId="2">
    <w:nsid w:val="B03E0C6"/>
    <w:multiLevelType w:val="hybridMultilevel"/>
    <w:lvl w:ilvl="0">
      <w:lvlJc w:val="left"/>
      <w:lvlText w:val="☐"/>
      <w:numFmt w:val="bullet"/>
      <w:start w:val="1"/>
    </w:lvl>
  </w:abstractNum>
  <w:abstractNum w:abstractNumId="3">
    <w:nsid w:val="189A769B"/>
    <w:multiLevelType w:val="hybridMultilevel"/>
    <w:lvl w:ilvl="0">
      <w:lvlJc w:val="left"/>
      <w:lvlText w:val="•"/>
      <w:numFmt w:val="bullet"/>
      <w:start w:val="1"/>
    </w:lvl>
  </w:abstractNum>
  <w:abstractNum w:abstractNumId="4">
    <w:nsid w:val="54E49EB4"/>
    <w:multiLevelType w:val="hybridMultilevel"/>
    <w:lvl w:ilvl="0">
      <w:lvlJc w:val="left"/>
      <w:lvlText w:val="•"/>
      <w:numFmt w:val="bullet"/>
      <w:start w:val="1"/>
    </w:lvl>
  </w:abstractNum>
  <w:abstractNum w:abstractNumId="5">
    <w:nsid w:val="71F32454"/>
    <w:multiLevelType w:val="hybridMultilevel"/>
    <w:lvl w:ilvl="0">
      <w:lvlJc w:val="left"/>
      <w:lvlText w:val="•"/>
      <w:numFmt w:val="bullet"/>
      <w:start w:val="1"/>
    </w:lvl>
  </w:abstractNum>
  <w:abstractNum w:abstractNumId="6">
    <w:nsid w:val="2CA88611"/>
    <w:multiLevelType w:val="hybridMultilevel"/>
    <w:lvl w:ilvl="0">
      <w:lvlJc w:val="left"/>
      <w:lvlText w:val="•"/>
      <w:numFmt w:val="bullet"/>
      <w:start w:val="1"/>
    </w:lvl>
  </w:abstractNum>
  <w:abstractNum w:abstractNumId="7">
    <w:nsid w:val="836C40E"/>
    <w:multiLevelType w:val="hybridMultilevel"/>
    <w:lvl w:ilvl="0">
      <w:lvlJc w:val="left"/>
      <w:lvlText w:val="•"/>
      <w:numFmt w:val="bullet"/>
      <w:start w:val="1"/>
    </w:lvl>
  </w:abstractNum>
  <w:abstractNum w:abstractNumId="8">
    <w:nsid w:val="2901D82"/>
    <w:multiLevelType w:val="hybridMultilevel"/>
    <w:lvl w:ilvl="0">
      <w:lvlJc w:val="left"/>
      <w:lvlText w:val="•"/>
      <w:numFmt w:val="bullet"/>
      <w:start w:val="1"/>
    </w:lvl>
  </w:abstractNum>
  <w:abstractNum w:abstractNumId="9">
    <w:nsid w:val="3A95F874"/>
    <w:multiLevelType w:val="hybridMultilevel"/>
    <w:lvl w:ilvl="0">
      <w:lvlJc w:val="left"/>
      <w:lvlText w:val="•"/>
      <w:numFmt w:val="bullet"/>
      <w:start w:val="1"/>
    </w:lvl>
  </w:abstractNum>
  <w:abstractNum w:abstractNumId="10">
    <w:nsid w:val="8138641"/>
    <w:multiLevelType w:val="hybridMultilevel"/>
    <w:lvl w:ilvl="0">
      <w:lvlJc w:val="left"/>
      <w:lvlText w:val="•"/>
      <w:numFmt w:val="bullet"/>
      <w:start w:val="1"/>
    </w:lvl>
  </w:abstractNum>
  <w:abstractNum w:abstractNumId="11">
    <w:nsid w:val="1E7FF521"/>
    <w:multiLevelType w:val="hybridMultilevel"/>
    <w:lvl w:ilvl="0">
      <w:lvlJc w:val="left"/>
      <w:lvlText w:val="•"/>
      <w:numFmt w:val="bullet"/>
      <w:start w:val="1"/>
    </w:lvl>
  </w:abstractNum>
  <w:abstractNum w:abstractNumId="12">
    <w:nsid w:val="7C3DBD3D"/>
    <w:multiLevelType w:val="hybridMultilevel"/>
    <w:lvl w:ilvl="0">
      <w:lvlJc w:val="left"/>
      <w:lvlText w:val="•"/>
      <w:numFmt w:val="bullet"/>
      <w:start w:val="1"/>
    </w:lvl>
  </w:abstractNum>
  <w:abstractNum w:abstractNumId="13">
    <w:nsid w:val="737B8DDC"/>
    <w:multiLevelType w:val="hybridMultilevel"/>
    <w:lvl w:ilvl="0">
      <w:lvlJc w:val="left"/>
      <w:lvlText w:val="•"/>
      <w:numFmt w:val="bullet"/>
      <w:start w:val="1"/>
    </w:lvl>
  </w:abstractNum>
  <w:abstractNum w:abstractNumId="14">
    <w:nsid w:val="6CEAF087"/>
    <w:multiLevelType w:val="hybridMultilevel"/>
    <w:lvl w:ilvl="0">
      <w:lvlJc w:val="left"/>
      <w:lvlText w:val="•"/>
      <w:numFmt w:val="bullet"/>
      <w:start w:val="1"/>
    </w:lvl>
  </w:abstractNum>
  <w:abstractNum w:abstractNumId="15">
    <w:nsid w:val="22221A70"/>
    <w:multiLevelType w:val="hybridMultilevel"/>
    <w:lvl w:ilvl="0">
      <w:lvlJc w:val="left"/>
      <w:lvlText w:val="•"/>
      <w:numFmt w:val="bullet"/>
      <w:start w:val="1"/>
    </w:lvl>
  </w:abstractNum>
  <w:abstractNum w:abstractNumId="16">
    <w:nsid w:val="4516DDE9"/>
    <w:multiLevelType w:val="hybridMultilevel"/>
    <w:lvl w:ilvl="0">
      <w:lvlJc w:val="left"/>
      <w:lvlText w:val="(%1)"/>
      <w:numFmt w:val="decimal"/>
      <w:start w:val="1"/>
    </w:lvl>
  </w:abstractNum>
  <w:abstractNum w:abstractNumId="17">
    <w:nsid w:val="3006C83E"/>
    <w:multiLevelType w:val="hybridMultilevel"/>
    <w:lvl w:ilvl="0">
      <w:lvlJc w:val="left"/>
      <w:lvlText w:val="•"/>
      <w:numFmt w:val="bullet"/>
      <w:start w:val="1"/>
    </w:lvl>
  </w:abstractNum>
  <w:abstractNum w:abstractNumId="18">
    <w:nsid w:val="614FD4A1"/>
    <w:multiLevelType w:val="hybridMultilevel"/>
    <w:lvl w:ilvl="0">
      <w:lvlJc w:val="left"/>
      <w:lvlText w:val="•"/>
      <w:numFmt w:val="bullet"/>
      <w:start w:val="1"/>
    </w:lvl>
  </w:abstractNum>
  <w:abstractNum w:abstractNumId="19">
    <w:nsid w:val="419AC241"/>
    <w:multiLevelType w:val="hybridMultilevel"/>
    <w:lvl w:ilvl="0">
      <w:lvlJc w:val="left"/>
      <w:lvlText w:val="•"/>
      <w:numFmt w:val="bullet"/>
      <w:start w:val="1"/>
    </w:lvl>
  </w:abstractNum>
  <w:abstractNum w:abstractNumId="20">
    <w:nsid w:val="5577F8E1"/>
    <w:multiLevelType w:val="hybridMultilevel"/>
    <w:lvl w:ilvl="0">
      <w:lvlJc w:val="left"/>
      <w:lvlText w:val="•"/>
      <w:numFmt w:val="bullet"/>
      <w:start w:val="1"/>
    </w:lvl>
  </w:abstractNum>
  <w:abstractNum w:abstractNumId="21">
    <w:nsid w:val="440BADFC"/>
    <w:multiLevelType w:val="hybridMultilevel"/>
    <w:lvl w:ilvl="0">
      <w:lvlJc w:val="left"/>
      <w:lvlText w:val="(%1)"/>
      <w:numFmt w:val="decimal"/>
      <w:start w:val="1"/>
    </w:lvl>
  </w:abstractNum>
  <w:abstractNum w:abstractNumId="22">
    <w:nsid w:val="5072367"/>
    <w:multiLevelType w:val="hybridMultilevel"/>
    <w:lvl w:ilvl="0">
      <w:lvlJc w:val="left"/>
      <w:lvlText w:val="(%1)"/>
      <w:numFmt w:val="decimal"/>
      <w:start w:val="1"/>
    </w:lvl>
  </w:abstractNum>
  <w:abstractNum w:abstractNumId="23">
    <w:nsid w:val="3804823E"/>
    <w:multiLevelType w:val="hybridMultilevel"/>
    <w:lvl w:ilvl="0">
      <w:lvlJc w:val="left"/>
      <w:lvlText w:val="•"/>
      <w:numFmt w:val="bullet"/>
      <w:start w:val="1"/>
    </w:lvl>
  </w:abstractNum>
  <w:abstractNum w:abstractNumId="24">
    <w:nsid w:val="77465F01"/>
    <w:multiLevelType w:val="hybridMultilevel"/>
    <w:lvl w:ilvl="0">
      <w:lvlJc w:val="left"/>
      <w:lvlText w:val="(%1)"/>
      <w:numFmt w:val="decimal"/>
      <w:start w:val="1"/>
    </w:lvl>
  </w:abstractNum>
  <w:abstractNum w:abstractNumId="25">
    <w:nsid w:val="7724C67E"/>
    <w:multiLevelType w:val="hybridMultilevel"/>
    <w:lvl w:ilvl="0">
      <w:lvlJc w:val="left"/>
      <w:lvlText w:val="•"/>
      <w:numFmt w:val="bullet"/>
      <w:start w:val="1"/>
    </w:lvl>
  </w:abstractNum>
  <w:abstractNum w:abstractNumId="26">
    <w:nsid w:val="5C482A97"/>
    <w:multiLevelType w:val="hybridMultilevel"/>
    <w:lvl w:ilvl="0">
      <w:lvlJc w:val="left"/>
      <w:lvlText w:val="•"/>
      <w:numFmt w:val="bullet"/>
      <w:start w:val="1"/>
    </w:lvl>
  </w:abstractNum>
  <w:abstractNum w:abstractNumId="27">
    <w:nsid w:val="2463B9EA"/>
    <w:multiLevelType w:val="hybridMultilevel"/>
    <w:lvl w:ilvl="0">
      <w:lvlJc w:val="left"/>
      <w:lvlText w:val="•"/>
      <w:numFmt w:val="bullet"/>
      <w:start w:val="1"/>
    </w:lvl>
  </w:abstractNum>
  <w:abstractNum w:abstractNumId="28">
    <w:nsid w:val="5E884ADC"/>
    <w:multiLevelType w:val="hybridMultilevel"/>
    <w:lvl w:ilvl="0">
      <w:lvlJc w:val="left"/>
      <w:lvlText w:val="•"/>
      <w:numFmt w:val="bullet"/>
      <w:start w:val="1"/>
    </w:lvl>
  </w:abstractNum>
  <w:abstractNum w:abstractNumId="29">
    <w:nsid w:val="51EAD36B"/>
    <w:multiLevelType w:val="hybridMultilevel"/>
    <w:lvl w:ilvl="0">
      <w:lvlJc w:val="left"/>
      <w:lvlText w:val="•"/>
      <w:numFmt w:val="bullet"/>
      <w:start w:val="1"/>
    </w:lvl>
  </w:abstractNum>
  <w:abstractNum w:abstractNumId="30">
    <w:nsid w:val="2D517796"/>
    <w:multiLevelType w:val="hybridMultilevel"/>
    <w:lvl w:ilvl="0">
      <w:lvlJc w:val="left"/>
      <w:lvlText w:val="(%1)"/>
      <w:numFmt w:val="decimal"/>
      <w:start w:val="1"/>
    </w:lvl>
  </w:abstractNum>
  <w:abstractNum w:abstractNumId="31">
    <w:nsid w:val="580BD78F"/>
    <w:multiLevelType w:val="hybridMultilevel"/>
    <w:lvl w:ilvl="0">
      <w:lvlJc w:val="left"/>
      <w:lvlText w:val="•"/>
      <w:numFmt w:val="bullet"/>
      <w:start w:val="1"/>
    </w:lvl>
  </w:abstractNum>
  <w:abstractNum w:abstractNumId="32">
    <w:nsid w:val="153EA438"/>
    <w:multiLevelType w:val="hybridMultilevel"/>
    <w:lvl w:ilvl="0">
      <w:lvlJc w:val="left"/>
      <w:lvlText w:val="•"/>
      <w:numFmt w:val="bullet"/>
      <w:start w:val="1"/>
    </w:lvl>
  </w:abstractNum>
  <w:abstractNum w:abstractNumId="33">
    <w:nsid w:val="3855585C"/>
    <w:multiLevelType w:val="hybridMultilevel"/>
    <w:lvl w:ilvl="0">
      <w:lvlJc w:val="left"/>
      <w:lvlText w:val="•"/>
      <w:numFmt w:val="bullet"/>
      <w:start w:val="1"/>
    </w:lvl>
  </w:abstractNum>
  <w:abstractNum w:abstractNumId="34">
    <w:nsid w:val="70A64E2A"/>
    <w:multiLevelType w:val="hybridMultilevel"/>
    <w:lvl w:ilvl="0">
      <w:lvlJc w:val="left"/>
      <w:lvlText w:val="•"/>
      <w:numFmt w:val="bullet"/>
      <w:start w:val="1"/>
    </w:lvl>
  </w:abstractNum>
  <w:abstractNum w:abstractNumId="35">
    <w:nsid w:val="6A2342EC"/>
    <w:multiLevelType w:val="hybridMultilevel"/>
    <w:lvl w:ilvl="0">
      <w:lvlJc w:val="left"/>
      <w:lvlText w:val="•"/>
      <w:numFmt w:val="bullet"/>
      <w:start w:val="1"/>
    </w:lvl>
  </w:abstractNum>
  <w:abstractNum w:abstractNumId="36">
    <w:nsid w:val="2A487CB0"/>
    <w:multiLevelType w:val="hybridMultilevel"/>
    <w:lvl w:ilvl="0">
      <w:lvlJc w:val="left"/>
      <w:lvlText w:val="(%1)"/>
      <w:numFmt w:val="decimal"/>
      <w:start w:val="1"/>
    </w:lvl>
  </w:abstractNum>
  <w:abstractNum w:abstractNumId="37">
    <w:nsid w:val="1D4ED43B"/>
    <w:multiLevelType w:val="hybridMultilevel"/>
    <w:lvl w:ilvl="0">
      <w:lvlJc w:val="left"/>
      <w:lvlText w:val="(%1)"/>
      <w:numFmt w:val="lowerLetter"/>
      <w:start w:val="2"/>
    </w:lvl>
  </w:abstractNum>
  <w:abstractNum w:abstractNumId="38">
    <w:nsid w:val="725A06FB"/>
    <w:multiLevelType w:val="hybridMultilevel"/>
    <w:lvl w:ilvl="0">
      <w:lvlJc w:val="left"/>
      <w:lvlText w:val="(%1)"/>
      <w:numFmt w:val="lowerRoman"/>
      <w:start w:val="4"/>
    </w:lvl>
  </w:abstractNum>
  <w:abstractNum w:abstractNumId="39">
    <w:nsid w:val="2CD89A32"/>
    <w:multiLevelType w:val="hybridMultilevel"/>
    <w:lvl w:ilvl="0">
      <w:lvlJc w:val="left"/>
      <w:lvlText w:val="(%1)"/>
      <w:numFmt w:val="decimal"/>
      <w:start w:val="1"/>
    </w:lvl>
  </w:abstractNum>
  <w:abstractNum w:abstractNumId="40">
    <w:nsid w:val="57E4CCAF"/>
    <w:multiLevelType w:val="hybridMultilevel"/>
    <w:lvl w:ilvl="0">
      <w:lvlJc w:val="left"/>
      <w:lvlText w:val="(%1)"/>
      <w:numFmt w:val="decimal"/>
      <w:start w:val="2"/>
    </w:lvl>
  </w:abstractNum>
  <w:abstractNum w:abstractNumId="41">
    <w:nsid w:val="7A6D8D3C"/>
    <w:multiLevelType w:val="hybridMultilevel"/>
    <w:lvl w:ilvl="0">
      <w:lvlJc w:val="left"/>
      <w:lvlText w:val="(%1)"/>
      <w:numFmt w:val="decimal"/>
      <w:start w:val="1"/>
    </w:lvl>
  </w:abstractNum>
  <w:abstractNum w:abstractNumId="42">
    <w:nsid w:val="4B588F54"/>
    <w:multiLevelType w:val="hybridMultilevel"/>
    <w:lvl w:ilvl="0">
      <w:lvlJc w:val="left"/>
      <w:lvlText w:val="•"/>
      <w:numFmt w:val="bullet"/>
      <w:start w:val="1"/>
    </w:lvl>
  </w:abstractNum>
  <w:abstractNum w:abstractNumId="43">
    <w:nsid w:val="542289EC"/>
    <w:multiLevelType w:val="hybridMultilevel"/>
    <w:lvl w:ilvl="0">
      <w:lvlJc w:val="left"/>
      <w:lvlText w:val="(%1)"/>
      <w:numFmt w:val="decimal"/>
      <w:start w:val="1"/>
    </w:lvl>
  </w:abstractNum>
  <w:abstractNum w:abstractNumId="44">
    <w:nsid w:val="6DE91B18"/>
    <w:multiLevelType w:val="hybridMultilevel"/>
    <w:lvl w:ilvl="0">
      <w:lvlJc w:val="left"/>
      <w:lvlText w:val="•"/>
      <w:numFmt w:val="bullet"/>
      <w:start w:val="1"/>
    </w:lvl>
  </w:abstractNum>
  <w:abstractNum w:abstractNumId="45">
    <w:nsid w:val="38437FDB"/>
    <w:multiLevelType w:val="hybridMultilevel"/>
    <w:lvl w:ilvl="0">
      <w:lvlJc w:val="left"/>
      <w:lvlText w:val="•"/>
      <w:numFmt w:val="bullet"/>
      <w:start w:val="1"/>
    </w:lvl>
  </w:abstractNum>
  <w:abstractNum w:abstractNumId="46">
    <w:nsid w:val="7644A45C"/>
    <w:multiLevelType w:val="hybridMultilevel"/>
    <w:lvl w:ilvl="0">
      <w:lvlJc w:val="left"/>
      <w:lvlText w:val="•"/>
      <w:numFmt w:val="bullet"/>
      <w:start w:val="1"/>
    </w:lvl>
  </w:abstractNum>
  <w:abstractNum w:abstractNumId="47">
    <w:nsid w:val="32FFF902"/>
    <w:multiLevelType w:val="hybridMultilevel"/>
    <w:lvl w:ilvl="0">
      <w:lvlJc w:val="left"/>
      <w:lvlText w:val="(%1)"/>
      <w:numFmt w:val="lowerRoman"/>
      <w:start w:val="1"/>
    </w:lvl>
  </w:abstractNum>
  <w:abstractNum w:abstractNumId="48">
    <w:nsid w:val="684A481A"/>
    <w:multiLevelType w:val="hybridMultilevel"/>
    <w:lvl w:ilvl="0">
      <w:lvlJc w:val="left"/>
      <w:lvlText w:val="%1."/>
      <w:numFmt w:val="decimal"/>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jpe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2024-04-19T08:36:02Z</dcterms:created>
  <dcterms:modified xsi:type="dcterms:W3CDTF">2024-04-19T08:36:02Z</dcterms:modified>
</cp:coreProperties>
</file>