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140" w:type="dxa"/>
            <w:vAlign w:val="bottom"/>
          </w:tcPr>
          <w:p>
            <w:pPr>
              <w:jc w:val="center"/>
              <w:ind w:right="2418"/>
              <w:spacing w:after="0"/>
              <w:rPr>
                <w:sz w:val="20"/>
                <w:szCs w:val="20"/>
                <w:color w:val="auto"/>
              </w:rPr>
            </w:pPr>
            <w:r>
              <w:rPr>
                <w:rFonts w:ascii="Arial" w:cs="Arial" w:eastAsia="Arial" w:hAnsi="Arial"/>
                <w:sz w:val="18"/>
                <w:szCs w:val="18"/>
                <w:b w:val="1"/>
                <w:bCs w:val="1"/>
                <w:color w:val="auto"/>
                <w:w w:val="90"/>
              </w:rPr>
              <w:t>Cayman Islands</w:t>
            </w:r>
          </w:p>
        </w:tc>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001-39544</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98-1550750</w:t>
            </w:r>
          </w:p>
        </w:tc>
      </w:tr>
      <w:tr>
        <w:trPr>
          <w:trHeight w:val="148"/>
        </w:trPr>
        <w:tc>
          <w:tcPr>
            <w:tcW w:w="4140" w:type="dxa"/>
            <w:vAlign w:val="bottom"/>
          </w:tcPr>
          <w:p>
            <w:pPr>
              <w:jc w:val="center"/>
              <w:ind w:right="24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1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40" w:type="dxa"/>
            <w:vAlign w:val="bottom"/>
          </w:tcPr>
          <w:p>
            <w:pPr>
              <w:jc w:val="center"/>
              <w:ind w:right="2398"/>
              <w:spacing w:after="0"/>
              <w:rPr>
                <w:sz w:val="20"/>
                <w:szCs w:val="20"/>
                <w:color w:val="auto"/>
              </w:rPr>
            </w:pPr>
            <w:r>
              <w:rPr>
                <w:rFonts w:ascii="Arial" w:cs="Arial" w:eastAsia="Arial" w:hAnsi="Arial"/>
                <w:sz w:val="14"/>
                <w:szCs w:val="14"/>
                <w:b w:val="1"/>
                <w:bCs w:val="1"/>
                <w:color w:val="auto"/>
                <w:w w:val="94"/>
              </w:rPr>
              <w:t>of incorporation)</w:t>
            </w:r>
          </w:p>
        </w:tc>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40" w:type="dxa"/>
            <w:vAlign w:val="bottom"/>
          </w:tcPr>
          <w:p>
            <w:pPr>
              <w:jc w:val="center"/>
              <w:ind w:left="1058"/>
              <w:spacing w:after="0"/>
              <w:rPr>
                <w:sz w:val="20"/>
                <w:szCs w:val="20"/>
                <w:color w:val="auto"/>
              </w:rPr>
            </w:pPr>
            <w:r>
              <w:rPr>
                <w:rFonts w:ascii="Arial" w:cs="Arial" w:eastAsia="Arial" w:hAnsi="Arial"/>
                <w:sz w:val="18"/>
                <w:szCs w:val="18"/>
                <w:b w:val="1"/>
                <w:bCs w:val="1"/>
                <w:color w:val="auto"/>
                <w:w w:val="94"/>
              </w:rPr>
              <w:t>Victory Park Capital Advisors, LLC</w:t>
            </w:r>
          </w:p>
        </w:tc>
        <w:tc>
          <w:tcPr>
            <w:tcW w:w="21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40" w:type="dxa"/>
            <w:vAlign w:val="bottom"/>
          </w:tcPr>
          <w:p>
            <w:pPr>
              <w:jc w:val="center"/>
              <w:ind w:left="107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1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4140" w:type="dxa"/>
            <w:vAlign w:val="bottom"/>
          </w:tcPr>
          <w:p>
            <w:pPr>
              <w:jc w:val="center"/>
              <w:ind w:left="1078"/>
              <w:spacing w:after="0"/>
              <w:rPr>
                <w:sz w:val="20"/>
                <w:szCs w:val="20"/>
                <w:color w:val="auto"/>
              </w:rPr>
            </w:pPr>
            <w:r>
              <w:rPr>
                <w:rFonts w:ascii="Arial" w:cs="Arial" w:eastAsia="Arial" w:hAnsi="Arial"/>
                <w:sz w:val="18"/>
                <w:szCs w:val="18"/>
                <w:b w:val="1"/>
                <w:bCs w:val="1"/>
                <w:color w:val="auto"/>
                <w:w w:val="92"/>
              </w:rPr>
              <w:t>Chicago, IL</w:t>
            </w:r>
          </w:p>
        </w:tc>
        <w:tc>
          <w:tcPr>
            <w:tcW w:w="21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186"/>
        </w:trPr>
        <w:tc>
          <w:tcPr>
            <w:tcW w:w="4140" w:type="dxa"/>
            <w:vAlign w:val="bottom"/>
          </w:tcPr>
          <w:p>
            <w:pPr>
              <w:jc w:val="center"/>
              <w:ind w:left="10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 to purchase one Class A ordinary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A ordinary shares, $0.0001 par value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089"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On July 7, 2021, VPC Impact Acquisition Holdings (“VIH”) issued a press release announcing that it plans to file with the Securities and Exchange Commission (the “SEC”) Amendment No. 2 to the registration statement on Form S-4 in the coming days, which will include a preliminary proxy statement of VIH in connection with the proposed business combination (the “Proposed Transaction”) with Bakkt Holdings, LLC (“Bakkt”). A copy of the press release is furnished as Exhibit 99.1 hereto and incorporated by reference hereby.</w:t>
      </w:r>
    </w:p>
    <w:p>
      <w:pPr>
        <w:spacing w:after="0" w:line="17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liabilities under that section, and shall not be deemed to be incorporated by reference into the filings of VPC Impact Acquisition Holdings (“VIH”)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Transaction, VIH has filed a registration statement on Form S-4 that includes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After the registration statement is declared effective, VIH will mail a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85"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ectPr>
          <w:pgSz w:w="11900" w:h="16838" w:orient="portrait"/>
          <w:cols w:equalWidth="0" w:num="1">
            <w:col w:w="10960"/>
          </w:cols>
          <w:pgMar w:left="440" w:top="270" w:right="499" w:bottom="1440" w:gutter="0" w:footer="0" w:header="0"/>
        </w:sectPr>
      </w:pPr>
    </w:p>
    <w:bookmarkStart w:id="2" w:name="page3"/>
    <w:bookmarkEnd w:id="2"/>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w:t>
      </w:r>
    </w:p>
    <w:p>
      <w:pPr>
        <w:sectPr>
          <w:pgSz w:w="11900" w:h="16838" w:orient="portrait"/>
          <w:cols w:equalWidth="0" w:num="1">
            <w:col w:w="11000"/>
          </w:cols>
          <w:pgMar w:left="440" w:top="274" w:right="459" w:bottom="1440" w:gutter="0" w:footer="0" w:header="0"/>
        </w:sectPr>
      </w:pPr>
    </w:p>
    <w:bookmarkStart w:id="3" w:name="page4"/>
    <w:bookmarkEnd w:id="3"/>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w:t>
      </w:r>
    </w:p>
    <w:p>
      <w:pPr>
        <w:spacing w:after="0" w:line="2" w:lineRule="exact"/>
        <w:rPr>
          <w:sz w:val="20"/>
          <w:szCs w:val="20"/>
          <w:color w:val="auto"/>
        </w:rPr>
      </w:pPr>
    </w:p>
    <w:p>
      <w:pPr>
        <w:ind w:left="4" w:right="300" w:hanging="4"/>
        <w:spacing w:after="0" w:line="252"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4"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33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20" w:type="dxa"/>
            <w:vAlign w:val="bottom"/>
            <w:gridSpan w:val="3"/>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398"/>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560" w:type="dxa"/>
            <w:vAlign w:val="bottom"/>
            <w:tcBorders>
              <w:top w:val="single" w:sz="8" w:color="auto"/>
            </w:tcBorders>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Press Release, dated as of July 7, 2021.</w:t>
              </w:r>
            </w:hyperlink>
          </w:p>
        </w:tc>
      </w:tr>
      <w:tr>
        <w:trPr>
          <w:trHeight w:val="20"/>
        </w:trPr>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ectPr>
          <w:pgSz w:w="11900" w:h="16838" w:orient="portrait"/>
          <w:cols w:equalWidth="0" w:num="1">
            <w:col w:w="11024"/>
          </w:cols>
          <w:pgMar w:left="436" w:top="274"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VPC Impact Acquisition Holdings</w:t>
            </w: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Date: July 7, 2021</w:t>
            </w:r>
          </w:p>
        </w:tc>
        <w:tc>
          <w:tcPr>
            <w:tcW w:w="4960" w:type="dxa"/>
            <w:vAlign w:val="bottom"/>
          </w:tcPr>
          <w:p>
            <w:pPr>
              <w:spacing w:after="0"/>
              <w:rPr>
                <w:sz w:val="24"/>
                <w:szCs w:val="24"/>
                <w:color w:val="auto"/>
              </w:rPr>
            </w:pPr>
          </w:p>
        </w:tc>
      </w:tr>
      <w:tr>
        <w:trPr>
          <w:trHeight w:val="432"/>
        </w:trPr>
        <w:tc>
          <w:tcPr>
            <w:tcW w:w="6060" w:type="dxa"/>
            <w:vAlign w:val="bottom"/>
          </w:tcPr>
          <w:p>
            <w:pPr>
              <w:ind w:left="55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Martin</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John Martin</w:t>
            </w:r>
          </w:p>
        </w:tc>
      </w:tr>
      <w:tr>
        <w:trPr>
          <w:trHeight w:val="230"/>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 and Chairman</w:t>
            </w:r>
          </w:p>
        </w:tc>
      </w:tr>
    </w:tbl>
    <w:p>
      <w:pPr>
        <w:sectPr>
          <w:pgSz w:w="11900" w:h="16838" w:orient="portrait"/>
          <w:cols w:equalWidth="0" w:num="1">
            <w:col w:w="11020"/>
          </w:cols>
          <w:pgMar w:left="440" w:top="27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VPC Impact Acquisition Holdings Announces Plans to File Amendment No. 2 to the Registration Statement on SEC Form S-4 in Connection with its Proposed Business Combination with Bakkt Holdings, LLC</w:t>
      </w:r>
    </w:p>
    <w:p>
      <w:pPr>
        <w:spacing w:after="0" w:line="18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CHICAGO – July 7, 2021 – VPC Impact Acquisition Holdings (NASDAQ: VIHAU, VIH and VIHAW) (“VIH”), announced today that it plans to file with the U.S. Securities and Exchange Commission (“SEC”) Amendment No. 2 to the registration statement on Form S-4 (the “Registration Statement”) in the coming days, which will include a preliminary proxy statement of VIH with respect to the proposed business combination (the “Business Combination”) with Bakkt Holdings, LLC (“Bakkt”), a digital asset marketplace. The Registration Statement will include updated disclosures to respond to SEC comments and will represent further progress towards the closing of the Business Combination.</w:t>
      </w:r>
    </w:p>
    <w:p>
      <w:pPr>
        <w:spacing w:after="0" w:line="1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VIH commented, “As we enter the third quarter, we continue to engage and work closely with regulators to complete their review of our registration statement and look forward to the conclusion of that process. We have established June 28, 2021 as the record date for the extraordinary general meeting of the shareholders to approve the anticipated Business Combination. We remain confident in Bakkt’s strong position in the marketplace and expect to provide another update when we have additional information regarding the closing date for the Business Combination.”</w:t>
      </w:r>
    </w:p>
    <w:p>
      <w:pPr>
        <w:spacing w:after="0" w:line="15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Business Combination, which was announced on January 11, 2021, has been unanimously approved by the VIH Board of Directors, the Bakkt board of managers and the Bakkt unitholders, and remains subject to certain customary closing conditions, including VIH shareholder approval.</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Upon the consummation of the Business Combination, VIH will be renamed “Bakkt Holdings, Inc.” and is anticipated to become a NYSE-listed public company trading under the ticker symbol “BKKT.”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San Francisco. Victory Park Capital is privately held and a Registered Investment Advisor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Bakkt is a trusted digital asset marketplace that enables institutions and consumers to buy, sell, store and spend digital assets. Bakkt’s retail platform, now widely available through the new Bakkt App, amplifies consumer spending, reduces traditional payment costs and bolsters loyalty programs, adding value for all key stakeholders within the payments and digital assets ecosystem. Launched in 2018 by Intercontinental Exchange, Inc., Bakkt is headquartered in Alpharetta, GA.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connection with the Business Combination, VIH has filed the Registration Statement with the SEC, which includes a prospectus with respect to changing VIH’s jurisdiction of incorporation from the Cayman Islands to the State of Delaware and a proxy statement with respect to VIH’s shareholder meeting at which VIH shareholders will be asked to vote on the proposed Business Combination. VIH and Bakkt urge shareholders and other interested persons to read the Form S-4, as amended, including the proxy statement/prospectus, as well as other documents filed with the SEC, because these documents will contain important information about the Business Combination.</w:t>
      </w:r>
    </w:p>
    <w:p>
      <w:pPr>
        <w:spacing w:after="0" w:line="17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When available, the definitive proxy statement/prospectus and other relevant materials for the Business Combination will be mailed to shareholders of VIH as of a record date to be established for voting on the Business Combination. VIH’s shareholders will also be able to obtain copies of the preliminary proxy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6" w:name="page7"/>
    <w:bookmarkEnd w:id="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VIH, Bakkt and their respective directors, managers, executive officers and other members of their management and employees, under SEC rules, may be deemed to be participants in the solicitation of proxies of VIH shareholders in connection with the Business Combination. Information regarding the persons who may, under SEC rules, be deemed participants in the solicitation of proxies to VIH’s shareholders in connection with the Business Combination is set forth in the preliminary proxy statement/prospectus contained in the Form S-4, as amended, and will also be included in the definitive proxy statement/prospectus for the Business Combination when available. Information concerning the interests of VIH and Bakkt’s participants in the solicitation, which may, in some cases, be different than those of VIH and Bakkt’s equity holders generally, is also set forth in the proxy statement/prospectus contained in the Form S-4, as amended, and will also be included in the definitive proxy statement/prospectus for the Business Combination when available.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the timing of the closing of the Business Combination; our plans, objectives, expectations and intentions with respect to future operations;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 to complete the Business Combination due to the failure to obtain approval of VIH’s shareholders, the failure to achieve the minimum amount of cash</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 w:name="page8"/>
    <w:bookmarkEnd w:id="7"/>
    <w:p>
      <w:pPr>
        <w:jc w:val="both"/>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 (v) risks related to disruption of management time from ongoing business operations due to the Business Combination;</w:t>
      </w:r>
    </w:p>
    <w:p>
      <w:pPr>
        <w:spacing w:after="0" w:line="2" w:lineRule="exact"/>
        <w:rPr>
          <w:sz w:val="20"/>
          <w:szCs w:val="20"/>
          <w:color w:val="auto"/>
        </w:rPr>
      </w:pPr>
    </w:p>
    <w:p>
      <w:pPr>
        <w:ind w:left="4" w:right="100" w:hanging="4"/>
        <w:spacing w:after="0" w:line="252" w:lineRule="auto"/>
        <w:tabs>
          <w:tab w:leader="none" w:pos="30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and (x) risks relating to data security. The foregoing list of factors is not exhaustive. You should carefully consider the foregoing factors and the other risks and uncertainties described in the “Risk Factors” section of the Registration Statement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2" w:lineRule="exact"/>
        <w:rPr>
          <w:sz w:val="20"/>
          <w:szCs w:val="20"/>
          <w:color w:val="auto"/>
        </w:rPr>
      </w:pPr>
    </w:p>
    <w:p>
      <w:pPr>
        <w:ind w:left="4" w:right="20"/>
        <w:spacing w:after="0" w:line="288" w:lineRule="auto"/>
        <w:rPr>
          <w:sz w:val="20"/>
          <w:szCs w:val="20"/>
          <w:color w:val="auto"/>
        </w:rPr>
      </w:pPr>
      <w:r>
        <w:rPr>
          <w:rFonts w:ascii="Arial" w:cs="Arial" w:eastAsia="Arial" w:hAnsi="Arial"/>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VIH and Bakkt disclaim any intention or obligation to update any forward-looking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Bakkt: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BakktIR@edelman.com</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Rachel Ford</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rachel.ford@bakkt.com</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VIH:</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8"/>
          <w:szCs w:val="18"/>
          <w:color w:val="auto"/>
        </w:rPr>
        <w:t>vihinfo@victoryparkcapital.com</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 Fisher (Sahin)</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Julia.Fisher@edelman.com</w:t>
      </w:r>
    </w:p>
    <w:p>
      <w:pPr>
        <w:spacing w:after="0" w:line="15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3</w:t>
      </w:r>
    </w:p>
    <w:sectPr>
      <w:pgSz w:w="11900" w:h="16838" w:orient="portrait"/>
      <w:cols w:equalWidth="0" w:num="1">
        <w:col w:w="10904"/>
      </w:cols>
      <w:pgMar w:left="436"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0"/>
    </w:lvl>
  </w:abstractNum>
  <w:abstractNum w:abstractNumId="2">
    <w:nsid w:val="19495CFF"/>
    <w:multiLevelType w:val="hybridMultilevel"/>
    <w:lvl w:ilvl="0">
      <w:lvlJc w:val="left"/>
      <w:lvlText w:val="(%1)"/>
      <w:numFmt w:val="lowerRoman"/>
      <w:start w:val="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2021-07-07T07:53:51Z</dcterms:created>
  <dcterms:modified xsi:type="dcterms:W3CDTF">2021-07-07T07:53:51Z</dcterms:modified>
</cp:coreProperties>
</file>