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Surdykowski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Intercontinental Exchange, Inc., 5660 New Northside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770-857-4700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Rory O'Halloran &amp; Cody Wright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Allen Overy Shearman Sterling US LLP, 599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par value $0.0001 per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share ("Class A Common Stock"), of Bakkt Holdings, Inc. (the "Issuer") and (ii) 6,803,178 shares of Class V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par value $0.0001 per share ("Class V Common Stock", and together with the Class A Common Stock,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"Common Stock"), of the Issuer beneficially owned by the Reporting Person as of the date hereof. This amount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includes 461,360 shares of Class A Common Stock (the "Warrant Shares") underlying the Acquired Warrants (as</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defined in Item 6 of the Amended Schedule 13D) that became exercisable on September 4, 2024, as described further in Item 6 of the Amended Schedule 13D. The Reporting Persons will not have the power to vote the Warrant Shares unless, and to the extent, Intercontinental Exchange Holdings, Inc. ("ICEH"), a wholly owned subsidiary of Intercontinental Exchange, Inc. ("ICE"), exercises its right to acquire Warrant Shares in accordance with the terms of the Acquired Warrants. In addition, the voting power of the Reporting Persons in respect of the Common Stock is reduced to 30% pursuant to the Voting Agreement between ICEH and the Issuer, so long as ICEH and its affiliates own 50% or more of the total voting power of the Issuer, as described further in Item 6 of the Amended Schedule 13D. The percentage calculated in Row 13 is based on a total of 14,151,808 shares of Common Stock, consisting of 6,974,732 shares of Class A Common Stock and 7,177,076 shares of Class V Common Stock outstanding as of July 11, 2025, as reported in the Issuer's Definitive Proxy Statement on Schedule 14A filed with the Securities and Exchange Commission (the "SEC") on July 16, 2025. As of the date hereof, the Reporting Person beneficially owns 14.9% of the outstanding shares of Class A Common Stock (including the Warrant Shares but excluding any shares of Class V Common Stock).</w:t>
      </w:r>
    </w:p>
    <w:p>
      <w:pPr>
        <w:sectPr>
          <w:pgSz w:w="11900" w:h="16838" w:orient="portrait"/>
          <w:cols w:equalWidth="0" w:num="1">
            <w:col w:w="11240"/>
          </w:cols>
          <w:pgMar w:left="320" w:top="639" w:right="339" w:bottom="255"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and (ii) 6,803,178</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Class V Common Stock beneficially owned by the Reporting Person as of the date hereof. This amount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includes the Warrant Shares underlying the Acquired Warrants that became exercisable on September 4, 2024, as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described further in Item 6 of the Amended Schedule 13D. The percentage calculated in Row 13 is based on a total of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14,151,808 shares of Common Stock, consisting of 6,974,732 shares of Class A Common Stock and 7,177,076 shares</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of Class V Common Stock outstanding as of July 11, 2025, as reported in the Issuer's Definitive Proxy Statement on Schedule 14A filed with the SEC on July 16, 2025. As of the date hereof, the Reporting Person beneficially owns 14.9% of the outstanding shares of Class A Common Stock (including the Warrant Shares but excluding any shares of Class V Common Stock).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1240"/>
          </w:cols>
          <w:pgMar w:left="320" w:top="110" w:right="339" w:bottom="0" w:gutter="0" w:footer="0" w:header="0"/>
        </w:sectPr>
      </w:pPr>
    </w:p>
    <w:bookmarkStart w:id="3" w:name="page4"/>
    <w:bookmarkEnd w:id="3"/>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5900 Windward Parkway, Suite 450, Alpharetta, GEORGIA , 30005.</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7 (this "Amendment") is being jointly filed on behalf of: (a) Intercontinental Exchange, Inc., a</w:t>
      </w:r>
    </w:p>
    <w:p>
      <w:pPr>
        <w:spacing w:after="0" w:line="18" w:lineRule="exact"/>
        <w:rPr>
          <w:sz w:val="20"/>
          <w:szCs w:val="20"/>
          <w:color w:val="auto"/>
        </w:rPr>
      </w:pPr>
    </w:p>
    <w:p>
      <w:pPr>
        <w:jc w:val="both"/>
        <w:ind w:left="960" w:hanging="951"/>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Delaware corporation ("ICE"), and (b) Intercontinental Exchange Holdings, Inc., a Delaware corporation ("ICEH",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ICE, the "Reporting Persons" and each a "Reporting Person"), and amends the Statement on Schedule 13D filed by the Reporting Persons on October 21, 2021 ("Initial Schedule 13D"), as previously amended by (i) Amendment No. 1 to the Initial Schedule 13D filed by the Reporting Persons on May 5, 2022 ("Amendment No. 1"), (ii) Amendment No. 2 to the Initial Schedule 13D filed by the Reporting Persons on April 28, 2023 ("Amendment No. 2"), (iii) Amendment No. 3 to the Initial Schedule 13D filed by the Reporting Persons on March 4, 2024 ("Amendment No. 3"), (iv) Amendment No. 4 to the Initial Schedule 13D filed by the Reporting Persons on April 29, 2024 ("Amendment No. 4"), (v) Amendment No. 5 to the Initial Schedule 13D filed by the Reporting Persons on July 9, 2024 ("Amendment No. 5") and (vi) Amendment No. 6 to the Initial Schedule 13D filed by the Reporting Persons on July 1 and 2, 2025, and the Initial Schedule 13D as so amended, the "Amended Schedule 13D"), which relates to the shares of Class A common stock, par value $0.0001 per share ("Class A Common Stock"), of Bakkt Holdings, Inc., a Delaware corporation (the "Issuer"). Information given in response to each item of this Amendment shall be deemed incorporated by reference in all other items, as applicable. Each common unit of Bakkt Opco Holdings, LLC, a Delaware limited liability company ("Bakkt Opco") (a "Bakkt Opco Common Unit", and together with one share of Class V Common Stock, par value $0.0001 per share (the "Class V Common Stock"), of the Issuer, a "Paired Interest") is exchangeable (along with the cancelation of a corresponding number of paired shares of Class V Common Stock) for one share of Class A Common Stock pursuant to the A&amp;R Exchange Agreement (as defined in Item 6 of the Amended Schedule 13D, subject to adjustment as set forth in the A&amp;R Exchange Agreement). The Class A Common Stock and the Class V Common Stock are collectively referred to herein as the "Common Stock". Capitalized terms used and not otherwise defined in this Amendment have the same meanings ascribed to them in the Amended Schedule 13D.</w:t>
      </w:r>
    </w:p>
    <w:p>
      <w:pPr>
        <w:spacing w:after="0" w:line="2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56" w:lineRule="auto"/>
        <w:rPr>
          <w:sz w:val="20"/>
          <w:szCs w:val="20"/>
          <w:color w:val="auto"/>
        </w:rPr>
      </w:pPr>
      <w:r>
        <w:rPr>
          <w:rFonts w:ascii="Times New Roman" w:cs="Times New Roman" w:eastAsia="Times New Roman" w:hAnsi="Times New Roman"/>
          <w:sz w:val="22"/>
          <w:szCs w:val="22"/>
          <w:color w:val="auto"/>
        </w:rPr>
        <w:t>Item 3 of the Amended Schedule 13D is hereby supplemented and amended to add the information contained in Item 6 of this Amendment, which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20"/>
        <w:spacing w:after="0" w:line="256" w:lineRule="auto"/>
        <w:rPr>
          <w:sz w:val="20"/>
          <w:szCs w:val="20"/>
          <w:color w:val="auto"/>
        </w:rPr>
      </w:pPr>
      <w:r>
        <w:rPr>
          <w:rFonts w:ascii="Times New Roman" w:cs="Times New Roman" w:eastAsia="Times New Roman" w:hAnsi="Times New Roman"/>
          <w:sz w:val="22"/>
          <w:szCs w:val="22"/>
          <w:color w:val="auto"/>
        </w:rPr>
        <w:t>Item 4 of the Amended Schedule 13D is hereby supplemented and amended to add the information contained in Item 6 of this Amendment, which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hanging="912"/>
        <w:spacing w:after="0" w:line="242"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percentage of beneficial ownership in this Amendment is based on: (i) with respect to the total amount of securities issued and outstanding, an aggregate of 6,974,732 shares of Class A Common Stock and 7,177,076 shares of Class V Common Stock outstanding as of July 11, 2025, as reported in the Issuer's Definitive Proxy Statement on Schedule 14A filed with the Securities and Exchange Commission ("SEC") on July 16, 2025, as adjusted pursuant to Rule 13d-3(d)(1)(i) under the Exchange Act to include the 461,360 shares of Class A Common Stock (the "Warrant Shares") underlying the Acquired Warrants (as defined in Item 6 of the Amended Schedule 13D), and (ii) with respect to the securities beneficially owned by the Reporting Persons, 649,934 shares of Class A Common Stock, the 461,360 Warrant Shares and 6,803,178 shares of Class A Common Stock underlying the Paired Interests (consisting of 6,803,178 Bakkt Opco Common Units and 6,803,178 shares of Class V Common Stock) beneficially owned by the Reporting Persons as of the date hereof. 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 Pursuant to the terms of the A&amp;R Exchange Agreement (as defined in Item 6 of Amendment No. 1),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1,000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 Pursuant to the Voting Agreement (as described in Item 6 of the Initial Schedule 13D), as long as ICEH and its affiliates beneficially own 50% or more of the total voting power of the shares of Common Stock issued and outstanding and entitled to vote at any time, a proxy designated by the Board will vote the Excess Shares (defined in Item 6 of the Initial Schedule 13D) beneficially owned by the Reporting Persons on any Stockholder Matter (as defined in Item 6 of the Initial Schedule 13D) in the same percentages for and against such Stockholder Matter as votes were cast for and against such Stockholder Matter by all stockholders of the Issuer other than ICEH and its</w:t>
      </w:r>
    </w:p>
    <w:p>
      <w:pPr>
        <w:sectPr>
          <w:pgSz w:w="11900" w:h="16851" w:orient="portrait"/>
          <w:cols w:equalWidth="0" w:num="1">
            <w:col w:w="11160"/>
          </w:cols>
          <w:pgMar w:left="360" w:top="355" w:right="379" w:bottom="0" w:gutter="0" w:footer="0" w:header="0"/>
        </w:sectPr>
      </w:pPr>
    </w:p>
    <w:bookmarkStart w:id="4" w:name="page5"/>
    <w:bookmarkEnd w:id="4"/>
    <w:p>
      <w:pPr>
        <w:ind w:left="920" w:right="40"/>
        <w:spacing w:after="0" w:line="243" w:lineRule="auto"/>
        <w:rPr>
          <w:sz w:val="20"/>
          <w:szCs w:val="20"/>
          <w:color w:val="auto"/>
        </w:rPr>
      </w:pPr>
      <w:r>
        <w:rPr>
          <w:rFonts w:ascii="Times New Roman" w:cs="Times New Roman" w:eastAsia="Times New Roman" w:hAnsi="Times New Roman"/>
          <w:sz w:val="21"/>
          <w:szCs w:val="21"/>
          <w:color w:val="auto"/>
        </w:rPr>
        <w:t>affiliates. The Voting Agreement does not apply to the voting of shares of Common Stock beneficially owned by ICEH and its affiliates that are not Excess Shares. The Voting Agreement also does not apply to the giving or withholding of consent or approval in respect of any matter requiring the approval of the Required Interest (as defined in Item 6 of the Initial Schedule 13D) of Bakkt Opco equity holders under the Surviving Company LLC Agreement. The Voting Agreement will terminate if the voting power represented by the shares of Common Stock beneficially owned by ICEH and its affiliates falls below 50% of the total voting power of the shares of Common Stock issued and outstanding and entitled to vote at any time. The Warrant Shares will not have voting power unless, and to the extent, ICEH exercises its right to acquire Warrant Shares in accordance with the terms of the Acquired Warrants and such shares become issued and outstanding. To the best knowledge of the Reporting Persons, the following persons beneficially own or may be deemed to beneficially own the shares of Class A Common Stock, Class V Common Stock and Bakkt Opco Common Units set forth below: o Hon. Sharon Y. Bowen, Director, ICE, beneficially owns 20,118 shares of Class A Common Stock, 926 shares of Class V Common Stock and 926 Bakkt Opco Common Units. o Thomas E. Noonan, Director, ICE, beneficially owns 529 shares of Class V Common Stock and 529 Bakkt Opco Common Units. o Jeffrey C. Sprecher, Director (Chairman) and Chief Executive Officer, ICE, may be deemed to beneficially own 146,366 shares of Class V Common Stock and 146,366 Bakkt Opco Common Units, which shares and units are beneficially owned by his spouse through her holdings of vested incentive units in Bakkt Management. Mr. Sprecher disclaims beneficial ownership of the shares and units held indirectly by his spouse. The Reporting Persons specifically disclaim beneficial ownership over such shares and units held by the persons listed above. Except for the shares of Class A Common Stock beneficially owned by Ms. Bowen, the beneficial ownership information set forth above is with respect to shares of Class V Common Stock and Bakkt Opco Common Units indirectly acquired by Ms. Bowen, Mr. Noonan, and Mr. Sprecher's spouse in connection with the Closing in respect of incentive units held by such individuals under the Bakkt equity incentive plan in effect prior to the Closing and held directly by Bakkt Management LLC ("Bakkt Management").</w:t>
      </w:r>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5(a) of this Statement is incorporated herein by reference. Pursuant to the Share Increase Voting Support</w:t>
      </w:r>
    </w:p>
    <w:p>
      <w:pPr>
        <w:spacing w:after="0" w:line="14" w:lineRule="exact"/>
        <w:rPr>
          <w:sz w:val="20"/>
          <w:szCs w:val="20"/>
          <w:color w:val="auto"/>
        </w:rPr>
      </w:pPr>
    </w:p>
    <w:p>
      <w:pPr>
        <w:ind w:left="920" w:right="2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Agreement (as defined in Item 6 of this Amendment), ICEH agreed to vote all of the shares of Common Stock owned by ICEH in favor of the Share Increase Amendment (as defined in Item 6 of this Amendment), subject to the limitations of the Voting Agreement in respect of Excess Shares.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This Amendment is being filed to report the entry by ICEH into the Share Increase Voting Support Agreement (as</w:t>
      </w:r>
    </w:p>
    <w:p>
      <w:pPr>
        <w:spacing w:after="0" w:line="14" w:lineRule="exact"/>
        <w:rPr>
          <w:rFonts w:ascii="Times New Roman" w:cs="Times New Roman" w:eastAsia="Times New Roman" w:hAnsi="Times New Roman"/>
          <w:sz w:val="42"/>
          <w:szCs w:val="42"/>
          <w:color w:val="auto"/>
          <w:vertAlign w:val="subscript"/>
        </w:rPr>
      </w:pPr>
    </w:p>
    <w:p>
      <w:pPr>
        <w:ind w:left="920" w:right="48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defined in Item 6 of this Amendment), and not in connection with any acquisition or disposition of any shares of Common Stock by the Reporting Persons. The Reporting Persons have not effected any transactions in Class A Common Stock or Class V Common Stock during the past 60 days.</w:t>
      </w:r>
    </w:p>
    <w:p>
      <w:pPr>
        <w:spacing w:after="0" w:line="18" w:lineRule="exact"/>
        <w:rPr>
          <w:rFonts w:ascii="Times New Roman" w:cs="Times New Roman" w:eastAsia="Times New Roman" w:hAnsi="Times New Roman"/>
          <w:sz w:val="42"/>
          <w:szCs w:val="42"/>
          <w:color w:val="auto"/>
          <w:vertAlign w:val="subscript"/>
        </w:rPr>
      </w:pPr>
    </w:p>
    <w:p>
      <w:pPr>
        <w:ind w:left="920" w:right="2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Item 6 of the Amended Schedule 13D is hereby further supplemented and amended to add the following information: Share Increase Voting Support Agreement. On July 16, 2025, the Issuer filed a definitive proxy statement in connection with a special meeting of the stockholders of the Issuer to be held on August 6, 2025 (the "Special Meeting") to consider and vote upon a proposal to approve an amendment to the Issuer's Certificate of Incorporation, dated as of October 15, 2021, as amended on April 24, 2024 and June 17, 2025, to increase the number of authorized shares of Class A Common Stock from 60,000 shares to 560,000 shares (the "Share Increase Amendment") and, in connection therewith, ICEH entered into a Voting Support Agreement (the "Share Increase Voting Support Agreement") with the Issuer on July 15, 2025. Pursuant to the Share Increase Voting Support Agreement (i) ICEH agreed, among other things, to vote all of the shares of Common Stock owned by ICEH in favor of the Share Increase Amendment at the Special Meeting, subject to the limitations of the Voting Agreement in respect of Excess Shares, and (ii) the Issuer agreed that, within 3 business days of consummating any debt or equity transaction pursuant to which the Issuer receives net proceeds of at least $70 million, the Issuer will (a) repay in full in cash any outstanding obligations under that certain Revolving Credit Agreement, dated as of August 12, 2024 (the "Credit Agreement"), by and among the Issuer, Bakkt Opco, the subsidiaries of the Issuer from time to time party thereto as guarantors, and ICEH, as the lender, and cause the Borrower (as defined in the Credit Agreement) to terminate the commitments thereunder, and (b) negotiate in good faith with ICEH the terms of a non-exclusive agreement (but will not be required to enter into such agreement) pursuant to which an affiliate of ICEH will provide custody services to the Issuer in respect of Bitcoin or other digital assets acquired by the Issuer and its affiliates in accordance with the Issuer's updated investment policy and broader treasury and corporate strategy. The foregoing description of the Share Increase Voting Support Agreement is qualified in its entirety by reference to the full text of the Share Increase Voting Support Agreement, which is filed as Exhibit 99.22 and is incorporated herein by reference.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Joint Filing Agreement, dated as of October 21, 2021, by and among the Reporting Persons</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Exhibit 99.1 to the Schedule 13D filed by the Reporting Persons with the SEC on</w:t>
      </w:r>
    </w:p>
    <w:p>
      <w:pPr>
        <w:ind w:left="920"/>
        <w:spacing w:after="0" w:line="230" w:lineRule="auto"/>
        <w:rPr>
          <w:sz w:val="20"/>
          <w:szCs w:val="20"/>
          <w:color w:val="auto"/>
        </w:rPr>
      </w:pPr>
      <w:r>
        <w:rPr>
          <w:rFonts w:ascii="Times New Roman" w:cs="Times New Roman" w:eastAsia="Times New Roman" w:hAnsi="Times New Roman"/>
          <w:sz w:val="22"/>
          <w:szCs w:val="22"/>
          <w:color w:val="auto"/>
        </w:rPr>
        <w:t>October 21, 2021). https://www.sec.gov/Archives/edgar/data/1571949/000119312521304172/d367825dex991.htm</w:t>
      </w:r>
    </w:p>
    <w:p>
      <w:pPr>
        <w:ind w:left="920"/>
        <w:spacing w:after="0" w:line="231" w:lineRule="auto"/>
        <w:rPr>
          <w:sz w:val="20"/>
          <w:szCs w:val="20"/>
          <w:color w:val="auto"/>
        </w:rPr>
      </w:pPr>
      <w:r>
        <w:rPr>
          <w:rFonts w:ascii="Times New Roman" w:cs="Times New Roman" w:eastAsia="Times New Roman" w:hAnsi="Times New Roman"/>
          <w:sz w:val="22"/>
          <w:szCs w:val="22"/>
          <w:color w:val="auto"/>
        </w:rPr>
        <w:t>Exhibit 99.2 Agreement and Plan of Merger (incorporated by reference to Exhibit 2.1 to the Issuer's Current Report</w:t>
      </w:r>
    </w:p>
    <w:p>
      <w:pPr>
        <w:ind w:left="920"/>
        <w:spacing w:after="0" w:line="230" w:lineRule="auto"/>
        <w:rPr>
          <w:sz w:val="20"/>
          <w:szCs w:val="20"/>
          <w:color w:val="auto"/>
        </w:rPr>
      </w:pPr>
      <w:r>
        <w:rPr>
          <w:rFonts w:ascii="Times New Roman" w:cs="Times New Roman" w:eastAsia="Times New Roman" w:hAnsi="Times New Roman"/>
          <w:sz w:val="22"/>
          <w:szCs w:val="22"/>
          <w:color w:val="auto"/>
        </w:rPr>
        <w:t>on Form 8-K filed on January 11,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https://www.sec.gov/Archives/edgar/data/1820302/000119312521005832/d913171dex21.htm Exhibit 99.3</w:t>
      </w:r>
    </w:p>
    <w:p>
      <w:pPr>
        <w:ind w:left="920"/>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ind w:left="920"/>
        <w:spacing w:after="0" w:line="231" w:lineRule="auto"/>
        <w:rPr>
          <w:sz w:val="20"/>
          <w:szCs w:val="20"/>
          <w:color w:val="auto"/>
        </w:rPr>
      </w:pPr>
      <w:r>
        <w:rPr>
          <w:rFonts w:ascii="Times New Roman" w:cs="Times New Roman" w:eastAsia="Times New Roman" w:hAnsi="Times New Roman"/>
          <w:sz w:val="22"/>
          <w:szCs w:val="22"/>
          <w:color w:val="auto"/>
        </w:rPr>
        <w:t>on Form 8-K filed on March 31, 2021).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https://www.sec.gov/Archives/edgar/data/1820302/000119312521101249/d107545dex21.htm Exhibit 99.4</w:t>
      </w:r>
    </w:p>
    <w:p>
      <w:pPr>
        <w:sectPr>
          <w:pgSz w:w="11900" w:h="16838" w:orient="portrait"/>
          <w:cols w:equalWidth="0" w:num="1">
            <w:col w:w="11120"/>
          </w:cols>
          <w:pgMar w:left="360" w:top="112" w:right="419" w:bottom="0" w:gutter="0" w:footer="0" w:header="0"/>
        </w:sectPr>
      </w:pPr>
    </w:p>
    <w:bookmarkStart w:id="5" w:name="page6"/>
    <w:bookmarkEnd w:id="5"/>
    <w:p>
      <w:pPr>
        <w:ind w:left="700"/>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spacing w:after="0" w:line="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on Form 8-K filed on September 30, 2021).</w:t>
      </w: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https://www.sec.gov/Archives/edgar/data/1820302/000119312521286927/d204551dex21.htm Exhibit 99.5 Certificate</w:t>
      </w:r>
    </w:p>
    <w:p>
      <w:pPr>
        <w:ind w:left="700"/>
        <w:spacing w:after="0" w:line="231" w:lineRule="auto"/>
        <w:rPr>
          <w:sz w:val="20"/>
          <w:szCs w:val="20"/>
          <w:color w:val="auto"/>
        </w:rPr>
      </w:pPr>
      <w:r>
        <w:rPr>
          <w:rFonts w:ascii="Times New Roman" w:cs="Times New Roman" w:eastAsia="Times New Roman" w:hAnsi="Times New Roman"/>
          <w:sz w:val="22"/>
          <w:szCs w:val="22"/>
          <w:color w:val="auto"/>
        </w:rPr>
        <w:t>of Incorporation of the Issuer (incorporated by reference to Exhibit 3.1 to the Issuer's Current Report on Form 8-K</w:t>
      </w:r>
    </w:p>
    <w:p>
      <w:pPr>
        <w:ind w:left="700"/>
        <w:spacing w:after="0" w:line="231" w:lineRule="auto"/>
        <w:rPr>
          <w:sz w:val="20"/>
          <w:szCs w:val="20"/>
          <w:color w:val="auto"/>
        </w:rPr>
      </w:pPr>
      <w:r>
        <w:rPr>
          <w:rFonts w:ascii="Times New Roman" w:cs="Times New Roman" w:eastAsia="Times New Roman" w:hAnsi="Times New Roman"/>
          <w:sz w:val="22"/>
          <w:szCs w:val="22"/>
          <w:color w:val="auto"/>
        </w:rPr>
        <w:t>filed on October 21, 2021).</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https://www.sec.gov/Archives/edgar/data/1820302/000119312521303985/d219325dex31.htm Exhibit 99.6 Exchange</w:t>
      </w:r>
    </w:p>
    <w:p>
      <w:pPr>
        <w:ind w:left="700"/>
        <w:spacing w:after="0" w:line="231" w:lineRule="auto"/>
        <w:rPr>
          <w:sz w:val="20"/>
          <w:szCs w:val="20"/>
          <w:color w:val="auto"/>
        </w:rPr>
      </w:pPr>
      <w:r>
        <w:rPr>
          <w:rFonts w:ascii="Times New Roman" w:cs="Times New Roman" w:eastAsia="Times New Roman" w:hAnsi="Times New Roman"/>
          <w:sz w:val="22"/>
          <w:szCs w:val="22"/>
          <w:color w:val="auto"/>
        </w:rPr>
        <w:t>Agreement (incorporated by reference to Exhibit 10.4 to the Issuer's Current Report on Form 8-K filed on October</w:t>
      </w:r>
    </w:p>
    <w:p>
      <w:pPr>
        <w:spacing w:after="0" w:line="1" w:lineRule="exact"/>
        <w:rPr>
          <w:sz w:val="20"/>
          <w:szCs w:val="20"/>
          <w:color w:val="auto"/>
        </w:rPr>
      </w:pPr>
    </w:p>
    <w:p>
      <w:pPr>
        <w:ind w:left="700" w:right="180"/>
        <w:spacing w:after="0" w:line="241" w:lineRule="auto"/>
        <w:rPr>
          <w:sz w:val="20"/>
          <w:szCs w:val="20"/>
          <w:color w:val="auto"/>
        </w:rPr>
      </w:pPr>
      <w:r>
        <w:rPr>
          <w:rFonts w:ascii="Times New Roman" w:cs="Times New Roman" w:eastAsia="Times New Roman" w:hAnsi="Times New Roman"/>
          <w:sz w:val="21"/>
          <w:szCs w:val="21"/>
          <w:color w:val="auto"/>
        </w:rPr>
        <w:t>21, 2021). https://www.sec.gov/Archives/edgar/data/1820302/000119312521303985/d219325dex104.htm Exhibit 99.7 Amended and Restated Limited Liability Company Agreement (incorporated by reference to Exhibit 4.3 to the Issuer's Current Report on Form 8-K filed on October 21, 2021). https://www.sec.gov/Archives/edgar/data/1820302/000119312521303985/d219325dex43.htm Exhibit 99.8 Voting Agreement (incorporated by reference to Exhibit 10.3 to the Issuer's Current Report on Form 8-K filed on October 21, 2021). https://www.sec.gov/Archives/edgar/data/1820302/000119312521303985/d219325dex103.htm Exhibit 99.9 Stockholders Agreement (incorporated by reference to Exhibit 10.2 to the Issuer's Current Report on Form 8-K</w:t>
      </w:r>
    </w:p>
    <w:p>
      <w:pPr>
        <w:ind w:left="700"/>
        <w:spacing w:after="0" w:line="233" w:lineRule="auto"/>
        <w:rPr>
          <w:sz w:val="20"/>
          <w:szCs w:val="20"/>
          <w:color w:val="auto"/>
        </w:rPr>
      </w:pPr>
      <w:r>
        <w:rPr>
          <w:rFonts w:ascii="Times New Roman" w:cs="Times New Roman" w:eastAsia="Times New Roman" w:hAnsi="Times New Roman"/>
          <w:sz w:val="22"/>
          <w:szCs w:val="22"/>
          <w:color w:val="auto"/>
        </w:rPr>
        <w:t>filed on October 21, 2021).</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https://www.sec.gov/Archives/edgar/data/1820302/000119312521303985/d219325dex102.htm Exhibit 99.10</w:t>
      </w:r>
    </w:p>
    <w:p>
      <w:pPr>
        <w:ind w:left="700"/>
        <w:spacing w:after="0"/>
        <w:rPr>
          <w:sz w:val="20"/>
          <w:szCs w:val="20"/>
          <w:color w:val="auto"/>
        </w:rPr>
      </w:pPr>
      <w:r>
        <w:rPr>
          <w:rFonts w:ascii="Times New Roman" w:cs="Times New Roman" w:eastAsia="Times New Roman" w:hAnsi="Times New Roman"/>
          <w:sz w:val="21"/>
          <w:szCs w:val="21"/>
          <w:color w:val="auto"/>
        </w:rPr>
        <w:t>Registration Rights Agreement (incorporated by reference to Exhibit 10.1 to the Issuer's Current Report on Form 8-K</w:t>
      </w:r>
    </w:p>
    <w:p>
      <w:pPr>
        <w:ind w:left="700"/>
        <w:spacing w:after="0" w:line="231" w:lineRule="auto"/>
        <w:rPr>
          <w:sz w:val="20"/>
          <w:szCs w:val="20"/>
          <w:color w:val="auto"/>
        </w:rPr>
      </w:pPr>
      <w:r>
        <w:rPr>
          <w:rFonts w:ascii="Times New Roman" w:cs="Times New Roman" w:eastAsia="Times New Roman" w:hAnsi="Times New Roman"/>
          <w:sz w:val="22"/>
          <w:szCs w:val="22"/>
          <w:color w:val="auto"/>
        </w:rPr>
        <w:t>filed on October 21, 2021).</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https://www.sec.gov/Archives/edgar/data/1820302/000119312521303985/d219325dex101.htm Exhibit 99.11 Tax</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Receivable Agreement (incorporated by reference to Exhibit 10.5 to the Issuer's Current Report on Form 8-K filed on</w:t>
      </w:r>
    </w:p>
    <w:p>
      <w:pPr>
        <w:ind w:left="700"/>
        <w:spacing w:after="0" w:line="231" w:lineRule="auto"/>
        <w:rPr>
          <w:sz w:val="20"/>
          <w:szCs w:val="20"/>
          <w:color w:val="auto"/>
        </w:rPr>
      </w:pPr>
      <w:r>
        <w:rPr>
          <w:rFonts w:ascii="Times New Roman" w:cs="Times New Roman" w:eastAsia="Times New Roman" w:hAnsi="Times New Roman"/>
          <w:sz w:val="22"/>
          <w:szCs w:val="22"/>
          <w:color w:val="auto"/>
        </w:rPr>
        <w:t>October 21, 2021). https://www.sec.gov/Archives/edgar/data/1820302/000119312521303985/d219325dex105.htm</w:t>
      </w:r>
    </w:p>
    <w:p>
      <w:pPr>
        <w:ind w:left="700"/>
        <w:spacing w:after="0" w:line="231" w:lineRule="auto"/>
        <w:rPr>
          <w:sz w:val="20"/>
          <w:szCs w:val="20"/>
          <w:color w:val="auto"/>
        </w:rPr>
      </w:pPr>
      <w:r>
        <w:rPr>
          <w:rFonts w:ascii="Times New Roman" w:cs="Times New Roman" w:eastAsia="Times New Roman" w:hAnsi="Times New Roman"/>
          <w:sz w:val="22"/>
          <w:szCs w:val="22"/>
          <w:color w:val="auto"/>
        </w:rPr>
        <w:t>Exhibit 99.12* Amended and Restated Subscription Agreement.</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https://www.sec.gov/Archives/edgar/data/1571949/000119312521304172/d367825dex9912.htm Exhibit 99.13</w:t>
      </w:r>
    </w:p>
    <w:p>
      <w:pPr>
        <w:ind w:left="700"/>
        <w:spacing w:after="0" w:line="230" w:lineRule="auto"/>
        <w:rPr>
          <w:sz w:val="20"/>
          <w:szCs w:val="20"/>
          <w:color w:val="auto"/>
        </w:rPr>
      </w:pPr>
      <w:r>
        <w:rPr>
          <w:rFonts w:ascii="Times New Roman" w:cs="Times New Roman" w:eastAsia="Times New Roman" w:hAnsi="Times New Roman"/>
          <w:sz w:val="22"/>
          <w:szCs w:val="22"/>
          <w:color w:val="auto"/>
        </w:rPr>
        <w:t>Cooperation Agreement (incorporated by reference to Exhibit 10.6 to the Issuer's Current Report on Form 8-K filed</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on October 21, 2021). https://www.sec.gov/Archives/edgar/data/1820302/000119312521303985/d219325dex106.htm</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Exhibit 99.14 Amended and Restated Exchange Agreement (incorporated by reference to Exhibit 10.1 to the Issuer's</w:t>
      </w:r>
    </w:p>
    <w:p>
      <w:pPr>
        <w:ind w:left="700"/>
        <w:spacing w:after="0" w:line="231" w:lineRule="auto"/>
        <w:rPr>
          <w:sz w:val="20"/>
          <w:szCs w:val="20"/>
          <w:color w:val="auto"/>
        </w:rPr>
      </w:pPr>
      <w:r>
        <w:rPr>
          <w:rFonts w:ascii="Times New Roman" w:cs="Times New Roman" w:eastAsia="Times New Roman" w:hAnsi="Times New Roman"/>
          <w:sz w:val="22"/>
          <w:szCs w:val="22"/>
          <w:color w:val="auto"/>
        </w:rPr>
        <w:t>Current Report on Form 8-K filed on May 4, 2022).</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https://www.sec.gov/Archives/edgar/data/1820302/000182030222000015/a101amendedandrestatedexch.htm Exhibit</w:t>
      </w:r>
    </w:p>
    <w:p>
      <w:pPr>
        <w:ind w:left="700"/>
        <w:spacing w:after="0" w:line="231" w:lineRule="auto"/>
        <w:rPr>
          <w:sz w:val="20"/>
          <w:szCs w:val="20"/>
          <w:color w:val="auto"/>
        </w:rPr>
      </w:pPr>
      <w:r>
        <w:rPr>
          <w:rFonts w:ascii="Times New Roman" w:cs="Times New Roman" w:eastAsia="Times New Roman" w:hAnsi="Times New Roman"/>
          <w:sz w:val="22"/>
          <w:szCs w:val="22"/>
          <w:color w:val="auto"/>
        </w:rPr>
        <w:t>99.15* Securities Purchase Agreement (incorporated by reference to Exhibit 99.15 to Schedule 13D/A filed by the</w:t>
      </w:r>
    </w:p>
    <w:p>
      <w:pPr>
        <w:ind w:left="700"/>
        <w:spacing w:after="0" w:line="231" w:lineRule="auto"/>
        <w:rPr>
          <w:sz w:val="20"/>
          <w:szCs w:val="20"/>
          <w:color w:val="auto"/>
        </w:rPr>
      </w:pPr>
      <w:r>
        <w:rPr>
          <w:rFonts w:ascii="Times New Roman" w:cs="Times New Roman" w:eastAsia="Times New Roman" w:hAnsi="Times New Roman"/>
          <w:sz w:val="22"/>
          <w:szCs w:val="22"/>
          <w:color w:val="auto"/>
        </w:rPr>
        <w:t>Reporting Persons with the SEC on March 4,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https://www.sec.gov/Archives/edgar/data/1571949/000094787124000253/ss3098627_ex9915.htm Exhibit 99.16*</w:t>
      </w:r>
    </w:p>
    <w:p>
      <w:pPr>
        <w:ind w:left="700"/>
        <w:spacing w:after="0" w:line="230" w:lineRule="auto"/>
        <w:rPr>
          <w:sz w:val="20"/>
          <w:szCs w:val="20"/>
          <w:color w:val="auto"/>
        </w:rPr>
      </w:pPr>
      <w:r>
        <w:rPr>
          <w:rFonts w:ascii="Times New Roman" w:cs="Times New Roman" w:eastAsia="Times New Roman" w:hAnsi="Times New Roman"/>
          <w:sz w:val="22"/>
          <w:szCs w:val="22"/>
          <w:color w:val="auto"/>
        </w:rPr>
        <w:t>Voting Support Agreement (incorporated by reference to Exhibit 99.16 to Schedule 13D/A filed by the Reporting</w:t>
      </w:r>
    </w:p>
    <w:p>
      <w:pPr>
        <w:ind w:left="700"/>
        <w:spacing w:after="0" w:line="231" w:lineRule="auto"/>
        <w:rPr>
          <w:sz w:val="20"/>
          <w:szCs w:val="20"/>
          <w:color w:val="auto"/>
        </w:rPr>
      </w:pPr>
      <w:r>
        <w:rPr>
          <w:rFonts w:ascii="Times New Roman" w:cs="Times New Roman" w:eastAsia="Times New Roman" w:hAnsi="Times New Roman"/>
          <w:sz w:val="22"/>
          <w:szCs w:val="22"/>
          <w:color w:val="auto"/>
        </w:rPr>
        <w:t>Persons with the SEC on March 4, 2024).</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https://www.sec.gov/Archives/edgar/data/1571949/000094787124000253/ss3098627_ex9916.htm Exhibit 99.17*</w:t>
      </w:r>
    </w:p>
    <w:p>
      <w:pPr>
        <w:ind w:left="700"/>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March 4, 2024 (incorporated by reference to Exhibit 99.17 to Schedule</w:t>
      </w:r>
    </w:p>
    <w:p>
      <w:pPr>
        <w:ind w:left="700"/>
        <w:spacing w:after="0" w:line="230"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https://www.sec.gov/Archives/edgar/data/1571949/000094787124000253/ss3098627_ex9917.htm Exhibit 99.18*</w:t>
      </w:r>
    </w:p>
    <w:p>
      <w:pPr>
        <w:ind w:left="700"/>
        <w:spacing w:after="0" w:line="230" w:lineRule="auto"/>
        <w:rPr>
          <w:sz w:val="20"/>
          <w:szCs w:val="20"/>
          <w:color w:val="auto"/>
        </w:rPr>
      </w:pPr>
      <w:r>
        <w:rPr>
          <w:rFonts w:ascii="Times New Roman" w:cs="Times New Roman" w:eastAsia="Times New Roman" w:hAnsi="Times New Roman"/>
          <w:sz w:val="22"/>
          <w:szCs w:val="22"/>
          <w:color w:val="auto"/>
        </w:rPr>
        <w:t>Class 2 Warrant issued by the Issuer on March 4, 2024 (incorporated by reference to Exhibit 99.18 to Schedule</w:t>
      </w:r>
    </w:p>
    <w:p>
      <w:pPr>
        <w:ind w:left="700"/>
        <w:spacing w:after="0" w:line="231"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https://www.sec.gov/Archives/edgar/data/1571949/000094787124000253/ss3098627_ex9918.htm Exhibit 99.19*</w:t>
      </w:r>
    </w:p>
    <w:p>
      <w:pPr>
        <w:ind w:left="700"/>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April 25, 2024.</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https://www.sec.gov/Archives/edgar/data/1820302/000094787124000420/ss3319225_ex9919.htm Exhibit 99.20*</w:t>
      </w:r>
    </w:p>
    <w:p>
      <w:pPr>
        <w:ind w:left="700"/>
        <w:spacing w:after="0" w:line="231" w:lineRule="auto"/>
        <w:rPr>
          <w:sz w:val="20"/>
          <w:szCs w:val="20"/>
          <w:color w:val="auto"/>
        </w:rPr>
      </w:pPr>
      <w:r>
        <w:rPr>
          <w:rFonts w:ascii="Times New Roman" w:cs="Times New Roman" w:eastAsia="Times New Roman" w:hAnsi="Times New Roman"/>
          <w:sz w:val="22"/>
          <w:szCs w:val="22"/>
          <w:color w:val="auto"/>
        </w:rPr>
        <w:t>Class 2 Warrant issued by the Issuer on April 25, 2024.</w:t>
      </w: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https://www.sec.gov/Archives/edgar/data/1820302/000094787124000420/ss3319225_ex9920.htm Exhibit 99.21 First</w:t>
      </w:r>
    </w:p>
    <w:p>
      <w:pPr>
        <w:ind w:left="700"/>
        <w:spacing w:after="0" w:line="231" w:lineRule="auto"/>
        <w:rPr>
          <w:sz w:val="20"/>
          <w:szCs w:val="20"/>
          <w:color w:val="auto"/>
        </w:rPr>
      </w:pPr>
      <w:r>
        <w:rPr>
          <w:rFonts w:ascii="Times New Roman" w:cs="Times New Roman" w:eastAsia="Times New Roman" w:hAnsi="Times New Roman"/>
          <w:sz w:val="22"/>
          <w:szCs w:val="22"/>
          <w:color w:val="auto"/>
        </w:rPr>
        <w:t>Amendment to the Third Amended and Restated Limited Liability Company Agreement (incorporated by reference</w:t>
      </w:r>
    </w:p>
    <w:p>
      <w:pPr>
        <w:ind w:left="700"/>
        <w:spacing w:after="0" w:line="231" w:lineRule="auto"/>
        <w:rPr>
          <w:sz w:val="20"/>
          <w:szCs w:val="20"/>
          <w:color w:val="auto"/>
        </w:rPr>
      </w:pPr>
      <w:r>
        <w:rPr>
          <w:rFonts w:ascii="Times New Roman" w:cs="Times New Roman" w:eastAsia="Times New Roman" w:hAnsi="Times New Roman"/>
          <w:sz w:val="22"/>
          <w:szCs w:val="22"/>
          <w:color w:val="auto"/>
        </w:rPr>
        <w:t>to Exhibit 4.1 to the Issuer's Current Report on Form 8-K filed on April 29, 2024).</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https://www.sec.gov/Archives/edgar/data/1820302/000182030224000080/ex41firstamendmentto3rdame.htm Exhibit</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99.22 Share Increase Voting Support Agreement * Previously filed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ectPr>
          <w:pgSz w:w="11900" w:h="16838" w:orient="portrait"/>
          <w:cols w:equalWidth="0" w:num="1">
            <w:col w:w="10920"/>
          </w:cols>
          <w:pgMar w:left="580" w:top="111" w:right="399" w:bottom="370" w:gutter="0" w:footer="0" w:header="0"/>
        </w:sectPr>
      </w:pPr>
    </w:p>
    <w:bookmarkStart w:id="6" w:name="page7"/>
    <w:bookmarkEnd w:id="6"/>
    <w:p>
      <w:pPr>
        <w:ind w:left="9780"/>
        <w:spacing w:after="0"/>
        <w:rPr>
          <w:sz w:val="20"/>
          <w:szCs w:val="20"/>
          <w:color w:val="auto"/>
        </w:rPr>
      </w:pPr>
      <w:r>
        <w:rPr>
          <w:rFonts w:ascii="Times New Roman" w:cs="Times New Roman" w:eastAsia="Times New Roman" w:hAnsi="Times New Roman"/>
          <w:sz w:val="21"/>
          <w:szCs w:val="21"/>
          <w:b w:val="1"/>
          <w:bCs w:val="1"/>
          <w:color w:val="auto"/>
        </w:rPr>
        <w:t>EXHIBIT 99.22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SUPPORT AGREEMENT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This Voting Support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July 15, 2025, is entered into by and between Bakkt Holdings,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Intercontinental Exchange Holdings, Inc. (the “</w:t>
      </w:r>
      <w:r>
        <w:rPr>
          <w:rFonts w:ascii="Times New Roman" w:cs="Times New Roman" w:eastAsia="Times New Roman" w:hAnsi="Times New Roman"/>
          <w:sz w:val="20"/>
          <w:szCs w:val="20"/>
          <w:b w:val="1"/>
          <w:bCs w:val="1"/>
          <w:color w:val="auto"/>
        </w:rPr>
        <w:t>Supporting Stockholder</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the Company’s Board of Directors approved and declared advisable an amendment to the Company’s Certificate of Incorporation to increase the number of authorized shares of the Company’s Class A Common Stock from 60,000,000 shares to 560,000,000 shares and, accordingly, to increase the number of authorized Shares from 70,000,000 Shares to 570,000,000 Shares (the “</w:t>
      </w:r>
      <w:r>
        <w:rPr>
          <w:rFonts w:ascii="Times New Roman" w:cs="Times New Roman" w:eastAsia="Times New Roman" w:hAnsi="Times New Roman"/>
          <w:sz w:val="20"/>
          <w:szCs w:val="20"/>
          <w:b w:val="1"/>
          <w:bCs w:val="1"/>
          <w:color w:val="auto"/>
        </w:rPr>
        <w:t>Share 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WHEREAS, the Company intends to hold a special meeting of stockholders on August 6, 2025 (the “</w:t>
      </w:r>
      <w:r>
        <w:rPr>
          <w:rFonts w:ascii="Times New Roman" w:cs="Times New Roman" w:eastAsia="Times New Roman" w:hAnsi="Times New Roman"/>
          <w:sz w:val="20"/>
          <w:szCs w:val="20"/>
          <w:b w:val="1"/>
          <w:bCs w:val="1"/>
          <w:color w:val="auto"/>
        </w:rPr>
        <w:t>Special Stockholder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to seek stockholder approval of the Share Increase Amendment, which proposal is referred to as “Proposal 1 – The Increase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Shares Proposal” in the Company’s Preliminary Proxy Statement filed with the Securities and Exchange Commission on July 2, 2025;</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WHEREAS, as of the date hereof, the Supporting Stockholder is the record and/or “beneficial owner” (within the meaning of Rule 13d-3 under the Securities Exchange Act of 1934, as amended (together with the rules and regulations promulgated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of and is entitled to dispose of, or to direct the disposition of, and (subject to the restrictions set forth in the Voting Agreement, dated October 15, 2021, by and between the Company and the Supporting Stockholder (as amended or otherwise modified from time to time in accordance with its terms, the “</w:t>
      </w:r>
      <w:r>
        <w:rPr>
          <w:rFonts w:ascii="Times New Roman" w:cs="Times New Roman" w:eastAsia="Times New Roman" w:hAnsi="Times New Roman"/>
          <w:sz w:val="20"/>
          <w:szCs w:val="20"/>
          <w:b w:val="1"/>
          <w:bCs w:val="1"/>
          <w:color w:val="auto"/>
        </w:rPr>
        <w:t>ICE Voting Agreement</w:t>
      </w:r>
      <w:r>
        <w:rPr>
          <w:rFonts w:ascii="Times New Roman" w:cs="Times New Roman" w:eastAsia="Times New Roman" w:hAnsi="Times New Roman"/>
          <w:sz w:val="20"/>
          <w:szCs w:val="20"/>
          <w:color w:val="auto"/>
        </w:rPr>
        <w:t>”)) vote, or to direct the voting of, the number of Shares (as defined below) set forth on the Supporting Stockholder’s signature page below (the “</w:t>
      </w:r>
      <w:r>
        <w:rPr>
          <w:rFonts w:ascii="Times New Roman" w:cs="Times New Roman" w:eastAsia="Times New Roman" w:hAnsi="Times New Roman"/>
          <w:sz w:val="20"/>
          <w:szCs w:val="20"/>
          <w:b w:val="1"/>
          <w:bCs w:val="1"/>
          <w:color w:val="auto"/>
        </w:rPr>
        <w:t>Owned Shares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WHEREAS, the Owned Shares and any additional Shares in which the Supporting Stockholder acquires record and/or beneficial ownership after the date hereof, including, without limitation, by exercising any of the Company’s outstanding public warrants to purchase shares of Class A Common Stock, by exercising any of the Company’s Class 1 warrants to purchase shares of Class A Common Stock, by exercising any of the Company’s Class 2 warrants to purchase shares of Class A Common Stock, by purchase, as a result of a stock dividend, stock split, recapitalization, combination, reclassification, exchange or change of such securities, or upon exercise or conversion of any securities, are referred to herein as the “</w:t>
      </w:r>
      <w:r>
        <w:rPr>
          <w:rFonts w:ascii="Times New Roman" w:cs="Times New Roman" w:eastAsia="Times New Roman" w:hAnsi="Times New Roman"/>
          <w:sz w:val="20"/>
          <w:szCs w:val="20"/>
          <w:b w:val="1"/>
          <w:bCs w:val="1"/>
          <w:color w:val="auto"/>
        </w:rPr>
        <w:t>Covered Shares</w:t>
      </w:r>
      <w:r>
        <w:rPr>
          <w:rFonts w:ascii="Times New Roman" w:cs="Times New Roman" w:eastAsia="Times New Roman" w:hAnsi="Times New Roman"/>
          <w:sz w:val="20"/>
          <w:szCs w:val="20"/>
          <w:color w:val="auto"/>
        </w:rPr>
        <w:t>”; and</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WHEREAS, under the ICE Voting Agreement, with respect to any matter for which the Company shall seek a stockholder vote or written consent (a “</w:t>
      </w:r>
      <w:r>
        <w:rPr>
          <w:rFonts w:ascii="Times New Roman" w:cs="Times New Roman" w:eastAsia="Times New Roman" w:hAnsi="Times New Roman"/>
          <w:sz w:val="20"/>
          <w:szCs w:val="20"/>
          <w:b w:val="1"/>
          <w:bCs w:val="1"/>
          <w:color w:val="auto"/>
        </w:rPr>
        <w:t>Stockholder Matter</w:t>
      </w:r>
      <w:r>
        <w:rPr>
          <w:rFonts w:ascii="Times New Roman" w:cs="Times New Roman" w:eastAsia="Times New Roman" w:hAnsi="Times New Roman"/>
          <w:sz w:val="20"/>
          <w:szCs w:val="20"/>
          <w:color w:val="auto"/>
        </w:rPr>
        <w:t>”), the Supporting Stockholder is only able to vote, or to direct the voting of, Covered Shares representing up to 30% of the total voting power of the Shares issued and outstanding and entitled to vote as of the record date set by the Company for such Stockholder Matter and any Covered Shares exceeding 30% of the total voting power of the Shares issued and outstanding on such record date for such Stockholder Matter are to be voted by the Company in the same percentages for and against such Stockholder Matter as votes are cast for and against such Stockholder Matter by all stockholders of the Company other than the Supporting Stockholder (ignoring, for purposes of making these calculations, abstentions and broker nonvotes) (the “</w:t>
      </w:r>
      <w:r>
        <w:rPr>
          <w:rFonts w:ascii="Times New Roman" w:cs="Times New Roman" w:eastAsia="Times New Roman" w:hAnsi="Times New Roman"/>
          <w:sz w:val="20"/>
          <w:szCs w:val="20"/>
          <w:b w:val="1"/>
          <w:bCs w:val="1"/>
          <w:color w:val="auto"/>
        </w:rPr>
        <w:t>30% Limitation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and the mutual covenants and agreements herein contained, and for other good and valuable consideration, the receipt and sufficiency of which are hereby acknowledged, and intending to be legally bound hereby, the Company and the Supporting Stockholder hereby agree as follows:</w:t>
      </w:r>
    </w:p>
    <w:p>
      <w:pPr>
        <w:spacing w:after="0" w:line="174" w:lineRule="exact"/>
        <w:rPr>
          <w:sz w:val="20"/>
          <w:szCs w:val="20"/>
          <w:color w:val="auto"/>
        </w:rPr>
      </w:pPr>
    </w:p>
    <w:p>
      <w:pPr>
        <w:jc w:val="both"/>
        <w:ind w:firstLine="656"/>
        <w:spacing w:after="0" w:line="249" w:lineRule="auto"/>
        <w:tabs>
          <w:tab w:leader="none" w:pos="10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Vote</w:t>
      </w:r>
      <w:r>
        <w:rPr>
          <w:rFonts w:ascii="Times New Roman" w:cs="Times New Roman" w:eastAsia="Times New Roman" w:hAnsi="Times New Roman"/>
          <w:sz w:val="20"/>
          <w:szCs w:val="20"/>
          <w:color w:val="auto"/>
        </w:rPr>
        <w:t xml:space="preserve">. Subject to the earlier termination of this Agreement in accordance with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and except to the extent limited by the 30% Limitation, the Supporting Stockholder, in its direct or indirect capacity as a stockholder of the Company, irrevocably and unconditionally agrees that, at the Special Stockholder Meeting (as it may be adjourned or postponed), the Supporting Stockholder shall, and shall cause any other holder of record of any of the Supporting Stockholder’s Covered Shares to:</w:t>
      </w:r>
    </w:p>
    <w:p>
      <w:pPr>
        <w:spacing w:after="0" w:line="180" w:lineRule="exact"/>
        <w:rPr>
          <w:sz w:val="20"/>
          <w:szCs w:val="20"/>
          <w:color w:val="auto"/>
        </w:rPr>
      </w:pPr>
    </w:p>
    <w:p>
      <w:pPr>
        <w:ind w:firstLine="656"/>
        <w:spacing w:after="0" w:line="269" w:lineRule="auto"/>
        <w:tabs>
          <w:tab w:leader="none" w:pos="962" w:val="left"/>
        </w:tabs>
        <w:numPr>
          <w:ilvl w:val="0"/>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and when such meeting is held, appear at such meeting (and at every adjournment or postponement thereof) or otherwise cause the Covered Shares to be counted as present thereat for the purpose of establishing a quorum;</w:t>
      </w:r>
    </w:p>
    <w:p>
      <w:pPr>
        <w:spacing w:after="0" w:line="159" w:lineRule="exact"/>
        <w:rPr>
          <w:rFonts w:ascii="Times New Roman" w:cs="Times New Roman" w:eastAsia="Times New Roman" w:hAnsi="Times New Roman"/>
          <w:sz w:val="20"/>
          <w:szCs w:val="20"/>
          <w:color w:val="010000"/>
        </w:rPr>
      </w:pPr>
    </w:p>
    <w:p>
      <w:pPr>
        <w:ind w:firstLine="656"/>
        <w:spacing w:after="0" w:line="269" w:lineRule="auto"/>
        <w:tabs>
          <w:tab w:leader="none" w:pos="986" w:val="left"/>
        </w:tabs>
        <w:numPr>
          <w:ilvl w:val="0"/>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vote, or cause to be voted (including via proxy), at such meeting all of the Covered Shares owned as of the record date for such meeting to approve the Share Increase Amendment;</w:t>
      </w:r>
    </w:p>
    <w:p>
      <w:pPr>
        <w:spacing w:after="0" w:line="159" w:lineRule="exact"/>
        <w:rPr>
          <w:rFonts w:ascii="Times New Roman" w:cs="Times New Roman" w:eastAsia="Times New Roman" w:hAnsi="Times New Roman"/>
          <w:sz w:val="20"/>
          <w:szCs w:val="20"/>
          <w:color w:val="010000"/>
        </w:rPr>
      </w:pPr>
    </w:p>
    <w:p>
      <w:pPr>
        <w:jc w:val="both"/>
        <w:ind w:firstLine="656"/>
        <w:spacing w:after="0" w:line="249" w:lineRule="auto"/>
        <w:tabs>
          <w:tab w:leader="none" w:pos="975" w:val="left"/>
        </w:tabs>
        <w:numPr>
          <w:ilvl w:val="0"/>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vote, or cause to be voted (including via proxy), at such meeting all of the Covered Shares owned as of the record date for such meeting against any matters other than the Share Increase Amendment for which any of the Company’s stockholders shall seek a stockholder vote (including any adjournment or postponement of any meeting), which would be reasonably likely to, in any material respect, impede or delay the approval of the Share Increase Amendment; and</w:t>
      </w:r>
    </w:p>
    <w:p>
      <w:pPr>
        <w:spacing w:after="0" w:line="179" w:lineRule="exact"/>
        <w:rPr>
          <w:rFonts w:ascii="Times New Roman" w:cs="Times New Roman" w:eastAsia="Times New Roman" w:hAnsi="Times New Roman"/>
          <w:sz w:val="20"/>
          <w:szCs w:val="20"/>
          <w:color w:val="010000"/>
        </w:rPr>
      </w:pPr>
    </w:p>
    <w:p>
      <w:pPr>
        <w:jc w:val="both"/>
        <w:ind w:firstLine="656"/>
        <w:spacing w:after="0" w:line="254" w:lineRule="auto"/>
        <w:tabs>
          <w:tab w:leader="none" w:pos="1027" w:val="left"/>
        </w:tabs>
        <w:numPr>
          <w:ilvl w:val="0"/>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Supporting Stockholder hereby revokes any and all previous proxies granted or has caused the holder(s) of record of any Covered Shares to revoke any and all previous proxies granted with respect to the Covered Shares, other than the ICE Voting Agreement, as applicable.</w:t>
      </w:r>
    </w:p>
    <w:p>
      <w:pPr>
        <w:spacing w:after="0" w:line="17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For clarity, any vote cast pursuant to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will (i) give effect to the ICE Voting Agreement and (ii) be calculated consistent with the Listed Company Manual of the New York Stock Exchange, in each case, as applicable.</w:t>
      </w:r>
    </w:p>
    <w:p>
      <w:pPr>
        <w:spacing w:after="0" w:line="155" w:lineRule="exact"/>
        <w:rPr>
          <w:sz w:val="20"/>
          <w:szCs w:val="20"/>
          <w:color w:val="auto"/>
        </w:rPr>
      </w:pPr>
    </w:p>
    <w:p>
      <w:pPr>
        <w:jc w:val="both"/>
        <w:ind w:firstLine="656"/>
        <w:spacing w:after="0" w:line="245" w:lineRule="auto"/>
        <w:tabs>
          <w:tab w:leader="none" w:pos="98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This Agreement shall automatically terminate, without any notice or other action by any parties hereto, be void </w:t>
      </w:r>
      <w:r>
        <w:rPr>
          <w:rFonts w:ascii="Times New Roman" w:cs="Times New Roman" w:eastAsia="Times New Roman" w:hAnsi="Times New Roman"/>
          <w:sz w:val="20"/>
          <w:szCs w:val="20"/>
          <w:i w:val="1"/>
          <w:iCs w:val="1"/>
          <w:color w:val="auto"/>
        </w:rPr>
        <w:t>ab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initio </w:t>
      </w:r>
      <w:r>
        <w:rPr>
          <w:rFonts w:ascii="Times New Roman" w:cs="Times New Roman" w:eastAsia="Times New Roman" w:hAnsi="Times New Roman"/>
          <w:sz w:val="20"/>
          <w:szCs w:val="20"/>
          <w:color w:val="auto"/>
        </w:rPr>
        <w:t>and no parties hereto shall have any further obligations or liabilities under this Agreement, upon the earliest of (i)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obtaining approval of the Share Increase Amendment by a stockholder vote or written consent and (ii) the date that is three (3) months following the date of this Agreement (the earliest such date under clause (i) or (ii) being referred to herein as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termination of this Agreement shall not relieve (a) any parties hereto from any liability for any breach of, or actual and intentional fraud in connection with, this Agreement prior to such termination or (b) the Company from its obligations pursuant to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which shall survive any such termination.</w:t>
      </w:r>
    </w:p>
    <w:p>
      <w:pPr>
        <w:spacing w:after="0" w:line="183"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Supporting Stockholder</w:t>
      </w:r>
      <w:r>
        <w:rPr>
          <w:rFonts w:ascii="Times New Roman" w:cs="Times New Roman" w:eastAsia="Times New Roman" w:hAnsi="Times New Roman"/>
          <w:sz w:val="20"/>
          <w:szCs w:val="20"/>
          <w:color w:val="auto"/>
        </w:rPr>
        <w:t>. The Supporting Stockholder hereby represents and warrants as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jc w:val="both"/>
        <w:ind w:firstLine="656"/>
        <w:spacing w:after="0" w:line="249" w:lineRule="auto"/>
        <w:tabs>
          <w:tab w:leader="none" w:pos="989" w:val="left"/>
        </w:tabs>
        <w:numPr>
          <w:ilvl w:val="0"/>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Supporting Stockholder is the beneficial owner (within the meaning of Rule 13d-3 under the Exchange Act) and/or record owner of, and, directly or indirectly, has good, valid and marketable title to, the Owned Shares, free and clear of liens (other than as created by this Agreement or the organizational documents of the Company or arising under applicable securities laws). As of the date hereof, other than the Owned Shares, the Supporting Stockholder does not own beneficially or of record any Shares.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8" w:name="page9"/>
    <w:bookmarkEnd w:id="8"/>
    <w:p>
      <w:pPr>
        <w:jc w:val="both"/>
        <w:ind w:left="-20" w:firstLine="656"/>
        <w:spacing w:after="0" w:line="243" w:lineRule="auto"/>
        <w:tabs>
          <w:tab w:leader="none" w:pos="966"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Supporting Stockholder, other than as set forth in the ICE Voting Agreement, (i) except as provided in this Agreement, has full or, with an Affiliate of the Supporting Stockholder, shared voting power, full power of disposition and full power to issue instructions with respect to the matters set forth herein, in each case, with respect to the Supporting Stockholder’s Covered Shares, (ii) has not entered into or caused or permitted any Affiliate to enter into any voting agreement or voting trust with respect to any of the Supporting Stockholder’s Covered Shares that is inconsistent with the Supporting Stockholder’s obligations pursuant to this Agreement, (iii) has not granted or caused or permitted any Affiliate to grant a proxy or power of attorney with respect to any of the Supporting Stockholder’s Covered Shares that is inconsistent with the Supporting Stockholder’s obligations pursuant to this Agreement and (iv) has not entered into or caused or permitted any Affiliate to enter into any agreement or undertaking that is otherwise inconsistent with, or would interfere with, or prohibit or prevent it from satisfying, its obligations pursuant to this Agreement.</w:t>
      </w:r>
    </w:p>
    <w:p>
      <w:pPr>
        <w:spacing w:after="0" w:line="185" w:lineRule="exact"/>
        <w:rPr>
          <w:rFonts w:ascii="Times New Roman" w:cs="Times New Roman" w:eastAsia="Times New Roman" w:hAnsi="Times New Roman"/>
          <w:sz w:val="20"/>
          <w:szCs w:val="20"/>
          <w:color w:val="010000"/>
        </w:rPr>
      </w:pPr>
    </w:p>
    <w:p>
      <w:pPr>
        <w:jc w:val="both"/>
        <w:ind w:left="-20" w:firstLine="656"/>
        <w:spacing w:after="0" w:line="244" w:lineRule="auto"/>
        <w:tabs>
          <w:tab w:leader="none" w:pos="982"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Supporting Stockholder is duly organized, validly existing and, to the extent such concept is applicable, in good standing under the laws of the jurisdiction of its organization and has all requisite corporate or other power and authority and has taken all corporate or other action necessary in order to, execute, deliver and perform its obligations under this Agreement and to consummate the transactions contemplated hereby. This Agreement has been duly executed and delivered by the Supporting Stockholder and constitutes a valid and binding agreement of the Supporting Stockholder enforceable against the Supporting Stockholder in accordance with its terms, except as limited by general equitable principles and applicable bankruptcy, insolvency, reorganization, moratorium and other laws of general application affecting enforcement of creditors’ rights generally.</w:t>
      </w:r>
    </w:p>
    <w:p>
      <w:pPr>
        <w:spacing w:after="0" w:line="185" w:lineRule="exact"/>
        <w:rPr>
          <w:rFonts w:ascii="Times New Roman" w:cs="Times New Roman" w:eastAsia="Times New Roman" w:hAnsi="Times New Roman"/>
          <w:sz w:val="20"/>
          <w:szCs w:val="20"/>
          <w:color w:val="010000"/>
        </w:rPr>
      </w:pPr>
    </w:p>
    <w:p>
      <w:pPr>
        <w:jc w:val="both"/>
        <w:ind w:left="-20" w:firstLine="656"/>
        <w:spacing w:after="0" w:line="241" w:lineRule="auto"/>
        <w:tabs>
          <w:tab w:leader="none" w:pos="966"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execution, delivery and performance of this Agreement by the Supporting Stockholder do not, and the consummation of the transactions contemplated hereby, will not, constitute or result in, (i) a breach or violation of, or a default under, the certificate of incorporation, bylaws, limited liability company agreement or similar governing documents of the Supporting Stockholder, (ii) with or without notice, lapse of time or both, a breach or violation of, a termination (or right of termination) of or a default under, the loss of any benefit under, the creation, modification or acceleration of any obligations under or the creation of a lien (other than as created by this Agreement or the organizational documents of the Company or arising under applicable securities laws) on the Covered Shares pursuant to any contract binding upon the Supporting Stockholder or under any applicable law to which the Supporting Stockholder is subject, (iii) a conflict with, or a breach, violation, or default (or an event which with notice or lapse of time or both would become a default) in any respect under, or give to others any rights of termination, amendment, acceleration or cancellation of, any contract, agreement, indenture or instrument to which the Supporting Stockholder is a party, or (iv) any change in the rights or obligations of any parties hereto under any contract legally binding upon the Supporting Stockholder, except, in the case of clauses (ii) through (iv) directly above, for any such breach, violation, termination, default, creation, loss, acceleration, lien or change that would not, individually or in the aggregate, reasonably be expected to prevent or materially delay or impair the Supporting Stockholder’s ability to perform its obligations hereunder or to consummate the transactions contemplated hereby.</w:t>
      </w:r>
    </w:p>
    <w:p>
      <w:pPr>
        <w:spacing w:after="0" w:line="195" w:lineRule="exact"/>
        <w:rPr>
          <w:rFonts w:ascii="Times New Roman" w:cs="Times New Roman" w:eastAsia="Times New Roman" w:hAnsi="Times New Roman"/>
          <w:sz w:val="20"/>
          <w:szCs w:val="20"/>
          <w:color w:val="010000"/>
        </w:rPr>
      </w:pPr>
    </w:p>
    <w:p>
      <w:pPr>
        <w:jc w:val="both"/>
        <w:ind w:left="-20" w:firstLine="656"/>
        <w:spacing w:after="0" w:line="249" w:lineRule="auto"/>
        <w:tabs>
          <w:tab w:leader="none" w:pos="996"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the date of this Agreement, there is no action, proceeding or, to the Supporting Stockholder’s knowledge, investigation pending against the Supporting Stockholder or, to the knowledge of the Supporting Stockholder, threatened against the Supporting Stockholder that questions the beneficial or record ownership of the Supporting Stockholder’s Owned Shares, the validity of this Agreement or the performance by the Supporting Stockholder of its obligations under this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21" w:right="339" w:bottom="1440" w:gutter="0" w:footer="0" w:header="0"/>
        </w:sectPr>
      </w:pPr>
    </w:p>
    <w:bookmarkStart w:id="9" w:name="page10"/>
    <w:bookmarkEnd w:id="9"/>
    <w:p>
      <w:pPr>
        <w:jc w:val="both"/>
        <w:ind w:firstLine="656"/>
        <w:spacing w:after="0" w:line="243" w:lineRule="auto"/>
        <w:tabs>
          <w:tab w:leader="none" w:pos="106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Covenants of the Supporting Stockholder</w:t>
      </w:r>
      <w:r>
        <w:rPr>
          <w:rFonts w:ascii="Times New Roman" w:cs="Times New Roman" w:eastAsia="Times New Roman" w:hAnsi="Times New Roman"/>
          <w:sz w:val="20"/>
          <w:szCs w:val="20"/>
          <w:color w:val="auto"/>
        </w:rPr>
        <w:t>. Except in accordance with the terms of this Agreement, the Supporting Stockholder shall not, and shall cause each of its Affiliates not to, at any time prior to the Termination Date, (i) enter into any voting agreement or voting trust with respect to any of the Supporting Stockholder’s Covered Shares that is inconsistent with the Supporting Stockholder’s obligations pursuant to this Agreement, (ii) grant a proxy or power of attorney with respect to any of the Supporting Stockholder’s Covered Shares that is inconsistent with the Supporting Stockholder’s obligations pursuant to this Agreement, (iii) enter into any agreement or undertaking that is otherwise inconsistent with, or would interfere with, or prohibit or prevent it from satisfying, its obligations pursuant to this Agreement or (iv) transfer or commit to transfer any Covered Shares unless such Covered Shares remain subject to the terms of this Agreement upon such transfer or commitment to transfer.</w:t>
      </w:r>
    </w:p>
    <w:p>
      <w:pPr>
        <w:spacing w:after="0" w:line="184" w:lineRule="exact"/>
        <w:rPr>
          <w:rFonts w:ascii="Times New Roman" w:cs="Times New Roman" w:eastAsia="Times New Roman" w:hAnsi="Times New Roman"/>
          <w:sz w:val="20"/>
          <w:szCs w:val="20"/>
          <w:color w:val="auto"/>
        </w:rPr>
      </w:pPr>
    </w:p>
    <w:p>
      <w:pPr>
        <w:jc w:val="both"/>
        <w:ind w:firstLine="656"/>
        <w:spacing w:after="0" w:line="247" w:lineRule="auto"/>
        <w:tabs>
          <w:tab w:leader="none" w:pos="112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Covenants of the Company</w:t>
      </w:r>
      <w:r>
        <w:rPr>
          <w:rFonts w:ascii="Times New Roman" w:cs="Times New Roman" w:eastAsia="Times New Roman" w:hAnsi="Times New Roman"/>
          <w:sz w:val="22"/>
          <w:szCs w:val="22"/>
          <w:color w:val="auto"/>
        </w:rPr>
        <w:t xml:space="preserve">. Following the date of this Agreement, (a) within three (3) business days following the consummation of any debt or equity financing transaction (or series of transactions) pursuant to which the Company receives net proceeds of at least $70 million, the Company shall (i) </w:t>
      </w:r>
      <w:r>
        <w:rPr>
          <w:rFonts w:ascii="Times New Roman" w:cs="Times New Roman" w:eastAsia="Times New Roman" w:hAnsi="Times New Roman"/>
          <w:sz w:val="19"/>
          <w:szCs w:val="19"/>
          <w:color w:val="auto"/>
        </w:rPr>
        <w:t>repay in full in cash any outstanding obligations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Revolving Credit Agreement, dated as of August 12, 2024 (as amended, supplemented, or otherwise modified from time to time in accordance with its terms, the “</w:t>
      </w:r>
      <w:r>
        <w:rPr>
          <w:rFonts w:ascii="Times New Roman" w:cs="Times New Roman" w:eastAsia="Times New Roman" w:hAnsi="Times New Roman"/>
          <w:sz w:val="19"/>
          <w:szCs w:val="19"/>
          <w:b w:val="1"/>
          <w:bCs w:val="1"/>
          <w:color w:val="auto"/>
        </w:rPr>
        <w:t>Credit Agreement</w:t>
      </w:r>
      <w:r>
        <w:rPr>
          <w:rFonts w:ascii="Times New Roman" w:cs="Times New Roman" w:eastAsia="Times New Roman" w:hAnsi="Times New Roman"/>
          <w:sz w:val="19"/>
          <w:szCs w:val="19"/>
          <w:color w:val="auto"/>
        </w:rPr>
        <w:t>”), by and among the Company, Bakkt Opco Holdings, LLC, the subsidiaries of the Company from time to time party thereto as guarantors, and the Supporting Stockholder, as the lender, and the other Loan Documents (as defined in the Credit Agreement) (including, without limitation, all principal due and owing, all interest accrued and unpaid thereon and all fees to the date of repayment, including the reimbursement of actual reasonable and documented out-of-pocket legal fees of one firm of outside counsel as required by Section 8.03 of the Credit Agreement), and (ii) cause the Borrower (as defined in the Credit Agreement) to terminate the Commitments (as defined in the Credit Agreement) as of such time, and (b) the Company shall negotiate in good faith with the Supporting Stockholder the terms of a non-exclusive agreement (but shall not be required to enter into such agreement) pursuant to which an Affiliate of the Supporting Stockholder shall provide custody services to the Company in respect of Bitcoin or other digital assets acquired by the Company and its Affiliates in accordance with the Company’s updated investment policy and broader treasury and corporate strategy. Any failure of the Company to comply with the requirements of clause (a) of the preceding sentence shall constitute an “Event of Default” under the Credit Agreement and the Supporting Stockholder shall be entitled to exercise all rights afforded to it under the Credit Agreement and the other Loan Documents in connection therewith.</w:t>
      </w:r>
    </w:p>
    <w:p>
      <w:pPr>
        <w:spacing w:after="0" w:line="19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When used in this Agreement, the following terms shall have the meanings assigned to them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xml:space="preserve">” means, with respect to any Person, any other Person that,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 of, or shares the same management company or investment adviser with,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case shall the Company or any of its Subsidiaries be deemed to be an Affiliate of the Supporting Stockholder. For purposes of this definition, the term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Common Stock</w:t>
      </w:r>
      <w:r>
        <w:rPr>
          <w:rFonts w:ascii="Times New Roman" w:cs="Times New Roman" w:eastAsia="Times New Roman" w:hAnsi="Times New Roman"/>
          <w:sz w:val="20"/>
          <w:szCs w:val="20"/>
          <w:color w:val="auto"/>
        </w:rPr>
        <w:t>” means the Company’s Class A Common Stock, par value $0.0001 per share.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 w:name="page11"/>
    <w:bookmarkEnd w:id="10"/>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a limited liability company, a partnership, a joint venture, a corporation, a trust, an unincorporated organization, any other entity and any governmental entity or any department or agency thereof.</w:t>
      </w:r>
    </w:p>
    <w:p>
      <w:pPr>
        <w:spacing w:after="0" w:line="1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 collectively, the shares of Class A Common Stock and the shares of the Company’s Class V Common Stock, par value $0.0001 per share.</w:t>
      </w:r>
    </w:p>
    <w:p>
      <w:pPr>
        <w:spacing w:after="0" w:line="156" w:lineRule="exact"/>
        <w:rPr>
          <w:sz w:val="20"/>
          <w:szCs w:val="20"/>
          <w:color w:val="auto"/>
        </w:rPr>
      </w:pPr>
    </w:p>
    <w:p>
      <w:pPr>
        <w:jc w:val="both"/>
        <w:ind w:firstLine="656"/>
        <w:spacing w:after="0" w:line="254" w:lineRule="auto"/>
        <w:tabs>
          <w:tab w:leader="none" w:pos="98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From time to time, at the Company’s request and without further consideration, the Supporting Stockholder shall execute and deliver such additional documents and take all such further action as may be reasonably necessary or reasonably requested to effect the actions and consummate the transactions contemplated by this Agreement.</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0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Modification</w:t>
      </w:r>
      <w:r>
        <w:rPr>
          <w:rFonts w:ascii="Times New Roman" w:cs="Times New Roman" w:eastAsia="Times New Roman" w:hAnsi="Times New Roman"/>
          <w:sz w:val="20"/>
          <w:szCs w:val="20"/>
          <w:color w:val="auto"/>
        </w:rPr>
        <w:t>. This Agreement may not be amended, modified or supplemented in any manner, whether by course of conduct or otherwise, except by an instrument in writing signed the Company and the Supporting Stockholder.</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8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requests and other communications to any of the parties hereto shall be in writing (including email transmission, so long as a receipt of such email is requested and received) and shall be given,</w:t>
      </w:r>
    </w:p>
    <w:p>
      <w:pPr>
        <w:spacing w:after="0" w:line="159" w:lineRule="exact"/>
        <w:rPr>
          <w:sz w:val="20"/>
          <w:szCs w:val="20"/>
          <w:color w:val="auto"/>
        </w:rPr>
      </w:pPr>
    </w:p>
    <w:p>
      <w:pPr>
        <w:ind w:left="960" w:hanging="304"/>
        <w:spacing w:after="0"/>
        <w:tabs>
          <w:tab w:leader="none" w:pos="960" w:val="left"/>
        </w:tabs>
        <w:numPr>
          <w:ilvl w:val="0"/>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Avalon Boulevard, Suite 1000</w:t>
      </w:r>
    </w:p>
    <w:p>
      <w:pPr>
        <w:ind w:left="660"/>
        <w:spacing w:after="0"/>
        <w:rPr>
          <w:sz w:val="20"/>
          <w:szCs w:val="20"/>
          <w:color w:val="auto"/>
        </w:rPr>
      </w:pPr>
      <w:r>
        <w:rPr>
          <w:rFonts w:ascii="Times New Roman" w:cs="Times New Roman" w:eastAsia="Times New Roman" w:hAnsi="Times New Roman"/>
          <w:sz w:val="20"/>
          <w:szCs w:val="20"/>
          <w:color w:val="auto"/>
        </w:rPr>
        <w:t>Alpharetta, Georgia 30009</w:t>
      </w:r>
    </w:p>
    <w:p>
      <w:pPr>
        <w:ind w:left="660"/>
        <w:spacing w:after="0"/>
        <w:rPr>
          <w:sz w:val="20"/>
          <w:szCs w:val="20"/>
          <w:color w:val="auto"/>
        </w:rPr>
      </w:pPr>
      <w:r>
        <w:rPr>
          <w:rFonts w:ascii="Times New Roman" w:cs="Times New Roman" w:eastAsia="Times New Roman" w:hAnsi="Times New Roman"/>
          <w:sz w:val="20"/>
          <w:szCs w:val="20"/>
          <w:color w:val="auto"/>
        </w:rPr>
        <w:t>Telephone: 678-534-5849</w:t>
      </w:r>
    </w:p>
    <w:p>
      <w:pPr>
        <w:ind w:left="660"/>
        <w:spacing w:after="0"/>
        <w:rPr>
          <w:sz w:val="20"/>
          <w:szCs w:val="20"/>
          <w:color w:val="auto"/>
        </w:rPr>
      </w:pPr>
      <w:r>
        <w:rPr>
          <w:rFonts w:ascii="Times New Roman" w:cs="Times New Roman" w:eastAsia="Times New Roman" w:hAnsi="Times New Roman"/>
          <w:sz w:val="20"/>
          <w:szCs w:val="20"/>
          <w:color w:val="auto"/>
        </w:rPr>
        <w:t>Attention: General Counsel</w:t>
      </w:r>
    </w:p>
    <w:p>
      <w:pPr>
        <w:ind w:left="660"/>
        <w:spacing w:after="0"/>
        <w:rPr>
          <w:sz w:val="20"/>
          <w:szCs w:val="20"/>
          <w:color w:val="auto"/>
        </w:rPr>
      </w:pPr>
      <w:r>
        <w:rPr>
          <w:rFonts w:ascii="Times New Roman" w:cs="Times New Roman" w:eastAsia="Times New Roman" w:hAnsi="Times New Roman"/>
          <w:sz w:val="20"/>
          <w:szCs w:val="20"/>
          <w:color w:val="auto"/>
        </w:rPr>
        <w:t>Email: legal-notices@bakkt.com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(for informational purposes only) 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Sullivan &amp; Cromwell LLP</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125 Broad Street</w:t>
      </w:r>
    </w:p>
    <w:p>
      <w:pPr>
        <w:ind w:left="660"/>
        <w:spacing w:after="0"/>
        <w:rPr>
          <w:sz w:val="20"/>
          <w:szCs w:val="20"/>
          <w:color w:val="auto"/>
        </w:rPr>
      </w:pPr>
      <w:r>
        <w:rPr>
          <w:rFonts w:ascii="Times New Roman" w:cs="Times New Roman" w:eastAsia="Times New Roman" w:hAnsi="Times New Roman"/>
          <w:sz w:val="20"/>
          <w:szCs w:val="20"/>
          <w:color w:val="auto"/>
        </w:rPr>
        <w:t>New York, New York 10004</w:t>
      </w:r>
    </w:p>
    <w:p>
      <w:pPr>
        <w:ind w:left="660"/>
        <w:spacing w:after="0"/>
        <w:rPr>
          <w:sz w:val="20"/>
          <w:szCs w:val="20"/>
          <w:color w:val="auto"/>
        </w:rPr>
      </w:pPr>
      <w:r>
        <w:rPr>
          <w:rFonts w:ascii="Times New Roman" w:cs="Times New Roman" w:eastAsia="Times New Roman" w:hAnsi="Times New Roman"/>
          <w:sz w:val="20"/>
          <w:szCs w:val="20"/>
          <w:color w:val="auto"/>
        </w:rPr>
        <w:t>Attention: Jared Fishman, Matt Goodman, Mario Schollmeyer</w:t>
      </w:r>
    </w:p>
    <w:p>
      <w:pPr>
        <w:ind w:left="660"/>
        <w:spacing w:after="0"/>
        <w:tabs>
          <w:tab w:leader="none" w:pos="14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fishmanj@sullcrom.com; goodmanm@sullcrom.com;</w:t>
      </w:r>
    </w:p>
    <w:p>
      <w:pPr>
        <w:ind w:left="1500"/>
        <w:spacing w:after="0"/>
        <w:rPr>
          <w:sz w:val="20"/>
          <w:szCs w:val="20"/>
          <w:color w:val="auto"/>
        </w:rPr>
      </w:pPr>
      <w:r>
        <w:rPr>
          <w:rFonts w:ascii="Times New Roman" w:cs="Times New Roman" w:eastAsia="Times New Roman" w:hAnsi="Times New Roman"/>
          <w:sz w:val="20"/>
          <w:szCs w:val="20"/>
          <w:color w:val="auto"/>
        </w:rPr>
        <w:t>schollmeyerm@sullcrom.com</w:t>
      </w:r>
    </w:p>
    <w:p>
      <w:pPr>
        <w:spacing w:after="0" w:line="194" w:lineRule="exact"/>
        <w:rPr>
          <w:sz w:val="20"/>
          <w:szCs w:val="20"/>
          <w:color w:val="auto"/>
        </w:rPr>
      </w:pPr>
    </w:p>
    <w:p>
      <w:pPr>
        <w:ind w:left="1100" w:hanging="444"/>
        <w:spacing w:after="0" w:line="269" w:lineRule="auto"/>
        <w:tabs>
          <w:tab w:leader="none" w:pos="1100" w:val="left"/>
        </w:tabs>
        <w:numPr>
          <w:ilvl w:val="0"/>
          <w:numId w:val="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Supporting Stockholder, to such address indicated on the Company’s records with respect to the Supporting Stockholder or to such other address or addresses as the Supporting Stockholder may from time to time designate in writing.</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All such notices, requests and other communications will be deemed to have been delivered: (i) upon receipt, when delivered personally; (iii) upon delivery, when sent by electronic mail; or (iii) two Business Days after deposit with a U.S. nationally recognized overnight courier service, in each case properly addressed to the party to receive the same.</w:t>
      </w:r>
    </w:p>
    <w:p>
      <w:pPr>
        <w:spacing w:after="0" w:line="174" w:lineRule="exact"/>
        <w:rPr>
          <w:sz w:val="20"/>
          <w:szCs w:val="20"/>
          <w:color w:val="auto"/>
        </w:rPr>
      </w:pPr>
    </w:p>
    <w:p>
      <w:pPr>
        <w:jc w:val="both"/>
        <w:ind w:firstLine="656"/>
        <w:spacing w:after="0" w:line="254" w:lineRule="auto"/>
        <w:tabs>
          <w:tab w:leader="none" w:pos="115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documents and instruments and other agreements among the parties hereto as contemplated by or referred to herein constitute the entire agreement among the parties hereto with respect to the subject matter hereof and supersede all prior agreements and understandings, both written and oral, among the parties hereto with respect to the subject matter hereof.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 w:name="page12"/>
    <w:bookmarkEnd w:id="11"/>
    <w:p>
      <w:pPr>
        <w:ind w:firstLine="656"/>
        <w:spacing w:after="0" w:line="269" w:lineRule="auto"/>
        <w:tabs>
          <w:tab w:leader="none" w:pos="109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Third-Party Beneficiaries</w:t>
      </w:r>
      <w:r>
        <w:rPr>
          <w:rFonts w:ascii="Times New Roman" w:cs="Times New Roman" w:eastAsia="Times New Roman" w:hAnsi="Times New Roman"/>
          <w:sz w:val="20"/>
          <w:szCs w:val="20"/>
          <w:color w:val="auto"/>
        </w:rPr>
        <w:t>. This Agreement is intended only for the benefit of the parties hereto and their respective permitted successors and assigns, and is not for the benefit of, nor may any provision hereof be enforced by, any other Person.</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66"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and Venue; Service of Process; Waiver of Jury Trial</w:t>
      </w:r>
      <w:r>
        <w:rPr>
          <w:rFonts w:ascii="Times New Roman" w:cs="Times New Roman" w:eastAsia="Times New Roman" w:hAnsi="Times New Roman"/>
          <w:sz w:val="19"/>
          <w:szCs w:val="19"/>
          <w:color w:val="auto"/>
        </w:rPr>
        <w:t xml:space="preserve">.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Each of the parties hereto irrevocably consents to the exclusive jurisdiction and venue of the Court of Chancery of the State of Delaware,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subject matter jurisdiction over the matter that is the subject of the legal proceeding is vested exclusively in the U.S. federal courts, such legal proceeding shall be heard in the U.S. District Court for the District of Delaware (together with the Court of Chancery of the State of Delaware “</w:t>
      </w:r>
      <w:r>
        <w:rPr>
          <w:rFonts w:ascii="Times New Roman" w:cs="Times New Roman" w:eastAsia="Times New Roman" w:hAnsi="Times New Roman"/>
          <w:sz w:val="19"/>
          <w:szCs w:val="19"/>
          <w:b w:val="1"/>
          <w:bCs w:val="1"/>
          <w:color w:val="auto"/>
        </w:rPr>
        <w:t>Chosen Courts</w:t>
      </w:r>
      <w:r>
        <w:rPr>
          <w:rFonts w:ascii="Times New Roman" w:cs="Times New Roman" w:eastAsia="Times New Roman" w:hAnsi="Times New Roman"/>
          <w:sz w:val="19"/>
          <w:szCs w:val="19"/>
          <w:color w:val="auto"/>
        </w:rPr>
        <w:t xml:space="preserve">”), in connection with any matter based upon or arising out of this Agreement. Each party hereto hereby waives, and shall not assert as a defense in any legal dispute, that (a) such Person is not personally subject to the jurisdiction of the Chosen Courts for any reason, (b) such legal proceeding may not be brought or is not maintainable in the Chosen Courts, (c) such Person’s property is exempt or immune from execution, (d) such legal proceeding is brought in an inconvenient forum or (e) the venue of such legal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cs="Times New Roman" w:eastAsia="Times New Roman" w:hAnsi="Times New Roman"/>
          <w:sz w:val="19"/>
          <w:szCs w:val="19"/>
          <w:b w:val="1"/>
          <w:bCs w:val="1"/>
          <w:color w:val="auto"/>
        </w:rPr>
        <w:t>EACH PARTY HEREBY IRREVOCABLY WAIVES ANY RIGHT IT MAY HAVE, AND AGREES NOT TO REQUEST, A</w:t>
      </w:r>
    </w:p>
    <w:p>
      <w:pPr>
        <w:spacing w:after="0" w:line="9" w:lineRule="exact"/>
        <w:rPr>
          <w:rFonts w:ascii="Times New Roman" w:cs="Times New Roman" w:eastAsia="Times New Roman" w:hAnsi="Times New Roman"/>
          <w:sz w:val="19"/>
          <w:szCs w:val="19"/>
          <w:color w:val="auto"/>
        </w:rPr>
      </w:pPr>
    </w:p>
    <w:p>
      <w:pPr>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JURY TRIAL FOR THE ADJUDICATION OF ANY DISPUTE HEREUNDER OR IN CONNECTION WITH OR ARISING OUT OF THIS AGREEMENT OR ANY TRANSACTION CONTEMPLATED HEREBY.</w:t>
      </w:r>
    </w:p>
    <w:p>
      <w:pPr>
        <w:spacing w:after="0" w:line="181" w:lineRule="exact"/>
        <w:rPr>
          <w:rFonts w:ascii="Times New Roman" w:cs="Times New Roman" w:eastAsia="Times New Roman" w:hAnsi="Times New Roman"/>
          <w:sz w:val="19"/>
          <w:szCs w:val="19"/>
          <w:color w:val="auto"/>
        </w:rPr>
      </w:pPr>
    </w:p>
    <w:p>
      <w:pPr>
        <w:jc w:val="both"/>
        <w:ind w:firstLine="656"/>
        <w:spacing w:after="0" w:line="266" w:lineRule="auto"/>
        <w:tabs>
          <w:tab w:leader="none" w:pos="118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Successors</w:t>
      </w:r>
      <w:r>
        <w:rPr>
          <w:rFonts w:ascii="Times New Roman" w:cs="Times New Roman" w:eastAsia="Times New Roman" w:hAnsi="Times New Roman"/>
          <w:sz w:val="19"/>
          <w:szCs w:val="19"/>
          <w:color w:val="auto"/>
        </w:rPr>
        <w:t xml:space="preserve">. No party hereto may assign either this Agreement or any of its rights, interests, or obligations hereunder, by operation of law or otherwise, without the prior written approval of the other party hereto. Subject to the preceding sentence, this Agreement will be binding upon and will inure to the benefit of, and be enforceable by, the parties hereto and their respective successors and permitted assigns. Any purported assignment of this Agreement without the consent required by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is null and void.</w:t>
      </w:r>
    </w:p>
    <w:p>
      <w:pPr>
        <w:spacing w:after="0" w:line="165" w:lineRule="exact"/>
        <w:rPr>
          <w:rFonts w:ascii="Times New Roman" w:cs="Times New Roman" w:eastAsia="Times New Roman" w:hAnsi="Times New Roman"/>
          <w:sz w:val="19"/>
          <w:szCs w:val="19"/>
          <w:color w:val="auto"/>
        </w:rPr>
      </w:pPr>
    </w:p>
    <w:p>
      <w:pPr>
        <w:jc w:val="both"/>
        <w:ind w:right="20" w:firstLine="656"/>
        <w:spacing w:after="0" w:line="249" w:lineRule="auto"/>
        <w:tabs>
          <w:tab w:leader="none" w:pos="108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addition to being entitled to exercise all rights provided herein or granted by law, including recovery of damages, the Company will be entitled to specific performance hereunder.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spacing w:after="0" w:line="179" w:lineRule="exact"/>
        <w:rPr>
          <w:rFonts w:ascii="Times New Roman" w:cs="Times New Roman" w:eastAsia="Times New Roman" w:hAnsi="Times New Roman"/>
          <w:sz w:val="20"/>
          <w:szCs w:val="20"/>
          <w:color w:val="auto"/>
        </w:rPr>
      </w:pPr>
    </w:p>
    <w:p>
      <w:pPr>
        <w:jc w:val="both"/>
        <w:ind w:firstLine="656"/>
        <w:spacing w:after="0" w:line="243" w:lineRule="auto"/>
        <w:tabs>
          <w:tab w:leader="none" w:pos="107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2" w:name="page13"/>
    <w:bookmarkEnd w:id="12"/>
    <w:p>
      <w:pPr>
        <w:jc w:val="both"/>
        <w:ind w:firstLine="656"/>
        <w:spacing w:after="0" w:line="246" w:lineRule="auto"/>
        <w:tabs>
          <w:tab w:leader="none" w:pos="108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in two or more identical counterparts, all of which shall be considered one and the same agreement (it being understood that the parties need not sign the same counterpart) and shall become effective when counterparts have been signed by each party and delivered to the other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facsimile, .pdf signature or any electronic signature complying with the U.S. federal ESIGN Act of 2000 (e.g., www.docusign.com) shall be considered due execution and shall be binding upon the signatory thereto with the same force and effect as if the signature were an original, not a facsimile or .pdf 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is intentionally left blank</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3" w:name="page14"/>
    <w:bookmarkEnd w:id="13"/>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(where applicable, by their respective officers or other authorized Persons thereunto duly authorized) as of the date first written above.</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Akshay Naheta</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Voting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4" w:name="page15"/>
    <w:bookmarkEnd w:id="14"/>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(where applicable, by their respective officers or other authorized Persons thereunto duly authorized) as of the date first written above.</w:t>
      </w:r>
    </w:p>
    <w:p>
      <w:pPr>
        <w:spacing w:after="0" w:line="3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SUPPORTING STOCKHOLDER: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INTERCONTINENTAL EXCHANGE HOLDINGS,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Andrew Surdykowski</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3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Owned Shares Held Directly: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Common Stock: 7,453,112</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Comprised of:</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Class A Common Stock: 649,934</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Class V Common Stock: 6,803,178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Voting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2"/>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2"/>
    </w:lvl>
  </w:abstractNum>
  <w:abstractNum w:abstractNumId="12">
    <w:nsid w:val="6B68079A"/>
    <w:multiLevelType w:val="hybridMultilevel"/>
    <w:lvl w:ilvl="0">
      <w:lvlJc w:val="left"/>
      <w:lvlText w:val="(%1)"/>
      <w:numFmt w:val="decimal"/>
      <w:start w:val="4"/>
    </w:lvl>
  </w:abstractNum>
  <w:abstractNum w:abstractNumId="13">
    <w:nsid w:val="4E6AFB66"/>
    <w:multiLevelType w:val="hybridMultilevel"/>
    <w:lvl w:ilvl="0">
      <w:lvlJc w:val="left"/>
      <w:lvlText w:val="(%1)"/>
      <w:numFmt w:val="decimal"/>
      <w:start w:val="7"/>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decimal"/>
      <w:start w:val="10"/>
    </w:lvl>
  </w:abstractNum>
  <w:abstractNum w:abstractNumId="17">
    <w:nsid w:val="3F2DBA31"/>
    <w:multiLevelType w:val="hybridMultilevel"/>
    <w:lvl w:ilvl="0">
      <w:lvlJc w:val="left"/>
      <w:lvlText w:val="(%1)"/>
      <w:numFmt w:val="decimal"/>
      <w:start w:val="11"/>
    </w:lvl>
  </w:abstractNum>
  <w:abstractNum w:abstractNumId="18">
    <w:nsid w:val="7C83E45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2025-07-17T16:44:01Z</dcterms:created>
  <dcterms:modified xsi:type="dcterms:W3CDTF">2025-07-17T16:44:01Z</dcterms:modified>
</cp:coreProperties>
</file>