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4834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834890"/>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0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D'Annunzio Marc</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10/31/2025</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8"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16"/>
          <w:szCs w:val="16"/>
          <w:color w:val="0000FF"/>
        </w:rPr>
        <w:t>General Counsel &amp; Secretary</w:t>
      </w:r>
    </w:p>
    <w:p>
      <w:pPr>
        <w:spacing w:after="0" w:line="385" w:lineRule="exact"/>
        <w:rPr>
          <w:sz w:val="24"/>
          <w:szCs w:val="24"/>
          <w:color w:val="auto"/>
        </w:rPr>
      </w:pPr>
    </w:p>
    <w:p>
      <w:pPr>
        <w:sectPr>
          <w:pgSz w:w="11900" w:h="16838" w:orient="portrait"/>
          <w:cols w:equalWidth="0" w:num="3">
            <w:col w:w="3180" w:space="720"/>
            <w:col w:w="3117" w:space="720"/>
            <w:col w:w="3343"/>
          </w:cols>
          <w:pgMar w:left="460" w:top="214" w:right="359" w:bottom="101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179"/>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10006</w:t>
            </w: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r>
              <w:rPr>
                <w:rFonts w:ascii="Times New Roman" w:cs="Times New Roman" w:eastAsia="Times New Roman" w:hAnsi="Times New Roman"/>
                <w:sz w:val="20"/>
                <w:szCs w:val="20"/>
                <w:color w:val="008000"/>
                <w:vertAlign w:val="superscript"/>
              </w:rPr>
              <w:t>(1)</w:t>
            </w:r>
          </w:p>
        </w:tc>
        <w:tc>
          <w:tcPr>
            <w:tcW w:w="1860" w:type="dxa"/>
            <w:vAlign w:val="bottom"/>
            <w:tcBorders>
              <w:bottom w:val="single" w:sz="8" w:color="2C2C2C"/>
            </w:tcBorders>
            <w:gridSpan w:val="3"/>
          </w:tcPr>
          <w:p>
            <w:pPr>
              <w:ind w:left="980"/>
              <w:spacing w:after="0"/>
              <w:rPr>
                <w:sz w:val="20"/>
                <w:szCs w:val="20"/>
                <w:color w:val="auto"/>
              </w:rPr>
            </w:pPr>
            <w:r>
              <w:rPr>
                <w:rFonts w:ascii="Times New Roman" w:cs="Times New Roman" w:eastAsia="Times New Roman" w:hAnsi="Times New Roman"/>
                <w:sz w:val="16"/>
                <w:szCs w:val="16"/>
                <w:color w:val="0000FF"/>
              </w:rPr>
              <w:t>11/03/2025</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48,188</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117,436</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640" w:type="dxa"/>
            <w:vAlign w:val="bottom"/>
            <w:vMerge w:val="restart"/>
          </w:tcPr>
          <w:p>
            <w:pPr>
              <w:jc w:val="right"/>
              <w:ind w:right="144"/>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0"/>
                <w:szCs w:val="10"/>
                <w:color w:val="008000"/>
              </w:rPr>
              <w:t>(2)</w:t>
            </w: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48,188</w:t>
            </w:r>
          </w:p>
        </w:tc>
        <w:tc>
          <w:tcPr>
            <w:tcW w:w="6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Opco</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11/03/2025</w:t>
            </w:r>
          </w:p>
        </w:tc>
        <w:tc>
          <w:tcPr>
            <w:tcW w:w="10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48,188</w:t>
            </w: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jc w:val="right"/>
              <w:ind w:right="43"/>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ind w:right="39"/>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gridSpan w:val="2"/>
            <w:vMerge w:val="restart"/>
          </w:tcPr>
          <w:p>
            <w:pPr>
              <w:jc w:val="right"/>
              <w:ind w:right="165"/>
              <w:spacing w:after="0"/>
              <w:rPr>
                <w:sz w:val="20"/>
                <w:szCs w:val="20"/>
                <w:color w:val="auto"/>
              </w:rPr>
            </w:pPr>
            <w:r>
              <w:rPr>
                <w:rFonts w:ascii="Times New Roman" w:cs="Times New Roman" w:eastAsia="Times New Roman" w:hAnsi="Times New Roman"/>
                <w:sz w:val="10"/>
                <w:szCs w:val="10"/>
                <w:color w:val="008000"/>
              </w:rPr>
              <w:t>(4)(5)(6)</w:t>
            </w:r>
          </w:p>
        </w:tc>
        <w:tc>
          <w:tcPr>
            <w:tcW w:w="700" w:type="dxa"/>
            <w:vAlign w:val="bottom"/>
            <w:vMerge w:val="restart"/>
          </w:tcPr>
          <w:p>
            <w:pPr>
              <w:jc w:val="right"/>
              <w:ind w:right="142"/>
              <w:spacing w:after="0"/>
              <w:rPr>
                <w:sz w:val="20"/>
                <w:szCs w:val="20"/>
                <w:color w:val="auto"/>
              </w:rPr>
            </w:pPr>
            <w:r>
              <w:rPr>
                <w:rFonts w:ascii="Times New Roman" w:cs="Times New Roman" w:eastAsia="Times New Roman" w:hAnsi="Times New Roman"/>
                <w:sz w:val="10"/>
                <w:szCs w:val="10"/>
                <w:color w:val="008000"/>
              </w:rPr>
              <w:t>(4)(5)(6)</w:t>
            </w:r>
          </w:p>
        </w:tc>
        <w:tc>
          <w:tcPr>
            <w:tcW w:w="62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134,228</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jc w:val="center"/>
              <w:ind w:right="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120" w:type="dxa"/>
            <w:vAlign w:val="bottom"/>
          </w:tcPr>
          <w:p>
            <w:pPr>
              <w:spacing w:after="0"/>
              <w:rPr>
                <w:sz w:val="6"/>
                <w:szCs w:val="6"/>
                <w:color w:val="auto"/>
              </w:rPr>
            </w:pPr>
          </w:p>
        </w:tc>
        <w:tc>
          <w:tcPr>
            <w:tcW w:w="1040" w:type="dxa"/>
            <w:vAlign w:val="bottom"/>
            <w:vMerge w:val="restart"/>
          </w:tcPr>
          <w:p>
            <w:pPr>
              <w:jc w:val="right"/>
              <w:ind w:right="157"/>
              <w:spacing w:after="0" w:line="138" w:lineRule="exact"/>
              <w:rPr>
                <w:sz w:val="20"/>
                <w:szCs w:val="20"/>
                <w:color w:val="auto"/>
              </w:rPr>
            </w:pPr>
            <w:r>
              <w:rPr>
                <w:rFonts w:ascii="Times New Roman" w:cs="Times New Roman" w:eastAsia="Times New Roman" w:hAnsi="Times New Roman"/>
                <w:sz w:val="13"/>
                <w:szCs w:val="13"/>
                <w:color w:val="0000FF"/>
              </w:rPr>
              <w:t>10/31/2025</w:t>
            </w:r>
          </w:p>
        </w:tc>
        <w:tc>
          <w:tcPr>
            <w:tcW w:w="1060" w:type="dxa"/>
            <w:vAlign w:val="bottom"/>
          </w:tcPr>
          <w:p>
            <w:pPr>
              <w:spacing w:after="0"/>
              <w:rPr>
                <w:sz w:val="6"/>
                <w:szCs w:val="6"/>
                <w:color w:val="auto"/>
              </w:rPr>
            </w:pPr>
          </w:p>
        </w:tc>
        <w:tc>
          <w:tcPr>
            <w:tcW w:w="800" w:type="dxa"/>
            <w:vAlign w:val="bottom"/>
            <w:gridSpan w:val="2"/>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134,228</w:t>
            </w:r>
          </w:p>
        </w:tc>
        <w:tc>
          <w:tcPr>
            <w:tcW w:w="4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ind w:left="2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164"/>
              <w:spacing w:after="0" w:line="138" w:lineRule="exact"/>
              <w:rPr>
                <w:sz w:val="20"/>
                <w:szCs w:val="20"/>
                <w:color w:val="auto"/>
              </w:rPr>
            </w:pPr>
            <w:r>
              <w:rPr>
                <w:rFonts w:ascii="Times New Roman" w:cs="Times New Roman" w:eastAsia="Times New Roman" w:hAnsi="Times New Roman"/>
                <w:sz w:val="13"/>
                <w:szCs w:val="13"/>
                <w:color w:val="0000FF"/>
              </w:rPr>
              <w:t>134,228</w:t>
            </w:r>
          </w:p>
        </w:tc>
        <w:tc>
          <w:tcPr>
            <w:tcW w:w="64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ind w:right="39"/>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-2063115</wp:posOffset>
            </wp:positionV>
            <wp:extent cx="28575" cy="2068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688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24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2025, pursuant to a reorganization (the "Reorganization"), Bakkt Holdings, Inc. (formerly Bakkt NewCo Holdings, Inc.) became the successor of Bakkt Intermediate Holdings, Inc (formerly Bakkt Holdings, Inc.)("Bakkt") pursuant to merger transactions, in which a subsidiary of Bakkt Holdings, Inc. merged with and into Bakkt Intermediate Holdings, Inc. with Bakkt Intermediate Holdings, Inc. surviving and, immediately following such merger, a subsidiary of Bakkt Holdings, Inc. merged with and into Bakkt OpCo Holdings LLC ("OpCo"), a subsidiary of Bakkt Holdings Intermediate, Inc., with OpCo surviving. The mergers resulted in the Issuer becoming the parent holding company of Bakkt and OpCo, but did not alter the proportionate economic interest of security holders.</w:t>
      </w:r>
    </w:p>
    <w:p>
      <w:pPr>
        <w:spacing w:after="0" w:line="25" w:lineRule="exact"/>
        <w:rPr>
          <w:rFonts w:ascii="Times New Roman" w:cs="Times New Roman" w:eastAsia="Times New Roman" w:hAnsi="Times New Roman"/>
          <w:sz w:val="13"/>
          <w:szCs w:val="13"/>
          <w:color w:val="008000"/>
        </w:rPr>
      </w:pPr>
    </w:p>
    <w:p>
      <w:pPr>
        <w:ind w:left="40" w:right="16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OpCo Merger Agreement (as defined in the Form 8-K12B filed by the Issuer on November 3, 2025 (the "8-K")), each membership unit of Bakkt Management, LLC (the "Management Vehicle") outstanding immediately prior to the closing of the Reorganization was exchanged for a corresponding OpCo Incentive Unit (as defined in the 8-K) granted under the Second Amended and Restated Bakkt Equity Incentive Plan, as amended, held by the Management Vehicle, together with the paired share of New Bakkt Class V Common Stock (as defined in the 8-K). Each OpCo Incentive Unit and paired share of New Bakkt Class V Common Stock outstanding immediately prior to the closing of the Reorganization was then exchanged for one validly issued, fully paid, and nonassessable share of Class A Common Stock.</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restricted stock units and performance stock units awards that remain subject to vesting.</w:t>
      </w:r>
    </w:p>
    <w:p>
      <w:pPr>
        <w:spacing w:after="0" w:line="38" w:lineRule="exact"/>
        <w:rPr>
          <w:rFonts w:ascii="Times New Roman" w:cs="Times New Roman" w:eastAsia="Times New Roman" w:hAnsi="Times New Roman"/>
          <w:sz w:val="13"/>
          <w:szCs w:val="13"/>
          <w:color w:val="008000"/>
        </w:rPr>
      </w:pPr>
    </w:p>
    <w:p>
      <w:pPr>
        <w:jc w:val="both"/>
        <w:ind w:left="40" w:right="24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5]</w:t>
      </w:r>
    </w:p>
    <w:p>
      <w:pPr>
        <w:spacing w:after="0" w:line="25" w:lineRule="exact"/>
        <w:rPr>
          <w:rFonts w:ascii="Times New Roman" w:cs="Times New Roman" w:eastAsia="Times New Roman" w:hAnsi="Times New Roman"/>
          <w:sz w:val="13"/>
          <w:szCs w:val="13"/>
          <w:color w:val="008000"/>
        </w:rPr>
      </w:pPr>
    </w:p>
    <w:p>
      <w:pPr>
        <w:ind w:left="40" w:right="220" w:hanging="2"/>
        <w:spacing w:after="0" w:line="292"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[Continued from footnote 4]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 [Continued to footnote 6]</w:t>
      </w:r>
    </w:p>
    <w:p>
      <w:pPr>
        <w:spacing w:after="0" w:line="1" w:lineRule="exact"/>
        <w:rPr>
          <w:rFonts w:ascii="Times New Roman" w:cs="Times New Roman" w:eastAsia="Times New Roman" w:hAnsi="Times New Roman"/>
          <w:sz w:val="11"/>
          <w:szCs w:val="11"/>
          <w:color w:val="008000"/>
        </w:rPr>
      </w:pPr>
    </w:p>
    <w:p>
      <w:pPr>
        <w:ind w:left="40" w:right="30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5]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4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Paul Simmons Attorney-in-</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11/04/2025</w:t>
            </w:r>
          </w:p>
        </w:tc>
        <w:tc>
          <w:tcPr>
            <w:tcW w:w="0" w:type="dxa"/>
            <w:vAlign w:val="bottom"/>
          </w:tcPr>
          <w:p>
            <w:pPr>
              <w:spacing w:after="0"/>
              <w:rPr>
                <w:sz w:val="1"/>
                <w:szCs w:val="1"/>
                <w:color w:val="auto"/>
              </w:rPr>
            </w:pPr>
          </w:p>
        </w:tc>
      </w:tr>
      <w:tr>
        <w:trPr>
          <w:trHeight w:val="80"/>
        </w:trPr>
        <w:tc>
          <w:tcPr>
            <w:tcW w:w="2100" w:type="dxa"/>
            <w:vAlign w:val="bottom"/>
            <w:gridSpan w:val="3"/>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 for Marc D'Annunzio</w:t>
            </w: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101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37" w:lineRule="exact"/>
        <w:rPr>
          <w:sz w:val="20"/>
          <w:szCs w:val="20"/>
          <w:color w:val="auto"/>
        </w:rPr>
      </w:pPr>
    </w:p>
    <w:p>
      <w:pPr>
        <w:ind w:right="2379"/>
        <w:spacing w:after="0" w:line="281" w:lineRule="auto"/>
        <w:rPr>
          <w:sz w:val="20"/>
          <w:szCs w:val="20"/>
          <w:color w:val="auto"/>
        </w:rPr>
      </w:pPr>
      <w:r>
        <w:rPr>
          <w:rFonts w:ascii="Courier New" w:cs="Courier New" w:eastAsia="Courier New" w:hAnsi="Courier New"/>
          <w:sz w:val="16"/>
          <w:szCs w:val="16"/>
          <w:color w:val="auto"/>
        </w:rPr>
        <w:t>The undersigned, as a Section 16 reporting person of Bakkt Holdings, Inc. (the "Company"), hereby constitutes and appoints Karen Alexander and Paul Simmons, and each of them, as the undersigned's true and lawful attorney-in-fact to:</w:t>
      </w:r>
    </w:p>
    <w:p>
      <w:pPr>
        <w:spacing w:after="0" w:line="272" w:lineRule="exact"/>
        <w:rPr>
          <w:sz w:val="20"/>
          <w:szCs w:val="20"/>
          <w:color w:val="auto"/>
        </w:rPr>
      </w:pPr>
    </w:p>
    <w:p>
      <w:pPr>
        <w:ind w:right="3259"/>
        <w:spacing w:after="0" w:line="269" w:lineRule="auto"/>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80" w:lineRule="exact"/>
        <w:rPr>
          <w:rFonts w:ascii="Courier New" w:cs="Courier New" w:eastAsia="Courier New" w:hAnsi="Courier New"/>
          <w:sz w:val="16"/>
          <w:szCs w:val="16"/>
          <w:color w:val="auto"/>
        </w:rPr>
      </w:pPr>
    </w:p>
    <w:p>
      <w:pPr>
        <w:ind w:left="780" w:hanging="780"/>
        <w:spacing w:after="0"/>
        <w:tabs>
          <w:tab w:leader="none" w:pos="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with</w:t>
      </w:r>
    </w:p>
    <w:p>
      <w:pPr>
        <w:spacing w:after="0" w:line="37" w:lineRule="exact"/>
        <w:rPr>
          <w:sz w:val="20"/>
          <w:szCs w:val="20"/>
          <w:color w:val="auto"/>
        </w:rPr>
      </w:pPr>
    </w:p>
    <w:p>
      <w:pPr>
        <w:ind w:right="3739"/>
        <w:spacing w:after="0" w:line="291" w:lineRule="auto"/>
        <w:rPr>
          <w:sz w:val="20"/>
          <w:szCs w:val="20"/>
          <w:color w:val="auto"/>
        </w:rPr>
      </w:pPr>
      <w:r>
        <w:rPr>
          <w:rFonts w:ascii="Courier New" w:cs="Courier New" w:eastAsia="Courier New" w:hAnsi="Courier New"/>
          <w:sz w:val="16"/>
          <w:szCs w:val="16"/>
          <w:color w:val="auto"/>
        </w:rPr>
        <w:t>the SEC, any securities exchange or national association, the Company and such other person or agency as the attorneys-in-fact shall deem appropriate.</w:t>
      </w:r>
    </w:p>
    <w:p>
      <w:pPr>
        <w:spacing w:after="0" w:line="62" w:lineRule="exact"/>
        <w:rPr>
          <w:sz w:val="20"/>
          <w:szCs w:val="20"/>
          <w:color w:val="auto"/>
        </w:rPr>
      </w:pPr>
    </w:p>
    <w:p>
      <w:pPr>
        <w:ind w:right="3459"/>
        <w:spacing w:after="0" w:line="269"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0" w:lineRule="exact"/>
        <w:rPr>
          <w:sz w:val="20"/>
          <w:szCs w:val="20"/>
          <w:color w:val="auto"/>
        </w:rPr>
      </w:pPr>
    </w:p>
    <w:p>
      <w:pPr>
        <w:ind w:right="3059"/>
        <w:spacing w:after="0" w:line="279"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73" w:lineRule="exact"/>
        <w:rPr>
          <w:sz w:val="20"/>
          <w:szCs w:val="20"/>
          <w:color w:val="auto"/>
        </w:rPr>
      </w:pPr>
    </w:p>
    <w:p>
      <w:pPr>
        <w:ind w:right="2679"/>
        <w:spacing w:after="0" w:line="373"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day: 11/04/2025.</w:t>
      </w:r>
    </w:p>
    <w:p>
      <w:pPr>
        <w:spacing w:after="0" w:line="18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6"/>
          <w:szCs w:val="16"/>
          <w:color w:val="auto"/>
        </w:rPr>
        <w:t>Signature:</w:t>
        <w:tab/>
        <w:t>/s/ Marc D'Annunzio</w:t>
      </w:r>
    </w:p>
    <w:p>
      <w:pPr>
        <w:spacing w:after="0" w:line="19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Print Name:</w:t>
        <w:tab/>
        <w:t>Marc D'Annunzio</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2025-11-04T19:34:07Z</dcterms:created>
  <dcterms:modified xsi:type="dcterms:W3CDTF">2025-11-04T19:34:07Z</dcterms:modified>
</cp:coreProperties>
</file>