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ind w:left="4780"/>
        <w:spacing w:after="0"/>
        <w:rPr>
          <w:sz w:val="20"/>
          <w:szCs w:val="20"/>
          <w:color w:val="auto"/>
        </w:rPr>
      </w:pPr>
      <w:r>
        <w:rPr>
          <w:rFonts w:ascii="Arial" w:cs="Arial" w:eastAsia="Arial" w:hAnsi="Arial"/>
          <w:sz w:val="22"/>
          <w:szCs w:val="22"/>
          <w:b w:val="1"/>
          <w:bCs w:val="1"/>
          <w:color w:val="auto"/>
        </w:rPr>
        <w:t>Amendment No. 2</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00" w:lineRule="exact"/>
        <w:rPr>
          <w:sz w:val="24"/>
          <w:szCs w:val="24"/>
          <w:color w:val="auto"/>
        </w:rPr>
      </w:pPr>
    </w:p>
    <w:p>
      <w:pPr>
        <w:spacing w:after="0" w:line="27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ind w:left="5000"/>
        <w:spacing w:after="0"/>
        <w:rPr>
          <w:sz w:val="20"/>
          <w:szCs w:val="20"/>
          <w:color w:val="auto"/>
        </w:rPr>
      </w:pPr>
      <w:r>
        <w:rPr>
          <w:rFonts w:ascii="Arial" w:cs="Arial" w:eastAsia="Arial" w:hAnsi="Arial"/>
          <w:sz w:val="18"/>
          <w:szCs w:val="18"/>
          <w:color w:val="auto"/>
        </w:rPr>
        <w:t>(CUSIP Number)</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July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 Rule 13d-1(b)</w:t>
      </w:r>
    </w:p>
    <w:p>
      <w:pPr>
        <w:spacing w:after="0" w:line="233" w:lineRule="exact"/>
        <w:rPr>
          <w:sz w:val="24"/>
          <w:szCs w:val="24"/>
          <w:color w:val="auto"/>
        </w:rPr>
      </w:pPr>
    </w:p>
    <w:p>
      <w:pPr>
        <w:jc w:val="both"/>
        <w:ind w:left="660" w:right="8980" w:hanging="4"/>
        <w:spacing w:after="0" w:line="533"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[_] Rule 13d-1(d)</w:t>
      </w:r>
    </w:p>
    <w:p>
      <w:pPr>
        <w:spacing w:after="0" w:line="2"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420" w:type="dxa"/>
            <w:vAlign w:val="bottom"/>
          </w:tcPr>
          <w:p>
            <w:pPr>
              <w:ind w:left="1000"/>
              <w:spacing w:after="0"/>
              <w:rPr>
                <w:sz w:val="20"/>
                <w:szCs w:val="20"/>
                <w:color w:val="auto"/>
              </w:rPr>
            </w:pPr>
            <w:r>
              <w:rPr>
                <w:rFonts w:ascii="Arial" w:cs="Arial" w:eastAsia="Arial" w:hAnsi="Arial"/>
                <w:sz w:val="22"/>
                <w:szCs w:val="22"/>
                <w:b w:val="1"/>
                <w:bCs w:val="1"/>
                <w:color w:val="auto"/>
              </w:rPr>
              <w:t>SCHEDULE 13G</w:t>
            </w:r>
          </w:p>
        </w:tc>
        <w:tc>
          <w:tcPr>
            <w:tcW w:w="0" w:type="dxa"/>
            <w:vAlign w:val="bottom"/>
          </w:tcPr>
          <w:p>
            <w:pPr>
              <w:spacing w:after="0"/>
              <w:rPr>
                <w:sz w:val="1"/>
                <w:szCs w:val="1"/>
                <w:color w:val="auto"/>
              </w:rPr>
            </w:pPr>
          </w:p>
        </w:tc>
      </w:tr>
      <w:tr>
        <w:trPr>
          <w:trHeight w:val="105"/>
        </w:trPr>
        <w:tc>
          <w:tcPr>
            <w:tcW w:w="9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7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9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2"/>
              </w:rPr>
              <w:t>CUSIP No.</w:t>
            </w: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742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G9441E100</w:t>
            </w:r>
          </w:p>
        </w:tc>
        <w:tc>
          <w:tcPr>
            <w:tcW w:w="0" w:type="dxa"/>
            <w:vAlign w:val="bottom"/>
          </w:tcPr>
          <w:p>
            <w:pPr>
              <w:spacing w:after="0"/>
              <w:rPr>
                <w:sz w:val="1"/>
                <w:szCs w:val="1"/>
                <w:color w:val="auto"/>
              </w:rPr>
            </w:pPr>
          </w:p>
        </w:tc>
      </w:tr>
      <w:tr>
        <w:trPr>
          <w:trHeight w:val="250"/>
        </w:trPr>
        <w:tc>
          <w:tcPr>
            <w:tcW w:w="9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3"/>
          </w:tcPr>
          <w:p>
            <w:pPr>
              <w:spacing w:after="0"/>
              <w:rPr>
                <w:sz w:val="21"/>
                <w:szCs w:val="21"/>
                <w:color w:val="auto"/>
              </w:rPr>
            </w:pPr>
          </w:p>
        </w:tc>
        <w:tc>
          <w:tcPr>
            <w:tcW w:w="7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9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9"/>
              </w:rPr>
              <w:t>1</w:t>
            </w:r>
          </w:p>
        </w:tc>
        <w:tc>
          <w:tcPr>
            <w:tcW w:w="2920" w:type="dxa"/>
            <w:vAlign w:val="bottom"/>
            <w:gridSpan w:val="3"/>
          </w:tcPr>
          <w:p>
            <w:pPr>
              <w:spacing w:after="0" w:line="192" w:lineRule="exact"/>
              <w:rPr>
                <w:sz w:val="20"/>
                <w:szCs w:val="20"/>
                <w:color w:val="auto"/>
              </w:rPr>
            </w:pPr>
            <w:r>
              <w:rPr>
                <w:rFonts w:ascii="Arial" w:cs="Arial" w:eastAsia="Arial" w:hAnsi="Arial"/>
                <w:sz w:val="18"/>
                <w:szCs w:val="18"/>
                <w:b w:val="1"/>
                <w:bCs w:val="1"/>
                <w:color w:val="auto"/>
              </w:rPr>
              <w:t>Names of Reporting Persons</w:t>
            </w:r>
          </w:p>
        </w:tc>
        <w:tc>
          <w:tcPr>
            <w:tcW w:w="7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900" w:type="dxa"/>
            <w:vAlign w:val="bottom"/>
            <w:tcBorders>
              <w:bottom w:val="single" w:sz="8" w:color="auto"/>
              <w:right w:val="single" w:sz="8" w:color="auto"/>
            </w:tcBorders>
          </w:tcPr>
          <w:p>
            <w:pPr>
              <w:spacing w:after="0"/>
              <w:rPr>
                <w:sz w:val="21"/>
                <w:szCs w:val="21"/>
                <w:color w:val="auto"/>
              </w:rPr>
            </w:pPr>
          </w:p>
        </w:tc>
        <w:tc>
          <w:tcPr>
            <w:tcW w:w="2920" w:type="dxa"/>
            <w:vAlign w:val="bottom"/>
            <w:tcBorders>
              <w:bottom w:val="single" w:sz="8" w:color="auto"/>
            </w:tcBorders>
            <w:gridSpan w:val="3"/>
          </w:tcPr>
          <w:p>
            <w:pPr>
              <w:spacing w:after="0" w:line="240" w:lineRule="exact"/>
              <w:rPr>
                <w:sz w:val="20"/>
                <w:szCs w:val="20"/>
                <w:color w:val="auto"/>
              </w:rPr>
            </w:pPr>
            <w:r>
              <w:rPr>
                <w:rFonts w:ascii="Arial" w:cs="Arial" w:eastAsia="Arial" w:hAnsi="Arial"/>
                <w:sz w:val="17"/>
                <w:szCs w:val="17"/>
                <w:color w:val="auto"/>
              </w:rPr>
              <w:t>Alpine Global Management, LLC</w:t>
            </w:r>
            <w:r>
              <w:rPr>
                <w:rFonts w:ascii="Arial" w:cs="Arial" w:eastAsia="Arial" w:hAnsi="Arial"/>
                <w:sz w:val="27"/>
                <w:szCs w:val="27"/>
                <w:color w:val="auto"/>
                <w:vertAlign w:val="superscript"/>
              </w:rPr>
              <w:t>1</w:t>
            </w:r>
          </w:p>
        </w:tc>
        <w:tc>
          <w:tcPr>
            <w:tcW w:w="74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2</w:t>
            </w:r>
          </w:p>
        </w:tc>
        <w:tc>
          <w:tcPr>
            <w:tcW w:w="1034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900" w:type="dxa"/>
            <w:vAlign w:val="bottom"/>
            <w:tcBorders>
              <w:right w:val="single" w:sz="8" w:color="auto"/>
            </w:tcBorders>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(a)</w:t>
            </w: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  ]</w:t>
            </w:r>
          </w:p>
        </w:tc>
        <w:tc>
          <w:tcPr>
            <w:tcW w:w="1460" w:type="dxa"/>
            <w:vAlign w:val="bottom"/>
          </w:tcPr>
          <w:p>
            <w:pPr>
              <w:spacing w:after="0"/>
              <w:rPr>
                <w:sz w:val="18"/>
                <w:szCs w:val="18"/>
                <w:color w:val="auto"/>
              </w:rPr>
            </w:pPr>
          </w:p>
        </w:tc>
        <w:tc>
          <w:tcPr>
            <w:tcW w:w="7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(b)</w:t>
            </w:r>
          </w:p>
        </w:tc>
        <w:tc>
          <w:tcPr>
            <w:tcW w:w="9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[X]</w:t>
            </w:r>
          </w:p>
        </w:tc>
        <w:tc>
          <w:tcPr>
            <w:tcW w:w="1460" w:type="dxa"/>
            <w:vAlign w:val="bottom"/>
            <w:tcBorders>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Sec Use Only</w:t>
            </w:r>
          </w:p>
        </w:tc>
        <w:tc>
          <w:tcPr>
            <w:tcW w:w="1460" w:type="dxa"/>
            <w:vAlign w:val="bottom"/>
          </w:tcPr>
          <w:p>
            <w:pPr>
              <w:spacing w:after="0"/>
              <w:rPr>
                <w:sz w:val="20"/>
                <w:szCs w:val="20"/>
                <w:color w:val="auto"/>
              </w:rPr>
            </w:pPr>
          </w:p>
        </w:tc>
        <w:tc>
          <w:tcPr>
            <w:tcW w:w="7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00" w:type="dxa"/>
            <w:vAlign w:val="bottom"/>
            <w:tcBorders>
              <w:bottom w:val="single" w:sz="8" w:color="auto"/>
              <w:right w:val="single" w:sz="8" w:color="auto"/>
            </w:tcBorders>
          </w:tcPr>
          <w:p>
            <w:pPr>
              <w:spacing w:after="0"/>
              <w:rPr>
                <w:sz w:val="17"/>
                <w:szCs w:val="17"/>
                <w:color w:val="auto"/>
              </w:rPr>
            </w:pPr>
          </w:p>
        </w:tc>
        <w:tc>
          <w:tcPr>
            <w:tcW w:w="2920" w:type="dxa"/>
            <w:vAlign w:val="bottom"/>
            <w:tcBorders>
              <w:bottom w:val="single" w:sz="8" w:color="auto"/>
            </w:tcBorders>
            <w:gridSpan w:val="3"/>
          </w:tcPr>
          <w:p>
            <w:pPr>
              <w:spacing w:after="0"/>
              <w:rPr>
                <w:sz w:val="17"/>
                <w:szCs w:val="17"/>
                <w:color w:val="auto"/>
              </w:rPr>
            </w:pPr>
          </w:p>
        </w:tc>
        <w:tc>
          <w:tcPr>
            <w:tcW w:w="74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4</w:t>
            </w:r>
          </w:p>
        </w:tc>
        <w:tc>
          <w:tcPr>
            <w:tcW w:w="29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93"/>
              </w:rPr>
              <w:t>Citizenship or Place of Organization</w:t>
            </w:r>
          </w:p>
        </w:tc>
        <w:tc>
          <w:tcPr>
            <w:tcW w:w="7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 USA</w:t>
            </w:r>
          </w:p>
        </w:tc>
        <w:tc>
          <w:tcPr>
            <w:tcW w:w="1460" w:type="dxa"/>
            <w:vAlign w:val="bottom"/>
            <w:tcBorders>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right"/>
              <w:ind w:right="610"/>
              <w:spacing w:after="0" w:line="201" w:lineRule="exact"/>
              <w:rPr>
                <w:sz w:val="20"/>
                <w:szCs w:val="20"/>
                <w:color w:val="auto"/>
              </w:rPr>
            </w:pPr>
            <w:r>
              <w:rPr>
                <w:rFonts w:ascii="Arial" w:cs="Arial" w:eastAsia="Arial" w:hAnsi="Arial"/>
                <w:sz w:val="18"/>
                <w:szCs w:val="18"/>
                <w:b w:val="1"/>
                <w:bCs w:val="1"/>
                <w:color w:val="auto"/>
              </w:rPr>
              <w:t>5</w:t>
            </w:r>
          </w:p>
        </w:tc>
        <w:tc>
          <w:tcPr>
            <w:tcW w:w="742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7"/>
        </w:trPr>
        <w:tc>
          <w:tcPr>
            <w:tcW w:w="23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460" w:type="dxa"/>
            <w:vAlign w:val="bottom"/>
            <w:tcBorders>
              <w:bottom w:val="single" w:sz="8" w:color="auto"/>
              <w:right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1,013,820</w:t>
            </w: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560" w:type="dxa"/>
            <w:vAlign w:val="bottom"/>
          </w:tcPr>
          <w:p>
            <w:pPr>
              <w:ind w:left="20"/>
              <w:spacing w:after="0" w:line="201" w:lineRule="exact"/>
              <w:rPr>
                <w:sz w:val="20"/>
                <w:szCs w:val="20"/>
                <w:color w:val="auto"/>
              </w:rPr>
            </w:pPr>
            <w:r>
              <w:rPr>
                <w:rFonts w:ascii="Arial" w:cs="Arial" w:eastAsia="Arial" w:hAnsi="Arial"/>
                <w:sz w:val="18"/>
                <w:szCs w:val="18"/>
                <w:b w:val="1"/>
                <w:bCs w:val="1"/>
                <w:color w:val="auto"/>
                <w:w w:val="86"/>
              </w:rPr>
              <w:t>Shares</w:t>
            </w:r>
          </w:p>
        </w:tc>
        <w:tc>
          <w:tcPr>
            <w:tcW w:w="900" w:type="dxa"/>
            <w:vAlign w:val="bottom"/>
            <w:tcBorders>
              <w:right w:val="single" w:sz="8" w:color="auto"/>
            </w:tcBorders>
          </w:tcPr>
          <w:p>
            <w:pPr>
              <w:spacing w:after="0"/>
              <w:rPr>
                <w:sz w:val="17"/>
                <w:szCs w:val="17"/>
                <w:color w:val="auto"/>
              </w:rPr>
            </w:pPr>
          </w:p>
        </w:tc>
        <w:tc>
          <w:tcPr>
            <w:tcW w:w="1460" w:type="dxa"/>
            <w:vAlign w:val="bottom"/>
            <w:tcBorders>
              <w:right w:val="single" w:sz="8" w:color="auto"/>
            </w:tcBorders>
          </w:tcPr>
          <w:p>
            <w:pPr>
              <w:jc w:val="right"/>
              <w:ind w:right="610"/>
              <w:spacing w:after="0" w:line="201" w:lineRule="exact"/>
              <w:rPr>
                <w:sz w:val="20"/>
                <w:szCs w:val="20"/>
                <w:color w:val="auto"/>
              </w:rPr>
            </w:pPr>
            <w:r>
              <w:rPr>
                <w:rFonts w:ascii="Arial" w:cs="Arial" w:eastAsia="Arial" w:hAnsi="Arial"/>
                <w:sz w:val="18"/>
                <w:szCs w:val="18"/>
                <w:b w:val="1"/>
                <w:bCs w:val="1"/>
                <w:color w:val="auto"/>
              </w:rPr>
              <w:t>6</w:t>
            </w:r>
          </w:p>
        </w:tc>
        <w:tc>
          <w:tcPr>
            <w:tcW w:w="742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37"/>
        </w:trPr>
        <w:tc>
          <w:tcPr>
            <w:tcW w:w="23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60" w:type="dxa"/>
            <w:vAlign w:val="bottom"/>
            <w:tcBorders>
              <w:bottom w:val="single" w:sz="8" w:color="auto"/>
              <w:right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4"/>
        </w:trPr>
        <w:tc>
          <w:tcPr>
            <w:tcW w:w="2360" w:type="dxa"/>
            <w:vAlign w:val="bottom"/>
            <w:tcBorders>
              <w:right w:val="single" w:sz="8" w:color="auto"/>
            </w:tcBorders>
            <w:gridSpan w:val="3"/>
          </w:tcPr>
          <w:p>
            <w:pPr>
              <w:jc w:val="center"/>
              <w:spacing w:after="0" w:line="184" w:lineRule="exact"/>
              <w:rPr>
                <w:sz w:val="20"/>
                <w:szCs w:val="20"/>
                <w:color w:val="auto"/>
              </w:rPr>
            </w:pPr>
            <w:r>
              <w:rPr>
                <w:rFonts w:ascii="Arial" w:cs="Arial" w:eastAsia="Arial" w:hAnsi="Arial"/>
                <w:sz w:val="18"/>
                <w:szCs w:val="18"/>
                <w:b w:val="1"/>
                <w:bCs w:val="1"/>
                <w:color w:val="auto"/>
                <w:w w:val="90"/>
              </w:rPr>
              <w:t>Owned by Each</w:t>
            </w:r>
          </w:p>
        </w:tc>
        <w:tc>
          <w:tcPr>
            <w:tcW w:w="1460" w:type="dxa"/>
            <w:vAlign w:val="bottom"/>
            <w:tcBorders>
              <w:right w:val="single" w:sz="8" w:color="auto"/>
            </w:tcBorders>
          </w:tcPr>
          <w:p>
            <w:pPr>
              <w:jc w:val="right"/>
              <w:ind w:right="610"/>
              <w:spacing w:after="0" w:line="184" w:lineRule="exact"/>
              <w:rPr>
                <w:sz w:val="20"/>
                <w:szCs w:val="20"/>
                <w:color w:val="auto"/>
              </w:rPr>
            </w:pPr>
            <w:r>
              <w:rPr>
                <w:rFonts w:ascii="Arial" w:cs="Arial" w:eastAsia="Arial" w:hAnsi="Arial"/>
                <w:sz w:val="18"/>
                <w:szCs w:val="18"/>
                <w:b w:val="1"/>
                <w:bCs w:val="1"/>
                <w:color w:val="auto"/>
              </w:rPr>
              <w:t>7</w:t>
            </w:r>
          </w:p>
        </w:tc>
        <w:tc>
          <w:tcPr>
            <w:tcW w:w="7420" w:type="dxa"/>
            <w:vAlign w:val="bottom"/>
            <w:tcBorders>
              <w:right w:val="single" w:sz="8" w:color="auto"/>
            </w:tcBorders>
          </w:tcPr>
          <w:p>
            <w:pPr>
              <w:ind w:left="200"/>
              <w:spacing w:after="0" w:line="184"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3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60" w:type="dxa"/>
            <w:vAlign w:val="bottom"/>
            <w:tcBorders>
              <w:right w:val="single" w:sz="8" w:color="auto"/>
            </w:tcBorders>
          </w:tcPr>
          <w:p>
            <w:pPr>
              <w:spacing w:after="0"/>
              <w:rPr>
                <w:sz w:val="18"/>
                <w:szCs w:val="18"/>
                <w:color w:val="auto"/>
              </w:rPr>
            </w:pPr>
          </w:p>
        </w:tc>
        <w:tc>
          <w:tcPr>
            <w:tcW w:w="74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1,013,820</w:t>
            </w:r>
          </w:p>
        </w:tc>
        <w:tc>
          <w:tcPr>
            <w:tcW w:w="0" w:type="dxa"/>
            <w:vAlign w:val="bottom"/>
          </w:tcPr>
          <w:p>
            <w:pPr>
              <w:spacing w:after="0"/>
              <w:rPr>
                <w:sz w:val="1"/>
                <w:szCs w:val="1"/>
                <w:color w:val="auto"/>
              </w:rPr>
            </w:pPr>
          </w:p>
        </w:tc>
      </w:tr>
      <w:tr>
        <w:trPr>
          <w:trHeight w:val="39"/>
        </w:trPr>
        <w:tc>
          <w:tcPr>
            <w:tcW w:w="236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1"/>
              </w:rPr>
              <w:t>Person With:</w:t>
            </w:r>
          </w:p>
        </w:tc>
        <w:tc>
          <w:tcPr>
            <w:tcW w:w="146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360" w:type="dxa"/>
            <w:vAlign w:val="bottom"/>
            <w:tcBorders>
              <w:right w:val="single" w:sz="8" w:color="auto"/>
            </w:tcBorders>
            <w:gridSpan w:val="3"/>
            <w:vMerge w:val="continue"/>
          </w:tcPr>
          <w:p>
            <w:pPr>
              <w:spacing w:after="0"/>
              <w:rPr>
                <w:sz w:val="17"/>
                <w:szCs w:val="17"/>
                <w:color w:val="auto"/>
              </w:rPr>
            </w:pPr>
          </w:p>
        </w:tc>
        <w:tc>
          <w:tcPr>
            <w:tcW w:w="1460" w:type="dxa"/>
            <w:vAlign w:val="bottom"/>
            <w:tcBorders>
              <w:right w:val="single" w:sz="8" w:color="auto"/>
            </w:tcBorders>
          </w:tcPr>
          <w:p>
            <w:pPr>
              <w:jc w:val="right"/>
              <w:ind w:right="610"/>
              <w:spacing w:after="0" w:line="201" w:lineRule="exact"/>
              <w:rPr>
                <w:sz w:val="20"/>
                <w:szCs w:val="20"/>
                <w:color w:val="auto"/>
              </w:rPr>
            </w:pPr>
            <w:r>
              <w:rPr>
                <w:rFonts w:ascii="Arial" w:cs="Arial" w:eastAsia="Arial" w:hAnsi="Arial"/>
                <w:sz w:val="18"/>
                <w:szCs w:val="18"/>
                <w:b w:val="1"/>
                <w:bCs w:val="1"/>
                <w:color w:val="auto"/>
              </w:rPr>
              <w:t>8</w:t>
            </w:r>
          </w:p>
        </w:tc>
        <w:tc>
          <w:tcPr>
            <w:tcW w:w="7420" w:type="dxa"/>
            <w:vAlign w:val="bottom"/>
            <w:tcBorders>
              <w:right w:val="single" w:sz="8" w:color="auto"/>
            </w:tcBorders>
          </w:tcPr>
          <w:p>
            <w:pPr>
              <w:ind w:left="200"/>
              <w:spacing w:after="0" w:line="201"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9</w:t>
            </w:r>
          </w:p>
        </w:tc>
        <w:tc>
          <w:tcPr>
            <w:tcW w:w="29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86"/>
              </w:rPr>
              <w:t>Aggregate Amount Beneficially Owned</w:t>
            </w:r>
          </w:p>
        </w:tc>
        <w:tc>
          <w:tcPr>
            <w:tcW w:w="7420" w:type="dxa"/>
            <w:vAlign w:val="bottom"/>
            <w:tcBorders>
              <w:right w:val="single" w:sz="8" w:color="auto"/>
            </w:tcBorders>
          </w:tcPr>
          <w:p>
            <w:pPr>
              <w:ind w:left="120"/>
              <w:spacing w:after="0" w:line="201" w:lineRule="exact"/>
              <w:rPr>
                <w:sz w:val="20"/>
                <w:szCs w:val="20"/>
                <w:color w:val="auto"/>
              </w:rPr>
            </w:pPr>
            <w:r>
              <w:rPr>
                <w:rFonts w:ascii="Arial" w:cs="Arial" w:eastAsia="Arial" w:hAnsi="Arial"/>
                <w:sz w:val="18"/>
                <w:szCs w:val="18"/>
                <w:b w:val="1"/>
                <w:bCs w:val="1"/>
                <w:color w:val="auto"/>
              </w:rPr>
              <w:t>by Each Reporting Person</w:t>
            </w: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1,013,820</w:t>
            </w:r>
          </w:p>
        </w:tc>
        <w:tc>
          <w:tcPr>
            <w:tcW w:w="1460" w:type="dxa"/>
            <w:vAlign w:val="bottom"/>
            <w:tcBorders>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10</w:t>
            </w:r>
          </w:p>
        </w:tc>
        <w:tc>
          <w:tcPr>
            <w:tcW w:w="1034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11</w:t>
            </w:r>
          </w:p>
        </w:tc>
        <w:tc>
          <w:tcPr>
            <w:tcW w:w="1034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4.89%</w:t>
            </w:r>
          </w:p>
        </w:tc>
        <w:tc>
          <w:tcPr>
            <w:tcW w:w="9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89"/>
              </w:rPr>
              <w:t>12</w:t>
            </w:r>
          </w:p>
        </w:tc>
        <w:tc>
          <w:tcPr>
            <w:tcW w:w="10340" w:type="dxa"/>
            <w:vAlign w:val="bottom"/>
            <w:tcBorders>
              <w:right w:val="single" w:sz="8" w:color="auto"/>
            </w:tcBorders>
            <w:gridSpan w:val="4"/>
          </w:tcPr>
          <w:p>
            <w:pPr>
              <w:spacing w:after="0" w:line="201" w:lineRule="exact"/>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37"/>
        </w:trPr>
        <w:tc>
          <w:tcPr>
            <w:tcW w:w="90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OO, Other (Limited Liability Company)</w:t>
            </w:r>
          </w:p>
        </w:tc>
        <w:tc>
          <w:tcPr>
            <w:tcW w:w="74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1645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firstLine="8"/>
        <w:spacing w:after="0" w:line="186" w:lineRule="auto"/>
        <w:tabs>
          <w:tab w:leader="none" w:pos="144" w:val="left"/>
        </w:tabs>
        <w:numPr>
          <w:ilvl w:val="0"/>
          <w:numId w:val="2"/>
        </w:numPr>
        <w:rPr>
          <w:rFonts w:ascii="Arial" w:cs="Arial" w:eastAsia="Arial" w:hAnsi="Arial"/>
          <w:sz w:val="36"/>
          <w:szCs w:val="36"/>
          <w:color w:val="auto"/>
          <w:vertAlign w:val="superscript"/>
        </w:rPr>
      </w:pPr>
      <w:r>
        <w:rPr>
          <w:rFonts w:ascii="Arial" w:cs="Arial" w:eastAsia="Arial" w:hAnsi="Arial"/>
          <w:sz w:val="22"/>
          <w:szCs w:val="22"/>
          <w:color w:val="auto"/>
        </w:rPr>
        <w:t>In addition to Alpine Global Management, LLC, Alpine Partners (BVI), L.P. also owns the shares indirectly and is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06" w:lineRule="exact"/>
        <w:rPr>
          <w:sz w:val="20"/>
          <w:szCs w:val="20"/>
          <w:color w:val="auto"/>
        </w:rPr>
      </w:pPr>
    </w:p>
    <w:p>
      <w:pPr>
        <w:ind w:left="900" w:hanging="892"/>
        <w:spacing w:after="0"/>
        <w:tabs>
          <w:tab w:leader="none" w:pos="90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VPC Impact Acquisition Holdings</w:t>
      </w:r>
    </w:p>
    <w:p>
      <w:pPr>
        <w:spacing w:after="0" w:line="200" w:lineRule="exact"/>
        <w:rPr>
          <w:sz w:val="20"/>
          <w:szCs w:val="20"/>
          <w:color w:val="auto"/>
        </w:rPr>
      </w:pPr>
    </w:p>
    <w:p>
      <w:pPr>
        <w:ind w:left="920" w:hanging="912"/>
        <w:spacing w:after="0"/>
        <w:tabs>
          <w:tab w:leader="none" w:pos="9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150 North Riverside Plaza, Suite 5200</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Chicago, IL 60606</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0" w:lineRule="exact"/>
        <w:rPr>
          <w:sz w:val="20"/>
          <w:szCs w:val="20"/>
          <w:color w:val="auto"/>
        </w:rPr>
      </w:pPr>
    </w:p>
    <w:p>
      <w:pPr>
        <w:spacing w:after="0" w:line="23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Alpine Global Management, LLC</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140 Broadway, 38</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New York, NY 10005</w:t>
      </w:r>
    </w:p>
    <w:p>
      <w:pPr>
        <w:spacing w:after="0" w:line="200" w:lineRule="exact"/>
        <w:rPr>
          <w:sz w:val="20"/>
          <w:szCs w:val="20"/>
          <w:color w:val="auto"/>
        </w:rPr>
      </w:pPr>
    </w:p>
    <w:p>
      <w:pPr>
        <w:spacing w:after="0" w:line="20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Delaware, USA</w:t>
      </w:r>
    </w:p>
    <w:p>
      <w:pPr>
        <w:spacing w:after="0" w:line="200" w:lineRule="exact"/>
        <w:rPr>
          <w:sz w:val="20"/>
          <w:szCs w:val="20"/>
          <w:color w:val="auto"/>
        </w:rPr>
      </w:pP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Class A ordinary shares, $0.0001 par value per share</w:t>
      </w:r>
    </w:p>
    <w:p>
      <w:pPr>
        <w:spacing w:after="0" w:line="200" w:lineRule="exact"/>
        <w:rPr>
          <w:sz w:val="20"/>
          <w:szCs w:val="20"/>
          <w:color w:val="auto"/>
        </w:rPr>
      </w:pPr>
    </w:p>
    <w:p>
      <w:pPr>
        <w:spacing w:after="0" w:line="225" w:lineRule="exact"/>
        <w:rPr>
          <w:sz w:val="20"/>
          <w:szCs w:val="20"/>
          <w:color w:val="auto"/>
        </w:rPr>
      </w:pPr>
    </w:p>
    <w:p>
      <w:pPr>
        <w:spacing w:after="0"/>
        <w:tabs>
          <w:tab w:leader="none" w:pos="640" w:val="left"/>
          <w:tab w:leader="none" w:pos="28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color w:val="auto"/>
        </w:rPr>
        <w:t>G9441E100</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9"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Rule 13d-1(b)(1)(ii)(E);</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Rule 13d-1(b)(1)(ii)(F);</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Rule 13d-1(b)(1)(ii)(G);</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associations as defined in Section 3(b) of the Federal Deposit Insurance Act (12 U.S.C. 1813);</w:t>
      </w:r>
    </w:p>
    <w:p>
      <w:pPr>
        <w:spacing w:after="0" w:line="238"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9"/>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Rule 240.13d-1(b)(1)(ii)(J);</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Rule 240.13d-1(b)(1)(ii)(K). If filing as a non-U.S. institution in accordance with Rule 240.13d-1(b)</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(1)(ii)(J), please specify the type of institution: 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3" w:name="page4"/>
    <w:bookmarkEnd w:id="3"/>
    <w:p>
      <w:pPr>
        <w:spacing w:after="0"/>
        <w:tabs>
          <w:tab w:leader="none" w:pos="118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Amount Beneficially Owned: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1,013,820</w:t>
      </w:r>
    </w:p>
    <w:p>
      <w:pPr>
        <w:spacing w:after="0" w:line="200" w:lineRule="exact"/>
        <w:rPr>
          <w:sz w:val="20"/>
          <w:szCs w:val="20"/>
          <w:color w:val="auto"/>
        </w:rPr>
      </w:pPr>
    </w:p>
    <w:p>
      <w:pPr>
        <w:ind w:left="920" w:hanging="912"/>
        <w:spacing w:after="0"/>
        <w:tabs>
          <w:tab w:leader="none" w:pos="92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4.89% Based upon 20,732,202 shares of the registrant’s Class A ordinary shares, par value $0.0001 per share, as reported by VPC Impact Acquisition Holdings. in its Form 10-K/A filed on May 21, 2021.</w:t>
      </w:r>
    </w:p>
    <w:p>
      <w:pPr>
        <w:spacing w:after="0" w:line="169" w:lineRule="exact"/>
        <w:rPr>
          <w:sz w:val="20"/>
          <w:szCs w:val="20"/>
          <w:color w:val="auto"/>
        </w:rPr>
      </w:pPr>
    </w:p>
    <w:p>
      <w:pPr>
        <w:ind w:left="900" w:hanging="892"/>
        <w:spacing w:after="0"/>
        <w:tabs>
          <w:tab w:leader="none" w:pos="90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14" w:lineRule="exact"/>
        <w:rPr>
          <w:rFonts w:ascii="Arial" w:cs="Arial" w:eastAsia="Arial" w:hAnsi="Arial"/>
          <w:sz w:val="22"/>
          <w:szCs w:val="22"/>
          <w:b w:val="1"/>
          <w:bCs w:val="1"/>
          <w:color w:val="auto"/>
        </w:rPr>
      </w:pPr>
    </w:p>
    <w:p>
      <w:pPr>
        <w:ind w:left="1120" w:hanging="464"/>
        <w:spacing w:after="0"/>
        <w:tabs>
          <w:tab w:leader="none" w:pos="112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Sole power to vote or to direct the vote: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1,013,820</w:t>
      </w:r>
    </w:p>
    <w:p>
      <w:pPr>
        <w:spacing w:after="0" w:line="22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(ii)</w:t>
      </w:r>
      <w:r>
        <w:rPr>
          <w:sz w:val="20"/>
          <w:szCs w:val="20"/>
          <w:color w:val="auto"/>
        </w:rPr>
        <w:tab/>
      </w:r>
      <w:r>
        <w:rPr>
          <w:rFonts w:ascii="Arial" w:cs="Arial" w:eastAsia="Arial" w:hAnsi="Arial"/>
          <w:sz w:val="19"/>
          <w:szCs w:val="19"/>
          <w:b w:val="1"/>
          <w:bCs w:val="1"/>
          <w:color w:val="auto"/>
        </w:rPr>
        <w:t>Shared power to vote or to direct the vote: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0</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(iii)  Sole power to dispose or to direct the disposition of:</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1,013,820</w:t>
      </w:r>
    </w:p>
    <w:p>
      <w:pPr>
        <w:spacing w:after="0" w:line="22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22"/>
          <w:szCs w:val="22"/>
          <w:b w:val="1"/>
          <w:bCs w:val="1"/>
          <w:color w:val="auto"/>
        </w:rPr>
        <w:t>(iv)</w:t>
      </w:r>
      <w:r>
        <w:rPr>
          <w:sz w:val="20"/>
          <w:szCs w:val="20"/>
          <w:color w:val="auto"/>
        </w:rPr>
        <w:tab/>
      </w:r>
      <w:r>
        <w:rPr>
          <w:rFonts w:ascii="Arial" w:cs="Arial" w:eastAsia="Arial" w:hAnsi="Arial"/>
          <w:sz w:val="19"/>
          <w:szCs w:val="19"/>
          <w:b w:val="1"/>
          <w:bCs w:val="1"/>
          <w:color w:val="auto"/>
        </w:rPr>
        <w:t>Shared power to dispose or to direct the disposition of:</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Exhibit A.</w:t>
      </w:r>
    </w:p>
    <w:p>
      <w:pPr>
        <w:spacing w:after="0" w:line="209"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2" w:lineRule="exact"/>
        <w:rPr>
          <w:sz w:val="20"/>
          <w:szCs w:val="20"/>
          <w:color w:val="auto"/>
        </w:rPr>
      </w:pPr>
    </w:p>
    <w:p>
      <w:pPr>
        <w:ind w:left="20" w:hanging="2"/>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14"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Dated: July 8,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 Amy Tarlowe</w:t>
      </w:r>
    </w:p>
    <w:p>
      <w:pPr>
        <w:spacing w:after="0" w:line="238" w:lineRule="auto"/>
        <w:rPr>
          <w:sz w:val="20"/>
          <w:szCs w:val="20"/>
          <w:color w:val="auto"/>
        </w:rPr>
      </w:pPr>
      <w:r>
        <w:rPr>
          <w:rFonts w:ascii="Arial" w:cs="Arial" w:eastAsia="Arial" w:hAnsi="Arial"/>
          <w:sz w:val="22"/>
          <w:szCs w:val="22"/>
          <w:color w:val="auto"/>
        </w:rPr>
        <w:t>Name: Amy Tarlowe</w:t>
      </w:r>
    </w:p>
    <w:p>
      <w:pPr>
        <w:spacing w:after="0"/>
        <w:rPr>
          <w:sz w:val="20"/>
          <w:szCs w:val="20"/>
          <w:color w:val="auto"/>
        </w:rPr>
      </w:pPr>
      <w:r>
        <w:rPr>
          <w:rFonts w:ascii="Arial" w:cs="Arial" w:eastAsia="Arial" w:hAnsi="Arial"/>
          <w:sz w:val="22"/>
          <w:szCs w:val="22"/>
          <w:color w:val="auto"/>
        </w:rPr>
        <w:t>Title: Chief Operating Officer</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ectPr>
          <w:pgSz w:w="11900" w:h="16838" w:orient="portrait"/>
          <w:cols w:equalWidth="0" w:num="1">
            <w:col w:w="11240"/>
          </w:cols>
          <w:pgMar w:left="320" w:top="328"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Pursuant to the instructions in Item 6 of Schedule 13G, the following lists the identity of each relevant entity that beneficially owns shares of the security class being reported on this Schedule 13G.</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Alpine Partners (BVI), L.P.</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Rule 13d-1(k)(1) Agreement</w:t>
      </w:r>
    </w:p>
    <w:p>
      <w:pPr>
        <w:spacing w:after="0" w:line="20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The undersigned persons, on July 8, 2021, agree and consent to the joint filing on their behalf of this Schedule 13G in connection with their beneficial ownership of Class A ordinary shares of VPC Impact Acquisition Holdings as of July 8, 2021.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/s/ Amy Tarlowe</w:t>
      </w:r>
    </w:p>
    <w:p>
      <w:pPr>
        <w:spacing w:after="0" w:line="238" w:lineRule="auto"/>
        <w:rPr>
          <w:sz w:val="20"/>
          <w:szCs w:val="20"/>
          <w:color w:val="auto"/>
        </w:rPr>
      </w:pPr>
      <w:r>
        <w:rPr>
          <w:rFonts w:ascii="Arial" w:cs="Arial" w:eastAsia="Arial" w:hAnsi="Arial"/>
          <w:sz w:val="22"/>
          <w:szCs w:val="22"/>
          <w:color w:val="auto"/>
        </w:rPr>
        <w:t>Name: Amy Tarlowe</w:t>
      </w:r>
    </w:p>
    <w:p>
      <w:pPr>
        <w:spacing w:after="0"/>
        <w:rPr>
          <w:sz w:val="20"/>
          <w:szCs w:val="20"/>
          <w:color w:val="auto"/>
        </w:rPr>
      </w:pPr>
      <w:r>
        <w:rPr>
          <w:rFonts w:ascii="Arial" w:cs="Arial" w:eastAsia="Arial" w:hAnsi="Arial"/>
          <w:sz w:val="22"/>
          <w:szCs w:val="22"/>
          <w:color w:val="auto"/>
        </w:rPr>
        <w:t>Title: Chief Operating Officer</w:t>
      </w:r>
    </w:p>
    <w:sectPr>
      <w:pgSz w:w="11900" w:h="16838" w:orient="portrait"/>
      <w:cols w:equalWidth="0" w:num="1">
        <w:col w:w="11180"/>
      </w:cols>
      <w:pgMar w:left="320" w:top="57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2"/>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3"/>
    </w:lvl>
  </w:abstractNum>
  <w:abstractNum w:abstractNumId="7">
    <w:nsid w:val="12200854"/>
    <w:multiLevelType w:val="hybridMultilevel"/>
    <w:lvl w:ilvl="0">
      <w:lvlJc w:val="left"/>
      <w:lvlText w:val="(%1)"/>
      <w:numFmt w:val="lowerLetter"/>
      <w:start w:val="4"/>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3"/>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2021-07-08T14:31:52Z</dcterms:created>
  <dcterms:modified xsi:type="dcterms:W3CDTF">2021-07-08T14:31:52Z</dcterms:modified>
</cp:coreProperties>
</file>